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845" w:rsidRPr="002A1845" w:rsidRDefault="002A1845" w:rsidP="002A1845">
      <w:pPr>
        <w:jc w:val="center"/>
        <w:rPr>
          <w:lang w:val="hr-HR"/>
        </w:rPr>
      </w:pPr>
      <w:r w:rsidRPr="002A1845">
        <w:rPr>
          <w:lang w:val="hr-HR"/>
        </w:rPr>
        <w:t>the title of the paper</w:t>
      </w:r>
    </w:p>
    <w:p w:rsidR="00774DC4" w:rsidRDefault="002A1845" w:rsidP="002A1845">
      <w:pPr>
        <w:jc w:val="center"/>
        <w:rPr>
          <w:b/>
          <w:bCs/>
          <w:lang w:val="hr-HR"/>
        </w:rPr>
      </w:pPr>
      <w:r w:rsidRPr="002A1845">
        <w:rPr>
          <w:b/>
          <w:bCs/>
          <w:lang w:val="hr-HR"/>
        </w:rPr>
        <w:t>Digital technologies for the well-being of university students:  a literature review and conceptual model proposal</w:t>
      </w:r>
    </w:p>
    <w:p w:rsidR="002A1845" w:rsidRDefault="002A1845" w:rsidP="00AA6F8A">
      <w:pPr>
        <w:rPr>
          <w:b/>
          <w:bCs/>
          <w:lang w:val="en-US"/>
        </w:rPr>
        <w:sectPr w:rsidR="002A1845">
          <w:pgSz w:w="11906" w:h="16838"/>
          <w:pgMar w:top="1417" w:right="1417" w:bottom="1417" w:left="1417" w:header="708" w:footer="708" w:gutter="0"/>
          <w:cols w:space="708"/>
          <w:docGrid w:linePitch="360"/>
        </w:sectPr>
      </w:pPr>
    </w:p>
    <w:p w:rsidR="002A1845" w:rsidRPr="002A1845" w:rsidRDefault="002A1845" w:rsidP="002A1845">
      <w:pPr>
        <w:jc w:val="center"/>
        <w:rPr>
          <w:b/>
          <w:bCs/>
          <w:vertAlign w:val="superscript"/>
        </w:rPr>
      </w:pPr>
      <w:r w:rsidRPr="002A1845">
        <w:rPr>
          <w:b/>
          <w:bCs/>
        </w:rPr>
        <w:lastRenderedPageBreak/>
        <w:t>Kaoutar El Moutchou</w:t>
      </w:r>
      <w:r w:rsidRPr="002A1845">
        <w:rPr>
          <w:b/>
          <w:bCs/>
          <w:vertAlign w:val="superscript"/>
        </w:rPr>
        <w:t>1</w:t>
      </w:r>
    </w:p>
    <w:p w:rsidR="002A1845" w:rsidRPr="002A1845" w:rsidRDefault="002A1845" w:rsidP="002A1845">
      <w:pPr>
        <w:jc w:val="center"/>
        <w:rPr>
          <w:lang w:val="en-US"/>
        </w:rPr>
      </w:pPr>
      <w:r w:rsidRPr="002A1845">
        <w:rPr>
          <w:vertAlign w:val="superscript"/>
          <w:lang w:val="en-US"/>
        </w:rPr>
        <w:t>1</w:t>
      </w:r>
      <w:hyperlink r:id="rId5" w:history="1">
        <w:r w:rsidRPr="002A1845">
          <w:rPr>
            <w:rStyle w:val="Lienhypertexte"/>
            <w:b/>
            <w:bCs/>
            <w:lang w:val="en-US"/>
          </w:rPr>
          <w:t>Kaoutar.elmoutchou@usmba.ac.ma</w:t>
        </w:r>
      </w:hyperlink>
    </w:p>
    <w:p w:rsidR="002A1845" w:rsidRDefault="002A1845" w:rsidP="002A1845">
      <w:pPr>
        <w:jc w:val="center"/>
        <w:rPr>
          <w:iCs/>
          <w:color w:val="000000" w:themeColor="text1"/>
          <w:lang w:val="hr-HR"/>
        </w:rPr>
      </w:pPr>
      <w:r w:rsidRPr="002A1845">
        <w:rPr>
          <w:vertAlign w:val="superscript"/>
          <w:lang w:val="en-US"/>
        </w:rPr>
        <w:t>1</w:t>
      </w:r>
      <w:r w:rsidRPr="002A1845">
        <w:rPr>
          <w:iCs/>
          <w:color w:val="000000" w:themeColor="text1"/>
          <w:lang w:val="hr-HR"/>
        </w:rPr>
        <w:t>Sidi Mohammed Ben Abdellah University, Faculty of Law, Economic and Social Sciences, The ERMOT Laboratory, Fez, Morocco</w:t>
      </w:r>
      <w:r>
        <w:rPr>
          <w:iCs/>
          <w:color w:val="000000" w:themeColor="text1"/>
          <w:lang w:val="hr-HR"/>
        </w:rPr>
        <w:t>.</w:t>
      </w:r>
    </w:p>
    <w:p w:rsidR="002A1845" w:rsidRPr="002A1845" w:rsidRDefault="002A1845" w:rsidP="002A1845">
      <w:pPr>
        <w:jc w:val="center"/>
        <w:rPr>
          <w:b/>
          <w:bCs/>
          <w:iCs/>
          <w:color w:val="000000" w:themeColor="text1"/>
          <w:lang w:val="hr-HR"/>
        </w:rPr>
      </w:pPr>
      <w:r w:rsidRPr="002A1845">
        <w:rPr>
          <w:b/>
          <w:bCs/>
          <w:iCs/>
          <w:color w:val="000000" w:themeColor="text1"/>
          <w:lang w:val="hr-HR"/>
        </w:rPr>
        <w:t>Samira TOUATE</w:t>
      </w:r>
      <w:r w:rsidRPr="002A1845">
        <w:rPr>
          <w:b/>
          <w:bCs/>
          <w:vertAlign w:val="superscript"/>
          <w:lang w:val="en-US"/>
        </w:rPr>
        <w:t>2</w:t>
      </w:r>
    </w:p>
    <w:p w:rsidR="002A1845" w:rsidRDefault="002A1845" w:rsidP="002A1845">
      <w:pPr>
        <w:jc w:val="center"/>
        <w:rPr>
          <w:iCs/>
          <w:color w:val="000000" w:themeColor="text1"/>
          <w:lang w:val="hr-HR"/>
        </w:rPr>
      </w:pPr>
      <w:r w:rsidRPr="002A1845">
        <w:rPr>
          <w:b/>
          <w:bCs/>
          <w:vertAlign w:val="superscript"/>
          <w:lang w:val="en-US"/>
        </w:rPr>
        <w:t>2</w:t>
      </w:r>
      <w:hyperlink r:id="rId6" w:history="1">
        <w:r w:rsidRPr="00997BEB">
          <w:rPr>
            <w:rStyle w:val="Lienhypertexte"/>
            <w:iCs/>
            <w:lang w:val="hr-HR"/>
          </w:rPr>
          <w:t>Samira.touate@usmba.ac.ma</w:t>
        </w:r>
      </w:hyperlink>
    </w:p>
    <w:p w:rsidR="002A1845" w:rsidRDefault="002A1845" w:rsidP="002A1845">
      <w:pPr>
        <w:jc w:val="center"/>
        <w:rPr>
          <w:iCs/>
          <w:color w:val="000000" w:themeColor="text1"/>
          <w:lang w:val="hr-HR"/>
        </w:rPr>
      </w:pPr>
      <w:r w:rsidRPr="002A1845">
        <w:rPr>
          <w:b/>
          <w:bCs/>
          <w:vertAlign w:val="superscript"/>
          <w:lang w:val="en-US"/>
        </w:rPr>
        <w:t>2</w:t>
      </w:r>
      <w:r w:rsidRPr="002A1845">
        <w:rPr>
          <w:iCs/>
          <w:color w:val="000000" w:themeColor="text1"/>
          <w:lang w:val="hr-HR"/>
        </w:rPr>
        <w:t>Sidi Mohammed Ben Abdellah University, Faculty of Law, Economic and Social Sciences, The ERMOT Laboratory, Fez, Morocco</w:t>
      </w:r>
      <w:r>
        <w:rPr>
          <w:iCs/>
          <w:color w:val="000000" w:themeColor="text1"/>
          <w:lang w:val="hr-HR"/>
        </w:rPr>
        <w:t>.</w:t>
      </w:r>
    </w:p>
    <w:p w:rsidR="002A1845" w:rsidRDefault="002A1845" w:rsidP="002A1845">
      <w:pPr>
        <w:jc w:val="center"/>
        <w:rPr>
          <w:iCs/>
          <w:color w:val="000000" w:themeColor="text1"/>
          <w:lang w:val="hr-HR"/>
        </w:rPr>
      </w:pPr>
    </w:p>
    <w:p w:rsidR="002A1845" w:rsidRDefault="002A1845" w:rsidP="002A1845">
      <w:pPr>
        <w:jc w:val="center"/>
        <w:rPr>
          <w:iCs/>
          <w:color w:val="000000" w:themeColor="text1"/>
          <w:lang w:val="hr-HR"/>
        </w:rPr>
      </w:pPr>
    </w:p>
    <w:p w:rsidR="002A1845" w:rsidRDefault="002A1845" w:rsidP="002A1845">
      <w:pPr>
        <w:jc w:val="center"/>
        <w:rPr>
          <w:iCs/>
          <w:color w:val="000000" w:themeColor="text1"/>
          <w:lang w:val="hr-HR"/>
        </w:rPr>
      </w:pPr>
    </w:p>
    <w:p w:rsidR="002A1845" w:rsidRDefault="002A1845" w:rsidP="002A1845">
      <w:pPr>
        <w:jc w:val="center"/>
        <w:rPr>
          <w:iCs/>
          <w:color w:val="000000" w:themeColor="text1"/>
          <w:lang w:val="hr-HR"/>
        </w:rPr>
      </w:pPr>
    </w:p>
    <w:p w:rsidR="002A1845" w:rsidRDefault="002A1845" w:rsidP="002A1845">
      <w:pPr>
        <w:jc w:val="center"/>
        <w:rPr>
          <w:iCs/>
          <w:color w:val="000000" w:themeColor="text1"/>
          <w:lang w:val="hr-HR"/>
        </w:rPr>
      </w:pPr>
    </w:p>
    <w:p w:rsidR="002A1845" w:rsidRDefault="002A1845" w:rsidP="002A1845">
      <w:pPr>
        <w:jc w:val="center"/>
        <w:rPr>
          <w:iCs/>
          <w:color w:val="000000" w:themeColor="text1"/>
          <w:lang w:val="hr-HR"/>
        </w:rPr>
      </w:pPr>
    </w:p>
    <w:p w:rsidR="002A1845" w:rsidRDefault="002A1845" w:rsidP="002A1845">
      <w:pPr>
        <w:jc w:val="center"/>
        <w:rPr>
          <w:iCs/>
          <w:color w:val="000000" w:themeColor="text1"/>
          <w:lang w:val="hr-HR"/>
        </w:rPr>
      </w:pPr>
    </w:p>
    <w:p w:rsidR="002A1845" w:rsidRDefault="002A1845" w:rsidP="002A1845">
      <w:pPr>
        <w:jc w:val="center"/>
        <w:rPr>
          <w:iCs/>
          <w:color w:val="000000" w:themeColor="text1"/>
          <w:lang w:val="hr-HR"/>
        </w:rPr>
      </w:pPr>
    </w:p>
    <w:p w:rsidR="002A1845" w:rsidRDefault="002A1845" w:rsidP="002A1845">
      <w:pPr>
        <w:jc w:val="center"/>
        <w:rPr>
          <w:iCs/>
          <w:color w:val="000000" w:themeColor="text1"/>
          <w:lang w:val="hr-HR"/>
        </w:rPr>
      </w:pPr>
    </w:p>
    <w:p w:rsidR="002A1845" w:rsidRDefault="002A1845" w:rsidP="002A1845">
      <w:pPr>
        <w:jc w:val="center"/>
        <w:rPr>
          <w:iCs/>
          <w:color w:val="000000" w:themeColor="text1"/>
          <w:lang w:val="hr-HR"/>
        </w:rPr>
      </w:pPr>
    </w:p>
    <w:p w:rsidR="002A1845" w:rsidRDefault="002A1845" w:rsidP="002A1845">
      <w:pPr>
        <w:jc w:val="center"/>
        <w:rPr>
          <w:iCs/>
          <w:color w:val="000000" w:themeColor="text1"/>
          <w:lang w:val="hr-HR"/>
        </w:rPr>
      </w:pPr>
    </w:p>
    <w:p w:rsidR="002A1845" w:rsidRDefault="002A1845" w:rsidP="002A1845">
      <w:pPr>
        <w:jc w:val="center"/>
        <w:rPr>
          <w:iCs/>
          <w:color w:val="000000" w:themeColor="text1"/>
          <w:lang w:val="hr-HR"/>
        </w:rPr>
      </w:pPr>
    </w:p>
    <w:p w:rsidR="002A1845" w:rsidRDefault="002A1845" w:rsidP="002A1845">
      <w:pPr>
        <w:jc w:val="center"/>
        <w:rPr>
          <w:iCs/>
          <w:color w:val="000000" w:themeColor="text1"/>
          <w:lang w:val="hr-HR"/>
        </w:rPr>
      </w:pPr>
    </w:p>
    <w:p w:rsidR="002A1845" w:rsidRPr="002A1845" w:rsidRDefault="002A1845" w:rsidP="002A1845">
      <w:pPr>
        <w:rPr>
          <w:b/>
          <w:bCs/>
          <w:lang w:val="en-US"/>
        </w:rPr>
      </w:pPr>
      <w:r w:rsidRPr="002A1845">
        <w:rPr>
          <w:b/>
          <w:bCs/>
          <w:lang w:val="en-US"/>
        </w:rPr>
        <w:t>Abstract</w:t>
      </w:r>
    </w:p>
    <w:p w:rsidR="002A1845" w:rsidRDefault="002A1845" w:rsidP="002A1845">
      <w:pPr>
        <w:rPr>
          <w:rFonts w:eastAsia="Times New Roman"/>
          <w:sz w:val="8"/>
          <w:szCs w:val="8"/>
          <w:lang w:val="hr-HR" w:eastAsia="es-MX"/>
        </w:rPr>
      </w:pPr>
      <w:r>
        <w:rPr>
          <w:rFonts w:eastAsia="Times New Roman"/>
          <w:bCs/>
          <w:lang w:val="hr-HR" w:eastAsia="es-MX"/>
        </w:rPr>
        <w:t>In recent years, the transformation of the higher education sector has been continuously accelerated. The university has been recognized as one of the primary instruments for the development of societies. In the digital age, new generations of pedagogies and teaching and learning methods are being implemented. Indeed, it is no longer a traditional learning environment, but rather one based on digital technologies. In this context, a number of effects have been observed among students, notably linked to the use of these new practices, the lack of skills, which may lead to various consequences. Hence the importance of the concept of university student well-being. Technology can contribute to quality learning for all students, which, in turn can promote their well-being. The objective of this literature review is to understand how digital technologies contribute to improving university student's well-being. This article presents a content analysis of the literature published between 2018 and 2024. The study focuses on 20 articles selected to illustrate and analyze existing research. The analysis of the collected studies was conducted using ZOTERO and NVIVO softwarewares. The results of our studies highlight a number of variables that influence students' well-being in relation to their use of digital technologies.</w:t>
      </w:r>
    </w:p>
    <w:p w:rsidR="002A1845" w:rsidRDefault="002A1845" w:rsidP="002A1845">
      <w:pPr>
        <w:rPr>
          <w:lang w:val="en-US"/>
        </w:rPr>
      </w:pPr>
      <w:r w:rsidRPr="002A1845">
        <w:rPr>
          <w:b/>
          <w:bCs/>
          <w:iCs/>
          <w:lang w:val="en-US"/>
        </w:rPr>
        <w:t>Keyword</w:t>
      </w:r>
      <w:r w:rsidRPr="002A1845">
        <w:rPr>
          <w:iCs/>
          <w:lang w:val="en-US"/>
        </w:rPr>
        <w:t>s</w:t>
      </w:r>
      <w:r w:rsidRPr="002A1845">
        <w:rPr>
          <w:iCs/>
          <w:lang w:val="hr-HR"/>
        </w:rPr>
        <w:t>:</w:t>
      </w:r>
      <w:r>
        <w:rPr>
          <w:iCs/>
          <w:lang w:val="hr-HR"/>
        </w:rPr>
        <w:t xml:space="preserve"> </w:t>
      </w:r>
      <w:r>
        <w:rPr>
          <w:lang w:val="en-US"/>
        </w:rPr>
        <w:t xml:space="preserve">higher education, academic engagement, </w:t>
      </w:r>
      <w:r>
        <w:rPr>
          <w:lang w:val="en-US"/>
        </w:rPr>
        <w:t>NVivo</w:t>
      </w:r>
      <w:r>
        <w:rPr>
          <w:lang w:val="en-US"/>
        </w:rPr>
        <w:t>, e-</w:t>
      </w:r>
      <w:r>
        <w:rPr>
          <w:lang w:val="en-US"/>
        </w:rPr>
        <w:t>learning,</w:t>
      </w:r>
      <w:r>
        <w:rPr>
          <w:lang w:val="en-US"/>
        </w:rPr>
        <w:t xml:space="preserve"> factors</w:t>
      </w:r>
      <w:r>
        <w:rPr>
          <w:lang w:val="en-US"/>
        </w:rPr>
        <w:t>.</w:t>
      </w:r>
    </w:p>
    <w:p w:rsidR="002A1845" w:rsidRPr="002A1845" w:rsidRDefault="002A1845" w:rsidP="002A1845">
      <w:pPr>
        <w:spacing w:after="0"/>
        <w:ind w:right="-28"/>
        <w:rPr>
          <w:rFonts w:asciiTheme="majorBidi" w:hAnsiTheme="majorBidi" w:cstheme="majorBidi"/>
          <w:b/>
          <w:bCs/>
          <w:lang w:val="zh-CN" w:eastAsia="zh-CN"/>
        </w:rPr>
      </w:pPr>
      <w:r w:rsidRPr="002A1845">
        <w:rPr>
          <w:rFonts w:asciiTheme="majorBidi" w:hAnsiTheme="majorBidi" w:cstheme="majorBidi"/>
          <w:b/>
          <w:bCs/>
          <w:lang w:val="en-US"/>
        </w:rPr>
        <w:t>1. Introduction</w:t>
      </w:r>
    </w:p>
    <w:p w:rsidR="002A1845" w:rsidRPr="002A1845" w:rsidRDefault="002A1845" w:rsidP="002A1845">
      <w:pPr>
        <w:spacing w:after="0"/>
        <w:ind w:right="-28" w:firstLine="567"/>
        <w:rPr>
          <w:rFonts w:asciiTheme="majorBidi" w:hAnsiTheme="majorBidi" w:cstheme="majorBidi"/>
          <w:b/>
          <w:bCs/>
          <w:sz w:val="14"/>
          <w:szCs w:val="14"/>
          <w:lang w:val="zh-CN" w:eastAsia="zh-CN"/>
        </w:rPr>
      </w:pPr>
    </w:p>
    <w:p w:rsidR="002A1845" w:rsidRPr="002A1845" w:rsidRDefault="002A1845" w:rsidP="002A1845">
      <w:pPr>
        <w:tabs>
          <w:tab w:val="left" w:pos="1740"/>
        </w:tabs>
        <w:spacing w:after="0"/>
        <w:rPr>
          <w:rFonts w:asciiTheme="majorBidi" w:eastAsia="Georgia" w:hAnsiTheme="majorBidi" w:cstheme="majorBidi"/>
          <w:bCs/>
          <w:color w:val="000000"/>
          <w:bdr w:val="none" w:sz="0" w:space="0" w:color="auto" w:frame="1"/>
          <w:lang w:val="en-US" w:eastAsia="es-MX"/>
        </w:rPr>
      </w:pPr>
      <w:r w:rsidRPr="002A1845">
        <w:rPr>
          <w:rFonts w:asciiTheme="majorBidi" w:eastAsia="Georgia" w:hAnsiTheme="majorBidi" w:cstheme="majorBidi"/>
          <w:bCs/>
          <w:color w:val="000000"/>
          <w:bdr w:val="none" w:sz="0" w:space="0" w:color="auto" w:frame="1"/>
          <w:lang w:val="en-US" w:eastAsia="es-MX"/>
        </w:rPr>
        <w:t xml:space="preserve">The expression "constant change" has probably never described the field of higher education and educational technologies as well as in light of the current global situation. In recent years, countries around the world have been profoundly transformed by digitization, which has opened new perspectives for socio-economic development and international competitiveness. The digital transformation of higher education is now a highly popular topic that generates great interest worldwide. Nevertheless, integrating new and innovative practices in the digital age poses several challenges and factors for students </w:t>
      </w:r>
      <w:r w:rsidRPr="002A1845">
        <w:rPr>
          <w:rFonts w:asciiTheme="majorBidi" w:eastAsia="Georgia" w:hAnsiTheme="majorBidi" w:cstheme="majorBidi"/>
          <w:bCs/>
          <w:color w:val="000000"/>
          <w:bdr w:val="none" w:sz="0" w:space="0" w:color="auto" w:frame="1"/>
          <w:lang w:val="en-US" w:eastAsia="es-MX"/>
        </w:rPr>
        <w:fldChar w:fldCharType="begin"/>
      </w:r>
      <w:r w:rsidRPr="002A1845">
        <w:rPr>
          <w:rFonts w:asciiTheme="majorBidi" w:eastAsia="Georgia" w:hAnsiTheme="majorBidi" w:cstheme="majorBidi"/>
          <w:bCs/>
          <w:color w:val="000000"/>
          <w:bdr w:val="none" w:sz="0" w:space="0" w:color="auto" w:frame="1"/>
          <w:lang w:val="en-US" w:eastAsia="es-MX"/>
        </w:rPr>
        <w:instrText xml:space="preserve"> ADDIN ZOTERO_ITEM CSL_CITATION {"citationID":"QFwIBdps","properties":{"formattedCitation":"(Asad et al., 2023)","plainCitation":"(Asad et al., 2023)","noteIndex":0},"citationItems":[{"id":2716,"uris":["http://zotero.org/users/9400437/items/LK8QR336"],"itemData":{"id":2716,"type":"article-journal","archive":"Scopus","container-title":"International Journal of Information Management Data Insights","DOI":"10.1016/j.jjimei.2022.100149","issue":"1","title":"Effect of technostress on Psychological well-being of post-graduate students: A perspective and correlational study of Higher Education Management","URL":"https://www.scopus.com/inward/record.uri?eid=2-s2.0-85145689016&amp;doi=10.1016%2fj.jjimei.2022.100149&amp;partnerID=40&amp;md5=2d5a42e561c2afd8bcaf21fdce3b9c4e","volume":"3","author":[{"family":"Asad","given":"M.M."},{"family":"Erum","given":"D."},{"family":"Churi","given":"P."},{"family":"Moreno Guerrero","given":"A.J."}],"issued":{"date-parts":[["2023"]]}}}],"schema":"https://github.com/citation-style-language/schema/raw/master/csl-citation.json"} </w:instrText>
      </w:r>
      <w:r w:rsidRPr="002A1845">
        <w:rPr>
          <w:rFonts w:asciiTheme="majorBidi" w:eastAsia="Georgia" w:hAnsiTheme="majorBidi" w:cstheme="majorBidi"/>
          <w:bCs/>
          <w:color w:val="000000"/>
          <w:bdr w:val="none" w:sz="0" w:space="0" w:color="auto" w:frame="1"/>
          <w:lang w:val="en-US" w:eastAsia="es-MX"/>
        </w:rPr>
        <w:fldChar w:fldCharType="separate"/>
      </w:r>
      <w:r w:rsidRPr="002A1845">
        <w:rPr>
          <w:rFonts w:asciiTheme="majorBidi" w:hAnsiTheme="majorBidi" w:cstheme="majorBidi"/>
          <w:szCs w:val="24"/>
          <w:lang w:val="en-US"/>
        </w:rPr>
        <w:t>(</w:t>
      </w:r>
      <w:proofErr w:type="spellStart"/>
      <w:r w:rsidRPr="002A1845">
        <w:rPr>
          <w:rFonts w:asciiTheme="majorBidi" w:hAnsiTheme="majorBidi" w:cstheme="majorBidi"/>
          <w:szCs w:val="24"/>
          <w:lang w:val="en-US"/>
        </w:rPr>
        <w:t>Asad</w:t>
      </w:r>
      <w:proofErr w:type="spellEnd"/>
      <w:r w:rsidRPr="002A1845">
        <w:rPr>
          <w:rFonts w:asciiTheme="majorBidi" w:hAnsiTheme="majorBidi" w:cstheme="majorBidi"/>
          <w:szCs w:val="24"/>
          <w:lang w:val="en-US"/>
        </w:rPr>
        <w:t xml:space="preserve"> et al., 2023)</w:t>
      </w:r>
      <w:r w:rsidRPr="002A1845">
        <w:rPr>
          <w:rFonts w:asciiTheme="majorBidi" w:eastAsia="Georgia" w:hAnsiTheme="majorBidi" w:cstheme="majorBidi"/>
          <w:bCs/>
          <w:color w:val="000000"/>
          <w:bdr w:val="none" w:sz="0" w:space="0" w:color="auto" w:frame="1"/>
          <w:lang w:val="en-US" w:eastAsia="es-MX"/>
        </w:rPr>
        <w:fldChar w:fldCharType="end"/>
      </w:r>
      <w:r w:rsidRPr="002A1845">
        <w:rPr>
          <w:rFonts w:asciiTheme="majorBidi" w:eastAsia="Georgia" w:hAnsiTheme="majorBidi" w:cstheme="majorBidi"/>
          <w:bCs/>
          <w:color w:val="000000"/>
          <w:bdr w:val="none" w:sz="0" w:space="0" w:color="auto" w:frame="1"/>
          <w:lang w:val="en-US" w:eastAsia="es-MX"/>
        </w:rPr>
        <w:t xml:space="preserve">. This new generation of pedagogies, teaching methods, and learning approaches will undoubtedly prioritize the specificity of the student. Hence the importance of the concept of university student well-being </w:t>
      </w:r>
      <w:r w:rsidRPr="002A1845">
        <w:rPr>
          <w:rFonts w:asciiTheme="majorBidi" w:eastAsia="Georgia" w:hAnsiTheme="majorBidi" w:cstheme="majorBidi"/>
          <w:bCs/>
          <w:color w:val="000000"/>
          <w:bdr w:val="none" w:sz="0" w:space="0" w:color="auto" w:frame="1"/>
          <w:lang w:val="en-US" w:eastAsia="es-MX"/>
        </w:rPr>
        <w:fldChar w:fldCharType="begin"/>
      </w:r>
      <w:r w:rsidRPr="002A1845">
        <w:rPr>
          <w:rFonts w:asciiTheme="majorBidi" w:eastAsia="Georgia" w:hAnsiTheme="majorBidi" w:cstheme="majorBidi"/>
          <w:bCs/>
          <w:color w:val="000000"/>
          <w:bdr w:val="none" w:sz="0" w:space="0" w:color="auto" w:frame="1"/>
          <w:lang w:val="en-US" w:eastAsia="es-MX"/>
        </w:rPr>
        <w:instrText xml:space="preserve"> ADDIN ZOTERO_ITEM CSL_CITATION {"citationID":"igqDBunK","properties":{"formattedCitation":"(Al-Kumaim et al., 2021; Dreer-Goethe, 2023)","plainCitation":"(Al-Kumaim et al., 2021; Dreer-Goethe, 2023)","noteIndex":0},"citationItems":[{"id":2718,"uris":["http://zotero.org/users/9400437/items/6TB9RSJ2"],"itemData":{"id":2718,"type":"article-journal","archive":"Scopus","container-title":"Sustainability (Switzerland)","DOI":"10.3390/su13052546","issue":"5","page":"1-21","title":"Exploring the impact of the covid-19 pandemic on university students’ learning life: An integrated conceptual motivational model for sustainable and healthy online learning","volume":"13","author":[{"family":"Al-Kumaim","given":"N.H."},{"family":"Alhazmi","given":"A.K."},{"family":"Mohammed","given":"F."},{"family":"Gazem","given":"N.A."},{"family":"Shabbir","given":"M.S."},{"family":"Fazea","given":"Y."}],"issued":{"date-parts":[["2021"]]}}},{"id":2956,"uris":["http://zotero.org/users/9400437/items/WPQQX3CF"],"itemData":{"id":2956,"type":"article-journal","container-title":"International Journal of Mentoring and Coaching in Education","DOI":"10.1108/IJMCE-09-2022-0073","issue":"4","note":"publisher: Emerald Publishing Limited","page":"336–349","source":"Google Scholar","title":"Well-being and mentoring in pre-service teacher education: an integrative literature review","title-short":"Well-being and mentoring in pre-service teacher education","volume":"12","author":[{"family":"Dreer-Goethe","given":"Benjamin"}],"issued":{"date-parts":[["2023"]]}}}],"schema":"https://github.com/citation-style-language/schema/raw/master/csl-citation.json"} </w:instrText>
      </w:r>
      <w:r w:rsidRPr="002A1845">
        <w:rPr>
          <w:rFonts w:asciiTheme="majorBidi" w:eastAsia="Georgia" w:hAnsiTheme="majorBidi" w:cstheme="majorBidi"/>
          <w:bCs/>
          <w:color w:val="000000"/>
          <w:bdr w:val="none" w:sz="0" w:space="0" w:color="auto" w:frame="1"/>
          <w:lang w:val="en-US" w:eastAsia="es-MX"/>
        </w:rPr>
        <w:fldChar w:fldCharType="separate"/>
      </w:r>
      <w:r w:rsidRPr="002A1845">
        <w:rPr>
          <w:rFonts w:asciiTheme="majorBidi" w:hAnsiTheme="majorBidi" w:cstheme="majorBidi"/>
          <w:szCs w:val="24"/>
          <w:lang w:val="en-US"/>
        </w:rPr>
        <w:t>(Al-</w:t>
      </w:r>
      <w:proofErr w:type="spellStart"/>
      <w:r w:rsidRPr="002A1845">
        <w:rPr>
          <w:rFonts w:asciiTheme="majorBidi" w:hAnsiTheme="majorBidi" w:cstheme="majorBidi"/>
          <w:szCs w:val="24"/>
          <w:lang w:val="en-US"/>
        </w:rPr>
        <w:t>Kumaim</w:t>
      </w:r>
      <w:proofErr w:type="spellEnd"/>
      <w:r w:rsidRPr="002A1845">
        <w:rPr>
          <w:rFonts w:asciiTheme="majorBidi" w:hAnsiTheme="majorBidi" w:cstheme="majorBidi"/>
          <w:szCs w:val="24"/>
          <w:lang w:val="en-US"/>
        </w:rPr>
        <w:t xml:space="preserve"> et al., 2021; </w:t>
      </w:r>
      <w:proofErr w:type="spellStart"/>
      <w:r w:rsidRPr="002A1845">
        <w:rPr>
          <w:rFonts w:asciiTheme="majorBidi" w:hAnsiTheme="majorBidi" w:cstheme="majorBidi"/>
          <w:szCs w:val="24"/>
          <w:lang w:val="en-US"/>
        </w:rPr>
        <w:t>Dreer</w:t>
      </w:r>
      <w:proofErr w:type="spellEnd"/>
      <w:r w:rsidRPr="002A1845">
        <w:rPr>
          <w:rFonts w:asciiTheme="majorBidi" w:hAnsiTheme="majorBidi" w:cstheme="majorBidi"/>
          <w:szCs w:val="24"/>
          <w:lang w:val="en-US"/>
        </w:rPr>
        <w:t>-Goethe, 2023)</w:t>
      </w:r>
      <w:r w:rsidRPr="002A1845">
        <w:rPr>
          <w:rFonts w:asciiTheme="majorBidi" w:eastAsia="Georgia" w:hAnsiTheme="majorBidi" w:cstheme="majorBidi"/>
          <w:bCs/>
          <w:color w:val="000000"/>
          <w:bdr w:val="none" w:sz="0" w:space="0" w:color="auto" w:frame="1"/>
          <w:lang w:val="en-US" w:eastAsia="es-MX"/>
        </w:rPr>
        <w:fldChar w:fldCharType="end"/>
      </w:r>
      <w:r w:rsidRPr="002A1845">
        <w:rPr>
          <w:rFonts w:asciiTheme="majorBidi" w:eastAsia="Georgia" w:hAnsiTheme="majorBidi" w:cstheme="majorBidi"/>
          <w:bCs/>
          <w:color w:val="000000"/>
          <w:bdr w:val="none" w:sz="0" w:space="0" w:color="auto" w:frame="1"/>
          <w:lang w:val="en-US" w:eastAsia="es-MX"/>
        </w:rPr>
        <w:t xml:space="preserve">. Furthermore, the extensive use of new technologies during the pandemic had a significant impact on students' well-being </w:t>
      </w:r>
      <w:r w:rsidRPr="002A1845">
        <w:rPr>
          <w:rFonts w:asciiTheme="majorBidi" w:eastAsia="Georgia" w:hAnsiTheme="majorBidi" w:cstheme="majorBidi"/>
          <w:bCs/>
          <w:color w:val="000000"/>
          <w:bdr w:val="none" w:sz="0" w:space="0" w:color="auto" w:frame="1"/>
          <w:lang w:val="en-US" w:eastAsia="es-MX"/>
        </w:rPr>
        <w:fldChar w:fldCharType="begin"/>
      </w:r>
      <w:r w:rsidRPr="002A1845">
        <w:rPr>
          <w:rFonts w:asciiTheme="majorBidi" w:eastAsia="Georgia" w:hAnsiTheme="majorBidi" w:cstheme="majorBidi"/>
          <w:bCs/>
          <w:color w:val="000000"/>
          <w:bdr w:val="none" w:sz="0" w:space="0" w:color="auto" w:frame="1"/>
          <w:lang w:val="en-US" w:eastAsia="es-MX"/>
        </w:rPr>
        <w:instrText xml:space="preserve"> ADDIN ZOTERO_ITEM CSL_CITATION {"citationID":"fqctNfLA","properties":{"formattedCitation":"(Douwes et al., 2023; Ikatova et al., 2021)","plainCitation":"(Douwes et al., 2023; Ikatova et al., 2021)","noteIndex":0},"citationItems":[{"id":3214,"uris":["http://zotero.org/users/9400437/items/ZF7DIAHL"],"itemData":{"id":3214,"type":"article-journal","abstract":"Recently, there has been an increased interest in the well-being of students in higher education. Despite the widespread consensus on the importance of student well-being, a clear definition continues to be lacking. This study qualitatively examined the student perspective on the topic through semi-structured interviews at a university of applied sciences in the Netherlands (n = 27). A major recurring theme was well-being as a balance in the interplay between efforts directed towards studies and life beyond studies. This method of perceiving well-being deviates from theoretical definitions. Students mentioned various factors that influence their well-being. Responses ranged from personal and university related factors to external factors beyond their educational institution. This study contributes to the body of knowledge on the well-being of students in higher education and provides suggestions for educational institutions, such as incorporating a holistic perspective on students and learning; and focus points for the development of policies and practices.","container-title":"Cogent Education","DOI":"10.1080/2331186X.2023.2190697","ISSN":"null","issue":"1","note":"publisher: Cogent OA\n_eprint: https://doi.org/10.1080/2331186X.2023.2190697","page":"2190697","source":"Taylor and Francis+NEJM","title":"Well-being of students in higher education: The importance of a student perspective","title-short":"Well-being of students in higher education","volume":"10","author":[{"family":"Douwes","given":"Rynke"},{"family":"Metselaar","given":"Janneke"},{"family":"Pijnenborg","given":"Gerdina Hendrika Maria"},{"family":"Boonstra","given":"Nynke"}],"issued":{"date-parts":[["2023",12,31]]}},"label":"page"},{"id":2896,"uris":["http://zotero.org/users/9400437/items/YWZTVJVJ"],"itemData":{"id":2896,"type":"paper-conference","archive":"Scopus","DOI":"10.1051/e3sconf/202128409012","event-title":"E3S Web of Conferences","title":"Ensuring students' wellness: resources and demands in higher education","URL":"https://www.scopus.com/inward/record.uri?eid=2-s2.0-85144950567&amp;doi=10.1051%2fe3sconf%2f202128409012&amp;partnerID=40&amp;md5=b8457b5909f3c1b6ccc62e35b0a9c1b5","volume":"284","author":[{"family":"Ikatova","given":"I.I."},{"family":"Barynkina","given":"I.V."},{"family":"Amelina","given":"L.V."}],"issued":{"date-parts":[["2021"]]}},"label":"page"}],"schema":"https://github.com/citation-style-language/schema/raw/master/csl-citation.json"} </w:instrText>
      </w:r>
      <w:r w:rsidRPr="002A1845">
        <w:rPr>
          <w:rFonts w:asciiTheme="majorBidi" w:eastAsia="Georgia" w:hAnsiTheme="majorBidi" w:cstheme="majorBidi"/>
          <w:bCs/>
          <w:color w:val="000000"/>
          <w:bdr w:val="none" w:sz="0" w:space="0" w:color="auto" w:frame="1"/>
          <w:lang w:val="en-US" w:eastAsia="es-MX"/>
        </w:rPr>
        <w:fldChar w:fldCharType="separate"/>
      </w:r>
      <w:r w:rsidRPr="002A1845">
        <w:rPr>
          <w:rFonts w:asciiTheme="majorBidi" w:hAnsiTheme="majorBidi" w:cstheme="majorBidi"/>
          <w:szCs w:val="24"/>
          <w:lang w:val="en-US"/>
        </w:rPr>
        <w:t>(</w:t>
      </w:r>
      <w:proofErr w:type="spellStart"/>
      <w:r w:rsidRPr="002A1845">
        <w:rPr>
          <w:rFonts w:asciiTheme="majorBidi" w:hAnsiTheme="majorBidi" w:cstheme="majorBidi"/>
          <w:szCs w:val="24"/>
          <w:lang w:val="en-US"/>
        </w:rPr>
        <w:t>Douwes</w:t>
      </w:r>
      <w:proofErr w:type="spellEnd"/>
      <w:r w:rsidRPr="002A1845">
        <w:rPr>
          <w:rFonts w:asciiTheme="majorBidi" w:hAnsiTheme="majorBidi" w:cstheme="majorBidi"/>
          <w:szCs w:val="24"/>
          <w:lang w:val="en-US"/>
        </w:rPr>
        <w:t xml:space="preserve"> et al., 2023; </w:t>
      </w:r>
      <w:proofErr w:type="spellStart"/>
      <w:r w:rsidRPr="002A1845">
        <w:rPr>
          <w:rFonts w:asciiTheme="majorBidi" w:hAnsiTheme="majorBidi" w:cstheme="majorBidi"/>
          <w:szCs w:val="24"/>
          <w:lang w:val="en-US"/>
        </w:rPr>
        <w:t>Ikatova</w:t>
      </w:r>
      <w:proofErr w:type="spellEnd"/>
      <w:r w:rsidRPr="002A1845">
        <w:rPr>
          <w:rFonts w:asciiTheme="majorBidi" w:hAnsiTheme="majorBidi" w:cstheme="majorBidi"/>
          <w:szCs w:val="24"/>
          <w:lang w:val="en-US"/>
        </w:rPr>
        <w:t xml:space="preserve"> et al., 2021)</w:t>
      </w:r>
      <w:r w:rsidRPr="002A1845">
        <w:rPr>
          <w:rFonts w:asciiTheme="majorBidi" w:eastAsia="Georgia" w:hAnsiTheme="majorBidi" w:cstheme="majorBidi"/>
          <w:bCs/>
          <w:color w:val="000000"/>
          <w:bdr w:val="none" w:sz="0" w:space="0" w:color="auto" w:frame="1"/>
          <w:lang w:val="en-US" w:eastAsia="es-MX"/>
        </w:rPr>
        <w:fldChar w:fldCharType="end"/>
      </w:r>
      <w:r w:rsidRPr="002A1845">
        <w:rPr>
          <w:rFonts w:asciiTheme="majorBidi" w:eastAsia="Georgia" w:hAnsiTheme="majorBidi" w:cstheme="majorBidi"/>
          <w:bCs/>
          <w:color w:val="000000"/>
          <w:bdr w:val="none" w:sz="0" w:space="0" w:color="auto" w:frame="1"/>
          <w:lang w:val="en-US" w:eastAsia="es-MX"/>
        </w:rPr>
        <w:t xml:space="preserve">. The development of pedagogical practices that enhance student well-being is a phenomenon that not only leads to success, but also promotes personal development. According to </w:t>
      </w:r>
      <w:r w:rsidRPr="002A1845">
        <w:rPr>
          <w:rFonts w:asciiTheme="majorBidi" w:eastAsia="Georgia" w:hAnsiTheme="majorBidi" w:cstheme="majorBidi"/>
          <w:bCs/>
          <w:color w:val="000000"/>
          <w:bdr w:val="none" w:sz="0" w:space="0" w:color="auto" w:frame="1"/>
          <w:lang w:val="en-US" w:eastAsia="es-MX"/>
        </w:rPr>
        <w:fldChar w:fldCharType="begin"/>
      </w:r>
      <w:r w:rsidRPr="002A1845">
        <w:rPr>
          <w:rFonts w:asciiTheme="majorBidi" w:eastAsia="Georgia" w:hAnsiTheme="majorBidi" w:cstheme="majorBidi"/>
          <w:bCs/>
          <w:color w:val="000000"/>
          <w:bdr w:val="none" w:sz="0" w:space="0" w:color="auto" w:frame="1"/>
          <w:lang w:val="en-US" w:eastAsia="es-MX"/>
        </w:rPr>
        <w:instrText xml:space="preserve"> ADDIN ZOTERO_ITEM CSL_CITATION {"citationID":"infFd9cE","properties":{"formattedCitation":"(OCDE &amp; Eurostat, 2019)","plainCitation":"(OCDE &amp; Eurostat, 2019)","noteIndex":0},"citationItems":[{"id":3110,"uris":["http://zotero.org/users/9400437/items/V8X2FNXU"],"itemData":{"id":3110,"type":"book","collection-title":"Mesurer les activités scientifiques, technologiques et d'innovation","ISBN":"978-92-64-57324-6","language":"fr","note":"DOI: 10.1787/c76f1c7b-fr","publisher":"OECD","source":"DOI.org (Crossref)","title":"Manuel d’Oslo 2018: Lignes directrices pour le recueil, la communication et l’utilisation des données sur l’innovation, 4ème édition","title-short":"Manuel d’Oslo 2018","URL":"https://www.oecd-ilibrary.org/science-and-technology/manuel-d-oslo-2018_c76f1c7b-fr","author":[{"literal":"OCDE"},{"literal":"Eurostat"}],"accessed":{"date-parts":[["2024",8,6]]},"issued":{"date-parts":[["2019",12,11]]}}}],"schema":"https://github.com/citation-style-language/schema/raw/master/csl-citation.json"} </w:instrText>
      </w:r>
      <w:r w:rsidRPr="002A1845">
        <w:rPr>
          <w:rFonts w:asciiTheme="majorBidi" w:eastAsia="Georgia" w:hAnsiTheme="majorBidi" w:cstheme="majorBidi"/>
          <w:bCs/>
          <w:color w:val="000000"/>
          <w:bdr w:val="none" w:sz="0" w:space="0" w:color="auto" w:frame="1"/>
          <w:lang w:val="en-US" w:eastAsia="es-MX"/>
        </w:rPr>
        <w:fldChar w:fldCharType="separate"/>
      </w:r>
      <w:r w:rsidRPr="002A1845">
        <w:rPr>
          <w:rFonts w:asciiTheme="majorBidi" w:hAnsiTheme="majorBidi" w:cstheme="majorBidi"/>
          <w:szCs w:val="24"/>
          <w:lang w:val="en-US"/>
        </w:rPr>
        <w:t>(OCDE &amp; Eurostat, 2019)</w:t>
      </w:r>
      <w:r w:rsidRPr="002A1845">
        <w:rPr>
          <w:rFonts w:asciiTheme="majorBidi" w:eastAsia="Georgia" w:hAnsiTheme="majorBidi" w:cstheme="majorBidi"/>
          <w:bCs/>
          <w:color w:val="000000"/>
          <w:bdr w:val="none" w:sz="0" w:space="0" w:color="auto" w:frame="1"/>
          <w:lang w:val="en-US" w:eastAsia="es-MX"/>
        </w:rPr>
        <w:fldChar w:fldCharType="end"/>
      </w:r>
      <w:r w:rsidRPr="002A1845">
        <w:rPr>
          <w:rFonts w:asciiTheme="majorBidi" w:eastAsia="Georgia" w:hAnsiTheme="majorBidi" w:cstheme="majorBidi"/>
          <w:bCs/>
          <w:color w:val="000000"/>
          <w:bdr w:val="none" w:sz="0" w:space="0" w:color="auto" w:frame="1"/>
          <w:lang w:val="en-US" w:eastAsia="es-MX"/>
        </w:rPr>
        <w:t xml:space="preserve"> student well-being is defined as “the set of psychological, cognitive, social, and physical capacities and mechanisms necessary for their happiness and flourishing”. The well-being of university students is an increasingly important issue in higher education. Well-being, as a concept, has a broad scope, which often gives it a multidisciplinary character. In the context of educational institutions, it is an essential component of students' quality of life </w:t>
      </w:r>
      <w:r w:rsidRPr="002A1845">
        <w:rPr>
          <w:rFonts w:asciiTheme="majorBidi" w:eastAsia="Georgia" w:hAnsiTheme="majorBidi" w:cstheme="majorBidi"/>
          <w:bCs/>
          <w:color w:val="000000"/>
          <w:bdr w:val="none" w:sz="0" w:space="0" w:color="auto" w:frame="1"/>
          <w:lang w:val="en-US" w:eastAsia="es-MX"/>
        </w:rPr>
        <w:fldChar w:fldCharType="begin"/>
      </w:r>
      <w:r w:rsidRPr="002A1845">
        <w:rPr>
          <w:rFonts w:asciiTheme="majorBidi" w:eastAsia="Georgia" w:hAnsiTheme="majorBidi" w:cstheme="majorBidi"/>
          <w:bCs/>
          <w:color w:val="000000"/>
          <w:bdr w:val="none" w:sz="0" w:space="0" w:color="auto" w:frame="1"/>
          <w:lang w:val="en-US" w:eastAsia="es-MX"/>
        </w:rPr>
        <w:instrText xml:space="preserve"> ADDIN ZOTERO_ITEM CSL_CITATION {"citationID":"cZHbofBz","properties":{"formattedCitation":"(Al-Said, 2023)","plainCitation":"(Al-Said, 2023)","noteIndex":0},"citationItems":[{"id":2746,"uris":["http://zotero.org/users/9400437/items/A5ZBGSJ9"],"itemData":{"id":2746,"type":"article-journal","archive":"Scopus","container-title":"International Journal of Information and Education Technology","DOI":"10.18178/ijiet.2023.13.4.1850","issue":"4","page":"658-663","title":"Effect of ‗Bring Your Own Device‘ (BYOD) on Student Behavior, Well-Being, and Learning Economic Disciplines","volume":"13","author":[{"family":"Al-Said","given":"K."}],"issued":{"date-parts":[["2023"]]}}}],"schema":"https://github.com/citation-style-language/schema/raw/master/csl-citation.json"} </w:instrText>
      </w:r>
      <w:r w:rsidRPr="002A1845">
        <w:rPr>
          <w:rFonts w:asciiTheme="majorBidi" w:eastAsia="Georgia" w:hAnsiTheme="majorBidi" w:cstheme="majorBidi"/>
          <w:bCs/>
          <w:color w:val="000000"/>
          <w:bdr w:val="none" w:sz="0" w:space="0" w:color="auto" w:frame="1"/>
          <w:lang w:val="en-US" w:eastAsia="es-MX"/>
        </w:rPr>
        <w:fldChar w:fldCharType="separate"/>
      </w:r>
      <w:r w:rsidRPr="002A1845">
        <w:rPr>
          <w:rFonts w:asciiTheme="majorBidi" w:hAnsiTheme="majorBidi" w:cstheme="majorBidi"/>
          <w:szCs w:val="24"/>
          <w:lang w:val="en-US"/>
        </w:rPr>
        <w:t>(Al-Said, 2023)</w:t>
      </w:r>
      <w:r w:rsidRPr="002A1845">
        <w:rPr>
          <w:rFonts w:asciiTheme="majorBidi" w:eastAsia="Georgia" w:hAnsiTheme="majorBidi" w:cstheme="majorBidi"/>
          <w:bCs/>
          <w:color w:val="000000"/>
          <w:bdr w:val="none" w:sz="0" w:space="0" w:color="auto" w:frame="1"/>
          <w:lang w:val="en-US" w:eastAsia="es-MX"/>
        </w:rPr>
        <w:fldChar w:fldCharType="end"/>
      </w:r>
      <w:r w:rsidRPr="002A1845">
        <w:rPr>
          <w:rFonts w:asciiTheme="majorBidi" w:eastAsia="Georgia" w:hAnsiTheme="majorBidi" w:cstheme="majorBidi"/>
          <w:bCs/>
          <w:color w:val="000000"/>
          <w:bdr w:val="none" w:sz="0" w:space="0" w:color="auto" w:frame="1"/>
          <w:lang w:val="en-US" w:eastAsia="es-MX"/>
        </w:rPr>
        <w:t>. This article focuses on the impact of digital technologies on student well-being, with an emphasis on influencing factors. To achieve this objective, we focus our analysis on the following research question: What is the impact of digital technologies on the well-being of university students?</w:t>
      </w:r>
    </w:p>
    <w:p w:rsidR="002A1845" w:rsidRPr="002A1845" w:rsidRDefault="002A1845" w:rsidP="002A1845">
      <w:pPr>
        <w:tabs>
          <w:tab w:val="left" w:pos="1740"/>
        </w:tabs>
        <w:spacing w:after="0"/>
        <w:rPr>
          <w:rFonts w:asciiTheme="majorBidi" w:eastAsia="Georgia" w:hAnsiTheme="majorBidi" w:cstheme="majorBidi"/>
          <w:bCs/>
          <w:color w:val="000000"/>
          <w:bdr w:val="none" w:sz="0" w:space="0" w:color="auto" w:frame="1"/>
          <w:lang w:val="en-US" w:eastAsia="es-MX"/>
        </w:rPr>
      </w:pPr>
      <w:r w:rsidRPr="002A1845">
        <w:rPr>
          <w:rFonts w:asciiTheme="majorBidi" w:eastAsia="Georgia" w:hAnsiTheme="majorBidi" w:cstheme="majorBidi"/>
          <w:bCs/>
          <w:color w:val="000000"/>
          <w:bdr w:val="none" w:sz="0" w:space="0" w:color="auto" w:frame="1"/>
          <w:lang w:val="en-US" w:eastAsia="es-MX"/>
        </w:rPr>
        <w:t>To answer our question, we have structured the article as follows.</w:t>
      </w:r>
      <w:r w:rsidRPr="002A1845">
        <w:rPr>
          <w:rFonts w:asciiTheme="majorBidi" w:hAnsiTheme="majorBidi" w:cstheme="majorBidi"/>
          <w:sz w:val="24"/>
          <w:szCs w:val="24"/>
          <w:lang w:val="en-US"/>
        </w:rPr>
        <w:t xml:space="preserve"> </w:t>
      </w:r>
      <w:r w:rsidRPr="002A1845">
        <w:rPr>
          <w:rFonts w:asciiTheme="majorBidi" w:eastAsia="Georgia" w:hAnsiTheme="majorBidi" w:cstheme="majorBidi"/>
          <w:bCs/>
          <w:color w:val="000000"/>
          <w:bdr w:val="none" w:sz="0" w:space="0" w:color="auto" w:frame="1"/>
          <w:lang w:val="en-US" w:eastAsia="es-MX"/>
        </w:rPr>
        <w:t>After introducing our research object. We presented our methodology. Subsequently, we analyzed the selected articles and discussed the results. Finally, we presented a conceptual model proposed for the future research.</w:t>
      </w:r>
    </w:p>
    <w:p w:rsidR="00583140" w:rsidRPr="00583140" w:rsidRDefault="00583140" w:rsidP="00583140">
      <w:pPr>
        <w:rPr>
          <w:b/>
          <w:bCs/>
          <w:lang w:val="en-US"/>
        </w:rPr>
      </w:pPr>
      <w:r w:rsidRPr="00583140">
        <w:rPr>
          <w:b/>
          <w:bCs/>
          <w:lang w:val="en-US"/>
        </w:rPr>
        <w:t>2</w:t>
      </w:r>
      <w:r w:rsidRPr="00583140">
        <w:rPr>
          <w:b/>
          <w:bCs/>
          <w:lang w:val="en-US"/>
        </w:rPr>
        <w:t>. Methods</w:t>
      </w:r>
    </w:p>
    <w:p w:rsidR="00583140" w:rsidRDefault="00AA6F8A" w:rsidP="00583140">
      <w:pPr>
        <w:rPr>
          <w:lang w:val="en-US"/>
        </w:rPr>
      </w:pPr>
      <w:r>
        <w:rPr>
          <w:noProof/>
          <w:sz w:val="24"/>
          <w:szCs w:val="24"/>
          <w:lang w:eastAsia="fr-FR"/>
        </w:rPr>
        <mc:AlternateContent>
          <mc:Choice Requires="wps">
            <w:drawing>
              <wp:anchor distT="0" distB="0" distL="114300" distR="114300" simplePos="0" relativeHeight="251659264" behindDoc="0" locked="0" layoutInCell="1" allowOverlap="1">
                <wp:simplePos x="0" y="0"/>
                <wp:positionH relativeFrom="column">
                  <wp:posOffset>4486910</wp:posOffset>
                </wp:positionH>
                <wp:positionV relativeFrom="paragraph">
                  <wp:posOffset>1931035</wp:posOffset>
                </wp:positionV>
                <wp:extent cx="963295" cy="1726565"/>
                <wp:effectExtent l="19050" t="0" r="27305" b="45085"/>
                <wp:wrapNone/>
                <wp:docPr id="17" name="Flèche : bas 17"/>
                <wp:cNvGraphicFramePr/>
                <a:graphic xmlns:a="http://schemas.openxmlformats.org/drawingml/2006/main">
                  <a:graphicData uri="http://schemas.microsoft.com/office/word/2010/wordprocessingShape">
                    <wps:wsp>
                      <wps:cNvSpPr/>
                      <wps:spPr>
                        <a:xfrm>
                          <a:off x="0" y="0"/>
                          <a:ext cx="963295" cy="1726565"/>
                        </a:xfrm>
                        <a:prstGeom prst="downArrow">
                          <a:avLst/>
                        </a:prstGeom>
                      </wps:spPr>
                      <wps:style>
                        <a:lnRef idx="2">
                          <a:schemeClr val="dk1"/>
                        </a:lnRef>
                        <a:fillRef idx="1">
                          <a:schemeClr val="lt1"/>
                        </a:fillRef>
                        <a:effectRef idx="0">
                          <a:schemeClr val="dk1"/>
                        </a:effectRef>
                        <a:fontRef idx="minor">
                          <a:schemeClr val="dk1"/>
                        </a:fontRef>
                      </wps:style>
                      <wps:txbx>
                        <w:txbxContent>
                          <w:p w:rsidR="00583140" w:rsidRDefault="00583140" w:rsidP="00583140">
                            <w:pPr>
                              <w:spacing w:after="0" w:line="240" w:lineRule="auto"/>
                              <w:jc w:val="center"/>
                              <w:rPr>
                                <w:sz w:val="18"/>
                                <w:szCs w:val="16"/>
                              </w:rPr>
                            </w:pPr>
                            <w:r>
                              <w:rPr>
                                <w:sz w:val="18"/>
                                <w:szCs w:val="16"/>
                              </w:rPr>
                              <w:t>I</w:t>
                            </w:r>
                          </w:p>
                          <w:p w:rsidR="00583140" w:rsidRDefault="00583140" w:rsidP="00583140">
                            <w:pPr>
                              <w:spacing w:after="0" w:line="240" w:lineRule="auto"/>
                              <w:jc w:val="center"/>
                              <w:rPr>
                                <w:sz w:val="18"/>
                                <w:szCs w:val="16"/>
                              </w:rPr>
                            </w:pPr>
                            <w:r>
                              <w:rPr>
                                <w:sz w:val="18"/>
                                <w:szCs w:val="16"/>
                              </w:rPr>
                              <w:t>N</w:t>
                            </w:r>
                          </w:p>
                          <w:p w:rsidR="00583140" w:rsidRDefault="00583140" w:rsidP="00583140">
                            <w:pPr>
                              <w:spacing w:after="0" w:line="240" w:lineRule="auto"/>
                              <w:jc w:val="center"/>
                              <w:rPr>
                                <w:sz w:val="18"/>
                                <w:szCs w:val="16"/>
                              </w:rPr>
                            </w:pPr>
                            <w:r>
                              <w:rPr>
                                <w:sz w:val="18"/>
                                <w:szCs w:val="16"/>
                              </w:rPr>
                              <w:t>C</w:t>
                            </w:r>
                          </w:p>
                          <w:p w:rsidR="00583140" w:rsidRDefault="00583140" w:rsidP="00583140">
                            <w:pPr>
                              <w:spacing w:after="0" w:line="240" w:lineRule="auto"/>
                              <w:jc w:val="center"/>
                              <w:rPr>
                                <w:sz w:val="18"/>
                                <w:szCs w:val="16"/>
                              </w:rPr>
                            </w:pPr>
                            <w:r>
                              <w:rPr>
                                <w:sz w:val="18"/>
                                <w:szCs w:val="16"/>
                              </w:rPr>
                              <w:t>L</w:t>
                            </w:r>
                          </w:p>
                          <w:p w:rsidR="00583140" w:rsidRDefault="00583140" w:rsidP="00583140">
                            <w:pPr>
                              <w:spacing w:after="0" w:line="240" w:lineRule="auto"/>
                              <w:jc w:val="center"/>
                              <w:rPr>
                                <w:sz w:val="18"/>
                                <w:szCs w:val="16"/>
                              </w:rPr>
                            </w:pPr>
                            <w:r>
                              <w:rPr>
                                <w:sz w:val="18"/>
                                <w:szCs w:val="16"/>
                              </w:rPr>
                              <w:t>U</w:t>
                            </w:r>
                          </w:p>
                          <w:p w:rsidR="00583140" w:rsidRDefault="00583140" w:rsidP="00583140">
                            <w:pPr>
                              <w:spacing w:after="0" w:line="240" w:lineRule="auto"/>
                              <w:jc w:val="center"/>
                              <w:rPr>
                                <w:sz w:val="18"/>
                                <w:szCs w:val="16"/>
                              </w:rPr>
                            </w:pPr>
                            <w:r>
                              <w:rPr>
                                <w:sz w:val="18"/>
                                <w:szCs w:val="16"/>
                              </w:rPr>
                              <w:t>S</w:t>
                            </w:r>
                          </w:p>
                          <w:p w:rsidR="00583140" w:rsidRDefault="00583140" w:rsidP="00583140">
                            <w:pPr>
                              <w:spacing w:after="0" w:line="240" w:lineRule="auto"/>
                              <w:jc w:val="center"/>
                              <w:rPr>
                                <w:sz w:val="18"/>
                                <w:szCs w:val="16"/>
                              </w:rPr>
                            </w:pPr>
                            <w:r>
                              <w:rPr>
                                <w:sz w:val="18"/>
                                <w:szCs w:val="16"/>
                              </w:rPr>
                              <w:t>I</w:t>
                            </w:r>
                          </w:p>
                          <w:p w:rsidR="00583140" w:rsidRDefault="00583140" w:rsidP="00583140">
                            <w:pPr>
                              <w:spacing w:after="0" w:line="240" w:lineRule="auto"/>
                              <w:jc w:val="center"/>
                              <w:rPr>
                                <w:sz w:val="18"/>
                                <w:szCs w:val="16"/>
                              </w:rPr>
                            </w:pPr>
                            <w:r>
                              <w:rPr>
                                <w:sz w:val="18"/>
                                <w:szCs w:val="16"/>
                              </w:rPr>
                              <w:t>O</w:t>
                            </w:r>
                          </w:p>
                          <w:p w:rsidR="00583140" w:rsidRDefault="00583140" w:rsidP="00583140">
                            <w:pPr>
                              <w:spacing w:after="0" w:line="240" w:lineRule="auto"/>
                              <w:jc w:val="center"/>
                              <w:rPr>
                                <w:sz w:val="14"/>
                                <w:szCs w:val="14"/>
                              </w:rPr>
                            </w:pPr>
                            <w:r>
                              <w:rPr>
                                <w:sz w:val="18"/>
                                <w:szCs w:val="16"/>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17" o:spid="_x0000_s1026" type="#_x0000_t67" style="position:absolute;left:0;text-align:left;margin-left:353.3pt;margin-top:152.05pt;width:75.85pt;height:13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" adj="15574" fillcolor="white [3201]" strokecolor="black [3200]" strokeweight="2pt">
                <v:textbox>
                  <w:txbxContent>
                    <w:p w:rsidR="00583140" w:rsidRDefault="00583140" w:rsidP="00583140">
                      <w:pPr>
                        <w:spacing w:after="0" w:line="240" w:lineRule="auto"/>
                        <w:jc w:val="center"/>
                        <w:rPr>
                          <w:sz w:val="18"/>
                          <w:szCs w:val="16"/>
                        </w:rPr>
                      </w:pPr>
                      <w:r>
                        <w:rPr>
                          <w:sz w:val="18"/>
                          <w:szCs w:val="16"/>
                        </w:rPr>
                        <w:t>I</w:t>
                      </w:r>
                    </w:p>
                    <w:p w:rsidR="00583140" w:rsidRDefault="00583140" w:rsidP="00583140">
                      <w:pPr>
                        <w:spacing w:after="0" w:line="240" w:lineRule="auto"/>
                        <w:jc w:val="center"/>
                        <w:rPr>
                          <w:sz w:val="18"/>
                          <w:szCs w:val="16"/>
                        </w:rPr>
                      </w:pPr>
                      <w:r>
                        <w:rPr>
                          <w:sz w:val="18"/>
                          <w:szCs w:val="16"/>
                        </w:rPr>
                        <w:t>N</w:t>
                      </w:r>
                    </w:p>
                    <w:p w:rsidR="00583140" w:rsidRDefault="00583140" w:rsidP="00583140">
                      <w:pPr>
                        <w:spacing w:after="0" w:line="240" w:lineRule="auto"/>
                        <w:jc w:val="center"/>
                        <w:rPr>
                          <w:sz w:val="18"/>
                          <w:szCs w:val="16"/>
                        </w:rPr>
                      </w:pPr>
                      <w:r>
                        <w:rPr>
                          <w:sz w:val="18"/>
                          <w:szCs w:val="16"/>
                        </w:rPr>
                        <w:t>C</w:t>
                      </w:r>
                    </w:p>
                    <w:p w:rsidR="00583140" w:rsidRDefault="00583140" w:rsidP="00583140">
                      <w:pPr>
                        <w:spacing w:after="0" w:line="240" w:lineRule="auto"/>
                        <w:jc w:val="center"/>
                        <w:rPr>
                          <w:sz w:val="18"/>
                          <w:szCs w:val="16"/>
                        </w:rPr>
                      </w:pPr>
                      <w:r>
                        <w:rPr>
                          <w:sz w:val="18"/>
                          <w:szCs w:val="16"/>
                        </w:rPr>
                        <w:t>L</w:t>
                      </w:r>
                    </w:p>
                    <w:p w:rsidR="00583140" w:rsidRDefault="00583140" w:rsidP="00583140">
                      <w:pPr>
                        <w:spacing w:after="0" w:line="240" w:lineRule="auto"/>
                        <w:jc w:val="center"/>
                        <w:rPr>
                          <w:sz w:val="18"/>
                          <w:szCs w:val="16"/>
                        </w:rPr>
                      </w:pPr>
                      <w:r>
                        <w:rPr>
                          <w:sz w:val="18"/>
                          <w:szCs w:val="16"/>
                        </w:rPr>
                        <w:t>U</w:t>
                      </w:r>
                    </w:p>
                    <w:p w:rsidR="00583140" w:rsidRDefault="00583140" w:rsidP="00583140">
                      <w:pPr>
                        <w:spacing w:after="0" w:line="240" w:lineRule="auto"/>
                        <w:jc w:val="center"/>
                        <w:rPr>
                          <w:sz w:val="18"/>
                          <w:szCs w:val="16"/>
                        </w:rPr>
                      </w:pPr>
                      <w:r>
                        <w:rPr>
                          <w:sz w:val="18"/>
                          <w:szCs w:val="16"/>
                        </w:rPr>
                        <w:t>S</w:t>
                      </w:r>
                    </w:p>
                    <w:p w:rsidR="00583140" w:rsidRDefault="00583140" w:rsidP="00583140">
                      <w:pPr>
                        <w:spacing w:after="0" w:line="240" w:lineRule="auto"/>
                        <w:jc w:val="center"/>
                        <w:rPr>
                          <w:sz w:val="18"/>
                          <w:szCs w:val="16"/>
                        </w:rPr>
                      </w:pPr>
                      <w:r>
                        <w:rPr>
                          <w:sz w:val="18"/>
                          <w:szCs w:val="16"/>
                        </w:rPr>
                        <w:t>I</w:t>
                      </w:r>
                    </w:p>
                    <w:p w:rsidR="00583140" w:rsidRDefault="00583140" w:rsidP="00583140">
                      <w:pPr>
                        <w:spacing w:after="0" w:line="240" w:lineRule="auto"/>
                        <w:jc w:val="center"/>
                        <w:rPr>
                          <w:sz w:val="18"/>
                          <w:szCs w:val="16"/>
                        </w:rPr>
                      </w:pPr>
                      <w:r>
                        <w:rPr>
                          <w:sz w:val="18"/>
                          <w:szCs w:val="16"/>
                        </w:rPr>
                        <w:t>O</w:t>
                      </w:r>
                    </w:p>
                    <w:p w:rsidR="00583140" w:rsidRDefault="00583140" w:rsidP="00583140">
                      <w:pPr>
                        <w:spacing w:after="0" w:line="240" w:lineRule="auto"/>
                        <w:jc w:val="center"/>
                        <w:rPr>
                          <w:sz w:val="14"/>
                          <w:szCs w:val="14"/>
                        </w:rPr>
                      </w:pPr>
                      <w:r>
                        <w:rPr>
                          <w:sz w:val="18"/>
                          <w:szCs w:val="16"/>
                        </w:rPr>
                        <w:t>N</w:t>
                      </w:r>
                    </w:p>
                  </w:txbxContent>
                </v:textbox>
              </v:shape>
            </w:pict>
          </mc:Fallback>
        </mc:AlternateContent>
      </w:r>
      <w:r w:rsidR="00583140">
        <w:rPr>
          <w:noProof/>
          <w:sz w:val="24"/>
          <w:szCs w:val="24"/>
          <w:lang w:eastAsia="fr-FR"/>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1877060</wp:posOffset>
                </wp:positionV>
                <wp:extent cx="5708650" cy="551815"/>
                <wp:effectExtent l="0" t="0" r="25400" b="19685"/>
                <wp:wrapNone/>
                <wp:docPr id="2" name="Zone de texte 2"/>
                <wp:cNvGraphicFramePr/>
                <a:graphic xmlns:a="http://schemas.openxmlformats.org/drawingml/2006/main">
                  <a:graphicData uri="http://schemas.microsoft.com/office/word/2010/wordprocessingShape">
                    <wps:wsp>
                      <wps:cNvSpPr txBox="1"/>
                      <wps:spPr>
                        <a:xfrm>
                          <a:off x="0" y="0"/>
                          <a:ext cx="5708650" cy="551815"/>
                        </a:xfrm>
                        <a:prstGeom prst="rect">
                          <a:avLst/>
                        </a:prstGeom>
                        <a:solidFill>
                          <a:schemeClr val="lt1"/>
                        </a:solidFill>
                        <a:ln w="6350">
                          <a:solidFill>
                            <a:prstClr val="black"/>
                          </a:solidFill>
                        </a:ln>
                      </wps:spPr>
                      <wps:txbx>
                        <w:txbxContent>
                          <w:p w:rsidR="00583140" w:rsidRDefault="00583140" w:rsidP="00583140">
                            <w:pPr>
                              <w:spacing w:line="240" w:lineRule="auto"/>
                              <w:jc w:val="center"/>
                              <w:rPr>
                                <w:b/>
                                <w:bCs/>
                                <w:sz w:val="18"/>
                                <w:szCs w:val="18"/>
                                <w:u w:val="single"/>
                              </w:rPr>
                            </w:pPr>
                            <w:r>
                              <w:rPr>
                                <w:b/>
                                <w:bCs/>
                                <w:sz w:val="18"/>
                                <w:szCs w:val="18"/>
                                <w:u w:val="single"/>
                              </w:rPr>
                              <w:t>Identification</w:t>
                            </w:r>
                          </w:p>
                          <w:p w:rsidR="00583140" w:rsidRDefault="00583140" w:rsidP="00583140">
                            <w:pPr>
                              <w:spacing w:line="240" w:lineRule="auto"/>
                              <w:jc w:val="center"/>
                              <w:rPr>
                                <w:b/>
                                <w:bCs/>
                                <w:sz w:val="18"/>
                                <w:szCs w:val="18"/>
                                <w:u w:val="single"/>
                              </w:rPr>
                            </w:pPr>
                            <w:r>
                              <w:rPr>
                                <w:sz w:val="18"/>
                                <w:szCs w:val="18"/>
                                <w:lang w:val="en-US"/>
                              </w:rPr>
                              <w:t>Articles identified in databases (N= 196)</w:t>
                            </w:r>
                          </w:p>
                          <w:p w:rsidR="00583140" w:rsidRDefault="00583140" w:rsidP="00583140">
                            <w:pPr>
                              <w:jc w:val="center"/>
                              <w:rPr>
                                <w:b/>
                                <w:bCs/>
                                <w:u w:val="single"/>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7" type="#_x0000_t202" style="position:absolute;left:0;text-align:left;margin-left:0;margin-top:147.8pt;width:449.5pt;height:4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" fillcolor="white [3201]" strokeweight=".5pt">
                <v:textbox>
                  <w:txbxContent>
                    <w:p w:rsidR="00583140" w:rsidRDefault="00583140" w:rsidP="00583140">
                      <w:pPr>
                        <w:spacing w:line="240" w:lineRule="auto"/>
                        <w:jc w:val="center"/>
                        <w:rPr>
                          <w:b/>
                          <w:bCs/>
                          <w:sz w:val="18"/>
                          <w:szCs w:val="18"/>
                          <w:u w:val="single"/>
                        </w:rPr>
                      </w:pPr>
                      <w:r>
                        <w:rPr>
                          <w:b/>
                          <w:bCs/>
                          <w:sz w:val="18"/>
                          <w:szCs w:val="18"/>
                          <w:u w:val="single"/>
                        </w:rPr>
                        <w:t>Identification</w:t>
                      </w:r>
                    </w:p>
                    <w:p w:rsidR="00583140" w:rsidRDefault="00583140" w:rsidP="00583140">
                      <w:pPr>
                        <w:spacing w:line="240" w:lineRule="auto"/>
                        <w:jc w:val="center"/>
                        <w:rPr>
                          <w:b/>
                          <w:bCs/>
                          <w:sz w:val="18"/>
                          <w:szCs w:val="18"/>
                          <w:u w:val="single"/>
                        </w:rPr>
                      </w:pPr>
                      <w:r>
                        <w:rPr>
                          <w:sz w:val="18"/>
                          <w:szCs w:val="18"/>
                          <w:lang w:val="en-US"/>
                        </w:rPr>
                        <w:t>Articles identified in databases (N= 196)</w:t>
                      </w:r>
                    </w:p>
                    <w:p w:rsidR="00583140" w:rsidRDefault="00583140" w:rsidP="00583140">
                      <w:pPr>
                        <w:jc w:val="center"/>
                        <w:rPr>
                          <w:b/>
                          <w:bCs/>
                          <w:u w:val="single"/>
                          <w:lang w:val="en-US"/>
                        </w:rPr>
                      </w:pPr>
                    </w:p>
                  </w:txbxContent>
                </v:textbox>
              </v:shape>
            </w:pict>
          </mc:Fallback>
        </mc:AlternateContent>
      </w:r>
      <w:r w:rsidR="00583140" w:rsidRPr="00583140">
        <w:rPr>
          <w:lang w:val="en-US"/>
        </w:rPr>
        <w:t>The research was conducted using the SCOPUS academic database due to its comprehensiveness and the ability to collect data through keyword searches. Furthermore, in order to identify additional articles to enrich our analysis, Google scholar was used as a complementary resource. The articles selected in Google scholar were rigorously screened based on publications in peer-reviewed journals and credible sources as well as their relevance to our research objective. We summarized the methodology used in this LR in Figure 1.</w:t>
      </w:r>
    </w:p>
    <w:p w:rsidR="00583140" w:rsidRPr="00583140" w:rsidRDefault="00583140" w:rsidP="00583140">
      <w:pPr>
        <w:rPr>
          <w:lang w:val="en-US"/>
        </w:rPr>
      </w:pPr>
      <w:r>
        <w:rPr>
          <w:noProof/>
          <w:sz w:val="24"/>
          <w:szCs w:val="24"/>
          <w:lang w:eastAsia="fr-FR"/>
        </w:rPr>
        <mc:AlternateContent>
          <mc:Choice Requires="wps">
            <w:drawing>
              <wp:anchor distT="0" distB="0" distL="114300" distR="114300" simplePos="0" relativeHeight="251662848" behindDoc="0" locked="0" layoutInCell="1" allowOverlap="1">
                <wp:simplePos x="0" y="0"/>
                <wp:positionH relativeFrom="column">
                  <wp:posOffset>85725</wp:posOffset>
                </wp:positionH>
                <wp:positionV relativeFrom="paragraph">
                  <wp:posOffset>417195</wp:posOffset>
                </wp:positionV>
                <wp:extent cx="5855970" cy="664845"/>
                <wp:effectExtent l="0" t="0" r="11430" b="20955"/>
                <wp:wrapNone/>
                <wp:docPr id="10" name="Zone de texte 10"/>
                <wp:cNvGraphicFramePr/>
                <a:graphic xmlns:a="http://schemas.openxmlformats.org/drawingml/2006/main">
                  <a:graphicData uri="http://schemas.microsoft.com/office/word/2010/wordprocessingShape">
                    <wps:wsp>
                      <wps:cNvSpPr txBox="1"/>
                      <wps:spPr>
                        <a:xfrm>
                          <a:off x="0" y="0"/>
                          <a:ext cx="5855970" cy="664845"/>
                        </a:xfrm>
                        <a:prstGeom prst="rect">
                          <a:avLst/>
                        </a:prstGeom>
                        <a:noFill/>
                        <a:ln w="6350">
                          <a:solidFill>
                            <a:prstClr val="black"/>
                          </a:solidFill>
                        </a:ln>
                      </wps:spPr>
                      <wps:txbx>
                        <w:txbxContent>
                          <w:p w:rsidR="00583140" w:rsidRDefault="00583140" w:rsidP="00583140">
                            <w:pPr>
                              <w:spacing w:after="0" w:line="240" w:lineRule="auto"/>
                              <w:jc w:val="center"/>
                              <w:rPr>
                                <w:b/>
                                <w:bCs/>
                                <w:sz w:val="18"/>
                                <w:szCs w:val="18"/>
                                <w:u w:val="single"/>
                                <w:lang w:val="en-US"/>
                              </w:rPr>
                            </w:pPr>
                            <w:r>
                              <w:rPr>
                                <w:b/>
                                <w:bCs/>
                                <w:sz w:val="18"/>
                                <w:szCs w:val="18"/>
                                <w:u w:val="single"/>
                                <w:lang w:val="en-US"/>
                              </w:rPr>
                              <w:t>Selection</w:t>
                            </w:r>
                          </w:p>
                          <w:p w:rsidR="00583140" w:rsidRDefault="00583140" w:rsidP="00583140">
                            <w:pPr>
                              <w:spacing w:after="0" w:line="240" w:lineRule="auto"/>
                              <w:jc w:val="center"/>
                              <w:rPr>
                                <w:sz w:val="18"/>
                                <w:szCs w:val="18"/>
                                <w:lang w:val="en-US"/>
                              </w:rPr>
                            </w:pPr>
                            <w:r>
                              <w:rPr>
                                <w:sz w:val="18"/>
                                <w:szCs w:val="18"/>
                                <w:lang w:val="en-US"/>
                              </w:rPr>
                              <w:t>Selection of articles based on title and keywords(N=64)</w:t>
                            </w:r>
                          </w:p>
                          <w:p w:rsidR="00583140" w:rsidRDefault="00583140" w:rsidP="00583140">
                            <w:pPr>
                              <w:spacing w:after="0" w:line="240" w:lineRule="auto"/>
                              <w:jc w:val="center"/>
                              <w:rPr>
                                <w:sz w:val="18"/>
                                <w:szCs w:val="18"/>
                                <w:lang w:val="en-US"/>
                              </w:rPr>
                            </w:pPr>
                            <w:r>
                              <w:rPr>
                                <w:sz w:val="18"/>
                                <w:szCs w:val="18"/>
                                <w:lang w:val="en-US"/>
                              </w:rPr>
                              <w:t>Selection of articles based on abstract (N=29)</w:t>
                            </w:r>
                          </w:p>
                          <w:p w:rsidR="00583140" w:rsidRDefault="00583140" w:rsidP="00583140">
                            <w:pPr>
                              <w:spacing w:after="0" w:line="240" w:lineRule="auto"/>
                              <w:jc w:val="center"/>
                              <w:rPr>
                                <w:b/>
                                <w:bCs/>
                                <w:sz w:val="18"/>
                                <w:szCs w:val="18"/>
                                <w:lang w:val="en-US"/>
                              </w:rPr>
                            </w:pPr>
                            <w:r>
                              <w:rPr>
                                <w:sz w:val="18"/>
                                <w:szCs w:val="18"/>
                                <w:lang w:val="en-US"/>
                              </w:rPr>
                              <w:t>Full-text review of articles (N=20</w:t>
                            </w:r>
                            <w:r>
                              <w:rPr>
                                <w:b/>
                                <w:bCs/>
                                <w:sz w:val="18"/>
                                <w:szCs w:val="1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0" o:spid="_x0000_s1028" type="#_x0000_t202" style="position:absolute;left:0;text-align:left;margin-left:6.75pt;margin-top:32.85pt;width:461.1pt;height:52.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" filled="f" strokeweight=".5pt">
                <v:textbox>
                  <w:txbxContent>
                    <w:p w:rsidR="00583140" w:rsidRDefault="00583140" w:rsidP="00583140">
                      <w:pPr>
                        <w:spacing w:after="0" w:line="240" w:lineRule="auto"/>
                        <w:jc w:val="center"/>
                        <w:rPr>
                          <w:b/>
                          <w:bCs/>
                          <w:sz w:val="18"/>
                          <w:szCs w:val="18"/>
                          <w:u w:val="single"/>
                          <w:lang w:val="en-US"/>
                        </w:rPr>
                      </w:pPr>
                      <w:r>
                        <w:rPr>
                          <w:b/>
                          <w:bCs/>
                          <w:sz w:val="18"/>
                          <w:szCs w:val="18"/>
                          <w:u w:val="single"/>
                          <w:lang w:val="en-US"/>
                        </w:rPr>
                        <w:t>Selection</w:t>
                      </w:r>
                    </w:p>
                    <w:p w:rsidR="00583140" w:rsidRDefault="00583140" w:rsidP="00583140">
                      <w:pPr>
                        <w:spacing w:after="0" w:line="240" w:lineRule="auto"/>
                        <w:jc w:val="center"/>
                        <w:rPr>
                          <w:sz w:val="18"/>
                          <w:szCs w:val="18"/>
                          <w:lang w:val="en-US"/>
                        </w:rPr>
                      </w:pPr>
                      <w:r>
                        <w:rPr>
                          <w:sz w:val="18"/>
                          <w:szCs w:val="18"/>
                          <w:lang w:val="en-US"/>
                        </w:rPr>
                        <w:t>Selection of articles based on title and keywords(N=64)</w:t>
                      </w:r>
                    </w:p>
                    <w:p w:rsidR="00583140" w:rsidRDefault="00583140" w:rsidP="00583140">
                      <w:pPr>
                        <w:spacing w:after="0" w:line="240" w:lineRule="auto"/>
                        <w:jc w:val="center"/>
                        <w:rPr>
                          <w:sz w:val="18"/>
                          <w:szCs w:val="18"/>
                          <w:lang w:val="en-US"/>
                        </w:rPr>
                      </w:pPr>
                      <w:r>
                        <w:rPr>
                          <w:sz w:val="18"/>
                          <w:szCs w:val="18"/>
                          <w:lang w:val="en-US"/>
                        </w:rPr>
                        <w:t>Selection of articles based on abstract (N=29)</w:t>
                      </w:r>
                    </w:p>
                    <w:p w:rsidR="00583140" w:rsidRDefault="00583140" w:rsidP="00583140">
                      <w:pPr>
                        <w:spacing w:after="0" w:line="240" w:lineRule="auto"/>
                        <w:jc w:val="center"/>
                        <w:rPr>
                          <w:b/>
                          <w:bCs/>
                          <w:sz w:val="18"/>
                          <w:szCs w:val="18"/>
                          <w:lang w:val="en-US"/>
                        </w:rPr>
                      </w:pPr>
                      <w:r>
                        <w:rPr>
                          <w:sz w:val="18"/>
                          <w:szCs w:val="18"/>
                          <w:lang w:val="en-US"/>
                        </w:rPr>
                        <w:t>Full-text review of articles (N=20</w:t>
                      </w:r>
                      <w:r>
                        <w:rPr>
                          <w:b/>
                          <w:bCs/>
                          <w:sz w:val="18"/>
                          <w:szCs w:val="18"/>
                          <w:lang w:val="en-US"/>
                        </w:rPr>
                        <w:t>)</w:t>
                      </w:r>
                    </w:p>
                  </w:txbxContent>
                </v:textbox>
              </v:shape>
            </w:pict>
          </mc:Fallback>
        </mc:AlternateContent>
      </w:r>
    </w:p>
    <w:p w:rsidR="002A1845" w:rsidRPr="002A1845" w:rsidRDefault="002A1845" w:rsidP="002A1845">
      <w:pPr>
        <w:rPr>
          <w:lang w:val="en-US"/>
        </w:rPr>
      </w:pPr>
    </w:p>
    <w:p w:rsidR="002A1845" w:rsidRDefault="00583140" w:rsidP="002A1845">
      <w:pPr>
        <w:jc w:val="center"/>
        <w:rPr>
          <w:iCs/>
          <w:color w:val="000000" w:themeColor="text1"/>
          <w:lang w:val="hr-HR"/>
        </w:rPr>
      </w:pPr>
      <w:r>
        <w:rPr>
          <w:noProof/>
          <w:sz w:val="24"/>
          <w:szCs w:val="24"/>
          <w:lang w:eastAsia="fr-FR"/>
        </w:rPr>
        <mc:AlternateContent>
          <mc:Choice Requires="wps">
            <w:drawing>
              <wp:anchor distT="0" distB="0" distL="114300" distR="114300" simplePos="0" relativeHeight="251658752" behindDoc="0" locked="0" layoutInCell="1" allowOverlap="1">
                <wp:simplePos x="0" y="0"/>
                <wp:positionH relativeFrom="column">
                  <wp:posOffset>245110</wp:posOffset>
                </wp:positionH>
                <wp:positionV relativeFrom="paragraph">
                  <wp:posOffset>247650</wp:posOffset>
                </wp:positionV>
                <wp:extent cx="5764530" cy="457200"/>
                <wp:effectExtent l="0" t="0" r="26670" b="19050"/>
                <wp:wrapNone/>
                <wp:docPr id="14" name="Zone de texte 14"/>
                <wp:cNvGraphicFramePr/>
                <a:graphic xmlns:a="http://schemas.openxmlformats.org/drawingml/2006/main">
                  <a:graphicData uri="http://schemas.microsoft.com/office/word/2010/wordprocessingShape">
                    <wps:wsp>
                      <wps:cNvSpPr txBox="1"/>
                      <wps:spPr>
                        <a:xfrm>
                          <a:off x="0" y="0"/>
                          <a:ext cx="5764530" cy="457200"/>
                        </a:xfrm>
                        <a:prstGeom prst="rect">
                          <a:avLst/>
                        </a:prstGeom>
                        <a:solidFill>
                          <a:schemeClr val="lt1"/>
                        </a:solidFill>
                        <a:ln w="6350">
                          <a:solidFill>
                            <a:prstClr val="black"/>
                          </a:solidFill>
                        </a:ln>
                      </wps:spPr>
                      <wps:txbx>
                        <w:txbxContent>
                          <w:p w:rsidR="00583140" w:rsidRDefault="00583140" w:rsidP="00583140">
                            <w:pPr>
                              <w:spacing w:after="0" w:line="240" w:lineRule="auto"/>
                              <w:jc w:val="center"/>
                              <w:rPr>
                                <w:b/>
                                <w:bCs/>
                                <w:sz w:val="18"/>
                                <w:szCs w:val="18"/>
                                <w:u w:val="single"/>
                                <w:lang w:val="en-US"/>
                              </w:rPr>
                            </w:pPr>
                            <w:r>
                              <w:rPr>
                                <w:b/>
                                <w:bCs/>
                                <w:sz w:val="18"/>
                                <w:szCs w:val="18"/>
                                <w:u w:val="single"/>
                                <w:lang w:val="en-US"/>
                              </w:rPr>
                              <w:t>Eligibility</w:t>
                            </w:r>
                          </w:p>
                          <w:p w:rsidR="00583140" w:rsidRDefault="00583140" w:rsidP="00583140">
                            <w:pPr>
                              <w:spacing w:after="0" w:line="240" w:lineRule="auto"/>
                              <w:jc w:val="center"/>
                              <w:rPr>
                                <w:sz w:val="18"/>
                                <w:szCs w:val="18"/>
                                <w:lang w:val="en-US"/>
                              </w:rPr>
                            </w:pPr>
                            <w:r>
                              <w:rPr>
                                <w:sz w:val="18"/>
                                <w:szCs w:val="18"/>
                                <w:lang w:val="en-US"/>
                              </w:rPr>
                              <w:t>Article included in the analysis (N=20)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4" o:spid="_x0000_s1029" type="#_x0000_t202" style="position:absolute;left:0;text-align:left;margin-left:19.3pt;margin-top:19.5pt;width:453.9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" fillcolor="white [3201]" strokeweight=".5pt">
                <v:textbox>
                  <w:txbxContent>
                    <w:p w:rsidR="00583140" w:rsidRDefault="00583140" w:rsidP="00583140">
                      <w:pPr>
                        <w:spacing w:after="0" w:line="240" w:lineRule="auto"/>
                        <w:jc w:val="center"/>
                        <w:rPr>
                          <w:b/>
                          <w:bCs/>
                          <w:sz w:val="18"/>
                          <w:szCs w:val="18"/>
                          <w:u w:val="single"/>
                          <w:lang w:val="en-US"/>
                        </w:rPr>
                      </w:pPr>
                      <w:r>
                        <w:rPr>
                          <w:b/>
                          <w:bCs/>
                          <w:sz w:val="18"/>
                          <w:szCs w:val="18"/>
                          <w:u w:val="single"/>
                          <w:lang w:val="en-US"/>
                        </w:rPr>
                        <w:t>Eligibility</w:t>
                      </w:r>
                    </w:p>
                    <w:p w:rsidR="00583140" w:rsidRDefault="00583140" w:rsidP="00583140">
                      <w:pPr>
                        <w:spacing w:after="0" w:line="240" w:lineRule="auto"/>
                        <w:jc w:val="center"/>
                        <w:rPr>
                          <w:sz w:val="18"/>
                          <w:szCs w:val="18"/>
                          <w:lang w:val="en-US"/>
                        </w:rPr>
                      </w:pPr>
                      <w:r>
                        <w:rPr>
                          <w:sz w:val="18"/>
                          <w:szCs w:val="18"/>
                          <w:lang w:val="en-US"/>
                        </w:rPr>
                        <w:t>Article included in the analysis (N=20)</w:t>
                      </w:r>
                    </w:p>
                  </w:txbxContent>
                </v:textbox>
              </v:shape>
            </w:pict>
          </mc:Fallback>
        </mc:AlternateContent>
      </w:r>
    </w:p>
    <w:p w:rsidR="002A1845" w:rsidRDefault="002A1845" w:rsidP="002A1845">
      <w:pPr>
        <w:jc w:val="center"/>
        <w:rPr>
          <w:lang w:val="hr-HR"/>
        </w:rPr>
      </w:pPr>
    </w:p>
    <w:p w:rsidR="00583140" w:rsidRPr="00583140" w:rsidRDefault="00583140" w:rsidP="00583140">
      <w:pPr>
        <w:jc w:val="center"/>
        <w:rPr>
          <w:bdr w:val="none" w:sz="0" w:space="0" w:color="auto" w:frame="1"/>
          <w:lang w:val="hr-HR" w:eastAsia="es-MX"/>
        </w:rPr>
      </w:pPr>
      <w:r w:rsidRPr="00583140">
        <w:rPr>
          <w:b/>
          <w:bdr w:val="none" w:sz="0" w:space="0" w:color="auto" w:frame="1"/>
          <w:lang w:val="hr-HR" w:eastAsia="es-MX"/>
        </w:rPr>
        <w:t>Figure 1:</w:t>
      </w:r>
      <w:r w:rsidRPr="00583140">
        <w:rPr>
          <w:bdr w:val="none" w:sz="0" w:space="0" w:color="auto" w:frame="1"/>
          <w:lang w:val="hr-HR" w:eastAsia="es-MX"/>
        </w:rPr>
        <w:t xml:space="preserve"> selection process</w:t>
      </w:r>
    </w:p>
    <w:p w:rsidR="00583140" w:rsidRPr="00583140" w:rsidRDefault="00583140" w:rsidP="00583140">
      <w:pPr>
        <w:jc w:val="center"/>
        <w:rPr>
          <w:bdr w:val="none" w:sz="0" w:space="0" w:color="auto" w:frame="1"/>
          <w:lang w:val="hr-HR" w:eastAsia="es-MX"/>
        </w:rPr>
      </w:pPr>
      <w:r w:rsidRPr="00583140">
        <w:rPr>
          <w:b/>
          <w:bCs/>
          <w:i/>
          <w:iCs/>
          <w:lang w:val="en-US"/>
        </w:rPr>
        <w:t>Source</w:t>
      </w:r>
      <w:r w:rsidRPr="00583140">
        <w:rPr>
          <w:b/>
          <w:bdr w:val="none" w:sz="0" w:space="0" w:color="auto" w:frame="1"/>
          <w:lang w:val="hr-HR" w:eastAsia="es-MX"/>
        </w:rPr>
        <w:t>:</w:t>
      </w:r>
      <w:r w:rsidRPr="00583140">
        <w:rPr>
          <w:bdr w:val="none" w:sz="0" w:space="0" w:color="auto" w:frame="1"/>
          <w:lang w:val="hr-HR" w:eastAsia="es-MX"/>
        </w:rPr>
        <w:t xml:space="preserve"> By authors</w:t>
      </w:r>
    </w:p>
    <w:p w:rsidR="00583140" w:rsidRDefault="00583140" w:rsidP="00583140">
      <w:pPr>
        <w:rPr>
          <w:bdr w:val="none" w:sz="0" w:space="0" w:color="auto" w:frame="1"/>
          <w:lang w:val="en-US" w:eastAsia="es-MX"/>
        </w:rPr>
      </w:pPr>
      <w:r>
        <w:rPr>
          <w:bdr w:val="none" w:sz="0" w:space="0" w:color="auto" w:frame="1"/>
          <w:lang w:val="en-US" w:eastAsia="es-MX"/>
        </w:rPr>
        <w:t>The search was conducted using the keywords: "higher Education" AND "Learning" AND "Technology" AND "Student" AND "Wellness" OR "Wellbeing" OR "Well-being". The identification process generated 116 articles from Scopus and 80 additional articles from Google Scholar. A summary of the research protocol is presented in Table 1.</w:t>
      </w:r>
    </w:p>
    <w:p w:rsidR="00583140" w:rsidRPr="00583140" w:rsidRDefault="00583140" w:rsidP="00583140">
      <w:pPr>
        <w:jc w:val="center"/>
        <w:rPr>
          <w:bdr w:val="none" w:sz="0" w:space="0" w:color="auto" w:frame="1"/>
          <w:lang w:val="hr-HR" w:eastAsia="es-MX"/>
        </w:rPr>
      </w:pPr>
      <w:r w:rsidRPr="00583140">
        <w:rPr>
          <w:b/>
          <w:bdr w:val="none" w:sz="0" w:space="0" w:color="auto" w:frame="1"/>
          <w:lang w:val="hr-HR" w:eastAsia="es-MX"/>
        </w:rPr>
        <w:t>Table 1</w:t>
      </w:r>
      <w:r w:rsidRPr="00583140">
        <w:rPr>
          <w:bdr w:val="none" w:sz="0" w:space="0" w:color="auto" w:frame="1"/>
          <w:lang w:val="hr-HR" w:eastAsia="es-MX"/>
        </w:rPr>
        <w:t xml:space="preserve"> Research protocol</w:t>
      </w:r>
    </w:p>
    <w:tbl>
      <w:tblPr>
        <w:tblStyle w:val="Tabelacomgrade4"/>
        <w:tblW w:w="5505" w:type="dxa"/>
        <w:tblInd w:w="2829" w:type="dxa"/>
        <w:tblBorders>
          <w:top w:val="single" w:sz="4" w:space="0" w:color="000000"/>
          <w:left w:val="none" w:sz="0" w:space="0" w:color="auto"/>
          <w:bottom w:val="single" w:sz="4" w:space="0" w:color="000000"/>
          <w:right w:val="none" w:sz="0" w:space="0" w:color="auto"/>
          <w:insideH w:val="none" w:sz="0" w:space="0" w:color="auto"/>
          <w:insideV w:val="none" w:sz="0" w:space="0" w:color="auto"/>
        </w:tblBorders>
        <w:tblLayout w:type="fixed"/>
        <w:tblLook w:val="04A0" w:firstRow="1" w:lastRow="0" w:firstColumn="1" w:lastColumn="0" w:noHBand="0" w:noVBand="1"/>
      </w:tblPr>
      <w:tblGrid>
        <w:gridCol w:w="2105"/>
        <w:gridCol w:w="3400"/>
      </w:tblGrid>
      <w:tr w:rsidR="00583140" w:rsidTr="00583140">
        <w:trPr>
          <w:trHeight w:val="211"/>
        </w:trPr>
        <w:tc>
          <w:tcPr>
            <w:tcW w:w="2107" w:type="dxa"/>
            <w:tcBorders>
              <w:top w:val="single" w:sz="4" w:space="0" w:color="000000"/>
              <w:left w:val="nil"/>
              <w:bottom w:val="single" w:sz="4" w:space="0" w:color="auto"/>
              <w:right w:val="nil"/>
            </w:tcBorders>
            <w:hideMark/>
          </w:tcPr>
          <w:p w:rsidR="00583140" w:rsidRPr="00583140" w:rsidRDefault="00583140">
            <w:pPr>
              <w:ind w:left="161" w:firstLine="29"/>
              <w:rPr>
                <w:rFonts w:ascii="Calibri" w:eastAsia="Times New Roman" w:hAnsi="Calibri" w:cstheme="minorHAnsi"/>
                <w:sz w:val="16"/>
                <w:szCs w:val="16"/>
                <w:lang w:eastAsia="pt-BR"/>
              </w:rPr>
            </w:pPr>
            <w:r w:rsidRPr="00583140">
              <w:rPr>
                <w:sz w:val="16"/>
                <w:szCs w:val="16"/>
              </w:rPr>
              <w:t>Criteria</w:t>
            </w:r>
          </w:p>
        </w:tc>
        <w:tc>
          <w:tcPr>
            <w:tcW w:w="3404" w:type="dxa"/>
            <w:tcBorders>
              <w:top w:val="single" w:sz="4" w:space="0" w:color="000000"/>
              <w:left w:val="nil"/>
              <w:bottom w:val="single" w:sz="4" w:space="0" w:color="auto"/>
              <w:right w:val="nil"/>
            </w:tcBorders>
            <w:hideMark/>
          </w:tcPr>
          <w:p w:rsidR="00583140" w:rsidRPr="00583140" w:rsidRDefault="00583140">
            <w:pPr>
              <w:ind w:firstLine="29"/>
              <w:jc w:val="center"/>
              <w:rPr>
                <w:rFonts w:eastAsia="Times New Roman" w:cstheme="minorHAnsi"/>
                <w:sz w:val="16"/>
                <w:szCs w:val="16"/>
                <w:lang w:eastAsia="pt-BR"/>
              </w:rPr>
            </w:pPr>
            <w:r w:rsidRPr="00583140">
              <w:rPr>
                <w:sz w:val="16"/>
                <w:szCs w:val="16"/>
              </w:rPr>
              <w:t>Description</w:t>
            </w:r>
          </w:p>
        </w:tc>
      </w:tr>
      <w:tr w:rsidR="00583140" w:rsidRPr="00583140" w:rsidTr="00583140">
        <w:trPr>
          <w:trHeight w:val="847"/>
        </w:trPr>
        <w:tc>
          <w:tcPr>
            <w:tcW w:w="2107" w:type="dxa"/>
            <w:tcBorders>
              <w:top w:val="single" w:sz="4" w:space="0" w:color="auto"/>
              <w:left w:val="nil"/>
              <w:bottom w:val="nil"/>
              <w:right w:val="nil"/>
            </w:tcBorders>
            <w:hideMark/>
          </w:tcPr>
          <w:p w:rsidR="00583140" w:rsidRPr="00583140" w:rsidRDefault="00583140">
            <w:pPr>
              <w:ind w:left="161" w:firstLine="29"/>
              <w:rPr>
                <w:rFonts w:eastAsia="Times New Roman" w:cstheme="minorHAnsi"/>
                <w:sz w:val="16"/>
                <w:szCs w:val="16"/>
                <w:lang w:eastAsia="pt-BR"/>
              </w:rPr>
            </w:pPr>
            <w:r w:rsidRPr="00583140">
              <w:rPr>
                <w:sz w:val="16"/>
                <w:szCs w:val="16"/>
              </w:rPr>
              <w:t>Key words</w:t>
            </w:r>
          </w:p>
        </w:tc>
        <w:tc>
          <w:tcPr>
            <w:tcW w:w="3404" w:type="dxa"/>
            <w:tcBorders>
              <w:top w:val="single" w:sz="4" w:space="0" w:color="auto"/>
              <w:left w:val="nil"/>
              <w:bottom w:val="nil"/>
              <w:right w:val="nil"/>
            </w:tcBorders>
            <w:hideMark/>
          </w:tcPr>
          <w:p w:rsidR="00583140" w:rsidRPr="00583140" w:rsidRDefault="00583140">
            <w:pPr>
              <w:ind w:firstLine="29"/>
              <w:jc w:val="center"/>
              <w:rPr>
                <w:rFonts w:eastAsia="Times New Roman" w:cstheme="minorHAnsi"/>
                <w:sz w:val="16"/>
                <w:szCs w:val="16"/>
                <w:lang w:eastAsia="pt-BR"/>
              </w:rPr>
            </w:pPr>
            <w:r w:rsidRPr="00583140">
              <w:rPr>
                <w:sz w:val="16"/>
                <w:szCs w:val="16"/>
              </w:rPr>
              <w:t>"higher Education" AND "Learning" AND "Technology" AND "Student" AND "Wellness" OR "Wellbeing" OR "Well-being".</w:t>
            </w:r>
          </w:p>
        </w:tc>
      </w:tr>
      <w:tr w:rsidR="00583140" w:rsidRPr="00583140" w:rsidTr="00583140">
        <w:trPr>
          <w:trHeight w:val="1680"/>
        </w:trPr>
        <w:tc>
          <w:tcPr>
            <w:tcW w:w="2107" w:type="dxa"/>
            <w:tcBorders>
              <w:top w:val="nil"/>
              <w:left w:val="nil"/>
              <w:bottom w:val="nil"/>
              <w:right w:val="nil"/>
            </w:tcBorders>
            <w:hideMark/>
          </w:tcPr>
          <w:p w:rsidR="00583140" w:rsidRPr="00583140" w:rsidRDefault="00583140">
            <w:pPr>
              <w:ind w:left="161" w:firstLine="29"/>
              <w:rPr>
                <w:rFonts w:eastAsia="Times New Roman" w:cstheme="minorHAnsi"/>
                <w:sz w:val="16"/>
                <w:szCs w:val="16"/>
                <w:lang w:eastAsia="pt-BR"/>
              </w:rPr>
            </w:pPr>
            <w:r w:rsidRPr="00583140">
              <w:rPr>
                <w:sz w:val="16"/>
                <w:szCs w:val="16"/>
              </w:rPr>
              <w:t>Inclusion and exclusion criteria</w:t>
            </w:r>
          </w:p>
        </w:tc>
        <w:tc>
          <w:tcPr>
            <w:tcW w:w="3404" w:type="dxa"/>
            <w:tcBorders>
              <w:top w:val="nil"/>
              <w:left w:val="nil"/>
              <w:bottom w:val="nil"/>
              <w:right w:val="nil"/>
            </w:tcBorders>
            <w:hideMark/>
          </w:tcPr>
          <w:p w:rsidR="00583140" w:rsidRPr="00583140" w:rsidRDefault="00583140">
            <w:pPr>
              <w:ind w:firstLine="29"/>
              <w:rPr>
                <w:sz w:val="16"/>
                <w:szCs w:val="16"/>
              </w:rPr>
            </w:pPr>
            <w:r w:rsidRPr="00583140">
              <w:rPr>
                <w:sz w:val="16"/>
                <w:szCs w:val="16"/>
              </w:rPr>
              <w:t>1. Publications published between 2018-2024 are considered.</w:t>
            </w:r>
          </w:p>
          <w:p w:rsidR="00583140" w:rsidRPr="00583140" w:rsidRDefault="00583140">
            <w:pPr>
              <w:ind w:firstLine="29"/>
              <w:rPr>
                <w:sz w:val="16"/>
                <w:szCs w:val="16"/>
              </w:rPr>
            </w:pPr>
            <w:r w:rsidRPr="00583140">
              <w:rPr>
                <w:sz w:val="16"/>
                <w:szCs w:val="16"/>
              </w:rPr>
              <w:t>2. articles that examine the impact of digital technologies on student well-being.</w:t>
            </w:r>
          </w:p>
          <w:p w:rsidR="00583140" w:rsidRPr="00583140" w:rsidRDefault="00583140">
            <w:pPr>
              <w:ind w:firstLine="29"/>
              <w:rPr>
                <w:sz w:val="16"/>
                <w:szCs w:val="16"/>
              </w:rPr>
            </w:pPr>
            <w:r w:rsidRPr="00583140">
              <w:rPr>
                <w:sz w:val="16"/>
                <w:szCs w:val="16"/>
              </w:rPr>
              <w:t>3. Sector: Higher education</w:t>
            </w:r>
          </w:p>
          <w:p w:rsidR="00583140" w:rsidRPr="00583140" w:rsidRDefault="00583140">
            <w:pPr>
              <w:ind w:firstLine="29"/>
              <w:rPr>
                <w:sz w:val="16"/>
                <w:szCs w:val="16"/>
              </w:rPr>
            </w:pPr>
            <w:r w:rsidRPr="00583140">
              <w:rPr>
                <w:sz w:val="16"/>
                <w:szCs w:val="16"/>
              </w:rPr>
              <w:t>4. duplicate articles are excluded</w:t>
            </w:r>
          </w:p>
          <w:p w:rsidR="00583140" w:rsidRPr="00583140" w:rsidRDefault="00583140">
            <w:pPr>
              <w:ind w:firstLine="29"/>
              <w:rPr>
                <w:rFonts w:eastAsia="Times New Roman" w:cstheme="minorHAnsi"/>
                <w:sz w:val="16"/>
                <w:szCs w:val="16"/>
                <w:lang w:eastAsia="pt-BR"/>
              </w:rPr>
            </w:pPr>
            <w:r w:rsidRPr="00583140">
              <w:rPr>
                <w:sz w:val="16"/>
                <w:szCs w:val="16"/>
              </w:rPr>
              <w:t>5. Articles published in languages other than French and English are excluded.</w:t>
            </w:r>
          </w:p>
        </w:tc>
      </w:tr>
      <w:tr w:rsidR="00583140" w:rsidRPr="00583140" w:rsidTr="00583140">
        <w:trPr>
          <w:trHeight w:val="847"/>
        </w:trPr>
        <w:tc>
          <w:tcPr>
            <w:tcW w:w="2107" w:type="dxa"/>
            <w:tcBorders>
              <w:top w:val="nil"/>
              <w:left w:val="nil"/>
              <w:bottom w:val="nil"/>
              <w:right w:val="nil"/>
            </w:tcBorders>
            <w:hideMark/>
          </w:tcPr>
          <w:p w:rsidR="00583140" w:rsidRPr="00583140" w:rsidRDefault="00583140">
            <w:pPr>
              <w:ind w:left="161" w:firstLine="29"/>
              <w:rPr>
                <w:rFonts w:eastAsia="Times New Roman" w:cstheme="minorHAnsi"/>
                <w:sz w:val="16"/>
                <w:szCs w:val="16"/>
                <w:lang w:eastAsia="pt-BR"/>
              </w:rPr>
            </w:pPr>
            <w:r w:rsidRPr="00583140">
              <w:rPr>
                <w:rFonts w:eastAsia="Times New Roman" w:cstheme="minorHAnsi"/>
                <w:sz w:val="16"/>
                <w:szCs w:val="16"/>
                <w:lang w:eastAsia="pt-BR"/>
              </w:rPr>
              <w:t>Selection</w:t>
            </w:r>
            <w:r w:rsidRPr="00583140">
              <w:rPr>
                <w:rFonts w:eastAsia="Times New Roman" w:cstheme="minorHAnsi"/>
                <w:sz w:val="16"/>
                <w:szCs w:val="16"/>
                <w:lang w:eastAsia="pt-BR"/>
              </w:rPr>
              <w:tab/>
            </w:r>
          </w:p>
        </w:tc>
        <w:tc>
          <w:tcPr>
            <w:tcW w:w="3404" w:type="dxa"/>
            <w:tcBorders>
              <w:top w:val="nil"/>
              <w:left w:val="nil"/>
              <w:bottom w:val="nil"/>
              <w:right w:val="nil"/>
            </w:tcBorders>
            <w:hideMark/>
          </w:tcPr>
          <w:p w:rsidR="00583140" w:rsidRPr="00583140" w:rsidRDefault="00583140">
            <w:pPr>
              <w:ind w:firstLine="29"/>
              <w:rPr>
                <w:rFonts w:eastAsia="Times New Roman" w:cstheme="minorHAnsi"/>
                <w:sz w:val="16"/>
                <w:szCs w:val="16"/>
                <w:lang w:eastAsia="pt-BR"/>
              </w:rPr>
            </w:pPr>
            <w:r w:rsidRPr="00583140">
              <w:rPr>
                <w:rFonts w:eastAsia="Times New Roman" w:cstheme="minorHAnsi"/>
                <w:sz w:val="16"/>
                <w:szCs w:val="16"/>
                <w:lang w:eastAsia="pt-BR"/>
              </w:rPr>
              <w:t>The selected publications are first examined by title and keywords, then summarized before being analyzed in full text.</w:t>
            </w:r>
          </w:p>
        </w:tc>
      </w:tr>
      <w:tr w:rsidR="00583140" w:rsidTr="00583140">
        <w:trPr>
          <w:trHeight w:val="310"/>
        </w:trPr>
        <w:tc>
          <w:tcPr>
            <w:tcW w:w="2107" w:type="dxa"/>
            <w:tcBorders>
              <w:top w:val="nil"/>
              <w:left w:val="nil"/>
              <w:bottom w:val="single" w:sz="4" w:space="0" w:color="000000"/>
              <w:right w:val="nil"/>
            </w:tcBorders>
            <w:hideMark/>
          </w:tcPr>
          <w:p w:rsidR="00583140" w:rsidRPr="00583140" w:rsidRDefault="00583140">
            <w:pPr>
              <w:ind w:left="161" w:firstLine="29"/>
              <w:rPr>
                <w:rFonts w:eastAsia="Times New Roman" w:cstheme="minorHAnsi"/>
                <w:sz w:val="16"/>
                <w:szCs w:val="16"/>
                <w:lang w:eastAsia="pt-BR"/>
              </w:rPr>
            </w:pPr>
            <w:r w:rsidRPr="00583140">
              <w:rPr>
                <w:sz w:val="16"/>
                <w:szCs w:val="16"/>
              </w:rPr>
              <w:t>Extraction Tools</w:t>
            </w:r>
          </w:p>
        </w:tc>
        <w:tc>
          <w:tcPr>
            <w:tcW w:w="3404" w:type="dxa"/>
            <w:tcBorders>
              <w:top w:val="nil"/>
              <w:left w:val="nil"/>
              <w:bottom w:val="single" w:sz="4" w:space="0" w:color="000000"/>
              <w:right w:val="nil"/>
            </w:tcBorders>
            <w:hideMark/>
          </w:tcPr>
          <w:p w:rsidR="00583140" w:rsidRPr="00583140" w:rsidRDefault="00583140">
            <w:pPr>
              <w:ind w:firstLine="29"/>
              <w:jc w:val="center"/>
              <w:rPr>
                <w:rFonts w:eastAsia="Times New Roman" w:cstheme="minorHAnsi"/>
                <w:sz w:val="16"/>
                <w:szCs w:val="16"/>
                <w:lang w:eastAsia="pt-BR"/>
              </w:rPr>
            </w:pPr>
            <w:r w:rsidRPr="00583140">
              <w:rPr>
                <w:sz w:val="16"/>
                <w:szCs w:val="16"/>
              </w:rPr>
              <w:t>ZOTERO &amp; EXCEL &amp; NVIVO 12 PRO</w:t>
            </w:r>
          </w:p>
        </w:tc>
      </w:tr>
    </w:tbl>
    <w:p w:rsidR="00583140" w:rsidRPr="00583140" w:rsidRDefault="00583140" w:rsidP="00583140">
      <w:pPr>
        <w:jc w:val="center"/>
        <w:rPr>
          <w:rFonts w:ascii="Calibri" w:eastAsia="SimSun" w:hAnsi="Calibri"/>
          <w:lang w:val="en-US"/>
        </w:rPr>
      </w:pPr>
      <w:r w:rsidRPr="00583140">
        <w:rPr>
          <w:i/>
          <w:iCs/>
          <w:lang w:val="en-US"/>
        </w:rPr>
        <w:t>Source:</w:t>
      </w:r>
      <w:r w:rsidRPr="00583140">
        <w:rPr>
          <w:lang w:val="en-US"/>
        </w:rPr>
        <w:t xml:space="preserve"> By authors</w:t>
      </w:r>
    </w:p>
    <w:p w:rsidR="00583140" w:rsidRDefault="00583140" w:rsidP="00583140">
      <w:pPr>
        <w:rPr>
          <w:bdr w:val="none" w:sz="0" w:space="0" w:color="auto" w:frame="1"/>
          <w:lang w:val="en-US" w:eastAsia="es-MX"/>
        </w:rPr>
      </w:pPr>
      <w:r>
        <w:rPr>
          <w:bdr w:val="none" w:sz="0" w:space="0" w:color="auto" w:frame="1"/>
          <w:lang w:val="en-US" w:eastAsia="es-MX"/>
        </w:rPr>
        <w:t xml:space="preserve">The 20 articles were published between 2018 and 2024. Figure 2 illustrates the progression of articles over time. Since 2020, an increase in articles has been observed within the academic community. this can be illustrated by the </w:t>
      </w:r>
      <w:proofErr w:type="spellStart"/>
      <w:r>
        <w:rPr>
          <w:bdr w:val="none" w:sz="0" w:space="0" w:color="auto" w:frame="1"/>
          <w:lang w:val="en-US" w:eastAsia="es-MX"/>
        </w:rPr>
        <w:t>C</w:t>
      </w:r>
      <w:r>
        <w:rPr>
          <w:bdr w:val="none" w:sz="0" w:space="0" w:color="auto" w:frame="1"/>
          <w:lang w:val="en-US" w:eastAsia="es-MX"/>
        </w:rPr>
        <w:t>ovid</w:t>
      </w:r>
      <w:proofErr w:type="spellEnd"/>
      <w:r>
        <w:rPr>
          <w:bdr w:val="none" w:sz="0" w:space="0" w:color="auto" w:frame="1"/>
          <w:lang w:val="en-US" w:eastAsia="es-MX"/>
        </w:rPr>
        <w:t xml:space="preserve"> 19 pandemic </w:t>
      </w:r>
      <w:r>
        <w:rPr>
          <w:bdr w:val="none" w:sz="0" w:space="0" w:color="auto" w:frame="1"/>
          <w:lang w:val="en-US" w:eastAsia="es-MX"/>
        </w:rPr>
        <w:fldChar w:fldCharType="begin"/>
      </w:r>
      <w:r>
        <w:rPr>
          <w:bdr w:val="none" w:sz="0" w:space="0" w:color="auto" w:frame="1"/>
          <w:lang w:val="en-US" w:eastAsia="es-MX"/>
        </w:rPr>
        <w:instrText xml:space="preserve"> ADDIN ZOTERO_ITEM CSL_CITATION {"citationID":"or7L5AYZ","properties":{"formattedCitation":"(Ribeiro-Silva et al., 2022)","plainCitation":"(Ribeiro-Silva et al., 2022)","noteIndex":0},"citationItems":[{"id":2796,"uris":["http://zotero.org/users/9400437/items/M2D4Q5L7"],"itemData":{"id":2796,"type":"article-journal","archive":"Scopus","container-title":"Frontiers in Psychology","DOI":"10.3389/fpsyg.2022.844236","title":"Trends of Active Learning in Higher Education and Students’ Well-Being: A Literature Review","URL":"https://www.scopus.com/inward/record.uri?eid=2-s2.0-85129481271&amp;doi=10.3389%2ffpsyg.2022.844236&amp;partnerID=40&amp;md5=f90e49c055da35f4d1c3bee9218f50b4","volume":"13","author":[{"family":"Ribeiro-Silva","given":"E."},{"family":"Amorim","given":"C."},{"family":"Aparicio-Herguedas","given":"J.L."},{"family":"Batista","given":"P."}],"issued":{"date-parts":[["2022"]]}}}],"schema":"https://github.com/citation-style-language/schema/raw/master/csl-citation.json"} </w:instrText>
      </w:r>
      <w:r>
        <w:rPr>
          <w:bdr w:val="none" w:sz="0" w:space="0" w:color="auto" w:frame="1"/>
          <w:lang w:val="en-US" w:eastAsia="es-MX"/>
        </w:rPr>
        <w:fldChar w:fldCharType="separate"/>
      </w:r>
      <w:r w:rsidRPr="00583140">
        <w:rPr>
          <w:rFonts w:cs="Calibri"/>
          <w:lang w:val="en-US"/>
        </w:rPr>
        <w:t>(Ribeiro-Silva et al., 2022)</w:t>
      </w:r>
      <w:r>
        <w:rPr>
          <w:bdr w:val="none" w:sz="0" w:space="0" w:color="auto" w:frame="1"/>
          <w:lang w:val="en-US" w:eastAsia="es-MX"/>
        </w:rPr>
        <w:fldChar w:fldCharType="end"/>
      </w:r>
      <w:r>
        <w:rPr>
          <w:bdr w:val="none" w:sz="0" w:space="0" w:color="auto" w:frame="1"/>
          <w:lang w:val="en-US" w:eastAsia="es-MX"/>
        </w:rPr>
        <w:t>.Over the last three years, a significant increase has been observed.</w:t>
      </w:r>
    </w:p>
    <w:p w:rsidR="00583140" w:rsidRDefault="00583140" w:rsidP="00583140">
      <w:pPr>
        <w:rPr>
          <w:lang w:val="hr-HR"/>
        </w:rPr>
      </w:pPr>
    </w:p>
    <w:p w:rsidR="00583140" w:rsidRDefault="00583140" w:rsidP="00583140">
      <w:pPr>
        <w:tabs>
          <w:tab w:val="left" w:pos="1740"/>
        </w:tabs>
        <w:spacing w:after="0" w:line="240" w:lineRule="auto"/>
        <w:ind w:firstLine="567"/>
        <w:jc w:val="center"/>
        <w:rPr>
          <w:rFonts w:asciiTheme="minorHAnsi" w:eastAsia="Georgia" w:hAnsiTheme="minorHAnsi" w:cstheme="minorHAnsi"/>
          <w:color w:val="000000"/>
          <w:sz w:val="20"/>
          <w:szCs w:val="20"/>
          <w:bdr w:val="none" w:sz="0" w:space="0" w:color="auto" w:frame="1"/>
          <w:lang w:val="en-US" w:eastAsia="es-MX"/>
        </w:rPr>
      </w:pPr>
      <w:r>
        <w:rPr>
          <w:noProof/>
          <w:sz w:val="18"/>
          <w:szCs w:val="18"/>
        </w:rPr>
        <w:drawing>
          <wp:inline distT="0" distB="0" distL="0" distR="0">
            <wp:extent cx="4597400" cy="1981200"/>
            <wp:effectExtent l="0" t="0" r="12700" b="0"/>
            <wp:docPr id="18" name="Graphique 18">
              <a:extLst xmlns:a="http://schemas.openxmlformats.org/drawingml/2006/main">
                <a:ext uri="{FF2B5EF4-FFF2-40B4-BE49-F238E27FC236}">
                  <a16:creationId xmlns:a16="http://schemas.microsoft.com/office/drawing/2014/main" id="{96561D51-44B3-43AC-BDF7-7A9959CD99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83140" w:rsidRPr="00583140" w:rsidRDefault="00583140" w:rsidP="00583140">
      <w:pPr>
        <w:jc w:val="center"/>
        <w:rPr>
          <w:bdr w:val="none" w:sz="0" w:space="0" w:color="auto" w:frame="1"/>
          <w:lang w:val="hr-HR" w:eastAsia="es-MX"/>
        </w:rPr>
      </w:pPr>
      <w:r w:rsidRPr="00583140">
        <w:rPr>
          <w:b/>
          <w:bdr w:val="none" w:sz="0" w:space="0" w:color="auto" w:frame="1"/>
          <w:lang w:val="hr-HR" w:eastAsia="es-MX"/>
        </w:rPr>
        <w:t>Figure 2</w:t>
      </w:r>
      <w:r w:rsidRPr="00583140">
        <w:rPr>
          <w:bdr w:val="none" w:sz="0" w:space="0" w:color="auto" w:frame="1"/>
          <w:lang w:val="hr-HR" w:eastAsia="es-MX"/>
        </w:rPr>
        <w:t xml:space="preserve"> progression of article by years</w:t>
      </w:r>
    </w:p>
    <w:p w:rsidR="00583140" w:rsidRDefault="00583140" w:rsidP="00583140">
      <w:pPr>
        <w:jc w:val="center"/>
        <w:rPr>
          <w:lang w:val="en-US"/>
        </w:rPr>
      </w:pPr>
      <w:r w:rsidRPr="00583140">
        <w:rPr>
          <w:i/>
          <w:iCs/>
          <w:lang w:val="en-US"/>
        </w:rPr>
        <w:t>Source:</w:t>
      </w:r>
      <w:r w:rsidRPr="00583140">
        <w:rPr>
          <w:lang w:val="en-US"/>
        </w:rPr>
        <w:t xml:space="preserve"> Scopus Databases</w:t>
      </w:r>
      <w:r>
        <w:rPr>
          <w:lang w:val="en-US"/>
        </w:rPr>
        <w:t>.</w:t>
      </w:r>
    </w:p>
    <w:p w:rsidR="00583140" w:rsidRPr="00583140" w:rsidRDefault="00583140" w:rsidP="00583140">
      <w:pPr>
        <w:rPr>
          <w:lang w:val="en-US"/>
        </w:rPr>
      </w:pPr>
      <w:r>
        <w:rPr>
          <w:lang w:val="en-US"/>
        </w:rPr>
        <w:t>3</w:t>
      </w:r>
      <w:r>
        <w:rPr>
          <w:lang w:val="en-US"/>
        </w:rPr>
        <w:t>. Analysis</w:t>
      </w:r>
    </w:p>
    <w:p w:rsidR="00583140" w:rsidRDefault="00583140" w:rsidP="00583140">
      <w:pPr>
        <w:rPr>
          <w:rFonts w:ascii="Calibri" w:hAnsi="Calibri" w:cs="Times New Roman"/>
          <w:bdr w:val="none" w:sz="0" w:space="0" w:color="auto" w:frame="1"/>
          <w:lang w:val="en-US" w:eastAsia="es-MX"/>
        </w:rPr>
      </w:pPr>
      <w:r>
        <w:rPr>
          <w:rFonts w:eastAsia="Georgia"/>
          <w:color w:val="000000"/>
          <w:bdr w:val="none" w:sz="0" w:space="0" w:color="auto" w:frame="1"/>
          <w:lang w:val="en-US" w:eastAsia="es-MX"/>
        </w:rPr>
        <w:t>In</w:t>
      </w:r>
      <w:r>
        <w:rPr>
          <w:bdr w:val="none" w:sz="0" w:space="0" w:color="auto" w:frame="1"/>
          <w:lang w:val="hr-HR" w:eastAsia="es-MX"/>
        </w:rPr>
        <w:t xml:space="preserve"> this analysis stage, the software NVivo 12 Pro was used to analyze all the selected references. As previously mentioned, our study focused on 20 references, which were exported from ZOTERO in RIS format and then imported into NVIVO. The objective of this step is to provide a visual presentation of the frequency of words. To present these results, the outputs from the NVivo software will be used.</w:t>
      </w:r>
    </w:p>
    <w:p w:rsidR="00583140" w:rsidRDefault="00583140" w:rsidP="00583140">
      <w:pPr>
        <w:rPr>
          <w:sz w:val="12"/>
          <w:szCs w:val="12"/>
          <w:bdr w:val="none" w:sz="0" w:space="0" w:color="auto" w:frame="1"/>
          <w:lang w:val="en-US" w:eastAsia="es-MX"/>
        </w:rPr>
      </w:pPr>
      <w:r>
        <w:rPr>
          <w:bdr w:val="none" w:sz="0" w:space="0" w:color="auto" w:frame="1"/>
          <w:lang w:val="hr-HR" w:eastAsia="es-MX"/>
        </w:rPr>
        <w:t xml:space="preserve">3.1. </w:t>
      </w:r>
      <w:r>
        <w:rPr>
          <w:bdr w:val="none" w:sz="0" w:space="0" w:color="auto" w:frame="1"/>
          <w:lang w:val="hr-HR" w:eastAsia="es-MX"/>
        </w:rPr>
        <w:t xml:space="preserve">Word frequency char </w:t>
      </w:r>
    </w:p>
    <w:p w:rsidR="00583140" w:rsidRDefault="00583140" w:rsidP="00583140">
      <w:pPr>
        <w:rPr>
          <w:bdr w:val="none" w:sz="0" w:space="0" w:color="auto" w:frame="1"/>
          <w:lang w:val="en-US" w:eastAsia="es-MX"/>
        </w:rPr>
      </w:pPr>
      <w:r>
        <w:rPr>
          <w:bdr w:val="none" w:sz="0" w:space="0" w:color="auto" w:frame="1"/>
          <w:lang w:val="en-US" w:eastAsia="es-MX"/>
        </w:rPr>
        <w:t>Table 2, created after the analysis, allows the observation of word repetition frequencies. These frequencies are used to verify the quality of the selected references. Consequently, it can be deduced that most of the words with the highest number correspond to the keywords of our study.</w:t>
      </w:r>
    </w:p>
    <w:p w:rsidR="00583140" w:rsidRPr="00583140" w:rsidRDefault="00583140" w:rsidP="00583140">
      <w:pPr>
        <w:jc w:val="center"/>
        <w:rPr>
          <w:bdr w:val="none" w:sz="0" w:space="0" w:color="auto" w:frame="1"/>
          <w:lang w:val="hr-HR" w:eastAsia="es-MX"/>
        </w:rPr>
      </w:pPr>
      <w:r w:rsidRPr="00583140">
        <w:rPr>
          <w:b/>
          <w:bdr w:val="none" w:sz="0" w:space="0" w:color="auto" w:frame="1"/>
          <w:lang w:val="hr-HR" w:eastAsia="es-MX"/>
        </w:rPr>
        <w:t>Table 2</w:t>
      </w:r>
      <w:r w:rsidRPr="00583140">
        <w:rPr>
          <w:bdr w:val="none" w:sz="0" w:space="0" w:color="auto" w:frame="1"/>
          <w:lang w:val="hr-HR" w:eastAsia="es-MX"/>
        </w:rPr>
        <w:t xml:space="preserve"> word repetition frequency</w:t>
      </w:r>
    </w:p>
    <w:tbl>
      <w:tblPr>
        <w:tblStyle w:val="Tabelacomgrade4"/>
        <w:tblW w:w="6525" w:type="dxa"/>
        <w:jc w:val="center"/>
        <w:tblInd w:w="0" w:type="dxa"/>
        <w:tblBorders>
          <w:top w:val="single" w:sz="4" w:space="0" w:color="000000"/>
          <w:left w:val="none" w:sz="0" w:space="0" w:color="auto"/>
          <w:bottom w:val="single" w:sz="4" w:space="0" w:color="000000"/>
          <w:right w:val="none" w:sz="0" w:space="0" w:color="auto"/>
          <w:insideH w:val="none" w:sz="0" w:space="0" w:color="auto"/>
          <w:insideV w:val="none" w:sz="0" w:space="0" w:color="auto"/>
        </w:tblBorders>
        <w:tblLayout w:type="fixed"/>
        <w:tblLook w:val="04A0" w:firstRow="1" w:lastRow="0" w:firstColumn="1" w:lastColumn="0" w:noHBand="0" w:noVBand="1"/>
      </w:tblPr>
      <w:tblGrid>
        <w:gridCol w:w="1277"/>
        <w:gridCol w:w="1560"/>
        <w:gridCol w:w="1419"/>
        <w:gridCol w:w="2269"/>
      </w:tblGrid>
      <w:tr w:rsidR="00583140" w:rsidTr="00583140">
        <w:trPr>
          <w:trHeight w:val="257"/>
          <w:jc w:val="center"/>
        </w:trPr>
        <w:tc>
          <w:tcPr>
            <w:tcW w:w="1276" w:type="dxa"/>
            <w:tcBorders>
              <w:top w:val="single" w:sz="4" w:space="0" w:color="000000"/>
              <w:left w:val="nil"/>
              <w:bottom w:val="single" w:sz="4" w:space="0" w:color="auto"/>
              <w:right w:val="nil"/>
            </w:tcBorders>
            <w:hideMark/>
          </w:tcPr>
          <w:p w:rsidR="00583140" w:rsidRDefault="00583140">
            <w:pPr>
              <w:ind w:left="161" w:firstLine="29"/>
              <w:rPr>
                <w:rFonts w:ascii="Calibri" w:eastAsia="Times New Roman" w:hAnsi="Calibri" w:cstheme="minorHAnsi"/>
                <w:b/>
                <w:bCs/>
                <w:sz w:val="16"/>
                <w:szCs w:val="16"/>
                <w:lang w:eastAsia="pt-BR"/>
              </w:rPr>
            </w:pPr>
            <w:r>
              <w:rPr>
                <w:sz w:val="16"/>
                <w:szCs w:val="16"/>
              </w:rPr>
              <w:t>Word</w:t>
            </w:r>
          </w:p>
        </w:tc>
        <w:tc>
          <w:tcPr>
            <w:tcW w:w="1559" w:type="dxa"/>
            <w:tcBorders>
              <w:top w:val="single" w:sz="4" w:space="0" w:color="000000"/>
              <w:left w:val="nil"/>
              <w:bottom w:val="single" w:sz="4" w:space="0" w:color="auto"/>
              <w:right w:val="nil"/>
            </w:tcBorders>
            <w:hideMark/>
          </w:tcPr>
          <w:p w:rsidR="00583140" w:rsidRDefault="00583140">
            <w:pPr>
              <w:ind w:firstLine="29"/>
              <w:jc w:val="center"/>
              <w:rPr>
                <w:rFonts w:eastAsia="Times New Roman" w:cstheme="minorHAnsi"/>
                <w:b/>
                <w:bCs/>
                <w:sz w:val="16"/>
                <w:szCs w:val="16"/>
                <w:lang w:eastAsia="pt-BR"/>
              </w:rPr>
            </w:pPr>
            <w:r>
              <w:rPr>
                <w:sz w:val="16"/>
                <w:szCs w:val="16"/>
              </w:rPr>
              <w:t>Length</w:t>
            </w:r>
          </w:p>
        </w:tc>
        <w:tc>
          <w:tcPr>
            <w:tcW w:w="1418" w:type="dxa"/>
            <w:tcBorders>
              <w:top w:val="single" w:sz="4" w:space="0" w:color="000000"/>
              <w:left w:val="nil"/>
              <w:bottom w:val="single" w:sz="4" w:space="0" w:color="auto"/>
              <w:right w:val="nil"/>
            </w:tcBorders>
            <w:hideMark/>
          </w:tcPr>
          <w:p w:rsidR="00583140" w:rsidRDefault="00583140">
            <w:pPr>
              <w:jc w:val="center"/>
              <w:rPr>
                <w:rFonts w:eastAsia="Times New Roman" w:cstheme="minorHAnsi"/>
                <w:b/>
                <w:bCs/>
                <w:sz w:val="16"/>
                <w:szCs w:val="16"/>
                <w:lang w:eastAsia="pt-BR"/>
              </w:rPr>
            </w:pPr>
            <w:r>
              <w:rPr>
                <w:sz w:val="16"/>
                <w:szCs w:val="16"/>
              </w:rPr>
              <w:t>Number</w:t>
            </w:r>
          </w:p>
        </w:tc>
        <w:tc>
          <w:tcPr>
            <w:tcW w:w="2268" w:type="dxa"/>
            <w:tcBorders>
              <w:top w:val="single" w:sz="4" w:space="0" w:color="000000"/>
              <w:left w:val="nil"/>
              <w:bottom w:val="single" w:sz="4" w:space="0" w:color="auto"/>
              <w:right w:val="nil"/>
            </w:tcBorders>
            <w:hideMark/>
          </w:tcPr>
          <w:p w:rsidR="00583140" w:rsidRDefault="00583140">
            <w:pPr>
              <w:jc w:val="center"/>
              <w:rPr>
                <w:rFonts w:eastAsia="Times New Roman" w:cstheme="minorHAnsi"/>
                <w:b/>
                <w:bCs/>
                <w:i/>
                <w:iCs/>
                <w:sz w:val="16"/>
                <w:szCs w:val="16"/>
                <w:lang w:eastAsia="pt-BR"/>
              </w:rPr>
            </w:pPr>
            <w:r>
              <w:rPr>
                <w:sz w:val="16"/>
                <w:szCs w:val="16"/>
              </w:rPr>
              <w:t>Percentage weighted (%)</w:t>
            </w:r>
          </w:p>
        </w:tc>
      </w:tr>
      <w:tr w:rsidR="00583140" w:rsidTr="00583140">
        <w:trPr>
          <w:trHeight w:val="133"/>
          <w:jc w:val="center"/>
        </w:trPr>
        <w:tc>
          <w:tcPr>
            <w:tcW w:w="1276" w:type="dxa"/>
            <w:tcBorders>
              <w:top w:val="single" w:sz="4" w:space="0" w:color="auto"/>
              <w:left w:val="nil"/>
              <w:bottom w:val="nil"/>
              <w:right w:val="nil"/>
            </w:tcBorders>
            <w:hideMark/>
          </w:tcPr>
          <w:p w:rsidR="00583140" w:rsidRDefault="00583140">
            <w:pPr>
              <w:ind w:left="161" w:firstLine="29"/>
              <w:rPr>
                <w:rFonts w:eastAsia="Times New Roman" w:cstheme="minorHAnsi"/>
                <w:sz w:val="16"/>
                <w:szCs w:val="16"/>
                <w:lang w:eastAsia="pt-BR"/>
              </w:rPr>
            </w:pPr>
            <w:r>
              <w:rPr>
                <w:sz w:val="16"/>
                <w:szCs w:val="16"/>
              </w:rPr>
              <w:t>Digital</w:t>
            </w:r>
          </w:p>
        </w:tc>
        <w:tc>
          <w:tcPr>
            <w:tcW w:w="1559" w:type="dxa"/>
            <w:tcBorders>
              <w:top w:val="single" w:sz="4" w:space="0" w:color="auto"/>
              <w:left w:val="nil"/>
              <w:bottom w:val="nil"/>
              <w:right w:val="nil"/>
            </w:tcBorders>
            <w:hideMark/>
          </w:tcPr>
          <w:p w:rsidR="00583140" w:rsidRDefault="00583140">
            <w:pPr>
              <w:ind w:firstLine="29"/>
              <w:jc w:val="center"/>
              <w:rPr>
                <w:rFonts w:eastAsia="Times New Roman" w:cstheme="minorHAnsi"/>
                <w:sz w:val="16"/>
                <w:szCs w:val="16"/>
                <w:lang w:eastAsia="pt-BR"/>
              </w:rPr>
            </w:pPr>
            <w:r>
              <w:rPr>
                <w:sz w:val="16"/>
                <w:szCs w:val="16"/>
              </w:rPr>
              <w:t>7</w:t>
            </w:r>
          </w:p>
        </w:tc>
        <w:tc>
          <w:tcPr>
            <w:tcW w:w="1418" w:type="dxa"/>
            <w:tcBorders>
              <w:top w:val="single" w:sz="4" w:space="0" w:color="auto"/>
              <w:left w:val="nil"/>
              <w:bottom w:val="nil"/>
              <w:right w:val="nil"/>
            </w:tcBorders>
            <w:hideMark/>
          </w:tcPr>
          <w:p w:rsidR="00583140" w:rsidRDefault="00583140">
            <w:pPr>
              <w:jc w:val="center"/>
              <w:rPr>
                <w:rFonts w:eastAsia="Times New Roman" w:cstheme="minorHAnsi"/>
                <w:sz w:val="16"/>
                <w:szCs w:val="16"/>
                <w:lang w:eastAsia="pt-BR"/>
              </w:rPr>
            </w:pPr>
            <w:r>
              <w:rPr>
                <w:sz w:val="16"/>
                <w:szCs w:val="16"/>
              </w:rPr>
              <w:t>28</w:t>
            </w:r>
          </w:p>
        </w:tc>
        <w:tc>
          <w:tcPr>
            <w:tcW w:w="2268" w:type="dxa"/>
            <w:tcBorders>
              <w:top w:val="single" w:sz="4" w:space="0" w:color="auto"/>
              <w:left w:val="nil"/>
              <w:bottom w:val="nil"/>
              <w:right w:val="nil"/>
            </w:tcBorders>
            <w:hideMark/>
          </w:tcPr>
          <w:p w:rsidR="00583140" w:rsidRDefault="00583140">
            <w:pPr>
              <w:jc w:val="center"/>
              <w:rPr>
                <w:rFonts w:eastAsia="Times New Roman" w:cstheme="minorHAnsi"/>
                <w:sz w:val="16"/>
                <w:szCs w:val="16"/>
                <w:lang w:eastAsia="pt-BR"/>
              </w:rPr>
            </w:pPr>
            <w:r>
              <w:rPr>
                <w:sz w:val="16"/>
                <w:szCs w:val="16"/>
              </w:rPr>
              <w:t>2,36</w:t>
            </w:r>
          </w:p>
        </w:tc>
      </w:tr>
      <w:tr w:rsidR="00583140" w:rsidTr="00583140">
        <w:trPr>
          <w:trHeight w:val="276"/>
          <w:jc w:val="center"/>
        </w:trPr>
        <w:tc>
          <w:tcPr>
            <w:tcW w:w="1276" w:type="dxa"/>
            <w:tcBorders>
              <w:top w:val="nil"/>
              <w:left w:val="nil"/>
              <w:bottom w:val="nil"/>
              <w:right w:val="nil"/>
            </w:tcBorders>
            <w:hideMark/>
          </w:tcPr>
          <w:p w:rsidR="00583140" w:rsidRDefault="00583140">
            <w:pPr>
              <w:ind w:left="161" w:firstLine="29"/>
              <w:rPr>
                <w:rFonts w:eastAsia="Times New Roman" w:cstheme="minorHAnsi"/>
                <w:sz w:val="16"/>
                <w:szCs w:val="16"/>
                <w:lang w:eastAsia="pt-BR"/>
              </w:rPr>
            </w:pPr>
            <w:r>
              <w:rPr>
                <w:sz w:val="16"/>
                <w:szCs w:val="16"/>
              </w:rPr>
              <w:t>Education</w:t>
            </w:r>
          </w:p>
        </w:tc>
        <w:tc>
          <w:tcPr>
            <w:tcW w:w="1559" w:type="dxa"/>
            <w:tcBorders>
              <w:top w:val="nil"/>
              <w:left w:val="nil"/>
              <w:bottom w:val="nil"/>
              <w:right w:val="nil"/>
            </w:tcBorders>
            <w:hideMark/>
          </w:tcPr>
          <w:p w:rsidR="00583140" w:rsidRDefault="00583140">
            <w:pPr>
              <w:ind w:firstLine="29"/>
              <w:jc w:val="center"/>
              <w:rPr>
                <w:rFonts w:eastAsia="Times New Roman" w:cstheme="minorHAnsi"/>
                <w:sz w:val="16"/>
                <w:szCs w:val="16"/>
                <w:lang w:eastAsia="pt-BR"/>
              </w:rPr>
            </w:pPr>
            <w:r>
              <w:rPr>
                <w:sz w:val="16"/>
                <w:szCs w:val="16"/>
              </w:rPr>
              <w:t>9</w:t>
            </w:r>
          </w:p>
        </w:tc>
        <w:tc>
          <w:tcPr>
            <w:tcW w:w="1418" w:type="dxa"/>
            <w:tcBorders>
              <w:top w:val="nil"/>
              <w:left w:val="nil"/>
              <w:bottom w:val="nil"/>
              <w:right w:val="nil"/>
            </w:tcBorders>
            <w:hideMark/>
          </w:tcPr>
          <w:p w:rsidR="00583140" w:rsidRDefault="00583140">
            <w:pPr>
              <w:jc w:val="center"/>
              <w:rPr>
                <w:rFonts w:eastAsia="Times New Roman" w:cstheme="minorHAnsi"/>
                <w:sz w:val="16"/>
                <w:szCs w:val="16"/>
                <w:lang w:eastAsia="pt-BR"/>
              </w:rPr>
            </w:pPr>
            <w:r>
              <w:rPr>
                <w:sz w:val="16"/>
                <w:szCs w:val="16"/>
              </w:rPr>
              <w:t>21</w:t>
            </w:r>
          </w:p>
        </w:tc>
        <w:tc>
          <w:tcPr>
            <w:tcW w:w="2268" w:type="dxa"/>
            <w:tcBorders>
              <w:top w:val="nil"/>
              <w:left w:val="nil"/>
              <w:bottom w:val="nil"/>
              <w:right w:val="nil"/>
            </w:tcBorders>
            <w:hideMark/>
          </w:tcPr>
          <w:p w:rsidR="00583140" w:rsidRDefault="00583140">
            <w:pPr>
              <w:jc w:val="center"/>
              <w:rPr>
                <w:rFonts w:eastAsia="Times New Roman" w:cstheme="minorHAnsi"/>
                <w:sz w:val="16"/>
                <w:szCs w:val="16"/>
                <w:lang w:eastAsia="pt-BR"/>
              </w:rPr>
            </w:pPr>
            <w:r>
              <w:rPr>
                <w:sz w:val="16"/>
                <w:szCs w:val="16"/>
              </w:rPr>
              <w:t>1,77</w:t>
            </w:r>
          </w:p>
        </w:tc>
      </w:tr>
      <w:tr w:rsidR="00583140" w:rsidTr="00583140">
        <w:trPr>
          <w:trHeight w:val="276"/>
          <w:jc w:val="center"/>
        </w:trPr>
        <w:tc>
          <w:tcPr>
            <w:tcW w:w="1276" w:type="dxa"/>
            <w:tcBorders>
              <w:top w:val="nil"/>
              <w:left w:val="nil"/>
              <w:bottom w:val="nil"/>
              <w:right w:val="nil"/>
            </w:tcBorders>
            <w:hideMark/>
          </w:tcPr>
          <w:p w:rsidR="00583140" w:rsidRDefault="00583140">
            <w:pPr>
              <w:ind w:left="161" w:firstLine="29"/>
              <w:rPr>
                <w:rFonts w:eastAsia="Times New Roman" w:cstheme="minorHAnsi"/>
                <w:sz w:val="16"/>
                <w:szCs w:val="16"/>
                <w:lang w:eastAsia="pt-BR"/>
              </w:rPr>
            </w:pPr>
            <w:r>
              <w:rPr>
                <w:sz w:val="16"/>
                <w:szCs w:val="16"/>
              </w:rPr>
              <w:t>Technology</w:t>
            </w:r>
          </w:p>
        </w:tc>
        <w:tc>
          <w:tcPr>
            <w:tcW w:w="1559" w:type="dxa"/>
            <w:tcBorders>
              <w:top w:val="nil"/>
              <w:left w:val="nil"/>
              <w:bottom w:val="nil"/>
              <w:right w:val="nil"/>
            </w:tcBorders>
            <w:hideMark/>
          </w:tcPr>
          <w:p w:rsidR="00583140" w:rsidRDefault="00583140">
            <w:pPr>
              <w:ind w:firstLine="29"/>
              <w:jc w:val="center"/>
              <w:rPr>
                <w:rFonts w:eastAsia="Times New Roman" w:cstheme="minorHAnsi"/>
                <w:sz w:val="16"/>
                <w:szCs w:val="16"/>
                <w:lang w:eastAsia="pt-BR"/>
              </w:rPr>
            </w:pPr>
            <w:r>
              <w:rPr>
                <w:sz w:val="16"/>
                <w:szCs w:val="16"/>
              </w:rPr>
              <w:t>10</w:t>
            </w:r>
          </w:p>
        </w:tc>
        <w:tc>
          <w:tcPr>
            <w:tcW w:w="1418" w:type="dxa"/>
            <w:tcBorders>
              <w:top w:val="nil"/>
              <w:left w:val="nil"/>
              <w:bottom w:val="nil"/>
              <w:right w:val="nil"/>
            </w:tcBorders>
            <w:hideMark/>
          </w:tcPr>
          <w:p w:rsidR="00583140" w:rsidRDefault="00583140">
            <w:pPr>
              <w:jc w:val="center"/>
              <w:rPr>
                <w:rFonts w:eastAsia="Times New Roman" w:cstheme="minorHAnsi"/>
                <w:sz w:val="16"/>
                <w:szCs w:val="16"/>
                <w:lang w:eastAsia="pt-BR"/>
              </w:rPr>
            </w:pPr>
            <w:r>
              <w:rPr>
                <w:sz w:val="16"/>
                <w:szCs w:val="16"/>
              </w:rPr>
              <w:t>17</w:t>
            </w:r>
          </w:p>
        </w:tc>
        <w:tc>
          <w:tcPr>
            <w:tcW w:w="2268" w:type="dxa"/>
            <w:tcBorders>
              <w:top w:val="nil"/>
              <w:left w:val="nil"/>
              <w:bottom w:val="nil"/>
              <w:right w:val="nil"/>
            </w:tcBorders>
            <w:hideMark/>
          </w:tcPr>
          <w:p w:rsidR="00583140" w:rsidRDefault="00583140">
            <w:pPr>
              <w:jc w:val="center"/>
              <w:rPr>
                <w:rFonts w:eastAsia="Times New Roman" w:cstheme="minorHAnsi"/>
                <w:sz w:val="16"/>
                <w:szCs w:val="16"/>
                <w:lang w:eastAsia="pt-BR"/>
              </w:rPr>
            </w:pPr>
            <w:r>
              <w:rPr>
                <w:sz w:val="16"/>
                <w:szCs w:val="16"/>
              </w:rPr>
              <w:t>1,43</w:t>
            </w:r>
          </w:p>
        </w:tc>
      </w:tr>
      <w:tr w:rsidR="00583140" w:rsidTr="00583140">
        <w:trPr>
          <w:trHeight w:val="276"/>
          <w:jc w:val="center"/>
        </w:trPr>
        <w:tc>
          <w:tcPr>
            <w:tcW w:w="1276" w:type="dxa"/>
            <w:tcBorders>
              <w:top w:val="nil"/>
              <w:left w:val="nil"/>
              <w:bottom w:val="nil"/>
              <w:right w:val="nil"/>
            </w:tcBorders>
            <w:hideMark/>
          </w:tcPr>
          <w:p w:rsidR="00583140" w:rsidRDefault="00583140">
            <w:pPr>
              <w:ind w:left="161" w:firstLine="29"/>
              <w:rPr>
                <w:rFonts w:eastAsia="Times New Roman" w:cstheme="minorHAnsi"/>
                <w:sz w:val="16"/>
                <w:szCs w:val="16"/>
                <w:lang w:eastAsia="pt-BR"/>
              </w:rPr>
            </w:pPr>
            <w:r>
              <w:rPr>
                <w:sz w:val="16"/>
                <w:szCs w:val="16"/>
              </w:rPr>
              <w:t>Learning</w:t>
            </w:r>
          </w:p>
        </w:tc>
        <w:tc>
          <w:tcPr>
            <w:tcW w:w="1559" w:type="dxa"/>
            <w:tcBorders>
              <w:top w:val="nil"/>
              <w:left w:val="nil"/>
              <w:bottom w:val="nil"/>
              <w:right w:val="nil"/>
            </w:tcBorders>
            <w:hideMark/>
          </w:tcPr>
          <w:p w:rsidR="00583140" w:rsidRDefault="00583140">
            <w:pPr>
              <w:ind w:firstLine="29"/>
              <w:jc w:val="center"/>
              <w:rPr>
                <w:rFonts w:eastAsia="Times New Roman" w:cstheme="minorHAnsi"/>
                <w:sz w:val="16"/>
                <w:szCs w:val="16"/>
                <w:lang w:eastAsia="pt-BR"/>
              </w:rPr>
            </w:pPr>
            <w:r>
              <w:rPr>
                <w:sz w:val="16"/>
                <w:szCs w:val="16"/>
              </w:rPr>
              <w:t>8</w:t>
            </w:r>
          </w:p>
        </w:tc>
        <w:tc>
          <w:tcPr>
            <w:tcW w:w="1418" w:type="dxa"/>
            <w:tcBorders>
              <w:top w:val="nil"/>
              <w:left w:val="nil"/>
              <w:bottom w:val="nil"/>
              <w:right w:val="nil"/>
            </w:tcBorders>
            <w:hideMark/>
          </w:tcPr>
          <w:p w:rsidR="00583140" w:rsidRDefault="00583140">
            <w:pPr>
              <w:jc w:val="center"/>
              <w:rPr>
                <w:rFonts w:eastAsia="Times New Roman" w:cstheme="minorHAnsi"/>
                <w:sz w:val="16"/>
                <w:szCs w:val="16"/>
                <w:lang w:eastAsia="pt-BR"/>
              </w:rPr>
            </w:pPr>
            <w:r>
              <w:rPr>
                <w:sz w:val="16"/>
                <w:szCs w:val="16"/>
              </w:rPr>
              <w:t>16</w:t>
            </w:r>
          </w:p>
        </w:tc>
        <w:tc>
          <w:tcPr>
            <w:tcW w:w="2268" w:type="dxa"/>
            <w:tcBorders>
              <w:top w:val="nil"/>
              <w:left w:val="nil"/>
              <w:bottom w:val="nil"/>
              <w:right w:val="nil"/>
            </w:tcBorders>
            <w:hideMark/>
          </w:tcPr>
          <w:p w:rsidR="00583140" w:rsidRDefault="00583140">
            <w:pPr>
              <w:jc w:val="center"/>
              <w:rPr>
                <w:rFonts w:eastAsia="Times New Roman" w:cstheme="minorHAnsi"/>
                <w:sz w:val="16"/>
                <w:szCs w:val="16"/>
                <w:lang w:eastAsia="pt-BR"/>
              </w:rPr>
            </w:pPr>
            <w:r>
              <w:rPr>
                <w:sz w:val="16"/>
                <w:szCs w:val="16"/>
              </w:rPr>
              <w:t>1,35</w:t>
            </w:r>
          </w:p>
        </w:tc>
      </w:tr>
      <w:tr w:rsidR="00583140" w:rsidTr="00583140">
        <w:trPr>
          <w:trHeight w:val="271"/>
          <w:jc w:val="center"/>
        </w:trPr>
        <w:tc>
          <w:tcPr>
            <w:tcW w:w="1276" w:type="dxa"/>
            <w:tcBorders>
              <w:top w:val="nil"/>
              <w:left w:val="nil"/>
              <w:bottom w:val="nil"/>
              <w:right w:val="nil"/>
            </w:tcBorders>
            <w:hideMark/>
          </w:tcPr>
          <w:p w:rsidR="00583140" w:rsidRDefault="00583140">
            <w:pPr>
              <w:ind w:left="161" w:firstLine="29"/>
              <w:rPr>
                <w:rFonts w:eastAsia="Times New Roman" w:cstheme="minorHAnsi"/>
                <w:sz w:val="16"/>
                <w:szCs w:val="16"/>
                <w:lang w:eastAsia="pt-BR"/>
              </w:rPr>
            </w:pPr>
            <w:r>
              <w:rPr>
                <w:sz w:val="16"/>
                <w:szCs w:val="16"/>
              </w:rPr>
              <w:t>Student's</w:t>
            </w:r>
          </w:p>
        </w:tc>
        <w:tc>
          <w:tcPr>
            <w:tcW w:w="1559" w:type="dxa"/>
            <w:tcBorders>
              <w:top w:val="nil"/>
              <w:left w:val="nil"/>
              <w:bottom w:val="nil"/>
              <w:right w:val="nil"/>
            </w:tcBorders>
            <w:hideMark/>
          </w:tcPr>
          <w:p w:rsidR="00583140" w:rsidRDefault="00583140">
            <w:pPr>
              <w:ind w:firstLine="29"/>
              <w:jc w:val="center"/>
              <w:rPr>
                <w:rFonts w:eastAsia="Times New Roman" w:cstheme="minorHAnsi"/>
                <w:sz w:val="16"/>
                <w:szCs w:val="16"/>
                <w:lang w:eastAsia="pt-BR"/>
              </w:rPr>
            </w:pPr>
            <w:r>
              <w:rPr>
                <w:sz w:val="16"/>
                <w:szCs w:val="16"/>
              </w:rPr>
              <w:t>8</w:t>
            </w:r>
          </w:p>
        </w:tc>
        <w:tc>
          <w:tcPr>
            <w:tcW w:w="1418" w:type="dxa"/>
            <w:tcBorders>
              <w:top w:val="nil"/>
              <w:left w:val="nil"/>
              <w:bottom w:val="nil"/>
              <w:right w:val="nil"/>
            </w:tcBorders>
            <w:hideMark/>
          </w:tcPr>
          <w:p w:rsidR="00583140" w:rsidRDefault="00583140">
            <w:pPr>
              <w:jc w:val="center"/>
              <w:rPr>
                <w:rFonts w:eastAsia="Times New Roman" w:cstheme="minorHAnsi"/>
                <w:sz w:val="16"/>
                <w:szCs w:val="16"/>
                <w:lang w:eastAsia="pt-BR"/>
              </w:rPr>
            </w:pPr>
            <w:r>
              <w:rPr>
                <w:sz w:val="16"/>
                <w:szCs w:val="16"/>
              </w:rPr>
              <w:t>15</w:t>
            </w:r>
          </w:p>
        </w:tc>
        <w:tc>
          <w:tcPr>
            <w:tcW w:w="2268" w:type="dxa"/>
            <w:tcBorders>
              <w:top w:val="nil"/>
              <w:left w:val="nil"/>
              <w:bottom w:val="nil"/>
              <w:right w:val="nil"/>
            </w:tcBorders>
            <w:hideMark/>
          </w:tcPr>
          <w:p w:rsidR="00583140" w:rsidRDefault="00583140">
            <w:pPr>
              <w:jc w:val="center"/>
              <w:rPr>
                <w:rFonts w:eastAsia="Times New Roman" w:cstheme="minorHAnsi"/>
                <w:sz w:val="16"/>
                <w:szCs w:val="16"/>
                <w:lang w:eastAsia="pt-BR"/>
              </w:rPr>
            </w:pPr>
            <w:r>
              <w:rPr>
                <w:sz w:val="16"/>
                <w:szCs w:val="16"/>
              </w:rPr>
              <w:t>1,26</w:t>
            </w:r>
          </w:p>
        </w:tc>
      </w:tr>
      <w:tr w:rsidR="00583140" w:rsidTr="00583140">
        <w:trPr>
          <w:trHeight w:val="276"/>
          <w:jc w:val="center"/>
        </w:trPr>
        <w:tc>
          <w:tcPr>
            <w:tcW w:w="1276" w:type="dxa"/>
            <w:tcBorders>
              <w:top w:val="nil"/>
              <w:left w:val="nil"/>
              <w:bottom w:val="single" w:sz="4" w:space="0" w:color="000000"/>
              <w:right w:val="nil"/>
            </w:tcBorders>
            <w:hideMark/>
          </w:tcPr>
          <w:p w:rsidR="00583140" w:rsidRDefault="00583140">
            <w:pPr>
              <w:ind w:left="161" w:firstLine="29"/>
              <w:rPr>
                <w:rFonts w:eastAsia="Times New Roman" w:cstheme="minorHAnsi"/>
                <w:sz w:val="16"/>
                <w:szCs w:val="16"/>
                <w:lang w:eastAsia="pt-BR"/>
              </w:rPr>
            </w:pPr>
            <w:r>
              <w:rPr>
                <w:sz w:val="16"/>
                <w:szCs w:val="16"/>
              </w:rPr>
              <w:t>Wellbeing</w:t>
            </w:r>
          </w:p>
        </w:tc>
        <w:tc>
          <w:tcPr>
            <w:tcW w:w="1559" w:type="dxa"/>
            <w:tcBorders>
              <w:top w:val="nil"/>
              <w:left w:val="nil"/>
              <w:bottom w:val="single" w:sz="4" w:space="0" w:color="000000"/>
              <w:right w:val="nil"/>
            </w:tcBorders>
            <w:hideMark/>
          </w:tcPr>
          <w:p w:rsidR="00583140" w:rsidRDefault="00583140">
            <w:pPr>
              <w:ind w:firstLine="29"/>
              <w:jc w:val="center"/>
              <w:rPr>
                <w:rFonts w:eastAsia="Times New Roman" w:cstheme="minorHAnsi"/>
                <w:sz w:val="16"/>
                <w:szCs w:val="16"/>
                <w:lang w:eastAsia="pt-BR"/>
              </w:rPr>
            </w:pPr>
            <w:r>
              <w:rPr>
                <w:sz w:val="16"/>
                <w:szCs w:val="16"/>
              </w:rPr>
              <w:t>9</w:t>
            </w:r>
          </w:p>
        </w:tc>
        <w:tc>
          <w:tcPr>
            <w:tcW w:w="1418" w:type="dxa"/>
            <w:tcBorders>
              <w:top w:val="nil"/>
              <w:left w:val="nil"/>
              <w:bottom w:val="single" w:sz="4" w:space="0" w:color="000000"/>
              <w:right w:val="nil"/>
            </w:tcBorders>
            <w:hideMark/>
          </w:tcPr>
          <w:p w:rsidR="00583140" w:rsidRDefault="00583140">
            <w:pPr>
              <w:jc w:val="center"/>
              <w:rPr>
                <w:rFonts w:eastAsia="Times New Roman" w:cstheme="minorHAnsi"/>
                <w:sz w:val="16"/>
                <w:szCs w:val="16"/>
                <w:lang w:eastAsia="pt-BR"/>
              </w:rPr>
            </w:pPr>
            <w:r>
              <w:rPr>
                <w:sz w:val="16"/>
                <w:szCs w:val="16"/>
              </w:rPr>
              <w:t>15</w:t>
            </w:r>
          </w:p>
        </w:tc>
        <w:tc>
          <w:tcPr>
            <w:tcW w:w="2268" w:type="dxa"/>
            <w:tcBorders>
              <w:top w:val="nil"/>
              <w:left w:val="nil"/>
              <w:bottom w:val="single" w:sz="4" w:space="0" w:color="000000"/>
              <w:right w:val="nil"/>
            </w:tcBorders>
            <w:hideMark/>
          </w:tcPr>
          <w:p w:rsidR="00583140" w:rsidRDefault="00583140">
            <w:pPr>
              <w:jc w:val="center"/>
              <w:rPr>
                <w:rFonts w:eastAsia="Times New Roman" w:cstheme="minorHAnsi"/>
                <w:sz w:val="16"/>
                <w:szCs w:val="16"/>
                <w:lang w:eastAsia="pt-BR"/>
              </w:rPr>
            </w:pPr>
            <w:r>
              <w:rPr>
                <w:sz w:val="16"/>
                <w:szCs w:val="16"/>
              </w:rPr>
              <w:t>1,26</w:t>
            </w:r>
          </w:p>
        </w:tc>
      </w:tr>
    </w:tbl>
    <w:p w:rsidR="00583140" w:rsidRPr="00583140" w:rsidRDefault="00583140" w:rsidP="00583140">
      <w:pPr>
        <w:jc w:val="center"/>
        <w:rPr>
          <w:rFonts w:asciiTheme="minorHAnsi" w:eastAsia="Georgia" w:hAnsiTheme="minorHAnsi"/>
          <w:bCs/>
          <w:sz w:val="18"/>
          <w:szCs w:val="18"/>
          <w:bdr w:val="none" w:sz="0" w:space="0" w:color="auto" w:frame="1"/>
          <w:lang w:val="hr-HR" w:eastAsia="es-MX"/>
        </w:rPr>
      </w:pPr>
      <w:r w:rsidRPr="00583140">
        <w:rPr>
          <w:i/>
          <w:iCs/>
          <w:lang w:val="en-US"/>
        </w:rPr>
        <w:t>Source:</w:t>
      </w:r>
      <w:r w:rsidRPr="00583140">
        <w:rPr>
          <w:lang w:val="en-US"/>
        </w:rPr>
        <w:t xml:space="preserve"> NVivo output</w:t>
      </w:r>
    </w:p>
    <w:p w:rsidR="00583140" w:rsidRDefault="00583140" w:rsidP="00583140">
      <w:pPr>
        <w:rPr>
          <w:sz w:val="12"/>
          <w:szCs w:val="12"/>
          <w:bdr w:val="none" w:sz="0" w:space="0" w:color="auto" w:frame="1"/>
          <w:lang w:val="en-US" w:eastAsia="es-MX"/>
        </w:rPr>
      </w:pPr>
      <w:r>
        <w:rPr>
          <w:bdr w:val="none" w:sz="0" w:space="0" w:color="auto" w:frame="1"/>
          <w:lang w:val="hr-HR" w:eastAsia="es-MX"/>
        </w:rPr>
        <w:t>3.2.</w:t>
      </w:r>
      <w:r>
        <w:rPr>
          <w:bdr w:val="none" w:sz="0" w:space="0" w:color="auto" w:frame="1"/>
          <w:lang w:val="hr-HR" w:eastAsia="es-MX"/>
        </w:rPr>
        <w:t>Word cloud</w:t>
      </w:r>
    </w:p>
    <w:p w:rsidR="00583140" w:rsidRDefault="00583140" w:rsidP="00583140">
      <w:pPr>
        <w:rPr>
          <w:bdr w:val="none" w:sz="0" w:space="0" w:color="auto" w:frame="1"/>
          <w:lang w:val="en-US" w:eastAsia="es-MX"/>
        </w:rPr>
      </w:pPr>
      <w:r>
        <w:rPr>
          <w:bdr w:val="none" w:sz="0" w:space="0" w:color="auto" w:frame="1"/>
          <w:lang w:val="en-US" w:eastAsia="es-MX"/>
        </w:rPr>
        <w:t>The most frequent words were identified by analyzing the articles. It was observed that the word cloud is centered around our research on the impact of digital technologies on student well-being.  As shown in figure X, three levels are detected. At the first level, the most frequent words are: “digital”, “technology”. At the second level, the words “education”, “students”, “learning”, “wellbeing”. Furthermore, at the third level, the following terms are indicated: “university”, “digitalization”, “engagement”, “performance”, “teaching”, “impacts”.</w:t>
      </w:r>
    </w:p>
    <w:p w:rsidR="00583140" w:rsidRDefault="00583140" w:rsidP="00583140">
      <w:pPr>
        <w:tabs>
          <w:tab w:val="left" w:pos="1740"/>
        </w:tabs>
        <w:spacing w:after="0" w:line="240" w:lineRule="auto"/>
        <w:jc w:val="center"/>
        <w:rPr>
          <w:rFonts w:asciiTheme="minorHAnsi" w:eastAsia="Georgia" w:hAnsiTheme="minorHAnsi" w:cstheme="minorHAnsi"/>
          <w:bCs/>
          <w:color w:val="000000"/>
          <w:sz w:val="12"/>
          <w:szCs w:val="12"/>
          <w:bdr w:val="none" w:sz="0" w:space="0" w:color="auto" w:frame="1"/>
          <w:lang w:val="hr-HR" w:eastAsia="es-MX"/>
        </w:rPr>
      </w:pPr>
      <w:r>
        <w:rPr>
          <w:noProof/>
        </w:rPr>
        <w:drawing>
          <wp:inline distT="0" distB="0" distL="0" distR="0">
            <wp:extent cx="3835400" cy="2616200"/>
            <wp:effectExtent l="0" t="0" r="0" b="0"/>
            <wp:docPr id="1" name="Image 1" descr="AKHIR NUAGE DE M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descr="AKHIR NUAGE DE MO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5400" cy="2616200"/>
                    </a:xfrm>
                    <a:prstGeom prst="rect">
                      <a:avLst/>
                    </a:prstGeom>
                    <a:noFill/>
                    <a:ln>
                      <a:noFill/>
                    </a:ln>
                  </pic:spPr>
                </pic:pic>
              </a:graphicData>
            </a:graphic>
          </wp:inline>
        </w:drawing>
      </w:r>
    </w:p>
    <w:p w:rsidR="00583140" w:rsidRDefault="00583140" w:rsidP="00583140">
      <w:pPr>
        <w:jc w:val="center"/>
        <w:rPr>
          <w:bdr w:val="none" w:sz="0" w:space="0" w:color="auto" w:frame="1"/>
          <w:lang w:val="hr-HR" w:eastAsia="es-MX"/>
        </w:rPr>
      </w:pPr>
      <w:r w:rsidRPr="00583140">
        <w:rPr>
          <w:b/>
          <w:bdr w:val="none" w:sz="0" w:space="0" w:color="auto" w:frame="1"/>
          <w:lang w:val="hr-HR" w:eastAsia="es-MX"/>
        </w:rPr>
        <w:t>Figure 3</w:t>
      </w:r>
      <w:r w:rsidRPr="00583140">
        <w:rPr>
          <w:bdr w:val="none" w:sz="0" w:space="0" w:color="auto" w:frame="1"/>
          <w:lang w:val="hr-HR" w:eastAsia="es-MX"/>
        </w:rPr>
        <w:t xml:space="preserve"> Word cloud of the selected papers</w:t>
      </w:r>
    </w:p>
    <w:p w:rsidR="00583140" w:rsidRDefault="00583140" w:rsidP="00583140">
      <w:pPr>
        <w:jc w:val="center"/>
        <w:rPr>
          <w:lang w:val="en-US"/>
        </w:rPr>
      </w:pPr>
      <w:r w:rsidRPr="00583140">
        <w:rPr>
          <w:i/>
          <w:iCs/>
          <w:lang w:val="en-US"/>
        </w:rPr>
        <w:t>Source:</w:t>
      </w:r>
      <w:r w:rsidRPr="00583140">
        <w:rPr>
          <w:lang w:val="en-US"/>
        </w:rPr>
        <w:t xml:space="preserve"> NVivo output</w:t>
      </w:r>
    </w:p>
    <w:p w:rsidR="0083364C" w:rsidRPr="0083364C" w:rsidRDefault="0083364C" w:rsidP="0083364C">
      <w:pPr>
        <w:tabs>
          <w:tab w:val="left" w:pos="1740"/>
        </w:tabs>
        <w:spacing w:after="0"/>
        <w:rPr>
          <w:rFonts w:asciiTheme="majorBidi" w:hAnsiTheme="majorBidi" w:cstheme="majorBidi"/>
          <w:b/>
          <w:bCs/>
          <w:lang w:val="en-US"/>
        </w:rPr>
      </w:pPr>
      <w:r w:rsidRPr="0083364C">
        <w:rPr>
          <w:rFonts w:asciiTheme="majorBidi" w:eastAsia="Georgia" w:hAnsiTheme="majorBidi" w:cstheme="majorBidi"/>
          <w:b/>
          <w:bCs/>
          <w:color w:val="000000"/>
          <w:bdr w:val="none" w:sz="0" w:space="0" w:color="auto" w:frame="1"/>
          <w:lang w:val="en-US" w:eastAsia="es-MX"/>
        </w:rPr>
        <w:t xml:space="preserve">4. </w:t>
      </w:r>
      <w:r w:rsidRPr="0083364C">
        <w:rPr>
          <w:rFonts w:asciiTheme="majorBidi" w:hAnsiTheme="majorBidi" w:cstheme="majorBidi"/>
          <w:b/>
          <w:bCs/>
          <w:lang w:val="en-US"/>
        </w:rPr>
        <w:t>Discussion of results</w:t>
      </w:r>
    </w:p>
    <w:p w:rsidR="0083364C" w:rsidRPr="0083364C" w:rsidRDefault="0083364C" w:rsidP="0083364C">
      <w:pPr>
        <w:pStyle w:val="Paragraphedeliste"/>
        <w:numPr>
          <w:ilvl w:val="0"/>
          <w:numId w:val="2"/>
        </w:numPr>
        <w:tabs>
          <w:tab w:val="left" w:pos="1740"/>
        </w:tabs>
        <w:spacing w:after="0" w:line="480" w:lineRule="auto"/>
        <w:jc w:val="both"/>
        <w:rPr>
          <w:rFonts w:asciiTheme="majorBidi" w:hAnsiTheme="majorBidi" w:cstheme="majorBidi"/>
          <w:lang w:val="en-US"/>
        </w:rPr>
      </w:pPr>
      <w:r w:rsidRPr="0083364C">
        <w:rPr>
          <w:rFonts w:asciiTheme="majorBidi" w:hAnsiTheme="majorBidi" w:cstheme="majorBidi"/>
          <w:lang w:val="en-US"/>
        </w:rPr>
        <w:t>impact of digital technologies on student well-being</w:t>
      </w:r>
    </w:p>
    <w:p w:rsidR="0083364C" w:rsidRPr="0083364C" w:rsidRDefault="0083364C" w:rsidP="0083364C">
      <w:pPr>
        <w:tabs>
          <w:tab w:val="left" w:pos="1740"/>
        </w:tabs>
        <w:spacing w:after="0"/>
        <w:ind w:firstLine="567"/>
        <w:rPr>
          <w:rFonts w:asciiTheme="majorBidi" w:eastAsia="SimSun" w:hAnsiTheme="majorBidi" w:cstheme="majorBidi"/>
          <w:bdr w:val="none" w:sz="0" w:space="0" w:color="auto" w:frame="1"/>
          <w:lang w:val="hr-HR" w:eastAsia="es-MX"/>
        </w:rPr>
      </w:pPr>
      <w:r w:rsidRPr="0083364C">
        <w:rPr>
          <w:rFonts w:asciiTheme="majorBidi" w:hAnsiTheme="majorBidi" w:cstheme="majorBidi"/>
          <w:bdr w:val="none" w:sz="0" w:space="0" w:color="auto" w:frame="1"/>
          <w:lang w:val="hr-HR" w:eastAsia="es-MX"/>
        </w:rPr>
        <w:t xml:space="preserve">A </w:t>
      </w:r>
      <w:proofErr w:type="spellStart"/>
      <w:r w:rsidRPr="0083364C">
        <w:t>literature</w:t>
      </w:r>
      <w:proofErr w:type="spellEnd"/>
      <w:r w:rsidRPr="0083364C">
        <w:t xml:space="preserve"> </w:t>
      </w:r>
      <w:proofErr w:type="spellStart"/>
      <w:r w:rsidRPr="0083364C">
        <w:t>review</w:t>
      </w:r>
      <w:proofErr w:type="spellEnd"/>
      <w:r w:rsidRPr="0083364C">
        <w:t xml:space="preserve"> on well-being and educational technologies was </w:t>
      </w:r>
      <w:proofErr w:type="spellStart"/>
      <w:r w:rsidRPr="0083364C">
        <w:t>conducted</w:t>
      </w:r>
      <w:proofErr w:type="spellEnd"/>
      <w:r w:rsidRPr="0083364C">
        <w:t xml:space="preserve">, </w:t>
      </w:r>
      <w:proofErr w:type="spellStart"/>
      <w:r w:rsidRPr="0083364C">
        <w:t>covering</w:t>
      </w:r>
      <w:proofErr w:type="spellEnd"/>
      <w:r w:rsidRPr="0083364C">
        <w:t xml:space="preserve"> major publications from 2018 to 2024. The </w:t>
      </w:r>
      <w:proofErr w:type="spellStart"/>
      <w:r w:rsidRPr="0083364C">
        <w:t>term</w:t>
      </w:r>
      <w:proofErr w:type="spellEnd"/>
      <w:r w:rsidRPr="0083364C">
        <w:t xml:space="preserve"> "well-being" </w:t>
      </w:r>
      <w:proofErr w:type="spellStart"/>
      <w:r w:rsidRPr="0083364C">
        <w:t>is</w:t>
      </w:r>
      <w:proofErr w:type="spellEnd"/>
      <w:r w:rsidRPr="0083364C">
        <w:t xml:space="preserve"> </w:t>
      </w:r>
      <w:proofErr w:type="spellStart"/>
      <w:r w:rsidRPr="0083364C">
        <w:t>composed</w:t>
      </w:r>
      <w:proofErr w:type="spellEnd"/>
      <w:r w:rsidRPr="0083364C">
        <w:t xml:space="preserve"> of </w:t>
      </w:r>
      <w:proofErr w:type="spellStart"/>
      <w:r w:rsidRPr="0083364C">
        <w:t>several</w:t>
      </w:r>
      <w:proofErr w:type="spellEnd"/>
      <w:r w:rsidRPr="0083364C">
        <w:t xml:space="preserve"> </w:t>
      </w:r>
      <w:proofErr w:type="spellStart"/>
      <w:r w:rsidRPr="0083364C">
        <w:t>domains</w:t>
      </w:r>
      <w:proofErr w:type="spellEnd"/>
      <w:r w:rsidRPr="0083364C">
        <w:t xml:space="preserve">, each </w:t>
      </w:r>
      <w:proofErr w:type="spellStart"/>
      <w:r w:rsidRPr="0083364C">
        <w:t>specifically</w:t>
      </w:r>
      <w:proofErr w:type="spellEnd"/>
      <w:r w:rsidRPr="0083364C">
        <w:t xml:space="preserve"> </w:t>
      </w:r>
      <w:proofErr w:type="spellStart"/>
      <w:r w:rsidRPr="0083364C">
        <w:t>defined</w:t>
      </w:r>
      <w:proofErr w:type="spellEnd"/>
      <w:r w:rsidRPr="0083364C">
        <w:t xml:space="preserve"> by </w:t>
      </w:r>
      <w:proofErr w:type="spellStart"/>
      <w:r w:rsidRPr="0083364C">
        <w:t>its</w:t>
      </w:r>
      <w:proofErr w:type="spellEnd"/>
      <w:r w:rsidRPr="0083364C">
        <w:t xml:space="preserve"> own</w:t>
      </w:r>
      <w:r w:rsidRPr="0083364C">
        <w:rPr>
          <w:rFonts w:asciiTheme="majorBidi" w:hAnsiTheme="majorBidi" w:cstheme="majorBidi"/>
          <w:bdr w:val="none" w:sz="0" w:space="0" w:color="auto" w:frame="1"/>
          <w:lang w:val="hr-HR" w:eastAsia="es-MX"/>
        </w:rPr>
        <w:t xml:space="preserve"> set of unique indicators </w:t>
      </w:r>
      <w:r w:rsidRPr="0083364C">
        <w:rPr>
          <w:rFonts w:asciiTheme="majorBidi" w:hAnsiTheme="majorBidi" w:cstheme="majorBidi"/>
          <w:bdr w:val="none" w:sz="0" w:space="0" w:color="auto" w:frame="1"/>
          <w:lang w:val="hr-HR" w:eastAsia="es-MX"/>
        </w:rPr>
        <w:fldChar w:fldCharType="begin"/>
      </w:r>
      <w:r w:rsidRPr="0083364C">
        <w:rPr>
          <w:rFonts w:asciiTheme="majorBidi" w:hAnsiTheme="majorBidi" w:cstheme="majorBidi"/>
          <w:bdr w:val="none" w:sz="0" w:space="0" w:color="auto" w:frame="1"/>
          <w:lang w:val="hr-HR" w:eastAsia="es-MX"/>
        </w:rPr>
        <w:instrText xml:space="preserve"> ADDIN ZOTERO_ITEM CSL_CITATION {"citationID":"emSM5Jah","properties":{"formattedCitation":"(El Aadmi-Laamech et al., 2022)","plainCitation":"(El Aadmi-Laamech et al., 2022)","noteIndex":0},"citationItems":[{"id":2935,"uris":["http://zotero.org/users/9400437/items/PIH95JG8"],"itemData":{"id":2935,"type":"paper-conference","container-title":"2022 International Symposium on Computers in Education (SIIE)","page":"1–6","publisher":"IEEE","source":"Google Scholar","title":"The term well-being in Technology-Enhanced Learning: A systematic literature review","title-short":"The term well-being in Technology-Enhanced Learning","URL":"https://ieeexplore.ieee.org/abstract/document/9982319/","author":[{"family":"El Aadmi-Laamech","given":"Khadija"},{"family":"Hakami","given":"Eyad"},{"family":"Santos","given":"Patricia"},{"family":"Hernández-Leo","given":"Davinia"}],"accessed":{"date-parts":[["2024",7,6]]},"issued":{"date-parts":[["2022"]]}}}],"schema":"https://github.com/citation-style-language/schema/raw/master/csl-citation.json"} </w:instrText>
      </w:r>
      <w:r w:rsidRPr="0083364C">
        <w:rPr>
          <w:rFonts w:asciiTheme="majorBidi" w:hAnsiTheme="majorBidi" w:cstheme="majorBidi"/>
          <w:bdr w:val="none" w:sz="0" w:space="0" w:color="auto" w:frame="1"/>
          <w:lang w:val="hr-HR" w:eastAsia="es-MX"/>
        </w:rPr>
        <w:fldChar w:fldCharType="separate"/>
      </w:r>
      <w:r w:rsidRPr="0083364C">
        <w:rPr>
          <w:rFonts w:asciiTheme="majorBidi" w:hAnsiTheme="majorBidi" w:cstheme="majorBidi"/>
          <w:lang w:val="en-US"/>
        </w:rPr>
        <w:t xml:space="preserve">(El </w:t>
      </w:r>
      <w:proofErr w:type="spellStart"/>
      <w:r w:rsidRPr="0083364C">
        <w:rPr>
          <w:rFonts w:asciiTheme="majorBidi" w:hAnsiTheme="majorBidi" w:cstheme="majorBidi"/>
          <w:lang w:val="en-US"/>
        </w:rPr>
        <w:t>Aadmi-Laamech</w:t>
      </w:r>
      <w:proofErr w:type="spellEnd"/>
      <w:r w:rsidRPr="0083364C">
        <w:rPr>
          <w:rFonts w:asciiTheme="majorBidi" w:hAnsiTheme="majorBidi" w:cstheme="majorBidi"/>
          <w:lang w:val="en-US"/>
        </w:rPr>
        <w:t xml:space="preserve"> et al., 2022)</w:t>
      </w:r>
      <w:r w:rsidRPr="0083364C">
        <w:rPr>
          <w:rFonts w:asciiTheme="majorBidi" w:hAnsiTheme="majorBidi" w:cstheme="majorBidi"/>
          <w:bdr w:val="none" w:sz="0" w:space="0" w:color="auto" w:frame="1"/>
          <w:lang w:val="hr-HR" w:eastAsia="es-MX"/>
        </w:rPr>
        <w:fldChar w:fldCharType="end"/>
      </w:r>
      <w:r w:rsidRPr="0083364C">
        <w:rPr>
          <w:rFonts w:asciiTheme="majorBidi" w:hAnsiTheme="majorBidi" w:cstheme="majorBidi"/>
          <w:bdr w:val="none" w:sz="0" w:space="0" w:color="auto" w:frame="1"/>
          <w:lang w:val="hr-HR" w:eastAsia="es-MX"/>
        </w:rPr>
        <w:t xml:space="preserve">. The rapid integration of digital environments is another dimension to be considered as an implicit factor influencing students' learning and well-being </w:t>
      </w:r>
      <w:r w:rsidRPr="0083364C">
        <w:rPr>
          <w:rFonts w:asciiTheme="majorBidi" w:hAnsiTheme="majorBidi" w:cstheme="majorBidi"/>
          <w:bdr w:val="none" w:sz="0" w:space="0" w:color="auto" w:frame="1"/>
          <w:lang w:val="hr-HR" w:eastAsia="es-MX"/>
        </w:rPr>
        <w:fldChar w:fldCharType="begin"/>
      </w:r>
      <w:r w:rsidRPr="0083364C">
        <w:rPr>
          <w:rFonts w:asciiTheme="majorBidi" w:hAnsiTheme="majorBidi" w:cstheme="majorBidi"/>
          <w:bdr w:val="none" w:sz="0" w:space="0" w:color="auto" w:frame="1"/>
          <w:lang w:val="hr-HR" w:eastAsia="es-MX"/>
        </w:rPr>
        <w:instrText xml:space="preserve"> ADDIN ZOTERO_ITEM CSL_CITATION {"citationID":"y7MslQtz","properties":{"formattedCitation":"(Koivuneva &amp; Ruokamo, 2022)","plainCitation":"(Koivuneva &amp; Ruokamo, 2022)","noteIndex":0},"citationItems":[{"id":2933,"uris":["http://zotero.org/users/9400437/items/E3AZP2JL"],"itemData":{"id":2933,"type":"paper-conference","container-title":"Seminar. net","note":"issue: 1","source":"Google Scholar","title":"Assessing university students’ study-related burnout and academic well-being in digital learning environments: A systematic literature review","title-short":"Assessing university students’ study-related burnout and academic well-being in digital learning environments","URL":"https://journals.oslomet.no/index.php/seminar/article/view/4705","volume":"18","author":[{"family":"Koivuneva","given":"Katri"},{"family":"Ruokamo","given":"Heli"}],"accessed":{"date-parts":[["2024",7,6]]},"issued":{"date-parts":[["2022"]]}}}],"schema":"https://github.com/citation-style-language/schema/raw/master/csl-citation.json"} </w:instrText>
      </w:r>
      <w:r w:rsidRPr="0083364C">
        <w:rPr>
          <w:rFonts w:asciiTheme="majorBidi" w:hAnsiTheme="majorBidi" w:cstheme="majorBidi"/>
          <w:bdr w:val="none" w:sz="0" w:space="0" w:color="auto" w:frame="1"/>
          <w:lang w:val="hr-HR" w:eastAsia="es-MX"/>
        </w:rPr>
        <w:fldChar w:fldCharType="separate"/>
      </w:r>
      <w:r w:rsidRPr="0083364C">
        <w:rPr>
          <w:rFonts w:asciiTheme="majorBidi" w:hAnsiTheme="majorBidi" w:cstheme="majorBidi"/>
          <w:lang w:val="en-US"/>
        </w:rPr>
        <w:t>(</w:t>
      </w:r>
      <w:proofErr w:type="spellStart"/>
      <w:r w:rsidRPr="0083364C">
        <w:rPr>
          <w:rFonts w:asciiTheme="majorBidi" w:hAnsiTheme="majorBidi" w:cstheme="majorBidi"/>
          <w:lang w:val="en-US"/>
        </w:rPr>
        <w:t>Koivuneva</w:t>
      </w:r>
      <w:proofErr w:type="spellEnd"/>
      <w:r w:rsidRPr="0083364C">
        <w:rPr>
          <w:rFonts w:asciiTheme="majorBidi" w:hAnsiTheme="majorBidi" w:cstheme="majorBidi"/>
          <w:lang w:val="en-US"/>
        </w:rPr>
        <w:t xml:space="preserve"> &amp; </w:t>
      </w:r>
      <w:proofErr w:type="spellStart"/>
      <w:r w:rsidRPr="0083364C">
        <w:rPr>
          <w:rFonts w:asciiTheme="majorBidi" w:hAnsiTheme="majorBidi" w:cstheme="majorBidi"/>
          <w:lang w:val="en-US"/>
        </w:rPr>
        <w:t>Ruokamo</w:t>
      </w:r>
      <w:proofErr w:type="spellEnd"/>
      <w:r w:rsidRPr="0083364C">
        <w:rPr>
          <w:rFonts w:asciiTheme="majorBidi" w:hAnsiTheme="majorBidi" w:cstheme="majorBidi"/>
          <w:lang w:val="en-US"/>
        </w:rPr>
        <w:t>, 2022)</w:t>
      </w:r>
      <w:r w:rsidRPr="0083364C">
        <w:rPr>
          <w:rFonts w:asciiTheme="majorBidi" w:hAnsiTheme="majorBidi" w:cstheme="majorBidi"/>
          <w:bdr w:val="none" w:sz="0" w:space="0" w:color="auto" w:frame="1"/>
          <w:lang w:val="hr-HR" w:eastAsia="es-MX"/>
        </w:rPr>
        <w:fldChar w:fldCharType="end"/>
      </w:r>
      <w:r w:rsidRPr="0083364C">
        <w:rPr>
          <w:rFonts w:asciiTheme="majorBidi" w:hAnsiTheme="majorBidi" w:cstheme="majorBidi"/>
          <w:bdr w:val="none" w:sz="0" w:space="0" w:color="auto" w:frame="1"/>
          <w:lang w:val="hr-HR" w:eastAsia="es-MX"/>
        </w:rPr>
        <w:t xml:space="preserve">. According to the study conducted by </w:t>
      </w:r>
      <w:r w:rsidRPr="0083364C">
        <w:rPr>
          <w:rFonts w:asciiTheme="majorBidi" w:hAnsiTheme="majorBidi" w:cstheme="majorBidi"/>
          <w:bdr w:val="none" w:sz="0" w:space="0" w:color="auto" w:frame="1"/>
          <w:lang w:val="hr-HR" w:eastAsia="es-MX"/>
        </w:rPr>
        <w:fldChar w:fldCharType="begin"/>
      </w:r>
      <w:r w:rsidRPr="0083364C">
        <w:rPr>
          <w:rFonts w:asciiTheme="majorBidi" w:hAnsiTheme="majorBidi" w:cstheme="majorBidi"/>
          <w:bdr w:val="none" w:sz="0" w:space="0" w:color="auto" w:frame="1"/>
          <w:lang w:val="hr-HR" w:eastAsia="es-MX"/>
        </w:rPr>
        <w:instrText xml:space="preserve"> ADDIN ZOTERO_ITEM CSL_CITATION {"citationID":"lIC8jAqE","properties":{"formattedCitation":"(Douwes et al., 2023)","plainCitation":"(Douwes et al., 2023)","noteIndex":0},"citationItems":[{"id":3214,"uris":["http://zotero.org/users/9400437/items/ZF7DIAHL"],"itemData":{"id":3214,"type":"article-journal","abstract":"Recently, there has been an increased interest in the well-being of students in higher education. Despite the widespread consensus on the importance of student well-being, a clear definition continues to be lacking. This study qualitatively examined the student perspective on the topic through semi-structured interviews at a university of applied sciences in the Netherlands (n = 27). A major recurring theme was well-being as a balance in the interplay between efforts directed towards studies and life beyond studies. This method of perceiving well-being deviates from theoretical definitions. Students mentioned various factors that influence their well-being. Responses ranged from personal and university related factors to external factors beyond their educational institution. This study contributes to the body of knowledge on the well-being of students in higher education and provides suggestions for educational institutions, such as incorporating a holistic perspective on students and learning; and focus points for the development of policies and practices.","container-title":"Cogent Education","DOI":"10.1080/2331186X.2023.2190697","ISSN":"null","issue":"1","note":"publisher: Cogent OA\n_eprint: https://doi.org/10.1080/2331186X.2023.2190697","page":"2190697","source":"Taylor and Francis+NEJM","title":"Well-being of students in higher education: The importance of a student perspective","title-short":"Well-being of students in higher education","volume":"10","author":[{"family":"Douwes","given":"Rynke"},{"family":"Metselaar","given":"Janneke"},{"family":"Pijnenborg","given":"Gerdina Hendrika Maria"},{"family":"Boonstra","given":"Nynke"}],"issued":{"date-parts":[["2023",12,31]]}}}],"schema":"https://github.com/citation-style-language/schema/raw/master/csl-citation.json"} </w:instrText>
      </w:r>
      <w:r w:rsidRPr="0083364C">
        <w:rPr>
          <w:rFonts w:asciiTheme="majorBidi" w:hAnsiTheme="majorBidi" w:cstheme="majorBidi"/>
          <w:bdr w:val="none" w:sz="0" w:space="0" w:color="auto" w:frame="1"/>
          <w:lang w:val="hr-HR" w:eastAsia="es-MX"/>
        </w:rPr>
        <w:fldChar w:fldCharType="separate"/>
      </w:r>
      <w:r w:rsidRPr="0083364C">
        <w:rPr>
          <w:rFonts w:asciiTheme="majorBidi" w:hAnsiTheme="majorBidi" w:cstheme="majorBidi"/>
          <w:lang w:val="en-US"/>
        </w:rPr>
        <w:t>(</w:t>
      </w:r>
      <w:proofErr w:type="spellStart"/>
      <w:r w:rsidRPr="0083364C">
        <w:rPr>
          <w:rFonts w:asciiTheme="majorBidi" w:hAnsiTheme="majorBidi" w:cstheme="majorBidi"/>
          <w:lang w:val="en-US"/>
        </w:rPr>
        <w:t>Douwes</w:t>
      </w:r>
      <w:proofErr w:type="spellEnd"/>
      <w:r w:rsidRPr="0083364C">
        <w:rPr>
          <w:rFonts w:asciiTheme="majorBidi" w:hAnsiTheme="majorBidi" w:cstheme="majorBidi"/>
          <w:lang w:val="en-US"/>
        </w:rPr>
        <w:t xml:space="preserve"> et al., 2023)</w:t>
      </w:r>
      <w:r w:rsidRPr="0083364C">
        <w:rPr>
          <w:rFonts w:asciiTheme="majorBidi" w:hAnsiTheme="majorBidi" w:cstheme="majorBidi"/>
          <w:bdr w:val="none" w:sz="0" w:space="0" w:color="auto" w:frame="1"/>
          <w:lang w:val="hr-HR" w:eastAsia="es-MX"/>
        </w:rPr>
        <w:fldChar w:fldCharType="end"/>
      </w:r>
      <w:r w:rsidRPr="0083364C">
        <w:rPr>
          <w:rFonts w:asciiTheme="majorBidi" w:hAnsiTheme="majorBidi" w:cstheme="majorBidi"/>
          <w:bdr w:val="none" w:sz="0" w:space="0" w:color="auto" w:frame="1"/>
          <w:lang w:val="hr-HR" w:eastAsia="es-MX"/>
        </w:rPr>
        <w:t>, well-being is considered by students as a balance between the effort invested in their studies and their personal lives. At this point, we've highlighted a few variables that influence student well-being.</w:t>
      </w:r>
    </w:p>
    <w:p w:rsidR="0083364C" w:rsidRPr="0083364C" w:rsidRDefault="0083364C" w:rsidP="0083364C">
      <w:pPr>
        <w:pStyle w:val="Paragraphedeliste"/>
        <w:numPr>
          <w:ilvl w:val="0"/>
          <w:numId w:val="3"/>
        </w:numPr>
        <w:spacing w:line="480" w:lineRule="auto"/>
        <w:jc w:val="both"/>
        <w:rPr>
          <w:rFonts w:asciiTheme="majorBidi" w:hAnsiTheme="majorBidi" w:cstheme="majorBidi"/>
          <w:b/>
          <w:bCs/>
          <w:lang w:val="pt-BR"/>
        </w:rPr>
      </w:pPr>
      <w:r w:rsidRPr="0083364C">
        <w:rPr>
          <w:rFonts w:asciiTheme="majorBidi" w:hAnsiTheme="majorBidi" w:cstheme="majorBidi"/>
          <w:b/>
          <w:bCs/>
        </w:rPr>
        <w:t>Academic commitment:</w:t>
      </w:r>
    </w:p>
    <w:p w:rsidR="0083364C" w:rsidRPr="0083364C" w:rsidRDefault="0083364C" w:rsidP="0083364C">
      <w:pPr>
        <w:tabs>
          <w:tab w:val="left" w:pos="1740"/>
        </w:tabs>
        <w:spacing w:after="0"/>
        <w:ind w:firstLine="567"/>
        <w:rPr>
          <w:rFonts w:asciiTheme="majorBidi" w:hAnsiTheme="majorBidi" w:cstheme="majorBidi"/>
          <w:lang w:val="en-US"/>
        </w:rPr>
      </w:pPr>
      <w:r w:rsidRPr="0083364C">
        <w:rPr>
          <w:rFonts w:asciiTheme="majorBidi" w:hAnsiTheme="majorBidi" w:cstheme="majorBidi"/>
          <w:lang w:val="en-US"/>
        </w:rPr>
        <w:t xml:space="preserve">According to </w:t>
      </w:r>
      <w:r w:rsidRPr="0083364C">
        <w:rPr>
          <w:rFonts w:asciiTheme="majorBidi" w:hAnsiTheme="majorBidi" w:cstheme="majorBidi"/>
        </w:rPr>
        <w:fldChar w:fldCharType="begin"/>
      </w:r>
      <w:r w:rsidRPr="0083364C">
        <w:rPr>
          <w:rFonts w:asciiTheme="majorBidi" w:hAnsiTheme="majorBidi" w:cstheme="majorBidi"/>
          <w:lang w:val="en-US"/>
        </w:rPr>
        <w:instrText xml:space="preserve"> ADDIN ZOTERO_ITEM CSL_CITATION {"citationID":"RGwOdASr","properties":{"formattedCitation":"(Fredricks et al., 2004)","plainCitation":"(Fredricks et al., 2004)","noteIndex":0},"citationItems":[{"id":3140,"uris":["http://zotero.org/users/9400437/items/FCKNFMG4"],"itemData":{"id":3140,"type":"article-journal","abstract":"AbstraitLe concept d’engagement à l’école a attiré de plus en plus d’attention comme représentant un antidote possible à la baisse de la motivation et des résultats scolaires. L’engagement est présumé être malléable, sensible aux caractéristiques contextuelles et adapté aux changements environnementaux. Les chercheurs décrivent l’engagement comportemental, émotionnel et cognitif et recommandent d’étudier l’engagement comme une construction à multiples facettes. Cet article passe en revue les définitions, les mesures, les précurseurs et les résultats de l’engagement ; discute des limites de la recherche existante ; et suggère des améliorations. Les auteurs concluent que, bien qu’il y ait beaucoup à apprendre, la contribution potentielle du concept d’engagement scolaire à la recherche sur l’expérience des élèves n’a pas encore été réalisée. Ils appellent à des caractérisations plus riches de la façon dont les élèves se comportent, se sentent et pensent – des recherches qui pourraient aider à l’élaboration d’interventions finement ciblées","container-title":"Review of Educational Research","DOI":"10.3102/00346543074001059","ISSN":"0034-6543","issue":"1","language":"en","note":"publisher: American Educational Research Association","page":"59-109","source":"SAGE Journals","title":"School Engagement: Potential of the Concept, State of the Evidence","title-short":"School Engagement","volume":"74","author":[{"family":"Fredricks","given":"Jennifer A"},{"family":"Blumenfeld","given":"Phyllis C"},{"family":"Paris","given":"Alison H"}],"issued":{"date-parts":[["2004",3,1]]}}}],"schema":"https://github.com/citation-style-language/schema/raw/master/csl-citation.json"} </w:instrText>
      </w:r>
      <w:r w:rsidRPr="0083364C">
        <w:rPr>
          <w:rFonts w:asciiTheme="majorBidi" w:hAnsiTheme="majorBidi" w:cstheme="majorBidi"/>
        </w:rPr>
        <w:fldChar w:fldCharType="separate"/>
      </w:r>
      <w:r w:rsidRPr="0083364C">
        <w:rPr>
          <w:rFonts w:asciiTheme="majorBidi" w:hAnsiTheme="majorBidi" w:cstheme="majorBidi"/>
          <w:lang w:val="en-US"/>
        </w:rPr>
        <w:t>(Fredricks et al., 2004)</w:t>
      </w:r>
      <w:r w:rsidRPr="0083364C">
        <w:rPr>
          <w:rFonts w:asciiTheme="majorBidi" w:hAnsiTheme="majorBidi" w:cstheme="majorBidi"/>
        </w:rPr>
        <w:fldChar w:fldCharType="end"/>
      </w:r>
      <w:r w:rsidRPr="0083364C">
        <w:rPr>
          <w:rFonts w:asciiTheme="majorBidi" w:hAnsiTheme="majorBidi" w:cstheme="majorBidi"/>
          <w:lang w:val="en-US"/>
        </w:rPr>
        <w:t xml:space="preserve">, “ engagement is a multidimensional concept, with three dimensions generally distinguished: behavioral, cognitive and emotional”. However, several studies have demonstrated an improvement in student engagement within the context of digital pedagogy. It should be noted that student engagement can be enhanced through the use of available educational resources, the quality of teaching and the structure of learning programs, thereby promoting student well-being. Furthermore, it was observed that the relationship between academic engagement and well-being has been less extensively examined in higher education </w:t>
      </w:r>
      <w:r w:rsidRPr="0083364C">
        <w:rPr>
          <w:rFonts w:asciiTheme="majorBidi" w:hAnsiTheme="majorBidi" w:cstheme="majorBidi"/>
        </w:rPr>
        <w:fldChar w:fldCharType="begin"/>
      </w:r>
      <w:r w:rsidRPr="0083364C">
        <w:rPr>
          <w:rFonts w:asciiTheme="majorBidi" w:hAnsiTheme="majorBidi" w:cstheme="majorBidi"/>
          <w:lang w:val="en-US"/>
        </w:rPr>
        <w:instrText xml:space="preserve"> ADDIN ZOTERO_ITEM CSL_CITATION {"citationID":"Mc3bxJ8F","properties":{"formattedCitation":"(Abdillah &amp; Madjid, 2023; Boulton et al., 2019; Koivuneva &amp; Ruokamo, 2022; Pluton &amp; Stattner, 2023; Timotheou et al., 2023)","plainCitation":"(Abdillah &amp; Madjid, 2023; Boulton et al., 2019; Koivuneva &amp; Ruokamo, 2022; Pluton &amp; Stattner, 2023; Timotheou et al., 2023)","noteIndex":0},"citationItems":[{"id":2894,"uris":["http://zotero.org/users/9400437/items/WJH68884"],"itemData":{"id":2894,"type":"paper-conference","archive":"Scopus","DOI":"10.1051/e3sconf/202344005005","event-title":"E3S Web of Conferences","title":"Enhancing Student Well-being through AI Chat GPT in the Smart Education University Learning Environment: A Preliminary Review of Research Literature","URL":"https://www.scopus.com/inward/record.uri?eid=2-s2.0-85177690609&amp;doi=10.1051%2fe3sconf%2f202344005005&amp;partnerID=40&amp;md5=942449afb909cf437d9a14a9ec387cda","volume":"440","author":[{"family":"Abdillah","given":"H.Z."},{"family":"Madjid","given":"A."}],"issued":{"date-parts":[["2023"]]}},"label":"page"},{"id":3091,"uris":["http://zotero.org/users/9400437/items/8M68F539"],"itemData":{"id":3091,"type":"article-journal","container-title":"PLOS ONE","DOI":"10.1371/journal.pone.0225770","ISSN":"1932-6203","issue":"11","journalAbbreviation":"PLoS ONE","language":"en","page":"e0225770","source":"DOI.org (Crossref)","title":"Student engagement and wellbeing over time at a higher education institution","volume":"14","author":[{"family":"Boulton","given":"Chris A."},{"family":"Hughes","given":"Emily"},{"family":"Kent","given":"Carmel"},{"family":"Smith","given":"Joanne R."},{"family":"Williams","given":"Hywel T. P."}],"editor":[{"family":"Della Giusta","given":"Marina"}],"issued":{"date-parts":[["2019",11,27]]}},"label":"page"},{"id":2933,"uris":["http://zotero.org/users/9400437/items/E3AZP2JL"],"itemData":{"id":2933,"type":"paper-conference","container-title":"Seminar. net","note":"issue: 1","source":"Google Scholar","title":"Assessing university students’ study-related burnout and academic well-being in digital learning environments: A systematic literature review","title-short":"Assessing university students’ study-related burnout and academic well-being in digital learning environments","URL":"https://journals.oslomet.no/index.php/seminar/article/view/4705","volume":"18","author":[{"family":"Koivuneva","given":"Katri"},{"family":"Ruokamo","given":"Heli"}],"accessed":{"date-parts":[["2024",7,6]]},"issued":{"date-parts":[["2022"]]}},"label":"page"},{"id":3103,"uris":["http://zotero.org/users/9400437/items/R5A3AKIK"],"itemData":{"id":3103,"type":"article-journal","abstract":"In this work, we study the relevance of using virtual reality (VR) to carry on distance education that promotes learner engagement. Indeed, we have conducted a study with master’s students for which we offered courses within the metaverse. Our objective was to evaluate the utility of VR as a distance learning framework and to identify its impact on the cognitive, behavioural and emotional engagement of learners. The results obtained have highlighted the contribution of VR and its utility in the context of post-pandemic distance education context.","container-title":"Revue internationale des technologies en pédagogie universitaire","DOI":"10.18162/ritpu-2023-v20n2-14","ISSN":"1708-7570","issue":"2","journalAbbreviation":"RITPU","language":"fr","page":"192-206","source":"DOI.org (Crossref)","title":"Influence de l’environnement de formation à distance sur l’engagement des apprenants et apprenantes : une expérimentation autour de la réalité virtuelle","title-short":"Influence de l’environnement de formation à distance sur l’engagement des apprenants et apprenantes","volume":"20","author":[{"family":"Pluton","given":"Laetitia"},{"family":"Stattner","given":"Erick"}],"issued":{"date-parts":[["2023"]]}},"label":"page"},{"id":3227,"uris":["http://zotero.org/users/9400437/items/KXDYREJK"],"itemData":{"id":3227,"type":"article-journal","abstract":"Digital technologies have brought changes to the nature and scope of education and led education systems worldwide to adopt strategies and policies for ICT integration. The latter brought about issues regarding the quality of teaching and learning with ICTs, especially concerning the understanding, adaptation, and design of the education systems in accordance with current technological trends. These issues were emphasized during the recent COVID-19 pandemic that accelerated the use of digital technologies in education, generating questions regarding digitalization in schools. Specifically, many schools demonstrated a lack of experience and low digital capacity, which resulted in widening gaps, inequalities, and learning losses. Such results have engendered the need for schools to learn and build upon the experience to enhance their digital capacity and preparedness, increase their digitalization levels, and achieve a successful digital transformation. Given that the integration of digital technologies is a complex and continuous process that impacts different actors within the school ecosystem, there is a need to show how these impacts are interconnected and identify the factors that can encourage an effective and efficient change in the school environments. For this purpose, we conducted a non-systematic literature review. The results of the literature review were organized thematically based on the evidence presented about the impact of digital technology on education and the factors that affect the schools’ digital capacity and digital transformation. The findings suggest that ICT integration in schools impacts more than just students’ performance; it affects several other school-related aspects and stakeholders, too. Furthermore, various factors affect the impact of digital technologies on education. These factors are interconnected and play a vital role in the digital transformation process. The study results shed light on how ICTs can positively contribute to the digital transformation of schools and which factors should be considered for schools to achieve effective and efficient change.","container-title":"Education and Information Technologies","DOI":"10.1007/s10639-022-11431-8","ISSN":"1360-2357, 1573-7608","issue":"6","journalAbbreviation":"Educ Inf Technol","language":"en","page":"6695-6726","source":"DOI.org (Crossref)","title":"Impacts of digital technologies on education and factors influencing schools' digital capacity and transformation: A literature review","title-short":"Impacts of digital technologies on education and factors influencing schools' digital capacity and transformation","volume":"28","author":[{"family":"Timotheou","given":"Stella"},{"family":"Miliou","given":"Ourania"},{"family":"Dimitriadis","given":"Yiannis"},{"family":"Sobrino","given":"Sara Villagrá"},{"family":"Giannoutsou","given":"Nikoleta"},{"family":"Cachia","given":"Romina"},{"family":"Monés","given":"Alejandra Martínez"},{"family":"Ioannou","given":"Andri"}],"issued":{"date-parts":[["2023",6]]}},"label":"page"}],"schema":"https://github.com/citation-style-language/schema/raw/master/csl-citation.json"} </w:instrText>
      </w:r>
      <w:r w:rsidRPr="0083364C">
        <w:rPr>
          <w:rFonts w:asciiTheme="majorBidi" w:hAnsiTheme="majorBidi" w:cstheme="majorBidi"/>
        </w:rPr>
        <w:fldChar w:fldCharType="separate"/>
      </w:r>
      <w:r w:rsidRPr="0083364C">
        <w:rPr>
          <w:rFonts w:asciiTheme="majorBidi" w:hAnsiTheme="majorBidi" w:cstheme="majorBidi"/>
        </w:rPr>
        <w:t>(</w:t>
      </w:r>
      <w:proofErr w:type="spellStart"/>
      <w:r w:rsidRPr="0083364C">
        <w:rPr>
          <w:rFonts w:asciiTheme="majorBidi" w:hAnsiTheme="majorBidi" w:cstheme="majorBidi"/>
        </w:rPr>
        <w:t>Abdillah</w:t>
      </w:r>
      <w:proofErr w:type="spellEnd"/>
      <w:r w:rsidRPr="0083364C">
        <w:rPr>
          <w:rFonts w:asciiTheme="majorBidi" w:hAnsiTheme="majorBidi" w:cstheme="majorBidi"/>
        </w:rPr>
        <w:t xml:space="preserve"> &amp; Madjid, 2023; </w:t>
      </w:r>
      <w:proofErr w:type="spellStart"/>
      <w:r w:rsidRPr="0083364C">
        <w:rPr>
          <w:rFonts w:asciiTheme="majorBidi" w:hAnsiTheme="majorBidi" w:cstheme="majorBidi"/>
        </w:rPr>
        <w:t>Boulton</w:t>
      </w:r>
      <w:proofErr w:type="spellEnd"/>
      <w:r w:rsidRPr="0083364C">
        <w:rPr>
          <w:rFonts w:asciiTheme="majorBidi" w:hAnsiTheme="majorBidi" w:cstheme="majorBidi"/>
        </w:rPr>
        <w:t xml:space="preserve"> et al., 2019; </w:t>
      </w:r>
      <w:proofErr w:type="spellStart"/>
      <w:r w:rsidRPr="0083364C">
        <w:rPr>
          <w:rFonts w:asciiTheme="majorBidi" w:hAnsiTheme="majorBidi" w:cstheme="majorBidi"/>
        </w:rPr>
        <w:t>Koivuneva</w:t>
      </w:r>
      <w:proofErr w:type="spellEnd"/>
      <w:r w:rsidRPr="0083364C">
        <w:rPr>
          <w:rFonts w:asciiTheme="majorBidi" w:hAnsiTheme="majorBidi" w:cstheme="majorBidi"/>
        </w:rPr>
        <w:t xml:space="preserve"> &amp; </w:t>
      </w:r>
      <w:proofErr w:type="spellStart"/>
      <w:r w:rsidRPr="0083364C">
        <w:rPr>
          <w:rFonts w:asciiTheme="majorBidi" w:hAnsiTheme="majorBidi" w:cstheme="majorBidi"/>
        </w:rPr>
        <w:t>Ruokamo</w:t>
      </w:r>
      <w:proofErr w:type="spellEnd"/>
      <w:r w:rsidRPr="0083364C">
        <w:rPr>
          <w:rFonts w:asciiTheme="majorBidi" w:hAnsiTheme="majorBidi" w:cstheme="majorBidi"/>
        </w:rPr>
        <w:t xml:space="preserve">, 2022; Pluton &amp; </w:t>
      </w:r>
      <w:proofErr w:type="spellStart"/>
      <w:r w:rsidRPr="0083364C">
        <w:rPr>
          <w:rFonts w:asciiTheme="majorBidi" w:hAnsiTheme="majorBidi" w:cstheme="majorBidi"/>
        </w:rPr>
        <w:t>Stattner</w:t>
      </w:r>
      <w:proofErr w:type="spellEnd"/>
      <w:r w:rsidRPr="0083364C">
        <w:rPr>
          <w:rFonts w:asciiTheme="majorBidi" w:hAnsiTheme="majorBidi" w:cstheme="majorBidi"/>
        </w:rPr>
        <w:t xml:space="preserve">, 2023; </w:t>
      </w:r>
      <w:proofErr w:type="spellStart"/>
      <w:r w:rsidRPr="0083364C">
        <w:rPr>
          <w:rFonts w:asciiTheme="majorBidi" w:hAnsiTheme="majorBidi" w:cstheme="majorBidi"/>
        </w:rPr>
        <w:t>Timotheou</w:t>
      </w:r>
      <w:proofErr w:type="spellEnd"/>
      <w:r w:rsidRPr="0083364C">
        <w:rPr>
          <w:rFonts w:asciiTheme="majorBidi" w:hAnsiTheme="majorBidi" w:cstheme="majorBidi"/>
        </w:rPr>
        <w:t xml:space="preserve"> et al., 2023)</w:t>
      </w:r>
      <w:r w:rsidRPr="0083364C">
        <w:rPr>
          <w:rFonts w:asciiTheme="majorBidi" w:hAnsiTheme="majorBidi" w:cstheme="majorBidi"/>
        </w:rPr>
        <w:fldChar w:fldCharType="end"/>
      </w:r>
      <w:r w:rsidRPr="0083364C">
        <w:rPr>
          <w:rFonts w:asciiTheme="majorBidi" w:hAnsiTheme="majorBidi" w:cstheme="majorBidi"/>
          <w:lang w:val="en-US"/>
        </w:rPr>
        <w:t>.</w:t>
      </w:r>
    </w:p>
    <w:p w:rsidR="0083364C" w:rsidRPr="0083364C" w:rsidRDefault="0083364C" w:rsidP="0083364C">
      <w:pPr>
        <w:pStyle w:val="Paragraphedeliste"/>
        <w:numPr>
          <w:ilvl w:val="0"/>
          <w:numId w:val="3"/>
        </w:numPr>
        <w:spacing w:after="0" w:line="480" w:lineRule="auto"/>
        <w:jc w:val="both"/>
        <w:rPr>
          <w:rFonts w:asciiTheme="majorBidi" w:hAnsiTheme="majorBidi" w:cstheme="majorBidi"/>
          <w:b/>
          <w:bCs/>
          <w:lang w:val="pt-BR"/>
        </w:rPr>
      </w:pPr>
      <w:r w:rsidRPr="0083364C">
        <w:rPr>
          <w:rFonts w:asciiTheme="majorBidi" w:hAnsiTheme="majorBidi" w:cstheme="majorBidi"/>
          <w:b/>
          <w:bCs/>
        </w:rPr>
        <w:t>Self-</w:t>
      </w:r>
      <w:proofErr w:type="spellStart"/>
      <w:r w:rsidRPr="0083364C">
        <w:rPr>
          <w:rFonts w:asciiTheme="majorBidi" w:hAnsiTheme="majorBidi" w:cstheme="majorBidi"/>
          <w:b/>
          <w:bCs/>
        </w:rPr>
        <w:t>efficacy</w:t>
      </w:r>
      <w:proofErr w:type="spellEnd"/>
      <w:r w:rsidRPr="0083364C">
        <w:rPr>
          <w:rFonts w:asciiTheme="majorBidi" w:hAnsiTheme="majorBidi" w:cstheme="majorBidi"/>
          <w:b/>
          <w:bCs/>
        </w:rPr>
        <w:t xml:space="preserve"> </w:t>
      </w:r>
    </w:p>
    <w:p w:rsidR="0083364C" w:rsidRPr="0083364C" w:rsidRDefault="0083364C" w:rsidP="0083364C">
      <w:pPr>
        <w:tabs>
          <w:tab w:val="left" w:pos="1740"/>
        </w:tabs>
        <w:spacing w:after="0"/>
        <w:ind w:firstLine="567"/>
        <w:rPr>
          <w:rFonts w:asciiTheme="majorBidi" w:hAnsiTheme="majorBidi" w:cstheme="majorBidi"/>
          <w:lang w:val="en-US"/>
        </w:rPr>
      </w:pPr>
      <w:r w:rsidRPr="0083364C">
        <w:rPr>
          <w:rFonts w:asciiTheme="majorBidi" w:hAnsiTheme="majorBidi" w:cstheme="majorBidi"/>
          <w:lang w:val="en-US"/>
        </w:rPr>
        <w:t>A number of studies have highlighted that the digital learning environment enhances student’s self-efficacy. According to Bandura (1982-1993), “</w:t>
      </w:r>
      <w:bookmarkStart w:id="0" w:name="_GoBack"/>
      <w:bookmarkEnd w:id="0"/>
      <w:r w:rsidRPr="0083364C">
        <w:rPr>
          <w:rFonts w:asciiTheme="majorBidi" w:hAnsiTheme="majorBidi" w:cstheme="majorBidi"/>
          <w:lang w:val="en-US"/>
        </w:rPr>
        <w:t xml:space="preserve">self- efficacy is the belief an individual hold about their own ability to perform or not perform a task”. Promoting high levels of self-efficacy not only improves academic performance, but also enhances students' well-being </w:t>
      </w:r>
      <w:r w:rsidRPr="0083364C">
        <w:rPr>
          <w:rFonts w:asciiTheme="majorBidi" w:hAnsiTheme="majorBidi" w:cstheme="majorBidi"/>
        </w:rPr>
        <w:fldChar w:fldCharType="begin"/>
      </w:r>
      <w:r w:rsidRPr="0083364C">
        <w:rPr>
          <w:rFonts w:asciiTheme="majorBidi" w:hAnsiTheme="majorBidi" w:cstheme="majorBidi"/>
          <w:lang w:val="en-US"/>
        </w:rPr>
        <w:instrText xml:space="preserve"> ADDIN ZOTERO_ITEM CSL_CITATION {"citationID":"gv0TizIs","properties":{"formattedCitation":"(Al-Kumaim et al., 2021; An et al., 2023; Koivuneva &amp; Ruokamo, 2022)","plainCitation":"(Al-Kumaim et al., 2021; An et al., 2023; Koivuneva &amp; Ruokamo, 2022)","noteIndex":0},"citationItems":[{"id":2718,"uris":["http://zotero.org/users/9400437/items/6TB9RSJ2"],"itemData":{"id":2718,"type":"article-journal","archive":"Scopus","container-title":"Sustainability (Switzerland)","DOI":"10.3390/su13052546","issue":"5","page":"1-21","title":"Exploring the impact of the covid-19 pandemic on university students’ learning life: An integrated conceptual motivational model for sustainable and healthy online learning","volume":"13","author":[{"family":"Al-Kumaim","given":"N.H."},{"family":"Alhazmi","given":"A.K."},{"family":"Mohammed","given":"F."},{"family":"Gazem","given":"N.A."},{"family":"Shabbir","given":"M.S."},{"family":"Fazea","given":"Y."}],"issued":{"date-parts":[["2021"]]}}},{"id":2856,"uris":["http://zotero.org/users/9400437/items/BKVY7N4Q"],"itemData":{"id":2856,"type":"article-journal","archive":"Scopus","container-title":"Australasian Journal of Information Systems","DOI":"10.3127/ajis.v27i0.3969","title":"Defining Digital Wellbeing Literacy in Remote Work Integrated Learning","URL":"https://www.scopus.com/inward/record.uri?eid=2-s2.0-85154045051&amp;doi=10.3127%2fajis.v27i0.3969&amp;partnerID=40&amp;md5=0b6fd24458f790c97bb3333c39d6faf0","volume":"27","author":[{"family":"An","given":"N."},{"family":"Vesty","given":"G."},{"family":"Cheong","given":"C."}],"issued":{"date-parts":[["2023"]]}},"label":"page"},{"id":2933,"uris":["http://zotero.org/users/9400437/items/E3AZP2JL"],"itemData":{"id":2933,"type":"paper-conference","container-title":"Seminar. net","note":"issue: 1","source":"Google Scholar","title":"Assessing university students’ study-related burnout and academic well-being in digital learning environments: A systematic literature review","title-short":"Assessing university students’ study-related burnout and academic well-being in digital learning environments","URL":"https://journals.oslomet.no/index.php/seminar/article/view/4705","volume":"18","author":[{"family":"Koivuneva","given":"Katri"},{"family":"Ruokamo","given":"Heli"}],"accessed":{"date-parts":[["2024",7,6]]},"issued":{"date-parts":[["2022"]]}},"label":"page"}],"schema":"https://github.com/citation-style-language/schema/raw/master/csl-citation.json"} </w:instrText>
      </w:r>
      <w:r w:rsidRPr="0083364C">
        <w:rPr>
          <w:rFonts w:asciiTheme="majorBidi" w:hAnsiTheme="majorBidi" w:cstheme="majorBidi"/>
        </w:rPr>
        <w:fldChar w:fldCharType="separate"/>
      </w:r>
      <w:r w:rsidRPr="0083364C">
        <w:rPr>
          <w:rFonts w:asciiTheme="majorBidi" w:hAnsiTheme="majorBidi" w:cstheme="majorBidi"/>
          <w:lang w:val="en-US"/>
        </w:rPr>
        <w:t>(Al-</w:t>
      </w:r>
      <w:proofErr w:type="spellStart"/>
      <w:r w:rsidRPr="0083364C">
        <w:rPr>
          <w:rFonts w:asciiTheme="majorBidi" w:hAnsiTheme="majorBidi" w:cstheme="majorBidi"/>
          <w:lang w:val="en-US"/>
        </w:rPr>
        <w:t>Kumaim</w:t>
      </w:r>
      <w:proofErr w:type="spellEnd"/>
      <w:r w:rsidRPr="0083364C">
        <w:rPr>
          <w:rFonts w:asciiTheme="majorBidi" w:hAnsiTheme="majorBidi" w:cstheme="majorBidi"/>
          <w:lang w:val="en-US"/>
        </w:rPr>
        <w:t xml:space="preserve"> et al., 2021; An et al., 2023; </w:t>
      </w:r>
      <w:proofErr w:type="spellStart"/>
      <w:r w:rsidRPr="0083364C">
        <w:rPr>
          <w:rFonts w:asciiTheme="majorBidi" w:hAnsiTheme="majorBidi" w:cstheme="majorBidi"/>
          <w:lang w:val="en-US"/>
        </w:rPr>
        <w:t>Koivuneva</w:t>
      </w:r>
      <w:proofErr w:type="spellEnd"/>
      <w:r w:rsidRPr="0083364C">
        <w:rPr>
          <w:rFonts w:asciiTheme="majorBidi" w:hAnsiTheme="majorBidi" w:cstheme="majorBidi"/>
          <w:lang w:val="en-US"/>
        </w:rPr>
        <w:t xml:space="preserve"> &amp; </w:t>
      </w:r>
      <w:proofErr w:type="spellStart"/>
      <w:r w:rsidRPr="0083364C">
        <w:rPr>
          <w:rFonts w:asciiTheme="majorBidi" w:hAnsiTheme="majorBidi" w:cstheme="majorBidi"/>
          <w:lang w:val="en-US"/>
        </w:rPr>
        <w:t>Ruokamo</w:t>
      </w:r>
      <w:proofErr w:type="spellEnd"/>
      <w:r w:rsidRPr="0083364C">
        <w:rPr>
          <w:rFonts w:asciiTheme="majorBidi" w:hAnsiTheme="majorBidi" w:cstheme="majorBidi"/>
          <w:lang w:val="en-US"/>
        </w:rPr>
        <w:t>, 2022)</w:t>
      </w:r>
      <w:r w:rsidRPr="0083364C">
        <w:rPr>
          <w:rFonts w:asciiTheme="majorBidi" w:hAnsiTheme="majorBidi" w:cstheme="majorBidi"/>
        </w:rPr>
        <w:fldChar w:fldCharType="end"/>
      </w:r>
      <w:r w:rsidRPr="0083364C">
        <w:rPr>
          <w:rFonts w:asciiTheme="majorBidi" w:hAnsiTheme="majorBidi" w:cstheme="majorBidi"/>
          <w:lang w:val="en-US"/>
        </w:rPr>
        <w:t>.</w:t>
      </w:r>
    </w:p>
    <w:p w:rsidR="0083364C" w:rsidRPr="0083364C" w:rsidRDefault="0083364C" w:rsidP="0083364C">
      <w:pPr>
        <w:pStyle w:val="Paragraphedeliste"/>
        <w:numPr>
          <w:ilvl w:val="0"/>
          <w:numId w:val="3"/>
        </w:numPr>
        <w:spacing w:after="0" w:line="480" w:lineRule="auto"/>
        <w:jc w:val="both"/>
        <w:rPr>
          <w:rFonts w:asciiTheme="majorBidi" w:hAnsiTheme="majorBidi" w:cstheme="majorBidi"/>
          <w:b/>
          <w:bCs/>
        </w:rPr>
      </w:pPr>
      <w:r w:rsidRPr="0083364C">
        <w:rPr>
          <w:rFonts w:asciiTheme="majorBidi" w:hAnsiTheme="majorBidi" w:cstheme="majorBidi"/>
          <w:b/>
          <w:bCs/>
        </w:rPr>
        <w:t>Autonomy</w:t>
      </w:r>
    </w:p>
    <w:p w:rsidR="0083364C" w:rsidRPr="0083364C" w:rsidRDefault="0083364C" w:rsidP="0083364C">
      <w:pPr>
        <w:tabs>
          <w:tab w:val="left" w:pos="1740"/>
        </w:tabs>
        <w:spacing w:after="0"/>
        <w:ind w:firstLine="567"/>
        <w:rPr>
          <w:rFonts w:asciiTheme="majorBidi" w:hAnsiTheme="majorBidi" w:cstheme="majorBidi"/>
        </w:rPr>
      </w:pPr>
      <w:r w:rsidRPr="0083364C">
        <w:rPr>
          <w:rFonts w:asciiTheme="majorBidi" w:hAnsiTheme="majorBidi" w:cstheme="majorBidi"/>
          <w:lang w:val="en-US"/>
        </w:rPr>
        <w:t xml:space="preserve">From the perspective of sustainable development, it is crucial that new technologies have a considerable impact on students' well-being, including their autonomy. The implementation of new digital practices fosters students' autonomy by reinforcing their active involvement and enabling them to better manage their studies </w:t>
      </w:r>
      <w:r w:rsidRPr="0083364C">
        <w:rPr>
          <w:rFonts w:asciiTheme="majorBidi" w:hAnsiTheme="majorBidi" w:cstheme="majorBidi"/>
        </w:rPr>
        <w:fldChar w:fldCharType="begin"/>
      </w:r>
      <w:r w:rsidRPr="0083364C">
        <w:rPr>
          <w:rFonts w:asciiTheme="majorBidi" w:hAnsiTheme="majorBidi" w:cstheme="majorBidi"/>
          <w:lang w:val="en-US"/>
        </w:rPr>
        <w:instrText xml:space="preserve"> ADDIN ZOTERO_ITEM CSL_CITATION {"citationID":"oTcB19M5","properties":{"formattedCitation":"(Adomaitien\\uc0\\u279{} &amp; Volungevi\\uc0\\u269{}ien\\uc0\\u279{}, 2024; Burr et al., 2020; Jeno et al., 2021; Lister et al., 2022; Moldavan et al., 2022)","plainCitation":"(Adomaitienė &amp; Volungevičienė, 2024; Burr et al., 2020; Jeno et al., 2021; Lister et al., 2022; Moldavan et al., 2022)","noteIndex":0},"citationItems":[{"id":3229,"uris":["http://zotero.org/users/9400437/items/H2SJK6VV"],"itemData":{"id":3229,"type":"article-journal","abstract":"Innovative technology-based study methods are increasingly used in teaching and learning. This not only increases the attractiveness of learning, but also creates new challenges in balancing the benefits of technology and its harm to student's wellbeing. It emerges a new concept of digital wellbeing. The research problem is how to ensure the effective and ethical use of innovative technologies for teaching and learning in a system of supporting students' digital wellbeing, while avoiding or minimizing negative impacts on students' wellbeing. It aims to justify as a system the functionality of the model of students' digital wellbeing support in a TEL environment. A theoretical framework and possible further research are presented.","container-title":"Ubiquity Proceedings","DOI":"10.5334/uproc.155","ISSN":"2631-5602","journalAbbreviation":"up","language":"en","license":"https://creativecommons.org/licenses/by/4.0","page":"33","source":"DOI.org (Crossref)","title":"Digital Wellbeing: Students' perspective","title-short":"Digital Wellbeing","author":[{"family":"Adomaitienė","given":"Kristina"},{"family":"Volungevičienė","given":"Airina"}],"issued":{"date-parts":[["2024",8,28]]}},"label":"page"},{"id":3219,"uris":["http://zotero.org/users/9400437/items/GGDGBKSZ"],"itemData":{"id":3219,"type":"article-journal","abstract":"This article presents the first thematic review of the literature on the ethical issues concerning digital well-being. The term ‘digital well-being’ is used to refer to the impact of digital technologies on what it means to live a life that is good for a human being. The review explores the existing literature on the ethics of digital well-being, with the goal of mapping the current debate and identifying open questions for future research. The review identifies major issues related to several key social domains: healthcare, education, governance and social development, and media and entertainment. It also highlights three broader themes: positive computing, personalised human–computer interaction, and autonomy and self-determination. The review argues that three themes will be central to ongoing discussions and research by showing how they can be used to identify open questions related to the ethics of digital well-being.","container-title":"Science and Engineering Ethics","DOI":"10.1007/s11948-020-00175-8","ISSN":"1471-5546","issue":"4","journalAbbreviation":"Sci Eng Ethics","language":"en","page":"2313-2343","source":"Springer Link","title":"The Ethics of Digital Well-Being: A Thematic Review","title-short":"The Ethics of Digital Well-Being","volume":"26","author":[{"family":"Burr","given":"Christopher"},{"family":"Taddeo","given":"Mariarosaria"},{"family":"Floridi","given":"Luciano"}],"issued":{"date-parts":[["2020",8,1]]}},"label":"page"},{"id":2918,"uris":["http://zotero.org/users/9400437/items/T2KSPP72"],"itemData":{"id":2918,"type":"article-journal","archive":"Scopus","container-title":"Frontiers in Psychology","DOI":"10.3389/fpsyg.2021.631564","title":"Testing the METUX Model in Higher Education: Interface and Task Need–Satisfaction Predict Engagement, Learning, and Well-Being","URL":"https://www.scopus.com/inward/record.uri?eid=2-s2.0-85102275613&amp;doi=10.3389%2ffpsyg.2021.631564&amp;partnerID=40&amp;md5=865d4fdaf0e43a25977f04595edbc8fe","volume":"12","author":[{"family":"Jeno","given":"L.M."},{"family":"Diseth","given":"Å."},{"family":"Grytnes","given":"J.-A."}],"issued":{"date-parts":[["2021"]]}}},{"id":3225,"uris":["http://zotero.org/users/9400437/items/DML7UVD5"],"itemData":{"id":3225,"type":"article-journal","abstract":"Student mental health and wellbeing are critical topics in higher education. In response to broader societal shifts in thinking around mental health and wellbeing, there are calls for universities to take a more proactive and holistic approach, working in partnership with students to embed mental wellbeing throughout learning, tuition and curricula. This paper presents two participatory projects from different United Kingdom higher education institutions, both of which took holistic, proactive and inclusive approaches toward supporting student mental wellbeing in higher education, using online and technology-based approaches. The first project is the digital “Wellbeing Pedagogies Library” at the University of Warwick, a digital repository co-designed with students to foster the sharing of pedagogical practices that support student wellbeing, and to offer a practical support to students and staff who want to create and/or sustain wellbeing-inducing teaching and learning environments. The second project is the “Mental Wellbeing in Distance Learning” project at the Open University, which piloted five digital subprojects, led by different practitioners in partnership with students, aiming to address barriers to wellbeing in different aspects of distance learning. This paper presents the participatory methods and approaches from each project, explores stakeholders’ perceptions of the value that participatory approaches added to the projects, and comparatively evaluates the projects’ outcomes in order to draw conclusions that can inform future participatory research. In doing so, it explores different types of participatory approaches that can be taken in different contexts, and how terms such as “holistic,” “proactive,” and “inclusive” may be interpreted and applied in practice. Drawing on the findings, it posits that participatory approaches and partnerships with students should be considered a priority when designing digital resources, interventions and solutions to support student mental wellbeing.","container-title":"Frontiers in Education","DOI":"10.3389/feduc.2022.924868","ISSN":"2504-284X","journalAbbreviation":"Front. Educ.","language":"en","page":"924868","source":"DOI.org (Crossref)","title":"Participatory digital approaches to embedding student wellbeing in higher education","volume":"7","author":[{"family":"Lister","given":"Kate"},{"family":"Riva","given":"Elena"},{"family":"Kukulska-Hulme","given":"Agnes"},{"family":"Fox","given":"Claudie"}],"issued":{"date-parts":[["2022",8,17]]}},"label":"page"},{"id"</w:instrText>
      </w:r>
      <w:r w:rsidRPr="0083364C">
        <w:rPr>
          <w:rFonts w:asciiTheme="majorBidi" w:hAnsiTheme="majorBidi" w:cstheme="majorBidi"/>
        </w:rPr>
        <w:instrText xml:space="preserve">:3216,"uris":["http://zotero.org/users/9400437/items/LTHDW5QS"],"itemData":{"id":3216,"type":"article-journal","abstract":"Technology can provide enriched learning experiences to engage preservice teachers in self-directed discovery and reflection that promotes well-being. This study examines a digital learning platform designed to educate preservice teachers about the social, physical, emotional, cognitive, and spiritual dimensions of well-being through targeted module activities and community forum discussions. Findings report on the pedagogical design of the platform and its implications for practice on preservice teachers’ well-being knowledge across two years of implementation in a teacher education program. Recommendations are shared for how to cultivate and sustain similar platforms to promote well-being for the retention and mental health of teachers.","container-title":"Teaching and Teacher Education","DOI":"10.1016/j.tate.2022.103732","ISSN":"0742-051X","journalAbbreviation":"Teaching and Teacher Education","page":"103732","source":"ScienceDirect","title":"Design and pedagogical implications of a digital learning platform to promote well-being in teacher education","volume":"115","author":[{"family":"Moldavan","given":"Alesia Mickle"},{"family":"Edwards-Leis","given":"Christine"},{"family":"Murray","given":"Jennifer"}],"issued":{"date-parts":[["2022",7,1]]}},"label":"page"}],"schema":"https://github.com/citation-style-language/schema/raw/master/csl-citation.json"} </w:instrText>
      </w:r>
      <w:r w:rsidRPr="0083364C">
        <w:rPr>
          <w:rFonts w:asciiTheme="majorBidi" w:hAnsiTheme="majorBidi" w:cstheme="majorBidi"/>
        </w:rPr>
        <w:fldChar w:fldCharType="separate"/>
      </w:r>
      <w:r w:rsidRPr="0083364C">
        <w:rPr>
          <w:rFonts w:asciiTheme="majorBidi" w:hAnsiTheme="majorBidi" w:cstheme="majorBidi"/>
        </w:rPr>
        <w:t>(</w:t>
      </w:r>
      <w:proofErr w:type="spellStart"/>
      <w:r w:rsidRPr="0083364C">
        <w:rPr>
          <w:rFonts w:asciiTheme="majorBidi" w:hAnsiTheme="majorBidi" w:cstheme="majorBidi"/>
        </w:rPr>
        <w:t>Adomaitienė</w:t>
      </w:r>
      <w:proofErr w:type="spellEnd"/>
      <w:r w:rsidRPr="0083364C">
        <w:rPr>
          <w:rFonts w:asciiTheme="majorBidi" w:hAnsiTheme="majorBidi" w:cstheme="majorBidi"/>
        </w:rPr>
        <w:t xml:space="preserve"> &amp; </w:t>
      </w:r>
      <w:proofErr w:type="spellStart"/>
      <w:r w:rsidRPr="0083364C">
        <w:rPr>
          <w:rFonts w:asciiTheme="majorBidi" w:hAnsiTheme="majorBidi" w:cstheme="majorBidi"/>
        </w:rPr>
        <w:t>Volungevičienė</w:t>
      </w:r>
      <w:proofErr w:type="spellEnd"/>
      <w:r w:rsidRPr="0083364C">
        <w:rPr>
          <w:rFonts w:asciiTheme="majorBidi" w:hAnsiTheme="majorBidi" w:cstheme="majorBidi"/>
        </w:rPr>
        <w:t xml:space="preserve">, 2024; Burr et al., 2020; </w:t>
      </w:r>
      <w:proofErr w:type="spellStart"/>
      <w:r w:rsidRPr="0083364C">
        <w:rPr>
          <w:rFonts w:asciiTheme="majorBidi" w:hAnsiTheme="majorBidi" w:cstheme="majorBidi"/>
        </w:rPr>
        <w:t>Jeno</w:t>
      </w:r>
      <w:proofErr w:type="spellEnd"/>
      <w:r w:rsidRPr="0083364C">
        <w:rPr>
          <w:rFonts w:asciiTheme="majorBidi" w:hAnsiTheme="majorBidi" w:cstheme="majorBidi"/>
        </w:rPr>
        <w:t xml:space="preserve"> et al., 2021; Lister et al., 2022; </w:t>
      </w:r>
      <w:proofErr w:type="spellStart"/>
      <w:r w:rsidRPr="0083364C">
        <w:rPr>
          <w:rFonts w:asciiTheme="majorBidi" w:hAnsiTheme="majorBidi" w:cstheme="majorBidi"/>
        </w:rPr>
        <w:t>Moldavan</w:t>
      </w:r>
      <w:proofErr w:type="spellEnd"/>
      <w:r w:rsidRPr="0083364C">
        <w:rPr>
          <w:rFonts w:asciiTheme="majorBidi" w:hAnsiTheme="majorBidi" w:cstheme="majorBidi"/>
        </w:rPr>
        <w:t xml:space="preserve"> et al., 2022)</w:t>
      </w:r>
      <w:r w:rsidRPr="0083364C">
        <w:rPr>
          <w:rFonts w:asciiTheme="majorBidi" w:hAnsiTheme="majorBidi" w:cstheme="majorBidi"/>
        </w:rPr>
        <w:fldChar w:fldCharType="end"/>
      </w:r>
      <w:r w:rsidRPr="0083364C">
        <w:rPr>
          <w:rFonts w:asciiTheme="majorBidi" w:hAnsiTheme="majorBidi" w:cstheme="majorBidi"/>
        </w:rPr>
        <w:t>.</w:t>
      </w:r>
    </w:p>
    <w:p w:rsidR="0083364C" w:rsidRPr="0083364C" w:rsidRDefault="0083364C" w:rsidP="0083364C">
      <w:pPr>
        <w:pStyle w:val="Paragraphedeliste"/>
        <w:numPr>
          <w:ilvl w:val="0"/>
          <w:numId w:val="4"/>
        </w:numPr>
        <w:spacing w:after="0" w:line="480" w:lineRule="auto"/>
        <w:jc w:val="both"/>
        <w:rPr>
          <w:rFonts w:asciiTheme="majorBidi" w:hAnsiTheme="majorBidi" w:cstheme="majorBidi"/>
          <w:b/>
          <w:bCs/>
        </w:rPr>
      </w:pPr>
      <w:r w:rsidRPr="0083364C">
        <w:rPr>
          <w:rFonts w:asciiTheme="majorBidi" w:hAnsiTheme="majorBidi" w:cstheme="majorBidi"/>
          <w:b/>
          <w:bCs/>
        </w:rPr>
        <w:t>Academic performance</w:t>
      </w:r>
    </w:p>
    <w:p w:rsidR="0083364C" w:rsidRPr="0083364C" w:rsidRDefault="0083364C" w:rsidP="0083364C">
      <w:pPr>
        <w:tabs>
          <w:tab w:val="left" w:pos="1740"/>
        </w:tabs>
        <w:spacing w:after="0"/>
        <w:ind w:firstLine="567"/>
        <w:rPr>
          <w:rFonts w:asciiTheme="majorBidi" w:hAnsiTheme="majorBidi" w:cstheme="majorBidi"/>
        </w:rPr>
      </w:pPr>
      <w:r w:rsidRPr="0083364C">
        <w:rPr>
          <w:rFonts w:asciiTheme="majorBidi" w:hAnsiTheme="majorBidi" w:cstheme="majorBidi"/>
          <w:lang w:val="en-US"/>
        </w:rPr>
        <w:t xml:space="preserve">In recent years, the notion of performance has been the subject of numerous studies, as it plays a dominant role in all human activities. This is why academic performance has become one of the primary concerns of universities. Recently, with new reforms emphasizing the quality of education, technologies have been implemented to enhance learning practices and promote student success. Student performance is boosted by the success of the technology, while ensuring a positive and supportive digital environment where students feel encouraged to achieve good academic results. It can be deduced that academic performance is an important factor in students' well-being </w:t>
      </w:r>
      <w:r w:rsidRPr="0083364C">
        <w:rPr>
          <w:rFonts w:asciiTheme="majorBidi" w:hAnsiTheme="majorBidi" w:cstheme="majorBidi"/>
        </w:rPr>
        <w:fldChar w:fldCharType="begin"/>
      </w:r>
      <w:r w:rsidRPr="0083364C">
        <w:rPr>
          <w:rFonts w:asciiTheme="majorBidi" w:hAnsiTheme="majorBidi" w:cstheme="majorBidi"/>
          <w:lang w:val="en-US"/>
        </w:rPr>
        <w:instrText xml:space="preserve"> ADDIN ZOTERO_ITEM CSL_CITATION {"citationID":"CG4RocvY","properties":{"formattedCitation":"(Al-Kumaim et al., 2021; Boulton et al., 2019; Douwes et al., 2023; EL HAFID et al., 2021)","plainCitation":"(Al-Kumaim et al., 2021; Boulton et al., 2019; Douwes et al., 2023; EL HAFID et al., 2021)","noteIndex":0},"citationItems":[{"id":2718,"uris":["http://zotero.org/users/9400437/items/6TB9RSJ2"],"itemData":{"id":2718,"type":"article-journal","archive":"Scopus","container-title":"Sustainability (Switzerland)","DOI":"10.3390/su13052546","issue":"5","page":"1-21","title":"Exploring the impact of the covid-19 pandemic on university students’ learning life: An integrated conceptual motivational model for sustainable and healthy online learning","volume":"13","author":[{"family":"Al-Kumaim","given":"N.H."},{"family":"Alhazmi","given":"A.K."},{"family":"Mohammed","given":"F."},{"family":"Gazem","given":"N.A."},{"family":"Shabbir","given":"M.S."},{"family":"Fazea","given":"Y."}],"issued":{"date-parts":[["2021"]]}}},{"id":3091,"uris":["http://zotero.org/users/9400437/items/8M68F539"],"itemData":{"id":3091,"type":"article-journal","container-title":"PLOS ONE","DOI":"10.1371/journal.pone.0225770","ISSN":"1932-6203","issue":"11","journalAbbreviation":"PLoS ONE","language":"en","page":"e0225770","source":"DOI.org (Crossref)","title":"Student engagement and wellbeing over time at a higher education institution","volume":"14","author":[{"family":"Boulton","given":"Chris A."},{"family":"Hughes","given":"Emily"},{"family":"Kent","given":"Carmel"},{"family":"Smith","given":"Joanne R."},{"family":"Williams","given":"Hywel T. P."}],"editor":[{"family":"Della Giusta","given":"Marina"}],"issued":{"date-parts":[["2019",11,27]]}},"label":"page"},{"id":3214,"uris":["http://zotero.org/users/9400437/items/ZF7DIAHL"],"itemData":{"id":3214,"type":"article-journal","abstract":"Recently, there has been an increased interest in the well-being of students in higher education. Despite the widespread consensus on the importance of student well-being, a clear definition continues to be lacking. This study qualitatively examined the student perspective on the topic through semi-structured interviews at a university of applied sciences in the Netherlands (n = 27). A major recurring theme was well-being as a balance in the interplay between efforts directed towards studies and life beyond studies. This method of perceiving well-being deviates from theoretical definitions. Students mentioned various factors that influence their well-being. Responses ranged from personal and university related factors to external factors beyond their educational institution. This study contributes to the body of knowledge on the well-being of students in higher education and provides suggestions for educational institutions, such as incorporating a holistic perspective on students and learning; and focus points for the development of policies and practices.","container-title":"Cogent Education","DOI":"10.1080/2331186X.2023.2190697","ISSN":"null","issue":"1","note":"publisher: Cogent OA\n_eprint: https://doi.org/10.1080/2331186X.2023.2190697","page":"2190697","source":"Taylor and Francis+NEJM","title":"Well-being of students in higher education: The importance of a student perspective","title-short":"Well-being of students in higher education","volume":"10","author":[{"family":"Douwes","given":"Rynke"},{"family":"Metselaar","given":"Janneke"},{"family":"Pijnenborg","given":"Gerdina Hendrika Maria"},{"family":"Boonstra","given":"Nynke"}],"issued":{"date-parts":[["2023",12,31]]}},"label":"page"},{"id":3105,"uris":["http://zotero.org/users/9400437/items/8YNJITSP"],"itemData":{"id":3105,"type":"article-journal","abstract":"Improving the quality of education is a priority for most developing countries. Policy makers generally agree that such improvements can bring about productive structural change and stimulate long-term economic growth. Governments face the challenge of identifying effective and technological ways to use their limited resources and improve the quality of education. Indeed, these resources are manifested in information technology, which has grown at an accelerated rate in recent decades, significantly impacting on the way universities operate and forcing them to rethink the way they conceptualize their teaching strategies. Information technology can provide universities with powerful strategic and tactical tools which, if properly applied and used, could bring great advantages in promoting and str</w:instrText>
      </w:r>
      <w:r w:rsidRPr="0083364C">
        <w:rPr>
          <w:rFonts w:asciiTheme="majorBidi" w:hAnsiTheme="majorBidi" w:cstheme="majorBidi"/>
        </w:rPr>
        <w:instrText xml:space="preserve">engthening their competitiveness. Information technology is a means to facilitate communication and exchange of information as well as to facilitate knowledge sharing between different actors in the university. This is why universities invest in and govern their information technology assets and practices. At this level, information technology can be used to improve collaboration and networking among faculty, students and administrative officials, as it removes barriers to real-time communication and effective information sharing. As the existing literature illustrates, information technology appears to have positive correlations with improved academic performance and student success. The purpose of this paper is to examine the impact of information technology on academic performance and student success and to describe the factors that affect this impact.","DOI":"10.5281/ZENODO.5148432","language":"fr","license":"Creative Commons Attribution 4.0 International, Open Access","note":"publisher: Zenodo","source":"DOI.org (Datacite)","title":"L'impact de la technologie d'information sur la performance des universités et la réussite des étudiants","URL":"https://zenodo.org/record/5148432","author":[{"family":"EL HAFID","given":"KARIMA EL"},{"literal":"SOUÀD RAFIQ"},{"literal":"SARA AMSIDDER"}],"accessed":{"date-parts":[["2024",8,4]]},"issued":{"date-parts":[["2021",7,30]]}},"label":"page"}],"schema":"https://github.com/citation-style-language/schema/raw/master/csl-citation.json"} </w:instrText>
      </w:r>
      <w:r w:rsidRPr="0083364C">
        <w:rPr>
          <w:rFonts w:asciiTheme="majorBidi" w:hAnsiTheme="majorBidi" w:cstheme="majorBidi"/>
        </w:rPr>
        <w:fldChar w:fldCharType="separate"/>
      </w:r>
      <w:r w:rsidRPr="0083364C">
        <w:rPr>
          <w:rFonts w:asciiTheme="majorBidi" w:hAnsiTheme="majorBidi" w:cstheme="majorBidi"/>
        </w:rPr>
        <w:t>(Al-</w:t>
      </w:r>
      <w:proofErr w:type="spellStart"/>
      <w:r w:rsidRPr="0083364C">
        <w:rPr>
          <w:rFonts w:asciiTheme="majorBidi" w:hAnsiTheme="majorBidi" w:cstheme="majorBidi"/>
        </w:rPr>
        <w:t>Kumaim</w:t>
      </w:r>
      <w:proofErr w:type="spellEnd"/>
      <w:r w:rsidRPr="0083364C">
        <w:rPr>
          <w:rFonts w:asciiTheme="majorBidi" w:hAnsiTheme="majorBidi" w:cstheme="majorBidi"/>
        </w:rPr>
        <w:t xml:space="preserve"> et al., 2021; </w:t>
      </w:r>
      <w:proofErr w:type="spellStart"/>
      <w:r w:rsidRPr="0083364C">
        <w:rPr>
          <w:rFonts w:asciiTheme="majorBidi" w:hAnsiTheme="majorBidi" w:cstheme="majorBidi"/>
        </w:rPr>
        <w:t>Boulton</w:t>
      </w:r>
      <w:proofErr w:type="spellEnd"/>
      <w:r w:rsidRPr="0083364C">
        <w:rPr>
          <w:rFonts w:asciiTheme="majorBidi" w:hAnsiTheme="majorBidi" w:cstheme="majorBidi"/>
        </w:rPr>
        <w:t xml:space="preserve"> et al., 2019; </w:t>
      </w:r>
      <w:proofErr w:type="spellStart"/>
      <w:r w:rsidRPr="0083364C">
        <w:rPr>
          <w:rFonts w:asciiTheme="majorBidi" w:hAnsiTheme="majorBidi" w:cstheme="majorBidi"/>
        </w:rPr>
        <w:t>Douwes</w:t>
      </w:r>
      <w:proofErr w:type="spellEnd"/>
      <w:r w:rsidRPr="0083364C">
        <w:rPr>
          <w:rFonts w:asciiTheme="majorBidi" w:hAnsiTheme="majorBidi" w:cstheme="majorBidi"/>
        </w:rPr>
        <w:t xml:space="preserve"> et al., 2023; EL HAFID et al., 2021)</w:t>
      </w:r>
      <w:r w:rsidRPr="0083364C">
        <w:rPr>
          <w:rFonts w:asciiTheme="majorBidi" w:hAnsiTheme="majorBidi" w:cstheme="majorBidi"/>
        </w:rPr>
        <w:fldChar w:fldCharType="end"/>
      </w:r>
      <w:r w:rsidRPr="0083364C">
        <w:rPr>
          <w:rFonts w:asciiTheme="majorBidi" w:hAnsiTheme="majorBidi" w:cstheme="majorBidi"/>
        </w:rPr>
        <w:t>.</w:t>
      </w:r>
    </w:p>
    <w:p w:rsidR="0083364C" w:rsidRPr="0083364C" w:rsidRDefault="0083364C" w:rsidP="0083364C">
      <w:pPr>
        <w:tabs>
          <w:tab w:val="left" w:pos="1740"/>
        </w:tabs>
        <w:spacing w:after="0"/>
        <w:ind w:firstLine="567"/>
        <w:rPr>
          <w:rFonts w:asciiTheme="majorBidi" w:hAnsiTheme="majorBidi" w:cstheme="majorBidi"/>
          <w:lang w:val="en-US"/>
        </w:rPr>
      </w:pPr>
      <w:r w:rsidRPr="0083364C">
        <w:rPr>
          <w:rFonts w:asciiTheme="majorBidi" w:hAnsiTheme="majorBidi" w:cstheme="majorBidi"/>
          <w:lang w:val="en-US"/>
        </w:rPr>
        <w:t>The results of our analysis highlight several factors influencing student well-being, such as engagement, self-efficacy, autonomy, and academic performance, have been identified. These variables are summarized in a conceptual model, as show in figure 4.</w:t>
      </w:r>
    </w:p>
    <w:p w:rsidR="00583140" w:rsidRPr="0083364C" w:rsidRDefault="0083364C" w:rsidP="0083364C">
      <w:pPr>
        <w:jc w:val="center"/>
        <w:rPr>
          <w:bdr w:val="none" w:sz="0" w:space="0" w:color="auto" w:frame="1"/>
          <w:lang w:val="en-US" w:eastAsia="es-MX"/>
        </w:rPr>
      </w:pPr>
      <w:r>
        <w:rPr>
          <w:noProof/>
        </w:rPr>
        <w:drawing>
          <wp:inline distT="0" distB="0" distL="0" distR="0" wp14:anchorId="2434FEED" wp14:editId="2024860B">
            <wp:extent cx="5243830" cy="1962150"/>
            <wp:effectExtent l="0" t="0" r="0" b="0"/>
            <wp:docPr id="22" name="Image 22"/>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rotWithShape="1">
                    <a:blip r:embed="rId9">
                      <a:extLst>
                        <a:ext uri="{28A0092B-C50C-407E-A947-70E740481C1C}">
                          <a14:useLocalDpi xmlns:a14="http://schemas.microsoft.com/office/drawing/2010/main" val="0"/>
                        </a:ext>
                      </a:extLst>
                    </a:blip>
                    <a:srcRect t="16420" b="13817"/>
                    <a:stretch/>
                  </pic:blipFill>
                  <pic:spPr bwMode="auto">
                    <a:xfrm>
                      <a:off x="0" y="0"/>
                      <a:ext cx="5243830" cy="1962150"/>
                    </a:xfrm>
                    <a:prstGeom prst="rect">
                      <a:avLst/>
                    </a:prstGeom>
                    <a:noFill/>
                    <a:ln>
                      <a:noFill/>
                    </a:ln>
                    <a:extLst>
                      <a:ext uri="{53640926-AAD7-44D8-BBD7-CCE9431645EC}">
                        <a14:shadowObscured xmlns:a14="http://schemas.microsoft.com/office/drawing/2010/main"/>
                      </a:ext>
                    </a:extLst>
                  </pic:spPr>
                </pic:pic>
              </a:graphicData>
            </a:graphic>
          </wp:inline>
        </w:drawing>
      </w:r>
    </w:p>
    <w:p w:rsidR="0083364C" w:rsidRPr="0083364C" w:rsidRDefault="0083364C" w:rsidP="0083364C">
      <w:pPr>
        <w:jc w:val="center"/>
        <w:rPr>
          <w:sz w:val="20"/>
          <w:szCs w:val="20"/>
          <w:lang w:val="en-US"/>
        </w:rPr>
      </w:pPr>
      <w:r w:rsidRPr="0083364C">
        <w:rPr>
          <w:b/>
          <w:bdr w:val="none" w:sz="0" w:space="0" w:color="auto" w:frame="1"/>
          <w:lang w:val="hr-HR" w:eastAsia="es-MX"/>
        </w:rPr>
        <w:t>Figure 4</w:t>
      </w:r>
      <w:r w:rsidRPr="0083364C">
        <w:rPr>
          <w:bdr w:val="none" w:sz="0" w:space="0" w:color="auto" w:frame="1"/>
          <w:lang w:val="hr-HR" w:eastAsia="es-MX"/>
        </w:rPr>
        <w:t xml:space="preserve"> Conceptual model proposed</w:t>
      </w:r>
    </w:p>
    <w:p w:rsidR="0083364C" w:rsidRPr="0083364C" w:rsidRDefault="0083364C" w:rsidP="0083364C">
      <w:pPr>
        <w:jc w:val="center"/>
        <w:rPr>
          <w:sz w:val="20"/>
          <w:szCs w:val="20"/>
          <w:lang w:val="en-US"/>
        </w:rPr>
      </w:pPr>
      <w:r w:rsidRPr="0083364C">
        <w:t>Source :</w:t>
      </w:r>
      <w:r w:rsidRPr="0083364C">
        <w:rPr>
          <w:sz w:val="16"/>
          <w:szCs w:val="16"/>
          <w:lang w:val="en-US"/>
        </w:rPr>
        <w:t xml:space="preserve"> </w:t>
      </w:r>
      <w:r w:rsidRPr="0083364C">
        <w:rPr>
          <w:bdr w:val="none" w:sz="0" w:space="0" w:color="auto" w:frame="1"/>
          <w:lang w:val="hr-HR" w:eastAsia="es-MX"/>
        </w:rPr>
        <w:t>by authors</w:t>
      </w:r>
    </w:p>
    <w:p w:rsidR="0083364C" w:rsidRPr="00217008" w:rsidRDefault="0083364C" w:rsidP="0083364C">
      <w:pPr>
        <w:tabs>
          <w:tab w:val="left" w:pos="1740"/>
        </w:tabs>
        <w:spacing w:after="0" w:line="240" w:lineRule="auto"/>
        <w:ind w:firstLine="567"/>
        <w:rPr>
          <w:b/>
          <w:bCs/>
          <w:sz w:val="20"/>
          <w:szCs w:val="20"/>
          <w:lang w:val="en-US"/>
        </w:rPr>
      </w:pPr>
    </w:p>
    <w:p w:rsidR="0083364C" w:rsidRPr="00217008" w:rsidRDefault="0083364C" w:rsidP="00217008">
      <w:pPr>
        <w:rPr>
          <w:b/>
          <w:bCs/>
          <w:lang w:val="en-US"/>
        </w:rPr>
      </w:pPr>
      <w:r w:rsidRPr="00217008">
        <w:rPr>
          <w:b/>
          <w:bCs/>
          <w:lang w:val="en-US"/>
        </w:rPr>
        <w:t xml:space="preserve">5. Conclusions and futures </w:t>
      </w:r>
      <w:bookmarkStart w:id="1" w:name="_Hlk106921001"/>
      <w:r w:rsidR="00217008" w:rsidRPr="00217008">
        <w:rPr>
          <w:b/>
          <w:bCs/>
          <w:lang w:val="en-US"/>
        </w:rPr>
        <w:t>recommendations</w:t>
      </w:r>
    </w:p>
    <w:bookmarkEnd w:id="1"/>
    <w:p w:rsidR="0083364C" w:rsidRDefault="0083364C" w:rsidP="00217008">
      <w:pPr>
        <w:rPr>
          <w:lang w:val="en-US"/>
        </w:rPr>
      </w:pPr>
      <w:r>
        <w:rPr>
          <w:lang w:val="en-US"/>
        </w:rPr>
        <w:t xml:space="preserve">The objective of our article was to present the impact of digital technologies on university students well-being. A dual analysis was conducted using a visual approach via NVIVO software and a content analysis for a detailed examination of the 20 selected articles. According to our findings, university students’ well-being improves as they adapt to a changing environment. This is why universities must play an important role in improving the well-being of learners, especially with the emergence of artificial intelligence, virtual reality... From this perspective, it can be deduced that adaptive </w:t>
      </w:r>
      <w:r w:rsidR="00217008">
        <w:rPr>
          <w:lang w:val="en-US"/>
        </w:rPr>
        <w:t>learning,</w:t>
      </w:r>
      <w:r>
        <w:rPr>
          <w:lang w:val="en-US"/>
        </w:rPr>
        <w:t xml:space="preserve"> in such a context, can not only promote students’ well-being, but also improve their academic performance. However, our study also has limitations, in particular a restricted database. For future research, other databases could be consulted, such as: Web of science, ERIC...The improvement of databases may highlight additional variables. Finally, the proposed conceptual model could be subjected to a quantitative study to test the relationships between variables</w:t>
      </w:r>
      <w:r w:rsidR="00AA6F8A">
        <w:rPr>
          <w:lang w:val="en-US"/>
        </w:rPr>
        <w:t>.</w:t>
      </w:r>
    </w:p>
    <w:p w:rsidR="00583140" w:rsidRDefault="00217008" w:rsidP="00217008">
      <w:pPr>
        <w:rPr>
          <w:b/>
          <w:bCs/>
          <w:lang w:val="en-US"/>
        </w:rPr>
      </w:pPr>
      <w:r w:rsidRPr="00217008">
        <w:rPr>
          <w:b/>
          <w:bCs/>
          <w:lang w:val="en-US"/>
        </w:rPr>
        <w:t>References</w:t>
      </w:r>
    </w:p>
    <w:p w:rsidR="00217008" w:rsidRPr="00217008" w:rsidRDefault="00217008" w:rsidP="00217008">
      <w:pPr>
        <w:pStyle w:val="Bibliographie"/>
        <w:rPr>
          <w:rFonts w:cs="Times New Roman"/>
          <w:lang w:val="en-US"/>
        </w:rPr>
      </w:pPr>
      <w:r>
        <w:rPr>
          <w:b/>
          <w:bCs/>
          <w:lang w:val="en-US"/>
        </w:rPr>
        <w:fldChar w:fldCharType="begin"/>
      </w:r>
      <w:r>
        <w:rPr>
          <w:b/>
          <w:bCs/>
          <w:lang w:val="en-US"/>
        </w:rPr>
        <w:instrText xml:space="preserve"> ADDIN ZOTERO_BIBL {"uncited":[],"omitted":[],"custom":[]} CSL_BIBLIOGRAPHY </w:instrText>
      </w:r>
      <w:r>
        <w:rPr>
          <w:b/>
          <w:bCs/>
          <w:lang w:val="en-US"/>
        </w:rPr>
        <w:fldChar w:fldCharType="separate"/>
      </w:r>
      <w:proofErr w:type="spellStart"/>
      <w:r w:rsidRPr="00217008">
        <w:rPr>
          <w:rFonts w:cs="Times New Roman"/>
          <w:lang w:val="en-US"/>
        </w:rPr>
        <w:t>Abdillah</w:t>
      </w:r>
      <w:proofErr w:type="spellEnd"/>
      <w:r w:rsidRPr="00217008">
        <w:rPr>
          <w:rFonts w:cs="Times New Roman"/>
          <w:lang w:val="en-US"/>
        </w:rPr>
        <w:t xml:space="preserve">, H. Z., &amp; </w:t>
      </w:r>
      <w:proofErr w:type="spellStart"/>
      <w:r w:rsidRPr="00217008">
        <w:rPr>
          <w:rFonts w:cs="Times New Roman"/>
          <w:lang w:val="en-US"/>
        </w:rPr>
        <w:t>Madjid</w:t>
      </w:r>
      <w:proofErr w:type="spellEnd"/>
      <w:r w:rsidRPr="00217008">
        <w:rPr>
          <w:rFonts w:cs="Times New Roman"/>
          <w:lang w:val="en-US"/>
        </w:rPr>
        <w:t xml:space="preserve">, A. (2023). Enhancing Student Well-being through AI Chat GPT in the Smart Education University Learning </w:t>
      </w:r>
      <w:proofErr w:type="gramStart"/>
      <w:r w:rsidRPr="00217008">
        <w:rPr>
          <w:rFonts w:cs="Times New Roman"/>
          <w:lang w:val="en-US"/>
        </w:rPr>
        <w:t>Environment :</w:t>
      </w:r>
      <w:proofErr w:type="gramEnd"/>
      <w:r w:rsidRPr="00217008">
        <w:rPr>
          <w:rFonts w:cs="Times New Roman"/>
          <w:lang w:val="en-US"/>
        </w:rPr>
        <w:t xml:space="preserve"> A Preliminary Review of Research Literature. 440. Scopus. https://doi.org/10.1051/e3sconf/202344005005</w:t>
      </w:r>
    </w:p>
    <w:p w:rsidR="00217008" w:rsidRPr="00217008" w:rsidRDefault="00217008" w:rsidP="00217008">
      <w:pPr>
        <w:pStyle w:val="Bibliographie"/>
        <w:rPr>
          <w:rFonts w:cs="Times New Roman"/>
          <w:lang w:val="en-US"/>
        </w:rPr>
      </w:pPr>
      <w:proofErr w:type="spellStart"/>
      <w:r w:rsidRPr="00217008">
        <w:rPr>
          <w:rFonts w:cs="Times New Roman"/>
          <w:lang w:val="en-US"/>
        </w:rPr>
        <w:t>Adomaitienė</w:t>
      </w:r>
      <w:proofErr w:type="spellEnd"/>
      <w:r w:rsidRPr="00217008">
        <w:rPr>
          <w:rFonts w:cs="Times New Roman"/>
          <w:lang w:val="en-US"/>
        </w:rPr>
        <w:t xml:space="preserve">, K., &amp; </w:t>
      </w:r>
      <w:proofErr w:type="spellStart"/>
      <w:r w:rsidRPr="00217008">
        <w:rPr>
          <w:rFonts w:cs="Times New Roman"/>
          <w:lang w:val="en-US"/>
        </w:rPr>
        <w:t>Volungevičienė</w:t>
      </w:r>
      <w:proofErr w:type="spellEnd"/>
      <w:r w:rsidRPr="00217008">
        <w:rPr>
          <w:rFonts w:cs="Times New Roman"/>
          <w:lang w:val="en-US"/>
        </w:rPr>
        <w:t xml:space="preserve">, A. (2024). Digital </w:t>
      </w:r>
      <w:proofErr w:type="gramStart"/>
      <w:r w:rsidRPr="00217008">
        <w:rPr>
          <w:rFonts w:cs="Times New Roman"/>
          <w:lang w:val="en-US"/>
        </w:rPr>
        <w:t>Wellbeing :</w:t>
      </w:r>
      <w:proofErr w:type="gramEnd"/>
      <w:r w:rsidRPr="00217008">
        <w:rPr>
          <w:rFonts w:cs="Times New Roman"/>
          <w:lang w:val="en-US"/>
        </w:rPr>
        <w:t xml:space="preserve"> Students’ perspective. Ubiquity Proceedings, 33. https://doi.org/10.5334/uproc.155</w:t>
      </w:r>
    </w:p>
    <w:p w:rsidR="00217008" w:rsidRPr="00217008" w:rsidRDefault="00217008" w:rsidP="00217008">
      <w:pPr>
        <w:pStyle w:val="Bibliographie"/>
        <w:rPr>
          <w:rFonts w:cs="Times New Roman"/>
          <w:lang w:val="en-US"/>
        </w:rPr>
      </w:pPr>
      <w:r w:rsidRPr="00217008">
        <w:rPr>
          <w:rFonts w:cs="Times New Roman"/>
          <w:lang w:val="en-US"/>
        </w:rPr>
        <w:t>Al-</w:t>
      </w:r>
      <w:proofErr w:type="spellStart"/>
      <w:r w:rsidRPr="00217008">
        <w:rPr>
          <w:rFonts w:cs="Times New Roman"/>
          <w:lang w:val="en-US"/>
        </w:rPr>
        <w:t>Kumaim</w:t>
      </w:r>
      <w:proofErr w:type="spellEnd"/>
      <w:r w:rsidRPr="00217008">
        <w:rPr>
          <w:rFonts w:cs="Times New Roman"/>
          <w:lang w:val="en-US"/>
        </w:rPr>
        <w:t xml:space="preserve">, N. H., </w:t>
      </w:r>
      <w:proofErr w:type="spellStart"/>
      <w:r w:rsidRPr="00217008">
        <w:rPr>
          <w:rFonts w:cs="Times New Roman"/>
          <w:lang w:val="en-US"/>
        </w:rPr>
        <w:t>Alhazmi</w:t>
      </w:r>
      <w:proofErr w:type="spellEnd"/>
      <w:r w:rsidRPr="00217008">
        <w:rPr>
          <w:rFonts w:cs="Times New Roman"/>
          <w:lang w:val="en-US"/>
        </w:rPr>
        <w:t xml:space="preserve">, A. K., Mohammed, F., </w:t>
      </w:r>
      <w:proofErr w:type="spellStart"/>
      <w:r w:rsidRPr="00217008">
        <w:rPr>
          <w:rFonts w:cs="Times New Roman"/>
          <w:lang w:val="en-US"/>
        </w:rPr>
        <w:t>Gazem</w:t>
      </w:r>
      <w:proofErr w:type="spellEnd"/>
      <w:r w:rsidRPr="00217008">
        <w:rPr>
          <w:rFonts w:cs="Times New Roman"/>
          <w:lang w:val="en-US"/>
        </w:rPr>
        <w:t xml:space="preserve">, N. A., Shabbir, M. S., &amp; </w:t>
      </w:r>
      <w:proofErr w:type="spellStart"/>
      <w:r w:rsidRPr="00217008">
        <w:rPr>
          <w:rFonts w:cs="Times New Roman"/>
          <w:lang w:val="en-US"/>
        </w:rPr>
        <w:t>Fazea</w:t>
      </w:r>
      <w:proofErr w:type="spellEnd"/>
      <w:r w:rsidRPr="00217008">
        <w:rPr>
          <w:rFonts w:cs="Times New Roman"/>
          <w:lang w:val="en-US"/>
        </w:rPr>
        <w:t xml:space="preserve">, Y. (2021). Exploring the impact of the covid-19 pandemic on university students’ learning </w:t>
      </w:r>
      <w:proofErr w:type="gramStart"/>
      <w:r w:rsidRPr="00217008">
        <w:rPr>
          <w:rFonts w:cs="Times New Roman"/>
          <w:lang w:val="en-US"/>
        </w:rPr>
        <w:t>life :</w:t>
      </w:r>
      <w:proofErr w:type="gramEnd"/>
      <w:r w:rsidRPr="00217008">
        <w:rPr>
          <w:rFonts w:cs="Times New Roman"/>
          <w:lang w:val="en-US"/>
        </w:rPr>
        <w:t xml:space="preserve"> An integrated conceptual motivational model for sustainable and healthy online learning. Sustainability (Switzerland), 13(5), 1‑21. Scopus. https://doi.org/10.3390/su13052546</w:t>
      </w:r>
    </w:p>
    <w:p w:rsidR="00217008" w:rsidRPr="00217008" w:rsidRDefault="00217008" w:rsidP="00217008">
      <w:pPr>
        <w:pStyle w:val="Bibliographie"/>
        <w:rPr>
          <w:rFonts w:cs="Times New Roman"/>
          <w:lang w:val="en-US"/>
        </w:rPr>
      </w:pPr>
      <w:r w:rsidRPr="00217008">
        <w:rPr>
          <w:rFonts w:cs="Times New Roman"/>
          <w:lang w:val="en-US"/>
        </w:rPr>
        <w:t xml:space="preserve">Al-Said, K. (2023). Effect of ‗Bring Your Own </w:t>
      </w:r>
      <w:proofErr w:type="gramStart"/>
      <w:r w:rsidR="00AA6F8A" w:rsidRPr="00217008">
        <w:rPr>
          <w:rFonts w:cs="Times New Roman"/>
          <w:lang w:val="en-US"/>
        </w:rPr>
        <w:t>Device‘</w:t>
      </w:r>
      <w:proofErr w:type="gramEnd"/>
      <w:r w:rsidR="00AA6F8A" w:rsidRPr="00217008">
        <w:rPr>
          <w:rFonts w:cs="Times New Roman"/>
          <w:lang w:val="en-US"/>
        </w:rPr>
        <w:t>(</w:t>
      </w:r>
      <w:r w:rsidRPr="00217008">
        <w:rPr>
          <w:rFonts w:cs="Times New Roman"/>
          <w:lang w:val="en-US"/>
        </w:rPr>
        <w:t>BYOD) on Student Behavior, Well-Being, and Learning Economic Disciplines. International Journal of Information and Education Technology, 13(4), 658‑663. Scopus. https://doi.org/10.18178/ijiet.2023.13.4.1850</w:t>
      </w:r>
    </w:p>
    <w:p w:rsidR="00217008" w:rsidRPr="00217008" w:rsidRDefault="00217008" w:rsidP="00217008">
      <w:pPr>
        <w:pStyle w:val="Bibliographie"/>
        <w:rPr>
          <w:rFonts w:cs="Times New Roman"/>
          <w:lang w:val="en-US"/>
        </w:rPr>
      </w:pPr>
      <w:r w:rsidRPr="00217008">
        <w:rPr>
          <w:rFonts w:cs="Times New Roman"/>
          <w:lang w:val="en-US"/>
        </w:rPr>
        <w:t xml:space="preserve">An, N., </w:t>
      </w:r>
      <w:proofErr w:type="spellStart"/>
      <w:r w:rsidRPr="00217008">
        <w:rPr>
          <w:rFonts w:cs="Times New Roman"/>
          <w:lang w:val="en-US"/>
        </w:rPr>
        <w:t>Vesty</w:t>
      </w:r>
      <w:proofErr w:type="spellEnd"/>
      <w:r w:rsidRPr="00217008">
        <w:rPr>
          <w:rFonts w:cs="Times New Roman"/>
          <w:lang w:val="en-US"/>
        </w:rPr>
        <w:t>, G., &amp; Cheong, C. (2023). Defining Digital Wellbeing Literacy in Remote Work Integrated Learning. Australasian Journal of Information Systems, 27. Scopus. https://doi.org/10.3127/ajis.v27i0.3969</w:t>
      </w:r>
    </w:p>
    <w:p w:rsidR="00217008" w:rsidRPr="00217008" w:rsidRDefault="00217008" w:rsidP="00217008">
      <w:pPr>
        <w:pStyle w:val="Bibliographie"/>
        <w:rPr>
          <w:rFonts w:cs="Times New Roman"/>
          <w:lang w:val="en-US"/>
        </w:rPr>
      </w:pPr>
      <w:proofErr w:type="spellStart"/>
      <w:r w:rsidRPr="00217008">
        <w:rPr>
          <w:rFonts w:cs="Times New Roman"/>
          <w:lang w:val="en-US"/>
        </w:rPr>
        <w:t>Asad</w:t>
      </w:r>
      <w:proofErr w:type="spellEnd"/>
      <w:r w:rsidRPr="00217008">
        <w:rPr>
          <w:rFonts w:cs="Times New Roman"/>
          <w:lang w:val="en-US"/>
        </w:rPr>
        <w:t xml:space="preserve">, M. M., </w:t>
      </w:r>
      <w:proofErr w:type="spellStart"/>
      <w:r w:rsidRPr="00217008">
        <w:rPr>
          <w:rFonts w:cs="Times New Roman"/>
          <w:lang w:val="en-US"/>
        </w:rPr>
        <w:t>Erum</w:t>
      </w:r>
      <w:proofErr w:type="spellEnd"/>
      <w:r w:rsidRPr="00217008">
        <w:rPr>
          <w:rFonts w:cs="Times New Roman"/>
          <w:lang w:val="en-US"/>
        </w:rPr>
        <w:t xml:space="preserve">, D., </w:t>
      </w:r>
      <w:proofErr w:type="spellStart"/>
      <w:r w:rsidRPr="00217008">
        <w:rPr>
          <w:rFonts w:cs="Times New Roman"/>
          <w:lang w:val="en-US"/>
        </w:rPr>
        <w:t>Churi</w:t>
      </w:r>
      <w:proofErr w:type="spellEnd"/>
      <w:r w:rsidRPr="00217008">
        <w:rPr>
          <w:rFonts w:cs="Times New Roman"/>
          <w:lang w:val="en-US"/>
        </w:rPr>
        <w:t xml:space="preserve">, P., &amp; Moreno Guerrero, A. J. (2023). Effect of technostress on Psychological well-being of post-graduate </w:t>
      </w:r>
      <w:proofErr w:type="gramStart"/>
      <w:r w:rsidRPr="00217008">
        <w:rPr>
          <w:rFonts w:cs="Times New Roman"/>
          <w:lang w:val="en-US"/>
        </w:rPr>
        <w:t>students :</w:t>
      </w:r>
      <w:proofErr w:type="gramEnd"/>
      <w:r w:rsidRPr="00217008">
        <w:rPr>
          <w:rFonts w:cs="Times New Roman"/>
          <w:lang w:val="en-US"/>
        </w:rPr>
        <w:t xml:space="preserve"> A perspective and correlational study of Higher Education Management. International Journal of Information Management Data Insights, 3(1). Scopus. https://doi.org/10.1016/j.jjimei.2022.100149</w:t>
      </w:r>
    </w:p>
    <w:p w:rsidR="00217008" w:rsidRPr="00217008" w:rsidRDefault="00217008" w:rsidP="00217008">
      <w:pPr>
        <w:pStyle w:val="Bibliographie"/>
        <w:rPr>
          <w:rFonts w:cs="Times New Roman"/>
          <w:lang w:val="en-US"/>
        </w:rPr>
      </w:pPr>
      <w:r w:rsidRPr="00217008">
        <w:rPr>
          <w:rFonts w:cs="Times New Roman"/>
          <w:lang w:val="en-US"/>
        </w:rPr>
        <w:t>Boulton, C. A., Hughes, E., Kent, C., Smith, J. R., &amp; Williams, H. T. P. (2019). Student engagement and wellbeing over time at a higher education institution. PLOS ONE, 14(11), e0225770. https://doi.org/10.1371/journal.pone.0225770</w:t>
      </w:r>
    </w:p>
    <w:p w:rsidR="00217008" w:rsidRPr="00217008" w:rsidRDefault="00217008" w:rsidP="00217008">
      <w:pPr>
        <w:pStyle w:val="Bibliographie"/>
        <w:rPr>
          <w:rFonts w:cs="Times New Roman"/>
          <w:lang w:val="en-US"/>
        </w:rPr>
      </w:pPr>
      <w:r w:rsidRPr="00217008">
        <w:rPr>
          <w:rFonts w:cs="Times New Roman"/>
          <w:lang w:val="en-US"/>
        </w:rPr>
        <w:t xml:space="preserve">Burr, C., Taddeo, M., &amp; </w:t>
      </w:r>
      <w:proofErr w:type="spellStart"/>
      <w:r w:rsidRPr="00217008">
        <w:rPr>
          <w:rFonts w:cs="Times New Roman"/>
          <w:lang w:val="en-US"/>
        </w:rPr>
        <w:t>Floridi</w:t>
      </w:r>
      <w:proofErr w:type="spellEnd"/>
      <w:r w:rsidRPr="00217008">
        <w:rPr>
          <w:rFonts w:cs="Times New Roman"/>
          <w:lang w:val="en-US"/>
        </w:rPr>
        <w:t>, L. (2020). The Ethics of Digital Well-</w:t>
      </w:r>
      <w:proofErr w:type="gramStart"/>
      <w:r w:rsidRPr="00217008">
        <w:rPr>
          <w:rFonts w:cs="Times New Roman"/>
          <w:lang w:val="en-US"/>
        </w:rPr>
        <w:t>Being :</w:t>
      </w:r>
      <w:proofErr w:type="gramEnd"/>
      <w:r w:rsidRPr="00217008">
        <w:rPr>
          <w:rFonts w:cs="Times New Roman"/>
          <w:lang w:val="en-US"/>
        </w:rPr>
        <w:t xml:space="preserve"> A Thematic Review. Science and Engineering Ethics, 26(4), 2313‑2343. https://doi.org/10.1007/s11948-020-00175-8</w:t>
      </w:r>
    </w:p>
    <w:p w:rsidR="00217008" w:rsidRPr="00217008" w:rsidRDefault="00217008" w:rsidP="00217008">
      <w:pPr>
        <w:pStyle w:val="Bibliographie"/>
        <w:rPr>
          <w:rFonts w:cs="Times New Roman"/>
          <w:lang w:val="en-US"/>
        </w:rPr>
      </w:pPr>
      <w:proofErr w:type="spellStart"/>
      <w:r w:rsidRPr="00217008">
        <w:rPr>
          <w:rFonts w:cs="Times New Roman"/>
          <w:lang w:val="en-US"/>
        </w:rPr>
        <w:t>Douwes</w:t>
      </w:r>
      <w:proofErr w:type="spellEnd"/>
      <w:r w:rsidRPr="00217008">
        <w:rPr>
          <w:rFonts w:cs="Times New Roman"/>
          <w:lang w:val="en-US"/>
        </w:rPr>
        <w:t xml:space="preserve">, R., </w:t>
      </w:r>
      <w:proofErr w:type="spellStart"/>
      <w:r w:rsidRPr="00217008">
        <w:rPr>
          <w:rFonts w:cs="Times New Roman"/>
          <w:lang w:val="en-US"/>
        </w:rPr>
        <w:t>Metselaar</w:t>
      </w:r>
      <w:proofErr w:type="spellEnd"/>
      <w:r w:rsidRPr="00217008">
        <w:rPr>
          <w:rFonts w:cs="Times New Roman"/>
          <w:lang w:val="en-US"/>
        </w:rPr>
        <w:t xml:space="preserve">, J., </w:t>
      </w:r>
      <w:proofErr w:type="spellStart"/>
      <w:r w:rsidRPr="00217008">
        <w:rPr>
          <w:rFonts w:cs="Times New Roman"/>
          <w:lang w:val="en-US"/>
        </w:rPr>
        <w:t>Pijnenborg</w:t>
      </w:r>
      <w:proofErr w:type="spellEnd"/>
      <w:r w:rsidRPr="00217008">
        <w:rPr>
          <w:rFonts w:cs="Times New Roman"/>
          <w:lang w:val="en-US"/>
        </w:rPr>
        <w:t xml:space="preserve">, G. H. M., &amp; </w:t>
      </w:r>
      <w:proofErr w:type="spellStart"/>
      <w:r w:rsidRPr="00217008">
        <w:rPr>
          <w:rFonts w:cs="Times New Roman"/>
          <w:lang w:val="en-US"/>
        </w:rPr>
        <w:t>Boonstra</w:t>
      </w:r>
      <w:proofErr w:type="spellEnd"/>
      <w:r w:rsidRPr="00217008">
        <w:rPr>
          <w:rFonts w:cs="Times New Roman"/>
          <w:lang w:val="en-US"/>
        </w:rPr>
        <w:t xml:space="preserve">, N. (2023). Well-being of students in higher </w:t>
      </w:r>
      <w:proofErr w:type="gramStart"/>
      <w:r w:rsidRPr="00217008">
        <w:rPr>
          <w:rFonts w:cs="Times New Roman"/>
          <w:lang w:val="en-US"/>
        </w:rPr>
        <w:t>education :</w:t>
      </w:r>
      <w:proofErr w:type="gramEnd"/>
      <w:r w:rsidRPr="00217008">
        <w:rPr>
          <w:rFonts w:cs="Times New Roman"/>
          <w:lang w:val="en-US"/>
        </w:rPr>
        <w:t xml:space="preserve"> The importance of a student perspective. Cogent Education, 10(1), 2190697. https://doi.org/10.1080/2331186X.2023.2190697</w:t>
      </w:r>
    </w:p>
    <w:p w:rsidR="00217008" w:rsidRPr="00217008" w:rsidRDefault="00217008" w:rsidP="00217008">
      <w:pPr>
        <w:pStyle w:val="Bibliographie"/>
        <w:rPr>
          <w:rFonts w:cs="Times New Roman"/>
          <w:lang w:val="en-US"/>
        </w:rPr>
      </w:pPr>
      <w:proofErr w:type="spellStart"/>
      <w:r w:rsidRPr="00217008">
        <w:rPr>
          <w:rFonts w:cs="Times New Roman"/>
          <w:lang w:val="en-US"/>
        </w:rPr>
        <w:t>Dreer</w:t>
      </w:r>
      <w:proofErr w:type="spellEnd"/>
      <w:r w:rsidRPr="00217008">
        <w:rPr>
          <w:rFonts w:cs="Times New Roman"/>
          <w:lang w:val="en-US"/>
        </w:rPr>
        <w:t xml:space="preserve">-Goethe, B. (2023). Well-being and mentoring in pre-service teacher </w:t>
      </w:r>
      <w:proofErr w:type="gramStart"/>
      <w:r w:rsidRPr="00217008">
        <w:rPr>
          <w:rFonts w:cs="Times New Roman"/>
          <w:lang w:val="en-US"/>
        </w:rPr>
        <w:t>education :</w:t>
      </w:r>
      <w:proofErr w:type="gramEnd"/>
      <w:r w:rsidRPr="00217008">
        <w:rPr>
          <w:rFonts w:cs="Times New Roman"/>
          <w:lang w:val="en-US"/>
        </w:rPr>
        <w:t xml:space="preserve"> An integrative literature review. International Journal of Mentoring and Coaching in Education, 12(4), 336‑349. https://doi.org/10.1108/IJMCE-09-2022-0073</w:t>
      </w:r>
    </w:p>
    <w:p w:rsidR="00217008" w:rsidRPr="00217008" w:rsidRDefault="00217008" w:rsidP="00217008">
      <w:pPr>
        <w:pStyle w:val="Bibliographie"/>
        <w:rPr>
          <w:rFonts w:cs="Times New Roman"/>
          <w:lang w:val="en-US"/>
        </w:rPr>
      </w:pPr>
      <w:r w:rsidRPr="00217008">
        <w:rPr>
          <w:rFonts w:cs="Times New Roman"/>
          <w:lang w:val="en-US"/>
        </w:rPr>
        <w:t xml:space="preserve">El </w:t>
      </w:r>
      <w:proofErr w:type="spellStart"/>
      <w:r w:rsidRPr="00217008">
        <w:rPr>
          <w:rFonts w:cs="Times New Roman"/>
          <w:lang w:val="en-US"/>
        </w:rPr>
        <w:t>Aadmi-Laamech</w:t>
      </w:r>
      <w:proofErr w:type="spellEnd"/>
      <w:r w:rsidRPr="00217008">
        <w:rPr>
          <w:rFonts w:cs="Times New Roman"/>
          <w:lang w:val="en-US"/>
        </w:rPr>
        <w:t xml:space="preserve">, K., </w:t>
      </w:r>
      <w:proofErr w:type="spellStart"/>
      <w:r w:rsidRPr="00217008">
        <w:rPr>
          <w:rFonts w:cs="Times New Roman"/>
          <w:lang w:val="en-US"/>
        </w:rPr>
        <w:t>Hakami</w:t>
      </w:r>
      <w:proofErr w:type="spellEnd"/>
      <w:r w:rsidRPr="00217008">
        <w:rPr>
          <w:rFonts w:cs="Times New Roman"/>
          <w:lang w:val="en-US"/>
        </w:rPr>
        <w:t xml:space="preserve">, E., Santos, P., &amp; Hernández-Leo, D. (2022). The term well-being in Technology-Enhanced </w:t>
      </w:r>
      <w:proofErr w:type="gramStart"/>
      <w:r w:rsidRPr="00217008">
        <w:rPr>
          <w:rFonts w:cs="Times New Roman"/>
          <w:lang w:val="en-US"/>
        </w:rPr>
        <w:t>Learning :</w:t>
      </w:r>
      <w:proofErr w:type="gramEnd"/>
      <w:r w:rsidRPr="00217008">
        <w:rPr>
          <w:rFonts w:cs="Times New Roman"/>
          <w:lang w:val="en-US"/>
        </w:rPr>
        <w:t xml:space="preserve"> A systematic literature review. 2022 International Symposium on Computers in Education (SIIE), 1‑6. https://ieeexplore.ieee.org/abstract/document/9982319/</w:t>
      </w:r>
    </w:p>
    <w:p w:rsidR="00217008" w:rsidRPr="00217008" w:rsidRDefault="00217008" w:rsidP="00217008">
      <w:pPr>
        <w:pStyle w:val="Bibliographie"/>
        <w:rPr>
          <w:rFonts w:cs="Times New Roman"/>
        </w:rPr>
      </w:pPr>
      <w:r w:rsidRPr="00217008">
        <w:rPr>
          <w:rFonts w:cs="Times New Roman"/>
          <w:lang w:val="en-US"/>
        </w:rPr>
        <w:t xml:space="preserve">EL HAFID, K. E., SOUÀD RAFIQ, &amp; SARA AMSIDDER. </w:t>
      </w:r>
      <w:r w:rsidRPr="00217008">
        <w:rPr>
          <w:rFonts w:cs="Times New Roman"/>
        </w:rPr>
        <w:t>(2021). L’impact de la technologie d’information sur la performance des universités et la réussite des étudiants. https://doi.org/10.5281/ZENODO.5148432</w:t>
      </w:r>
    </w:p>
    <w:p w:rsidR="00217008" w:rsidRPr="00217008" w:rsidRDefault="00217008" w:rsidP="00217008">
      <w:pPr>
        <w:pStyle w:val="Bibliographie"/>
        <w:rPr>
          <w:rFonts w:cs="Times New Roman"/>
          <w:lang w:val="en-US"/>
        </w:rPr>
      </w:pPr>
      <w:r w:rsidRPr="00217008">
        <w:rPr>
          <w:rFonts w:cs="Times New Roman"/>
          <w:lang w:val="en-US"/>
        </w:rPr>
        <w:t xml:space="preserve">Fredricks, J. A., Blumenfeld, P. C., &amp; Paris, A. H. (2004). School </w:t>
      </w:r>
      <w:proofErr w:type="gramStart"/>
      <w:r w:rsidRPr="00217008">
        <w:rPr>
          <w:rFonts w:cs="Times New Roman"/>
          <w:lang w:val="en-US"/>
        </w:rPr>
        <w:t>Engagement :</w:t>
      </w:r>
      <w:proofErr w:type="gramEnd"/>
      <w:r w:rsidRPr="00217008">
        <w:rPr>
          <w:rFonts w:cs="Times New Roman"/>
          <w:lang w:val="en-US"/>
        </w:rPr>
        <w:t xml:space="preserve"> Potential of the Concept, State of the Evidence. Review of Educational Research, 74(1), 59‑109. https://doi.org/10.3102/00346543074001059</w:t>
      </w:r>
    </w:p>
    <w:p w:rsidR="00217008" w:rsidRPr="00217008" w:rsidRDefault="00217008" w:rsidP="00217008">
      <w:pPr>
        <w:pStyle w:val="Bibliographie"/>
        <w:rPr>
          <w:rFonts w:cs="Times New Roman"/>
          <w:lang w:val="en-US"/>
        </w:rPr>
      </w:pPr>
      <w:proofErr w:type="spellStart"/>
      <w:r w:rsidRPr="00217008">
        <w:rPr>
          <w:rFonts w:cs="Times New Roman"/>
          <w:lang w:val="en-US"/>
        </w:rPr>
        <w:t>Ikatova</w:t>
      </w:r>
      <w:proofErr w:type="spellEnd"/>
      <w:r w:rsidRPr="00217008">
        <w:rPr>
          <w:rFonts w:cs="Times New Roman"/>
          <w:lang w:val="en-US"/>
        </w:rPr>
        <w:t xml:space="preserve">, I. I., </w:t>
      </w:r>
      <w:proofErr w:type="spellStart"/>
      <w:r w:rsidRPr="00217008">
        <w:rPr>
          <w:rFonts w:cs="Times New Roman"/>
          <w:lang w:val="en-US"/>
        </w:rPr>
        <w:t>Barynkina</w:t>
      </w:r>
      <w:proofErr w:type="spellEnd"/>
      <w:r w:rsidRPr="00217008">
        <w:rPr>
          <w:rFonts w:cs="Times New Roman"/>
          <w:lang w:val="en-US"/>
        </w:rPr>
        <w:t xml:space="preserve">, I. V., &amp; </w:t>
      </w:r>
      <w:proofErr w:type="spellStart"/>
      <w:r w:rsidRPr="00217008">
        <w:rPr>
          <w:rFonts w:cs="Times New Roman"/>
          <w:lang w:val="en-US"/>
        </w:rPr>
        <w:t>Amelina</w:t>
      </w:r>
      <w:proofErr w:type="spellEnd"/>
      <w:r w:rsidRPr="00217008">
        <w:rPr>
          <w:rFonts w:cs="Times New Roman"/>
          <w:lang w:val="en-US"/>
        </w:rPr>
        <w:t xml:space="preserve">, L. V. (2021). Ensuring students’ </w:t>
      </w:r>
      <w:proofErr w:type="gramStart"/>
      <w:r w:rsidRPr="00217008">
        <w:rPr>
          <w:rFonts w:cs="Times New Roman"/>
          <w:lang w:val="en-US"/>
        </w:rPr>
        <w:t>wellness :</w:t>
      </w:r>
      <w:proofErr w:type="gramEnd"/>
      <w:r w:rsidRPr="00217008">
        <w:rPr>
          <w:rFonts w:cs="Times New Roman"/>
          <w:lang w:val="en-US"/>
        </w:rPr>
        <w:t xml:space="preserve"> Resources and demands in higher education. 284. Scopus. https://doi.org/10.1051/e3sconf/202128409012</w:t>
      </w:r>
    </w:p>
    <w:p w:rsidR="00217008" w:rsidRPr="00217008" w:rsidRDefault="00217008" w:rsidP="00217008">
      <w:pPr>
        <w:pStyle w:val="Bibliographie"/>
        <w:rPr>
          <w:rFonts w:cs="Times New Roman"/>
          <w:lang w:val="en-US"/>
        </w:rPr>
      </w:pPr>
      <w:proofErr w:type="spellStart"/>
      <w:r w:rsidRPr="00217008">
        <w:rPr>
          <w:rFonts w:cs="Times New Roman"/>
          <w:lang w:val="en-US"/>
        </w:rPr>
        <w:t>Jeno</w:t>
      </w:r>
      <w:proofErr w:type="spellEnd"/>
      <w:r w:rsidRPr="00217008">
        <w:rPr>
          <w:rFonts w:cs="Times New Roman"/>
          <w:lang w:val="en-US"/>
        </w:rPr>
        <w:t xml:space="preserve">, L. M., </w:t>
      </w:r>
      <w:proofErr w:type="spellStart"/>
      <w:r w:rsidRPr="00217008">
        <w:rPr>
          <w:rFonts w:cs="Times New Roman"/>
          <w:lang w:val="en-US"/>
        </w:rPr>
        <w:t>Diseth</w:t>
      </w:r>
      <w:proofErr w:type="spellEnd"/>
      <w:r w:rsidRPr="00217008">
        <w:rPr>
          <w:rFonts w:cs="Times New Roman"/>
          <w:lang w:val="en-US"/>
        </w:rPr>
        <w:t xml:space="preserve">, Å., &amp; </w:t>
      </w:r>
      <w:proofErr w:type="spellStart"/>
      <w:r w:rsidRPr="00217008">
        <w:rPr>
          <w:rFonts w:cs="Times New Roman"/>
          <w:lang w:val="en-US"/>
        </w:rPr>
        <w:t>Grytnes</w:t>
      </w:r>
      <w:proofErr w:type="spellEnd"/>
      <w:r w:rsidRPr="00217008">
        <w:rPr>
          <w:rFonts w:cs="Times New Roman"/>
          <w:lang w:val="en-US"/>
        </w:rPr>
        <w:t xml:space="preserve">, J.-A. (2021). Testing the METUX Model in Higher </w:t>
      </w:r>
      <w:proofErr w:type="gramStart"/>
      <w:r w:rsidRPr="00217008">
        <w:rPr>
          <w:rFonts w:cs="Times New Roman"/>
          <w:lang w:val="en-US"/>
        </w:rPr>
        <w:t>Education :</w:t>
      </w:r>
      <w:proofErr w:type="gramEnd"/>
      <w:r w:rsidRPr="00217008">
        <w:rPr>
          <w:rFonts w:cs="Times New Roman"/>
          <w:lang w:val="en-US"/>
        </w:rPr>
        <w:t xml:space="preserve"> Interface and Task Need–Satisfaction Predict Engagement, Learning, and Well-Being. Frontiers in Psychology, 12. Scopus. https://doi.org/10.3389/fpsyg.2021.631564</w:t>
      </w:r>
    </w:p>
    <w:p w:rsidR="00217008" w:rsidRPr="00217008" w:rsidRDefault="00217008" w:rsidP="00217008">
      <w:pPr>
        <w:pStyle w:val="Bibliographie"/>
        <w:rPr>
          <w:rFonts w:cs="Times New Roman"/>
          <w:lang w:val="en-US"/>
        </w:rPr>
      </w:pPr>
      <w:proofErr w:type="spellStart"/>
      <w:r w:rsidRPr="00217008">
        <w:rPr>
          <w:rFonts w:cs="Times New Roman"/>
          <w:lang w:val="en-US"/>
        </w:rPr>
        <w:t>Koivuneva</w:t>
      </w:r>
      <w:proofErr w:type="spellEnd"/>
      <w:r w:rsidRPr="00217008">
        <w:rPr>
          <w:rFonts w:cs="Times New Roman"/>
          <w:lang w:val="en-US"/>
        </w:rPr>
        <w:t xml:space="preserve">, K., &amp; </w:t>
      </w:r>
      <w:proofErr w:type="spellStart"/>
      <w:r w:rsidRPr="00217008">
        <w:rPr>
          <w:rFonts w:cs="Times New Roman"/>
          <w:lang w:val="en-US"/>
        </w:rPr>
        <w:t>Ruokamo</w:t>
      </w:r>
      <w:proofErr w:type="spellEnd"/>
      <w:r w:rsidRPr="00217008">
        <w:rPr>
          <w:rFonts w:cs="Times New Roman"/>
          <w:lang w:val="en-US"/>
        </w:rPr>
        <w:t xml:space="preserve">, H. (2022). Assessing university students’ study-related burnout and academic well-being in digital learning </w:t>
      </w:r>
      <w:proofErr w:type="gramStart"/>
      <w:r w:rsidRPr="00217008">
        <w:rPr>
          <w:rFonts w:cs="Times New Roman"/>
          <w:lang w:val="en-US"/>
        </w:rPr>
        <w:t>environments :</w:t>
      </w:r>
      <w:proofErr w:type="gramEnd"/>
      <w:r w:rsidRPr="00217008">
        <w:rPr>
          <w:rFonts w:cs="Times New Roman"/>
          <w:lang w:val="en-US"/>
        </w:rPr>
        <w:t xml:space="preserve"> A systematic literature review. Seminar. net, 18(1). https://journals.oslomet.no/index.php/seminar/article/view/4705</w:t>
      </w:r>
    </w:p>
    <w:p w:rsidR="00217008" w:rsidRPr="00217008" w:rsidRDefault="00217008" w:rsidP="00217008">
      <w:pPr>
        <w:pStyle w:val="Bibliographie"/>
        <w:rPr>
          <w:rFonts w:cs="Times New Roman"/>
          <w:lang w:val="en-US"/>
        </w:rPr>
      </w:pPr>
      <w:r w:rsidRPr="00217008">
        <w:rPr>
          <w:rFonts w:cs="Times New Roman"/>
          <w:lang w:val="en-US"/>
        </w:rPr>
        <w:t xml:space="preserve">Lister, K., Riva, E., </w:t>
      </w:r>
      <w:proofErr w:type="spellStart"/>
      <w:r w:rsidRPr="00217008">
        <w:rPr>
          <w:rFonts w:cs="Times New Roman"/>
          <w:lang w:val="en-US"/>
        </w:rPr>
        <w:t>Kukulska-Hulme</w:t>
      </w:r>
      <w:proofErr w:type="spellEnd"/>
      <w:r w:rsidRPr="00217008">
        <w:rPr>
          <w:rFonts w:cs="Times New Roman"/>
          <w:lang w:val="en-US"/>
        </w:rPr>
        <w:t>, A., &amp; Fox, C. (2022). Participatory digital approaches to embedding student wellbeing in higher education. Frontiers in Education, 7, 924868. https://doi.org/10.3389/feduc.2022.924868</w:t>
      </w:r>
    </w:p>
    <w:p w:rsidR="00217008" w:rsidRPr="00217008" w:rsidRDefault="00217008" w:rsidP="00217008">
      <w:pPr>
        <w:pStyle w:val="Bibliographie"/>
        <w:rPr>
          <w:rFonts w:cs="Times New Roman"/>
          <w:lang w:val="en-US"/>
        </w:rPr>
      </w:pPr>
      <w:r w:rsidRPr="00217008">
        <w:rPr>
          <w:rFonts w:cs="Times New Roman"/>
          <w:lang w:val="en-US"/>
        </w:rPr>
        <w:t>Moldavan, A. M., Edwards-Leis, C., &amp; Murray, J. (2022). Design and pedagogical implications of a digital learning platform to promote well-being in teacher education. Teaching and Teacher Education, 115, 103732. https://doi.org/10.1016/j.tate.2022.103732</w:t>
      </w:r>
    </w:p>
    <w:p w:rsidR="00217008" w:rsidRPr="00217008" w:rsidRDefault="00217008" w:rsidP="00217008">
      <w:pPr>
        <w:pStyle w:val="Bibliographie"/>
        <w:rPr>
          <w:rFonts w:cs="Times New Roman"/>
          <w:lang w:val="en-US"/>
        </w:rPr>
      </w:pPr>
      <w:r w:rsidRPr="00217008">
        <w:rPr>
          <w:rFonts w:cs="Times New Roman"/>
          <w:lang w:val="en-US"/>
        </w:rPr>
        <w:t xml:space="preserve">OCDE &amp; Eurostat. </w:t>
      </w:r>
      <w:r w:rsidRPr="00217008">
        <w:rPr>
          <w:rFonts w:cs="Times New Roman"/>
        </w:rPr>
        <w:t xml:space="preserve">(2019). Manuel d’Oslo 2018 : Lignes directrices pour le recueil, la communication et l’utilisation des données sur l’innovation, 4ème édition. </w:t>
      </w:r>
      <w:r w:rsidRPr="00217008">
        <w:rPr>
          <w:rFonts w:cs="Times New Roman"/>
          <w:lang w:val="en-US"/>
        </w:rPr>
        <w:t>OECD. https://doi.org/10.1787/c76f1c7b-fr</w:t>
      </w:r>
    </w:p>
    <w:p w:rsidR="00217008" w:rsidRPr="00217008" w:rsidRDefault="00217008" w:rsidP="00217008">
      <w:pPr>
        <w:pStyle w:val="Bibliographie"/>
        <w:rPr>
          <w:rFonts w:cs="Times New Roman"/>
        </w:rPr>
      </w:pPr>
      <w:r w:rsidRPr="00217008">
        <w:rPr>
          <w:rFonts w:cs="Times New Roman"/>
          <w:lang w:val="en-US"/>
        </w:rPr>
        <w:t xml:space="preserve">Pluton, L., &amp; </w:t>
      </w:r>
      <w:proofErr w:type="spellStart"/>
      <w:r w:rsidRPr="00217008">
        <w:rPr>
          <w:rFonts w:cs="Times New Roman"/>
          <w:lang w:val="en-US"/>
        </w:rPr>
        <w:t>Stattner</w:t>
      </w:r>
      <w:proofErr w:type="spellEnd"/>
      <w:r w:rsidRPr="00217008">
        <w:rPr>
          <w:rFonts w:cs="Times New Roman"/>
          <w:lang w:val="en-US"/>
        </w:rPr>
        <w:t xml:space="preserve">, E. (2023). </w:t>
      </w:r>
      <w:r w:rsidRPr="00217008">
        <w:rPr>
          <w:rFonts w:cs="Times New Roman"/>
        </w:rPr>
        <w:t>Influence de l’environnement de formation à distance sur l’engagement des apprenants et apprenantes : Une expérimentation autour de la réalité virtuelle. Revue internationale des technologies en pédagogie universitaire, 20(2), 192‑206. https://doi.org/10.18162/ritpu-2023-v20n2-14</w:t>
      </w:r>
    </w:p>
    <w:p w:rsidR="00217008" w:rsidRPr="00217008" w:rsidRDefault="00217008" w:rsidP="00217008">
      <w:pPr>
        <w:pStyle w:val="Bibliographie"/>
        <w:rPr>
          <w:rFonts w:cs="Times New Roman"/>
          <w:lang w:val="en-US"/>
        </w:rPr>
      </w:pPr>
      <w:r w:rsidRPr="00217008">
        <w:rPr>
          <w:rFonts w:cs="Times New Roman"/>
          <w:lang w:val="en-US"/>
        </w:rPr>
        <w:t>Ribeiro-Silva, E., Amorim, C., Aparicio-</w:t>
      </w:r>
      <w:proofErr w:type="spellStart"/>
      <w:r w:rsidRPr="00217008">
        <w:rPr>
          <w:rFonts w:cs="Times New Roman"/>
          <w:lang w:val="en-US"/>
        </w:rPr>
        <w:t>Herguedas</w:t>
      </w:r>
      <w:proofErr w:type="spellEnd"/>
      <w:r w:rsidRPr="00217008">
        <w:rPr>
          <w:rFonts w:cs="Times New Roman"/>
          <w:lang w:val="en-US"/>
        </w:rPr>
        <w:t>, J. L., &amp; Batista, P. (2022). Trends of Active Learning in Higher Education and Students’ Well-</w:t>
      </w:r>
      <w:proofErr w:type="gramStart"/>
      <w:r w:rsidRPr="00217008">
        <w:rPr>
          <w:rFonts w:cs="Times New Roman"/>
          <w:lang w:val="en-US"/>
        </w:rPr>
        <w:t>Being :</w:t>
      </w:r>
      <w:proofErr w:type="gramEnd"/>
      <w:r w:rsidRPr="00217008">
        <w:rPr>
          <w:rFonts w:cs="Times New Roman"/>
          <w:lang w:val="en-US"/>
        </w:rPr>
        <w:t xml:space="preserve"> A Literature Review. Frontiers in Psychology, 13. Scopus. https://doi.org/10.3389/fpsyg.2022.844236</w:t>
      </w:r>
    </w:p>
    <w:p w:rsidR="00217008" w:rsidRPr="00217008" w:rsidRDefault="00217008" w:rsidP="00217008">
      <w:pPr>
        <w:pStyle w:val="Bibliographie"/>
        <w:rPr>
          <w:rFonts w:cs="Times New Roman"/>
        </w:rPr>
      </w:pPr>
      <w:proofErr w:type="spellStart"/>
      <w:r w:rsidRPr="00217008">
        <w:rPr>
          <w:rFonts w:cs="Times New Roman"/>
          <w:lang w:val="en-US"/>
        </w:rPr>
        <w:t>Timotheou</w:t>
      </w:r>
      <w:proofErr w:type="spellEnd"/>
      <w:r w:rsidRPr="00217008">
        <w:rPr>
          <w:rFonts w:cs="Times New Roman"/>
          <w:lang w:val="en-US"/>
        </w:rPr>
        <w:t xml:space="preserve">, S., </w:t>
      </w:r>
      <w:proofErr w:type="spellStart"/>
      <w:r w:rsidRPr="00217008">
        <w:rPr>
          <w:rFonts w:cs="Times New Roman"/>
          <w:lang w:val="en-US"/>
        </w:rPr>
        <w:t>Miliou</w:t>
      </w:r>
      <w:proofErr w:type="spellEnd"/>
      <w:r w:rsidRPr="00217008">
        <w:rPr>
          <w:rFonts w:cs="Times New Roman"/>
          <w:lang w:val="en-US"/>
        </w:rPr>
        <w:t xml:space="preserve">, O., </w:t>
      </w:r>
      <w:proofErr w:type="spellStart"/>
      <w:r w:rsidRPr="00217008">
        <w:rPr>
          <w:rFonts w:cs="Times New Roman"/>
          <w:lang w:val="en-US"/>
        </w:rPr>
        <w:t>Dimitriadis</w:t>
      </w:r>
      <w:proofErr w:type="spellEnd"/>
      <w:r w:rsidRPr="00217008">
        <w:rPr>
          <w:rFonts w:cs="Times New Roman"/>
          <w:lang w:val="en-US"/>
        </w:rPr>
        <w:t xml:space="preserve">, Y., </w:t>
      </w:r>
      <w:proofErr w:type="spellStart"/>
      <w:r w:rsidRPr="00217008">
        <w:rPr>
          <w:rFonts w:cs="Times New Roman"/>
          <w:lang w:val="en-US"/>
        </w:rPr>
        <w:t>Sobrino</w:t>
      </w:r>
      <w:proofErr w:type="spellEnd"/>
      <w:r w:rsidRPr="00217008">
        <w:rPr>
          <w:rFonts w:cs="Times New Roman"/>
          <w:lang w:val="en-US"/>
        </w:rPr>
        <w:t xml:space="preserve">, S. V., </w:t>
      </w:r>
      <w:proofErr w:type="spellStart"/>
      <w:r w:rsidRPr="00217008">
        <w:rPr>
          <w:rFonts w:cs="Times New Roman"/>
          <w:lang w:val="en-US"/>
        </w:rPr>
        <w:t>Giannoutsou</w:t>
      </w:r>
      <w:proofErr w:type="spellEnd"/>
      <w:r w:rsidRPr="00217008">
        <w:rPr>
          <w:rFonts w:cs="Times New Roman"/>
          <w:lang w:val="en-US"/>
        </w:rPr>
        <w:t xml:space="preserve">, N., Cachia, R., </w:t>
      </w:r>
      <w:proofErr w:type="spellStart"/>
      <w:r w:rsidRPr="00217008">
        <w:rPr>
          <w:rFonts w:cs="Times New Roman"/>
          <w:lang w:val="en-US"/>
        </w:rPr>
        <w:t>Monés</w:t>
      </w:r>
      <w:proofErr w:type="spellEnd"/>
      <w:r w:rsidRPr="00217008">
        <w:rPr>
          <w:rFonts w:cs="Times New Roman"/>
          <w:lang w:val="en-US"/>
        </w:rPr>
        <w:t xml:space="preserve">, A. M., &amp; </w:t>
      </w:r>
      <w:proofErr w:type="spellStart"/>
      <w:r w:rsidRPr="00217008">
        <w:rPr>
          <w:rFonts w:cs="Times New Roman"/>
          <w:lang w:val="en-US"/>
        </w:rPr>
        <w:t>Ioannou</w:t>
      </w:r>
      <w:proofErr w:type="spellEnd"/>
      <w:r w:rsidRPr="00217008">
        <w:rPr>
          <w:rFonts w:cs="Times New Roman"/>
          <w:lang w:val="en-US"/>
        </w:rPr>
        <w:t xml:space="preserve">, A. (2023). Impacts of digital technologies on education and factors influencing schools’ digital capacity and transformation: A literature review. </w:t>
      </w:r>
      <w:r w:rsidRPr="00217008">
        <w:rPr>
          <w:rFonts w:cs="Times New Roman"/>
        </w:rPr>
        <w:t>Education and Information Technologies, 28(6), 6695‑6726. https://doi.org/10.1007/s10639-022-11431-8</w:t>
      </w:r>
    </w:p>
    <w:p w:rsidR="00217008" w:rsidRPr="00217008" w:rsidRDefault="00217008" w:rsidP="00217008">
      <w:pPr>
        <w:rPr>
          <w:b/>
          <w:bCs/>
          <w:lang w:val="en-US"/>
        </w:rPr>
      </w:pPr>
      <w:r>
        <w:rPr>
          <w:b/>
          <w:bCs/>
          <w:lang w:val="en-US"/>
        </w:rPr>
        <w:fldChar w:fldCharType="end"/>
      </w:r>
    </w:p>
    <w:p w:rsidR="00583140" w:rsidRPr="00583140" w:rsidRDefault="00583140" w:rsidP="00583140">
      <w:pPr>
        <w:rPr>
          <w:lang w:val="hr-HR"/>
        </w:rPr>
      </w:pPr>
    </w:p>
    <w:sectPr w:rsidR="00583140" w:rsidRPr="005831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22702"/>
    <w:multiLevelType w:val="hybridMultilevel"/>
    <w:tmpl w:val="68D29E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5737FC8"/>
    <w:multiLevelType w:val="hybridMultilevel"/>
    <w:tmpl w:val="E80CC568"/>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2" w15:restartNumberingAfterBreak="0">
    <w:nsid w:val="5C2E0A1D"/>
    <w:multiLevelType w:val="hybridMultilevel"/>
    <w:tmpl w:val="54D28444"/>
    <w:lvl w:ilvl="0" w:tplc="9F586E32">
      <w:start w:val="1"/>
      <w:numFmt w:val="decimal"/>
      <w:lvlText w:val="4.%1"/>
      <w:lvlJc w:val="right"/>
      <w:pPr>
        <w:ind w:left="720" w:hanging="360"/>
      </w:pPr>
      <w:rPr>
        <w:b w:val="0"/>
        <w:bCs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7A2653C9"/>
    <w:multiLevelType w:val="multilevel"/>
    <w:tmpl w:val="04DAA218"/>
    <w:lvl w:ilvl="0">
      <w:start w:val="3"/>
      <w:numFmt w:val="decimal"/>
      <w:lvlText w:val="%1"/>
      <w:lvlJc w:val="left"/>
      <w:pPr>
        <w:ind w:left="360" w:hanging="360"/>
      </w:pPr>
      <w:rPr>
        <w:sz w:val="20"/>
      </w:rPr>
    </w:lvl>
    <w:lvl w:ilvl="1">
      <w:start w:val="1"/>
      <w:numFmt w:val="decimal"/>
      <w:lvlText w:val="%1.%2"/>
      <w:lvlJc w:val="left"/>
      <w:pPr>
        <w:ind w:left="360" w:hanging="360"/>
      </w:pPr>
      <w:rPr>
        <w:sz w:val="20"/>
      </w:rPr>
    </w:lvl>
    <w:lvl w:ilvl="2">
      <w:start w:val="1"/>
      <w:numFmt w:val="decimal"/>
      <w:lvlText w:val="%1.%2.%3"/>
      <w:lvlJc w:val="left"/>
      <w:pPr>
        <w:ind w:left="360" w:hanging="360"/>
      </w:pPr>
      <w:rPr>
        <w:sz w:val="20"/>
      </w:rPr>
    </w:lvl>
    <w:lvl w:ilvl="3">
      <w:start w:val="1"/>
      <w:numFmt w:val="decimal"/>
      <w:lvlText w:val="%1.%2.%3.%4"/>
      <w:lvlJc w:val="left"/>
      <w:pPr>
        <w:ind w:left="360" w:hanging="360"/>
      </w:pPr>
      <w:rPr>
        <w:sz w:val="20"/>
      </w:rPr>
    </w:lvl>
    <w:lvl w:ilvl="4">
      <w:start w:val="1"/>
      <w:numFmt w:val="decimal"/>
      <w:lvlText w:val="%1.%2.%3.%4.%5"/>
      <w:lvlJc w:val="left"/>
      <w:pPr>
        <w:ind w:left="720" w:hanging="720"/>
      </w:pPr>
      <w:rPr>
        <w:sz w:val="20"/>
      </w:rPr>
    </w:lvl>
    <w:lvl w:ilvl="5">
      <w:start w:val="1"/>
      <w:numFmt w:val="decimal"/>
      <w:lvlText w:val="%1.%2.%3.%4.%5.%6"/>
      <w:lvlJc w:val="left"/>
      <w:pPr>
        <w:ind w:left="720" w:hanging="720"/>
      </w:pPr>
      <w:rPr>
        <w:sz w:val="20"/>
      </w:rPr>
    </w:lvl>
    <w:lvl w:ilvl="6">
      <w:start w:val="1"/>
      <w:numFmt w:val="decimal"/>
      <w:lvlText w:val="%1.%2.%3.%4.%5.%6.%7"/>
      <w:lvlJc w:val="left"/>
      <w:pPr>
        <w:ind w:left="720" w:hanging="720"/>
      </w:pPr>
      <w:rPr>
        <w:sz w:val="20"/>
      </w:rPr>
    </w:lvl>
    <w:lvl w:ilvl="7">
      <w:start w:val="1"/>
      <w:numFmt w:val="decimal"/>
      <w:lvlText w:val="%1.%2.%3.%4.%5.%6.%7.%8"/>
      <w:lvlJc w:val="left"/>
      <w:pPr>
        <w:ind w:left="720" w:hanging="720"/>
      </w:pPr>
      <w:rPr>
        <w:sz w:val="20"/>
      </w:rPr>
    </w:lvl>
    <w:lvl w:ilvl="8">
      <w:start w:val="1"/>
      <w:numFmt w:val="decimal"/>
      <w:lvlText w:val="%1.%2.%3.%4.%5.%6.%7.%8.%9"/>
      <w:lvlJc w:val="left"/>
      <w:pPr>
        <w:ind w:left="1080" w:hanging="1080"/>
      </w:pPr>
      <w:rPr>
        <w:sz w:val="20"/>
      </w:rPr>
    </w:lvl>
  </w:abstractNum>
  <w:num w:numId="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845"/>
    <w:rsid w:val="000368E2"/>
    <w:rsid w:val="00084053"/>
    <w:rsid w:val="00217008"/>
    <w:rsid w:val="002A1845"/>
    <w:rsid w:val="00362671"/>
    <w:rsid w:val="00583140"/>
    <w:rsid w:val="00774DC4"/>
    <w:rsid w:val="007C6314"/>
    <w:rsid w:val="007D28DC"/>
    <w:rsid w:val="0083364C"/>
    <w:rsid w:val="00A233C6"/>
    <w:rsid w:val="00AA6F8A"/>
    <w:rsid w:val="00BF189E"/>
    <w:rsid w:val="00E91AD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E8F4C"/>
  <w15:chartTrackingRefBased/>
  <w15:docId w15:val="{FE6CF655-8B53-4721-8F86-F58F189E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1845"/>
    <w:pPr>
      <w:spacing w:line="480" w:lineRule="auto"/>
    </w:pPr>
    <w:rPr>
      <w:rFonts w:ascii="Times New Roman" w:hAnsi="Times New Roma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A1845"/>
    <w:rPr>
      <w:color w:val="0000FF" w:themeColor="hyperlink"/>
      <w:u w:val="single"/>
    </w:rPr>
  </w:style>
  <w:style w:type="character" w:styleId="Mentionnonrsolue">
    <w:name w:val="Unresolved Mention"/>
    <w:basedOn w:val="Policepardfaut"/>
    <w:uiPriority w:val="99"/>
    <w:semiHidden/>
    <w:unhideWhenUsed/>
    <w:rsid w:val="002A1845"/>
    <w:rPr>
      <w:color w:val="605E5C"/>
      <w:shd w:val="clear" w:color="auto" w:fill="E1DFDD"/>
    </w:rPr>
  </w:style>
  <w:style w:type="table" w:customStyle="1" w:styleId="Tabelacomgrade4">
    <w:name w:val="Tabela com grade4"/>
    <w:basedOn w:val="TableauNormal"/>
    <w:uiPriority w:val="59"/>
    <w:rsid w:val="00583140"/>
    <w:pPr>
      <w:spacing w:after="0" w:line="240" w:lineRule="auto"/>
      <w:jc w:val="left"/>
    </w:pPr>
    <w:rPr>
      <w:rFonts w:ascii="Calibri" w:eastAsia="SimSun" w:hAnsi="Calibri" w:cs="Times New Roman"/>
      <w:lang w:val="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locked/>
    <w:rsid w:val="00583140"/>
  </w:style>
  <w:style w:type="paragraph" w:styleId="Paragraphedeliste">
    <w:name w:val="List Paragraph"/>
    <w:basedOn w:val="Normal"/>
    <w:link w:val="ParagraphedelisteCar"/>
    <w:uiPriority w:val="34"/>
    <w:qFormat/>
    <w:rsid w:val="00583140"/>
    <w:pPr>
      <w:spacing w:line="276" w:lineRule="auto"/>
      <w:ind w:left="720"/>
      <w:contextualSpacing/>
      <w:jc w:val="left"/>
    </w:pPr>
    <w:rPr>
      <w:rFonts w:asciiTheme="minorHAnsi" w:hAnsiTheme="minorHAnsi"/>
    </w:rPr>
  </w:style>
  <w:style w:type="paragraph" w:customStyle="1" w:styleId="normal-revista">
    <w:name w:val="normal-revista"/>
    <w:basedOn w:val="Normal"/>
    <w:qFormat/>
    <w:rsid w:val="00583140"/>
    <w:pPr>
      <w:spacing w:after="0" w:line="360" w:lineRule="auto"/>
      <w:ind w:firstLine="284"/>
    </w:pPr>
    <w:rPr>
      <w:rFonts w:eastAsia="Arial Unicode MS" w:cs="Times New Roman"/>
      <w:sz w:val="24"/>
      <w:szCs w:val="24"/>
      <w:lang w:val="pt-BR"/>
    </w:rPr>
  </w:style>
  <w:style w:type="paragraph" w:styleId="Bibliographie">
    <w:name w:val="Bibliography"/>
    <w:basedOn w:val="Normal"/>
    <w:next w:val="Normal"/>
    <w:uiPriority w:val="37"/>
    <w:unhideWhenUsed/>
    <w:rsid w:val="00217008"/>
    <w:pPr>
      <w:spacing w:after="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00314">
      <w:bodyDiv w:val="1"/>
      <w:marLeft w:val="0"/>
      <w:marRight w:val="0"/>
      <w:marTop w:val="0"/>
      <w:marBottom w:val="0"/>
      <w:divBdr>
        <w:top w:val="none" w:sz="0" w:space="0" w:color="auto"/>
        <w:left w:val="none" w:sz="0" w:space="0" w:color="auto"/>
        <w:bottom w:val="none" w:sz="0" w:space="0" w:color="auto"/>
        <w:right w:val="none" w:sz="0" w:space="0" w:color="auto"/>
      </w:divBdr>
    </w:div>
    <w:div w:id="425811792">
      <w:bodyDiv w:val="1"/>
      <w:marLeft w:val="0"/>
      <w:marRight w:val="0"/>
      <w:marTop w:val="0"/>
      <w:marBottom w:val="0"/>
      <w:divBdr>
        <w:top w:val="none" w:sz="0" w:space="0" w:color="auto"/>
        <w:left w:val="none" w:sz="0" w:space="0" w:color="auto"/>
        <w:bottom w:val="none" w:sz="0" w:space="0" w:color="auto"/>
        <w:right w:val="none" w:sz="0" w:space="0" w:color="auto"/>
      </w:divBdr>
    </w:div>
    <w:div w:id="897472883">
      <w:bodyDiv w:val="1"/>
      <w:marLeft w:val="0"/>
      <w:marRight w:val="0"/>
      <w:marTop w:val="0"/>
      <w:marBottom w:val="0"/>
      <w:divBdr>
        <w:top w:val="none" w:sz="0" w:space="0" w:color="auto"/>
        <w:left w:val="none" w:sz="0" w:space="0" w:color="auto"/>
        <w:bottom w:val="none" w:sz="0" w:space="0" w:color="auto"/>
        <w:right w:val="none" w:sz="0" w:space="0" w:color="auto"/>
      </w:divBdr>
    </w:div>
    <w:div w:id="995492064">
      <w:bodyDiv w:val="1"/>
      <w:marLeft w:val="0"/>
      <w:marRight w:val="0"/>
      <w:marTop w:val="0"/>
      <w:marBottom w:val="0"/>
      <w:divBdr>
        <w:top w:val="none" w:sz="0" w:space="0" w:color="auto"/>
        <w:left w:val="none" w:sz="0" w:space="0" w:color="auto"/>
        <w:bottom w:val="none" w:sz="0" w:space="0" w:color="auto"/>
        <w:right w:val="none" w:sz="0" w:space="0" w:color="auto"/>
      </w:divBdr>
    </w:div>
    <w:div w:id="1173834949">
      <w:bodyDiv w:val="1"/>
      <w:marLeft w:val="0"/>
      <w:marRight w:val="0"/>
      <w:marTop w:val="0"/>
      <w:marBottom w:val="0"/>
      <w:divBdr>
        <w:top w:val="none" w:sz="0" w:space="0" w:color="auto"/>
        <w:left w:val="none" w:sz="0" w:space="0" w:color="auto"/>
        <w:bottom w:val="none" w:sz="0" w:space="0" w:color="auto"/>
        <w:right w:val="none" w:sz="0" w:space="0" w:color="auto"/>
      </w:divBdr>
    </w:div>
    <w:div w:id="1274677536">
      <w:bodyDiv w:val="1"/>
      <w:marLeft w:val="0"/>
      <w:marRight w:val="0"/>
      <w:marTop w:val="0"/>
      <w:marBottom w:val="0"/>
      <w:divBdr>
        <w:top w:val="none" w:sz="0" w:space="0" w:color="auto"/>
        <w:left w:val="none" w:sz="0" w:space="0" w:color="auto"/>
        <w:bottom w:val="none" w:sz="0" w:space="0" w:color="auto"/>
        <w:right w:val="none" w:sz="0" w:space="0" w:color="auto"/>
      </w:divBdr>
    </w:div>
    <w:div w:id="1345548155">
      <w:bodyDiv w:val="1"/>
      <w:marLeft w:val="0"/>
      <w:marRight w:val="0"/>
      <w:marTop w:val="0"/>
      <w:marBottom w:val="0"/>
      <w:divBdr>
        <w:top w:val="none" w:sz="0" w:space="0" w:color="auto"/>
        <w:left w:val="none" w:sz="0" w:space="0" w:color="auto"/>
        <w:bottom w:val="none" w:sz="0" w:space="0" w:color="auto"/>
        <w:right w:val="none" w:sz="0" w:space="0" w:color="auto"/>
      </w:divBdr>
    </w:div>
    <w:div w:id="1353805733">
      <w:bodyDiv w:val="1"/>
      <w:marLeft w:val="0"/>
      <w:marRight w:val="0"/>
      <w:marTop w:val="0"/>
      <w:marBottom w:val="0"/>
      <w:divBdr>
        <w:top w:val="none" w:sz="0" w:space="0" w:color="auto"/>
        <w:left w:val="none" w:sz="0" w:space="0" w:color="auto"/>
        <w:bottom w:val="none" w:sz="0" w:space="0" w:color="auto"/>
        <w:right w:val="none" w:sz="0" w:space="0" w:color="auto"/>
      </w:divBdr>
    </w:div>
    <w:div w:id="1372994948">
      <w:bodyDiv w:val="1"/>
      <w:marLeft w:val="0"/>
      <w:marRight w:val="0"/>
      <w:marTop w:val="0"/>
      <w:marBottom w:val="0"/>
      <w:divBdr>
        <w:top w:val="none" w:sz="0" w:space="0" w:color="auto"/>
        <w:left w:val="none" w:sz="0" w:space="0" w:color="auto"/>
        <w:bottom w:val="none" w:sz="0" w:space="0" w:color="auto"/>
        <w:right w:val="none" w:sz="0" w:space="0" w:color="auto"/>
      </w:divBdr>
    </w:div>
    <w:div w:id="1410493841">
      <w:bodyDiv w:val="1"/>
      <w:marLeft w:val="0"/>
      <w:marRight w:val="0"/>
      <w:marTop w:val="0"/>
      <w:marBottom w:val="0"/>
      <w:divBdr>
        <w:top w:val="none" w:sz="0" w:space="0" w:color="auto"/>
        <w:left w:val="none" w:sz="0" w:space="0" w:color="auto"/>
        <w:bottom w:val="none" w:sz="0" w:space="0" w:color="auto"/>
        <w:right w:val="none" w:sz="0" w:space="0" w:color="auto"/>
      </w:divBdr>
    </w:div>
    <w:div w:id="1469395740">
      <w:bodyDiv w:val="1"/>
      <w:marLeft w:val="0"/>
      <w:marRight w:val="0"/>
      <w:marTop w:val="0"/>
      <w:marBottom w:val="0"/>
      <w:divBdr>
        <w:top w:val="none" w:sz="0" w:space="0" w:color="auto"/>
        <w:left w:val="none" w:sz="0" w:space="0" w:color="auto"/>
        <w:bottom w:val="none" w:sz="0" w:space="0" w:color="auto"/>
        <w:right w:val="none" w:sz="0" w:space="0" w:color="auto"/>
      </w:divBdr>
    </w:div>
    <w:div w:id="186162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mira.touate@usmba.ac.ma" TargetMode="External"/><Relationship Id="rId11" Type="http://schemas.openxmlformats.org/officeDocument/2006/relationships/theme" Target="theme/theme1.xml"/><Relationship Id="rId5" Type="http://schemas.openxmlformats.org/officeDocument/2006/relationships/hyperlink" Target="mailto:Kaoutar.elmoutchou@usmba.ac.m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Bureau\PHD;ERMOT\RLS\weell%20bieng.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pivotSource>
    <c:name>[weell bieng.xlsx]nobre d'artilce!Tableau croisé dynamique3</c:name>
    <c:fmtId val="-1"/>
  </c:pivotSource>
  <c:chart>
    <c:autoTitleDeleted val="1"/>
    <c:pivotFmts>
      <c:pivotFmt>
        <c:idx val="0"/>
        <c:spPr>
          <a:solidFill>
            <a:schemeClr val="accent1"/>
          </a:solidFill>
          <a:ln w="28575" cap="rnd">
            <a:solidFill>
              <a:schemeClr val="accent1"/>
            </a:solidFill>
            <a:round/>
          </a:ln>
          <a:effectLst/>
        </c:spPr>
        <c:marker>
          <c:symbol val="none"/>
        </c:marker>
      </c:pivotFmt>
      <c:pivotFmt>
        <c:idx val="1"/>
        <c:spPr>
          <a:solidFill>
            <a:schemeClr val="accent1"/>
          </a:solidFill>
          <a:ln w="28575" cap="rnd">
            <a:solidFill>
              <a:schemeClr val="accent1"/>
            </a:solidFill>
            <a:round/>
          </a:ln>
          <a:effectLst/>
        </c:spPr>
        <c:marker>
          <c:symbol val="none"/>
        </c:marker>
      </c:pivotFmt>
      <c:pivotFmt>
        <c:idx val="2"/>
        <c:spPr>
          <a:solidFill>
            <a:schemeClr val="accent1"/>
          </a:solidFill>
          <a:ln w="28575" cap="rnd">
            <a:solidFill>
              <a:schemeClr val="accent1"/>
            </a:solidFill>
            <a:round/>
          </a:ln>
          <a:effectLst/>
        </c:spPr>
        <c:marker>
          <c:symbol val="none"/>
        </c:marker>
      </c:pivotFmt>
    </c:pivotFmts>
    <c:plotArea>
      <c:layout>
        <c:manualLayout>
          <c:layoutTarget val="inner"/>
          <c:xMode val="edge"/>
          <c:yMode val="edge"/>
          <c:x val="5.6304356427808323E-2"/>
          <c:y val="8.1632653061224483E-2"/>
          <c:w val="0.92359514105962881"/>
          <c:h val="0.80059319115722782"/>
        </c:manualLayout>
      </c:layout>
      <c:lineChart>
        <c:grouping val="standard"/>
        <c:varyColors val="0"/>
        <c:ser>
          <c:idx val="0"/>
          <c:order val="0"/>
          <c:tx>
            <c:strRef>
              <c:f>'nobre d''artilce'!$B$3</c:f>
              <c:strCache>
                <c:ptCount val="1"/>
                <c:pt idx="0">
                  <c:v>Total</c:v>
                </c:pt>
              </c:strCache>
            </c:strRef>
          </c:tx>
          <c:spPr>
            <a:ln w="28575" cap="rnd">
              <a:solidFill>
                <a:schemeClr val="accent1"/>
              </a:solidFill>
              <a:round/>
            </a:ln>
            <a:effectLst/>
          </c:spPr>
          <c:marker>
            <c:symbol val="none"/>
          </c:marker>
          <c:cat>
            <c:strRef>
              <c:f>'nobre d''artilce'!$A$4:$A$9</c:f>
              <c:strCache>
                <c:ptCount val="5"/>
                <c:pt idx="0">
                  <c:v>2019</c:v>
                </c:pt>
                <c:pt idx="1">
                  <c:v>2020</c:v>
                </c:pt>
                <c:pt idx="2">
                  <c:v>2022</c:v>
                </c:pt>
                <c:pt idx="3">
                  <c:v>2023</c:v>
                </c:pt>
                <c:pt idx="4">
                  <c:v>2024</c:v>
                </c:pt>
              </c:strCache>
            </c:strRef>
          </c:cat>
          <c:val>
            <c:numRef>
              <c:f>'nobre d''artilce'!$B$4:$B$9</c:f>
              <c:numCache>
                <c:formatCode>General</c:formatCode>
                <c:ptCount val="5"/>
                <c:pt idx="0">
                  <c:v>1</c:v>
                </c:pt>
                <c:pt idx="1">
                  <c:v>1</c:v>
                </c:pt>
                <c:pt idx="2">
                  <c:v>4</c:v>
                </c:pt>
                <c:pt idx="3">
                  <c:v>3</c:v>
                </c:pt>
                <c:pt idx="4">
                  <c:v>1</c:v>
                </c:pt>
              </c:numCache>
            </c:numRef>
          </c:val>
          <c:smooth val="0"/>
          <c:extLst>
            <c:ext xmlns:c16="http://schemas.microsoft.com/office/drawing/2014/chart" uri="{C3380CC4-5D6E-409C-BE32-E72D297353CC}">
              <c16:uniqueId val="{00000000-3A40-4E1F-B0C5-CD7228361305}"/>
            </c:ext>
          </c:extLst>
        </c:ser>
        <c:dLbls>
          <c:showLegendKey val="0"/>
          <c:showVal val="0"/>
          <c:showCatName val="0"/>
          <c:showSerName val="0"/>
          <c:showPercent val="0"/>
          <c:showBubbleSize val="0"/>
        </c:dLbls>
        <c:smooth val="0"/>
        <c:axId val="859844767"/>
        <c:axId val="1140599119"/>
      </c:lineChart>
      <c:catAx>
        <c:axId val="8598447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140599119"/>
        <c:crosses val="autoZero"/>
        <c:auto val="1"/>
        <c:lblAlgn val="ctr"/>
        <c:lblOffset val="100"/>
        <c:noMultiLvlLbl val="0"/>
      </c:catAx>
      <c:valAx>
        <c:axId val="1140599119"/>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59844767"/>
        <c:crosses val="autoZero"/>
        <c:crossBetween val="between"/>
        <c:maj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fr-FR"/>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12</Pages>
  <Words>8700</Words>
  <Characters>47850</Characters>
  <Application>Microsoft Office Word</Application>
  <DocSecurity>0</DocSecurity>
  <Lines>398</Lines>
  <Paragraphs>112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Elitebook 840 G3</dc:creator>
  <cp:keywords/>
  <dc:description/>
  <cp:lastModifiedBy>HP Elitebook 840 G3</cp:lastModifiedBy>
  <cp:revision>3</cp:revision>
  <dcterms:created xsi:type="dcterms:W3CDTF">2025-05-04T15:26:00Z</dcterms:created>
  <dcterms:modified xsi:type="dcterms:W3CDTF">2025-05-04T19:49:00Z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id="8rKKrue1"/&gt;&lt;style id="http://www.zotero.org/styles/apa" locale="fr-FR" hasBibliography="1" bibliographyStyleHasBeenSet="1"/&gt;&lt;prefs&gt;&lt;pref name="fieldType" value="Field"/&gt;&lt;/prefs&gt;&lt;/data&gt;</vt:lpwstr>
  </property>
</Properties>
</file>