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D8D9" w14:textId="77777777" w:rsidR="00B50FCE" w:rsidRPr="00A97413" w:rsidRDefault="00B50FCE" w:rsidP="00B50FCE">
      <w:pPr>
        <w:jc w:val="center"/>
        <w:rPr>
          <w:b/>
          <w:bCs/>
          <w:sz w:val="24"/>
          <w:szCs w:val="24"/>
        </w:rPr>
      </w:pPr>
      <w:r w:rsidRPr="00A97413">
        <w:rPr>
          <w:rFonts w:eastAsia="Arial"/>
          <w:b/>
          <w:bCs/>
          <w:sz w:val="24"/>
          <w:szCs w:val="24"/>
        </w:rPr>
        <w:t>ARTIFICIAL INTELLIGENCE-ENABLED FINANCIAL FRAUD: REGULATORY AND CYBERSECURITY CHALLENGES IN THE UK DIGITAL BANKING SECTOR</w:t>
      </w:r>
    </w:p>
    <w:p w14:paraId="2904DDB7" w14:textId="77777777" w:rsidR="00B50FCE" w:rsidRDefault="00B50FCE" w:rsidP="00B50FCE">
      <w:pPr>
        <w:jc w:val="center"/>
        <w:rPr>
          <w:rFonts w:eastAsia="Arial"/>
          <w:b/>
          <w:bCs/>
          <w:sz w:val="24"/>
          <w:szCs w:val="24"/>
        </w:rPr>
      </w:pPr>
    </w:p>
    <w:p w14:paraId="3ABA8A00" w14:textId="77777777" w:rsidR="00B50FCE" w:rsidRPr="00A97413" w:rsidRDefault="00B50FCE" w:rsidP="00B50FCE">
      <w:pPr>
        <w:jc w:val="center"/>
        <w:rPr>
          <w:b/>
          <w:bCs/>
          <w:i/>
          <w:iCs/>
          <w:sz w:val="24"/>
          <w:szCs w:val="24"/>
        </w:rPr>
      </w:pPr>
      <w:r w:rsidRPr="00A97413">
        <w:rPr>
          <w:rFonts w:eastAsia="Arial"/>
          <w:b/>
          <w:bCs/>
          <w:i/>
          <w:iCs/>
          <w:sz w:val="24"/>
          <w:szCs w:val="24"/>
        </w:rPr>
        <w:t>A Case Study of HSBC UK</w:t>
      </w:r>
    </w:p>
    <w:p w14:paraId="214CF7A5" w14:textId="77777777" w:rsidR="00B50FCE" w:rsidRPr="00A97413" w:rsidRDefault="00B50FCE" w:rsidP="00B50FCE">
      <w:pPr>
        <w:rPr>
          <w:sz w:val="24"/>
          <w:szCs w:val="24"/>
        </w:rPr>
      </w:pPr>
    </w:p>
    <w:p w14:paraId="20C54006" w14:textId="77777777" w:rsidR="00B50FCE" w:rsidRPr="00A97413" w:rsidRDefault="00B50FCE" w:rsidP="00B50FCE">
      <w:pPr>
        <w:pStyle w:val="Heading1"/>
        <w:rPr>
          <w:rFonts w:ascii="Times New Roman" w:hAnsi="Times New Roman" w:cs="Times New Roman"/>
          <w:color w:val="auto"/>
          <w:sz w:val="24"/>
          <w:szCs w:val="24"/>
        </w:rPr>
      </w:pPr>
      <w:r w:rsidRPr="00A97413">
        <w:rPr>
          <w:rFonts w:ascii="Times New Roman" w:hAnsi="Times New Roman" w:cs="Times New Roman"/>
          <w:color w:val="auto"/>
          <w:sz w:val="24"/>
          <w:szCs w:val="24"/>
        </w:rPr>
        <w:t>Abstract</w:t>
      </w:r>
    </w:p>
    <w:p w14:paraId="4A35D9CE" w14:textId="77777777" w:rsidR="00B50FCE" w:rsidRPr="00A97413" w:rsidRDefault="00B50FCE" w:rsidP="00B50FCE">
      <w:pPr>
        <w:spacing w:before="100" w:after="100"/>
        <w:jc w:val="both"/>
        <w:rPr>
          <w:sz w:val="24"/>
          <w:szCs w:val="24"/>
        </w:rPr>
      </w:pPr>
      <w:r w:rsidRPr="00A97413">
        <w:rPr>
          <w:sz w:val="24"/>
          <w:szCs w:val="24"/>
        </w:rPr>
        <w:t>Financial fraud has undergone a profound transformation in the digital age, with artificial intelligence (AI) increasingly exploited by malicious actors to execute sophisticated attacks against banking institutions and their customers at unprecedented scale. The threat environment in the digital banking industry in the United Kingdom is extremely acute and is characterised by AI-based fraud methods such as synthetic identity fraud, social engineering-enabled with deepfakes, machine-enabled phishing based on large language models, and machine learning-directed account takeover fraud. These advancements pose a systemic threat to financial stability, consumer trust and institutional integrity which have been inadequately dealt with swiftly and precisely by the current regulatory and cybersecurity systems.</w:t>
      </w:r>
    </w:p>
    <w:p w14:paraId="0EF19373" w14:textId="77777777" w:rsidR="00B50FCE" w:rsidRPr="00A97413" w:rsidRDefault="00B50FCE" w:rsidP="00B50FCE">
      <w:pPr>
        <w:spacing w:before="100" w:after="100"/>
        <w:jc w:val="both"/>
        <w:rPr>
          <w:sz w:val="24"/>
          <w:szCs w:val="24"/>
        </w:rPr>
      </w:pPr>
      <w:r w:rsidRPr="00A97413">
        <w:rPr>
          <w:sz w:val="24"/>
          <w:szCs w:val="24"/>
        </w:rPr>
        <w:t>This paper is an exploration of the regulatory and cybersecurity issues of AI-based financial fraud in the digital banking industry of the UK, using HSBC UK as the main case study. The aim is to critically assess the resilience of HSBC UK fraud prevention infrastructure, regulatory compliance posture and cybersecurity architecture to the changing AI fraud environment between 2019 and 2024. The study has been conducted by using a qualitative single-case study design and is backed by documentation analysis of HSBC Group and HSBC UK Annual Reports (20192024), FCA supervisory statements, UK Finance fraud intelligence reports and Prudential Regulation Authority (PRA) communications. Secondary analysis uses peer-reviewed academic literature and industry grey literature to put the HSBC-specific results into context with regard to the wider sector trends.</w:t>
      </w:r>
    </w:p>
    <w:p w14:paraId="64B24D8F" w14:textId="77777777" w:rsidR="00B50FCE" w:rsidRPr="00A97413" w:rsidRDefault="00B50FCE" w:rsidP="00B50FCE">
      <w:pPr>
        <w:spacing w:before="100" w:after="100"/>
        <w:jc w:val="both"/>
        <w:rPr>
          <w:sz w:val="24"/>
          <w:szCs w:val="24"/>
        </w:rPr>
      </w:pPr>
      <w:r w:rsidRPr="00A97413">
        <w:rPr>
          <w:sz w:val="24"/>
          <w:szCs w:val="24"/>
        </w:rPr>
        <w:t>The results indicate that, although HSBC UK has already invested heavily in AI-based fraud detection (behavioural biometrics, transaction monitoring tools, and financial crime analytics software), the major gaps in existing decision-making are in real-time deepfake detection, regulatory clarity regarding AI responsibility, as well as cross-institutional data-sharing infrastructure. Although the regulatory environment continues to develop due to the FCA Consumer Duty framework and the compulsory APP fraud reimbursement regime under the PSR, it has yet to develop an integrated architecture sufficient to keep pace with the pace of AI-based fraud innovation. The amount of fraud provisions at HSBC Group level has risen to year 2023 of 1.32 billion, compared with the previous year 2019 of 890 million, which is insufficient in comparison with the increasing threat.</w:t>
      </w:r>
    </w:p>
    <w:p w14:paraId="27565C4A" w14:textId="77777777" w:rsidR="00B50FCE" w:rsidRPr="00A97413" w:rsidRDefault="00B50FCE" w:rsidP="00B50FCE">
      <w:pPr>
        <w:spacing w:before="100" w:after="100"/>
        <w:jc w:val="both"/>
        <w:rPr>
          <w:sz w:val="24"/>
          <w:szCs w:val="24"/>
        </w:rPr>
      </w:pPr>
      <w:r w:rsidRPr="00A97413">
        <w:rPr>
          <w:sz w:val="24"/>
          <w:szCs w:val="24"/>
        </w:rPr>
        <w:t>The paper suggests a compulsory AI fraud taxonomy and standardised reporting regime, a legislative framework of a real-time cross-institutional framework of fraud intelligence sharing, binding FCA requirements of AI explainability in making fraud decisions, and the formation of a Joint Fraud Regulatory Committee to eradicate the pernicious division that currently characterises the UK fraud governance structure. It is necessary to protect UK consumers and ensure the operational resilience of systemically important financial institutions through these measures.</w:t>
      </w:r>
    </w:p>
    <w:p w14:paraId="371F4798" w14:textId="77777777" w:rsidR="00B50FCE" w:rsidRPr="00A97413" w:rsidRDefault="00B50FCE" w:rsidP="00B50FCE">
      <w:pPr>
        <w:spacing w:before="100" w:after="100"/>
        <w:jc w:val="both"/>
        <w:rPr>
          <w:sz w:val="24"/>
          <w:szCs w:val="24"/>
        </w:rPr>
      </w:pPr>
      <w:r w:rsidRPr="00A97413">
        <w:rPr>
          <w:b/>
          <w:bCs/>
          <w:sz w:val="24"/>
          <w:szCs w:val="24"/>
        </w:rPr>
        <w:t>Keywords</w:t>
      </w:r>
      <w:r w:rsidRPr="00A97413">
        <w:rPr>
          <w:sz w:val="24"/>
          <w:szCs w:val="24"/>
        </w:rPr>
        <w:t>: artificial intelligence, financial fraud, cybersecurity, digital banking, HSBC, FCA, regulatory compliance, deepfake, synthetic identity fraud, UK banking, APP fraud, operational resilience</w:t>
      </w:r>
    </w:p>
    <w:p w14:paraId="460A5B59" w14:textId="77777777" w:rsidR="00B50FCE" w:rsidRPr="00A97413" w:rsidRDefault="00B50FCE" w:rsidP="00B50FCE">
      <w:pPr>
        <w:spacing w:before="100" w:after="100" w:line="360" w:lineRule="auto"/>
        <w:jc w:val="both"/>
        <w:rPr>
          <w:b/>
          <w:bCs/>
          <w:sz w:val="24"/>
          <w:szCs w:val="24"/>
        </w:rPr>
      </w:pPr>
      <w:r w:rsidRPr="00A97413">
        <w:rPr>
          <w:b/>
          <w:bCs/>
          <w:sz w:val="24"/>
          <w:szCs w:val="24"/>
        </w:rPr>
        <w:lastRenderedPageBreak/>
        <w:t>1. Introduction</w:t>
      </w:r>
    </w:p>
    <w:p w14:paraId="165F49F7" w14:textId="77777777" w:rsidR="00B50FCE" w:rsidRPr="00A97413" w:rsidRDefault="00B50FCE" w:rsidP="00B50FCE">
      <w:pPr>
        <w:spacing w:before="100" w:after="100" w:line="360" w:lineRule="auto"/>
        <w:jc w:val="both"/>
        <w:rPr>
          <w:sz w:val="24"/>
          <w:szCs w:val="24"/>
        </w:rPr>
      </w:pPr>
      <w:r w:rsidRPr="00A97413">
        <w:rPr>
          <w:b/>
          <w:bCs/>
          <w:sz w:val="24"/>
          <w:szCs w:val="24"/>
        </w:rPr>
        <w:t>1.1 Background</w:t>
      </w:r>
    </w:p>
    <w:p w14:paraId="60A53A08" w14:textId="77777777" w:rsidR="00B50FCE" w:rsidRPr="00A97413" w:rsidRDefault="00B50FCE" w:rsidP="00B50FCE">
      <w:pPr>
        <w:spacing w:before="100" w:after="100" w:line="360" w:lineRule="auto"/>
        <w:jc w:val="both"/>
        <w:rPr>
          <w:sz w:val="24"/>
          <w:szCs w:val="24"/>
        </w:rPr>
      </w:pPr>
      <w:r w:rsidRPr="00A97413">
        <w:rPr>
          <w:sz w:val="24"/>
          <w:szCs w:val="24"/>
        </w:rPr>
        <w:t>The intersection of artificial intelligence and financial crime has emerged as one of the most consequential challenges facing the global banking industry in the twenty-first century. In the United Kingdom, which hosts one of the world's most sophisticated and technologically advanced financial systems, the rapid digitisation of banking services has created both unprecedented opportunity and significant vulnerability. As of 2023, over 89% of UK adults used digital banking channels, and mobile banking transactions exceeded £280 billion annually, reflecting a fundamental shift in how financial services are consumed (UK Finance, 2024). This digitalisation has been both opening more access to legitimate customers and lowering friction to legitimate customers, but it has also opened up more access to attackers, who have turned to AI technologies to orchestrate attacks of unprecedented scale and sophistication.</w:t>
      </w:r>
    </w:p>
    <w:p w14:paraId="3DB032AD" w14:textId="77777777" w:rsidR="00B50FCE" w:rsidRPr="00A97413" w:rsidRDefault="00B50FCE" w:rsidP="00B50FCE">
      <w:pPr>
        <w:spacing w:before="100" w:after="100" w:line="360" w:lineRule="auto"/>
        <w:jc w:val="both"/>
        <w:rPr>
          <w:sz w:val="24"/>
          <w:szCs w:val="24"/>
        </w:rPr>
      </w:pPr>
      <w:r w:rsidRPr="00A97413">
        <w:rPr>
          <w:sz w:val="24"/>
          <w:szCs w:val="24"/>
        </w:rPr>
        <w:t>Fraud in AI has a wide and fast-growing taxonomy of threats. They are synthetic identity fraud, involving the use of generative AI to create believable personal identities; social engineering enabled by deepfakes, where manipulated audio or video material is used to impersonate executives or customers; automated spear-phishing, where natural language processing (NLP) models are used to create highly personalised deceptive messages; and machine learning-assisted account takeover, where artificial intelligence algorithms automatically test credential combinations and behavioural patterns in order to access the accounts of customers (Ryman-Tubb et al., 2018; Goldstein et al., Such approaches have significantly increased risk level of financial institutions that have posed a significant challenge to established rule-based fraud detection systems, which are not flexible enough to detect AI-generated threats in real time.</w:t>
      </w:r>
    </w:p>
    <w:p w14:paraId="2B94F4A9" w14:textId="77777777" w:rsidR="00B50FCE" w:rsidRPr="00A97413" w:rsidRDefault="00B50FCE" w:rsidP="00B50FCE">
      <w:pPr>
        <w:spacing w:before="100" w:after="100" w:line="360" w:lineRule="auto"/>
        <w:jc w:val="both"/>
        <w:rPr>
          <w:sz w:val="24"/>
          <w:szCs w:val="24"/>
        </w:rPr>
      </w:pPr>
      <w:r w:rsidRPr="00A97413">
        <w:rPr>
          <w:sz w:val="24"/>
          <w:szCs w:val="24"/>
        </w:rPr>
        <w:t>As a potentially instructive case study on how a large, systemically relevant retail and commercial bank can negotiate this environment, HSBC UK is one of the biggest banks in Britain. Having more than 14.8 million retail clients, substantial business banking base, and an advanced digital infrastructure that supports billions of pounds of transactions every single day, HSBC UK is in a place where the impact of fraud failure is not only operationally disastrous, but also reputationally disastrous (HSBC Group, 2023). The bank has traditionally made significant investments in financial crime prevention, and their disclosures to society give one a useful prism to analyze institutional reactions to AI-based fraud risks during a multi-year timeframe.</w:t>
      </w:r>
    </w:p>
    <w:p w14:paraId="0C7ABAC2" w14:textId="77777777" w:rsidR="00B50FCE" w:rsidRPr="00A97413" w:rsidRDefault="00B50FCE" w:rsidP="00B50FCE">
      <w:pPr>
        <w:spacing w:before="100" w:after="100" w:line="360" w:lineRule="auto"/>
        <w:jc w:val="both"/>
        <w:rPr>
          <w:sz w:val="24"/>
          <w:szCs w:val="24"/>
        </w:rPr>
      </w:pPr>
      <w:r w:rsidRPr="00A97413">
        <w:rPr>
          <w:sz w:val="24"/>
          <w:szCs w:val="24"/>
        </w:rPr>
        <w:lastRenderedPageBreak/>
        <w:t>UK banking regulation of fraud prevention has evolved significantly, but there are still some important gaps and tensions. The Financial Conduct Authority (FCA) and the Prudential Regulation Authority (PRA) have published a row of progressively significant communications concerning operational resilience, AI governance and consumer protection. In October 2024, the Payment Systems Regulator (PSR) announced that people who are victims of authorised push payment (APP) fraud are now required to receive mandatory compensation- another policy intervention of this kind that demonstrates the magnitude of the issue. Nevertheless, researchers and professionals have found a consistent system of fragmentation across regulatory regimes, the lack of clarity in the standards of AI accountability, and insufficient cross-institutional intelligence-sharing mechanisms (Arner et al., 2020; Levi, 2019). The lack of these structures threatens to provide a system where fraudsters can use the gaps between regulatory jurisdictions with more agility than institutions can.</w:t>
      </w:r>
    </w:p>
    <w:p w14:paraId="5B5B6344" w14:textId="77777777" w:rsidR="00B50FCE" w:rsidRPr="00A97413" w:rsidRDefault="00B50FCE" w:rsidP="00B50FCE">
      <w:pPr>
        <w:spacing w:before="100" w:after="100" w:line="360" w:lineRule="auto"/>
        <w:jc w:val="both"/>
        <w:rPr>
          <w:b/>
          <w:bCs/>
          <w:sz w:val="24"/>
          <w:szCs w:val="24"/>
        </w:rPr>
      </w:pPr>
      <w:r w:rsidRPr="00A97413">
        <w:rPr>
          <w:b/>
          <w:bCs/>
          <w:sz w:val="24"/>
          <w:szCs w:val="24"/>
        </w:rPr>
        <w:t>1.2 Problem Statement</w:t>
      </w:r>
    </w:p>
    <w:p w14:paraId="5BFC09C8" w14:textId="77777777" w:rsidR="00B50FCE" w:rsidRPr="00A97413" w:rsidRDefault="00B50FCE" w:rsidP="00B50FCE">
      <w:pPr>
        <w:spacing w:before="100" w:after="100" w:line="360" w:lineRule="auto"/>
        <w:jc w:val="both"/>
        <w:rPr>
          <w:sz w:val="24"/>
          <w:szCs w:val="24"/>
        </w:rPr>
      </w:pPr>
      <w:r w:rsidRPr="00A97413">
        <w:rPr>
          <w:sz w:val="24"/>
          <w:szCs w:val="24"/>
        </w:rPr>
        <w:t>Though major institutions have invested heavily in fraud prevention technology and their regulatory focus is up, AI driven financial fraud is growing in scale, frequency, and complexity within the UK banking industry. In 2023, on its own, the UK banking customers lost over 1.17 billion to frauds annually, with AI-mediated frauds, most notably APP fraud, synthetic identity fraud, and deepfake social engineering, representing an increasingly large part of the aggregate losses (UK Finance, 2024). This issue is enhanced by regulatory architecture that is becoming more receptive but has failed to mirror the adaptability of AI-driven fraud systems with an integrated, forward-looking architecture. The study fills a major gap in the scholarly and policy literature by offering a case-study-based analytical examination of these issues in the context of the particular institutional environment of HSBC UK.</w:t>
      </w:r>
    </w:p>
    <w:p w14:paraId="6F1034F1"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t>1.</w:t>
      </w:r>
      <w:r w:rsidRPr="00A97413">
        <w:rPr>
          <w:rFonts w:ascii="Times New Roman" w:hAnsi="Times New Roman" w:cs="Times New Roman"/>
          <w:color w:val="auto"/>
          <w:sz w:val="24"/>
          <w:szCs w:val="24"/>
        </w:rPr>
        <w:t>3</w:t>
      </w:r>
      <w:r w:rsidRPr="00A97413">
        <w:rPr>
          <w:rFonts w:ascii="Times New Roman" w:eastAsia="Arial" w:hAnsi="Times New Roman" w:cs="Times New Roman"/>
          <w:b/>
          <w:bCs/>
          <w:color w:val="auto"/>
          <w:sz w:val="24"/>
          <w:szCs w:val="24"/>
        </w:rPr>
        <w:t xml:space="preserve"> Research Objectives</w:t>
      </w:r>
    </w:p>
    <w:p w14:paraId="5BCBE1FB" w14:textId="77777777" w:rsidR="00B50FCE" w:rsidRPr="00A97413" w:rsidRDefault="00B50FCE" w:rsidP="00B50FCE">
      <w:pPr>
        <w:spacing w:before="100" w:after="100" w:line="360" w:lineRule="auto"/>
        <w:jc w:val="both"/>
        <w:rPr>
          <w:sz w:val="24"/>
          <w:szCs w:val="24"/>
        </w:rPr>
      </w:pPr>
      <w:r w:rsidRPr="00A97413">
        <w:rPr>
          <w:sz w:val="24"/>
          <w:szCs w:val="24"/>
        </w:rPr>
        <w:t xml:space="preserve">This study pursues four specific objectives. </w:t>
      </w:r>
    </w:p>
    <w:p w14:paraId="37A951B2" w14:textId="77777777" w:rsidR="00B50FCE" w:rsidRPr="00A97413" w:rsidRDefault="00B50FCE" w:rsidP="00B50FCE">
      <w:pPr>
        <w:pStyle w:val="ListParagraph"/>
        <w:numPr>
          <w:ilvl w:val="0"/>
          <w:numId w:val="1"/>
        </w:numPr>
        <w:spacing w:before="100" w:after="100" w:line="360" w:lineRule="auto"/>
        <w:contextualSpacing w:val="0"/>
        <w:jc w:val="both"/>
        <w:rPr>
          <w:sz w:val="24"/>
          <w:szCs w:val="24"/>
        </w:rPr>
      </w:pPr>
      <w:r w:rsidRPr="00A97413">
        <w:rPr>
          <w:sz w:val="24"/>
          <w:szCs w:val="24"/>
        </w:rPr>
        <w:t xml:space="preserve">to identify and classify the primary AI-enabled fraud threats facing UK digital banks, with particular reference to HSBC UK's operational context. </w:t>
      </w:r>
    </w:p>
    <w:p w14:paraId="75AFE8A3" w14:textId="77777777" w:rsidR="00B50FCE" w:rsidRPr="00A97413" w:rsidRDefault="00B50FCE" w:rsidP="00B50FCE">
      <w:pPr>
        <w:pStyle w:val="ListParagraph"/>
        <w:numPr>
          <w:ilvl w:val="0"/>
          <w:numId w:val="1"/>
        </w:numPr>
        <w:spacing w:before="100" w:after="100" w:line="360" w:lineRule="auto"/>
        <w:contextualSpacing w:val="0"/>
        <w:jc w:val="both"/>
        <w:rPr>
          <w:sz w:val="24"/>
          <w:szCs w:val="24"/>
        </w:rPr>
      </w:pPr>
      <w:r w:rsidRPr="00A97413">
        <w:rPr>
          <w:sz w:val="24"/>
          <w:szCs w:val="24"/>
        </w:rPr>
        <w:t xml:space="preserve">to evaluate the adequacy of existing UK regulatory frameworks in addressing AI-enabled financial fraud. </w:t>
      </w:r>
    </w:p>
    <w:p w14:paraId="787CA049" w14:textId="77777777" w:rsidR="00B50FCE" w:rsidRPr="00A97413" w:rsidRDefault="00B50FCE" w:rsidP="00B50FCE">
      <w:pPr>
        <w:pStyle w:val="ListParagraph"/>
        <w:numPr>
          <w:ilvl w:val="0"/>
          <w:numId w:val="1"/>
        </w:numPr>
        <w:spacing w:before="100" w:after="100" w:line="360" w:lineRule="auto"/>
        <w:contextualSpacing w:val="0"/>
        <w:jc w:val="both"/>
        <w:rPr>
          <w:sz w:val="24"/>
          <w:szCs w:val="24"/>
        </w:rPr>
      </w:pPr>
      <w:r w:rsidRPr="00A97413">
        <w:rPr>
          <w:sz w:val="24"/>
          <w:szCs w:val="24"/>
        </w:rPr>
        <w:t xml:space="preserve">to assess HSBC UK's cybersecurity and fraud prevention architecture in light of those threats. </w:t>
      </w:r>
    </w:p>
    <w:p w14:paraId="601E0016" w14:textId="77777777" w:rsidR="00B50FCE" w:rsidRPr="00A97413" w:rsidRDefault="00B50FCE" w:rsidP="00B50FCE">
      <w:pPr>
        <w:pStyle w:val="ListParagraph"/>
        <w:numPr>
          <w:ilvl w:val="0"/>
          <w:numId w:val="1"/>
        </w:numPr>
        <w:spacing w:before="100" w:after="100" w:line="360" w:lineRule="auto"/>
        <w:contextualSpacing w:val="0"/>
        <w:jc w:val="both"/>
        <w:rPr>
          <w:sz w:val="24"/>
          <w:szCs w:val="24"/>
        </w:rPr>
      </w:pPr>
      <w:r w:rsidRPr="00A97413">
        <w:rPr>
          <w:sz w:val="24"/>
          <w:szCs w:val="24"/>
        </w:rPr>
        <w:lastRenderedPageBreak/>
        <w:t>to identify gaps in institutional and regulatory responses and advance evidence-based recommendations for policy and operational improvement.</w:t>
      </w:r>
    </w:p>
    <w:p w14:paraId="79F637A9"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t>1.</w:t>
      </w:r>
      <w:r w:rsidRPr="00A97413">
        <w:rPr>
          <w:rFonts w:ascii="Times New Roman" w:hAnsi="Times New Roman" w:cs="Times New Roman"/>
          <w:color w:val="auto"/>
          <w:sz w:val="24"/>
          <w:szCs w:val="24"/>
        </w:rPr>
        <w:t>4</w:t>
      </w:r>
      <w:r w:rsidRPr="00A97413">
        <w:rPr>
          <w:rFonts w:ascii="Times New Roman" w:eastAsia="Arial" w:hAnsi="Times New Roman" w:cs="Times New Roman"/>
          <w:b/>
          <w:bCs/>
          <w:color w:val="auto"/>
          <w:sz w:val="24"/>
          <w:szCs w:val="24"/>
        </w:rPr>
        <w:t xml:space="preserve"> Research Questions</w:t>
      </w:r>
    </w:p>
    <w:p w14:paraId="75C24F45" w14:textId="77777777" w:rsidR="00B50FCE" w:rsidRPr="00A97413" w:rsidRDefault="00B50FCE" w:rsidP="00B50FCE">
      <w:pPr>
        <w:spacing w:before="100" w:after="100" w:line="360" w:lineRule="auto"/>
        <w:jc w:val="both"/>
        <w:rPr>
          <w:sz w:val="24"/>
          <w:szCs w:val="24"/>
        </w:rPr>
      </w:pPr>
      <w:r w:rsidRPr="00A97413">
        <w:rPr>
          <w:sz w:val="24"/>
          <w:szCs w:val="24"/>
        </w:rPr>
        <w:t xml:space="preserve">The study is guided by the following research questions. </w:t>
      </w:r>
    </w:p>
    <w:p w14:paraId="3A67F417" w14:textId="77777777" w:rsidR="00B50FCE" w:rsidRPr="00A97413" w:rsidRDefault="00B50FCE" w:rsidP="00B50FCE">
      <w:pPr>
        <w:spacing w:before="100" w:after="100" w:line="360" w:lineRule="auto"/>
        <w:jc w:val="both"/>
        <w:rPr>
          <w:sz w:val="24"/>
          <w:szCs w:val="24"/>
        </w:rPr>
      </w:pPr>
      <w:r w:rsidRPr="00A97413">
        <w:rPr>
          <w:sz w:val="24"/>
          <w:szCs w:val="24"/>
        </w:rPr>
        <w:t xml:space="preserve">RQ1: What are the primary forms of AI-enabled financial fraud affecting HSBC UK's digital banking operations? </w:t>
      </w:r>
    </w:p>
    <w:p w14:paraId="410BF118" w14:textId="77777777" w:rsidR="00B50FCE" w:rsidRPr="00A97413" w:rsidRDefault="00B50FCE" w:rsidP="00B50FCE">
      <w:pPr>
        <w:spacing w:before="100" w:after="100" w:line="360" w:lineRule="auto"/>
        <w:jc w:val="both"/>
        <w:rPr>
          <w:sz w:val="24"/>
          <w:szCs w:val="24"/>
        </w:rPr>
      </w:pPr>
      <w:r w:rsidRPr="00A97413">
        <w:rPr>
          <w:sz w:val="24"/>
          <w:szCs w:val="24"/>
        </w:rPr>
        <w:t xml:space="preserve">RQ2: How adequate is the current UK regulatory framework in addressing AI-enabled fraud within systemically important banks? </w:t>
      </w:r>
    </w:p>
    <w:p w14:paraId="022CFE4A" w14:textId="77777777" w:rsidR="00B50FCE" w:rsidRPr="00A97413" w:rsidRDefault="00B50FCE" w:rsidP="00B50FCE">
      <w:pPr>
        <w:spacing w:before="100" w:after="100" w:line="360" w:lineRule="auto"/>
        <w:jc w:val="both"/>
        <w:rPr>
          <w:sz w:val="24"/>
          <w:szCs w:val="24"/>
        </w:rPr>
      </w:pPr>
      <w:r w:rsidRPr="00A97413">
        <w:rPr>
          <w:sz w:val="24"/>
          <w:szCs w:val="24"/>
        </w:rPr>
        <w:t xml:space="preserve">RQ3: To what extent has HSBC UK's cybersecurity and fraud prevention infrastructure adapted to AI-enabled fraud threats between 2019 and 2024? </w:t>
      </w:r>
    </w:p>
    <w:p w14:paraId="132404D3" w14:textId="77777777" w:rsidR="00B50FCE" w:rsidRPr="00A97413" w:rsidRDefault="00B50FCE" w:rsidP="00B50FCE">
      <w:pPr>
        <w:spacing w:before="100" w:after="100" w:line="360" w:lineRule="auto"/>
        <w:jc w:val="both"/>
        <w:rPr>
          <w:sz w:val="24"/>
          <w:szCs w:val="24"/>
        </w:rPr>
      </w:pPr>
      <w:r w:rsidRPr="00A97413">
        <w:rPr>
          <w:sz w:val="24"/>
          <w:szCs w:val="24"/>
        </w:rPr>
        <w:t>RQ4: What regulatory and operational recommendations can be drawn to strengthen the UK's defences against AI-enabled financial fraud?</w:t>
      </w:r>
    </w:p>
    <w:p w14:paraId="67D9BF03" w14:textId="77777777" w:rsidR="00B50FCE" w:rsidRPr="00A97413" w:rsidRDefault="00B50FCE" w:rsidP="00B50FCE">
      <w:pPr>
        <w:pStyle w:val="Heading1"/>
        <w:rPr>
          <w:rFonts w:ascii="Times New Roman" w:hAnsi="Times New Roman" w:cs="Times New Roman"/>
          <w:color w:val="auto"/>
          <w:sz w:val="24"/>
          <w:szCs w:val="24"/>
        </w:rPr>
      </w:pPr>
      <w:r w:rsidRPr="00A97413">
        <w:rPr>
          <w:rFonts w:ascii="Times New Roman" w:eastAsia="Arial" w:hAnsi="Times New Roman" w:cs="Times New Roman"/>
          <w:color w:val="auto"/>
          <w:sz w:val="24"/>
          <w:szCs w:val="24"/>
        </w:rPr>
        <w:t xml:space="preserve">2. Literature </w:t>
      </w:r>
      <w:r w:rsidRPr="00A97413">
        <w:rPr>
          <w:rFonts w:ascii="Times New Roman" w:hAnsi="Times New Roman" w:cs="Times New Roman"/>
          <w:color w:val="auto"/>
          <w:sz w:val="24"/>
          <w:szCs w:val="24"/>
        </w:rPr>
        <w:t>Review</w:t>
      </w:r>
    </w:p>
    <w:p w14:paraId="2781B4F3"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t>2.1 AI-Enabled Financial Fraud: Typology and Mechanisms</w:t>
      </w:r>
    </w:p>
    <w:p w14:paraId="3607A678" w14:textId="77777777" w:rsidR="00B50FCE" w:rsidRPr="00A97413" w:rsidRDefault="00B50FCE" w:rsidP="00B50FCE">
      <w:pPr>
        <w:spacing w:before="100" w:after="100" w:line="360" w:lineRule="auto"/>
        <w:jc w:val="both"/>
        <w:rPr>
          <w:sz w:val="24"/>
          <w:szCs w:val="24"/>
        </w:rPr>
      </w:pPr>
      <w:r w:rsidRPr="00A97413">
        <w:rPr>
          <w:sz w:val="24"/>
          <w:szCs w:val="24"/>
        </w:rPr>
        <w:t>The scholarly literature on AI-enabled financial fraud has expanded considerably since 2018, reflecting both the increasing prevalence of such attacks and growing academic interest in the intersection of machine learning and financial crime. Early and influential, Ryman-Tubb et al. (2018) systematic reviewed the use of neural networks in fraud detection and provided a fundamental taxonomy, which drew the distinction between supervised, unsupervised, and reinforcement learning methods to commit crimes and to detect them. Their article emphasized the duality inherent in AI with regard to financial security the same technologies that enable the prevention of fraud can be used by opposing forces to overcome the detection. This is the point that AI innovation equally empowers those who defend and attack, which has since emerged as one of the organising principles of the scholarly literature.</w:t>
      </w:r>
    </w:p>
    <w:p w14:paraId="5E8A1B6A" w14:textId="77777777" w:rsidR="00B50FCE" w:rsidRPr="00A97413" w:rsidRDefault="00B50FCE" w:rsidP="00B50FCE">
      <w:pPr>
        <w:spacing w:before="100" w:after="100" w:line="360" w:lineRule="auto"/>
        <w:jc w:val="both"/>
        <w:rPr>
          <w:sz w:val="24"/>
          <w:szCs w:val="24"/>
        </w:rPr>
      </w:pPr>
      <w:r w:rsidRPr="00A97413">
        <w:rPr>
          <w:sz w:val="24"/>
          <w:szCs w:val="24"/>
        </w:rPr>
        <w:t xml:space="preserve">A specific interest in scholarly literature has been drawn to synthetic identity fraud as one of the fastest-growing threat vectors of AI. Kou et al. (2021) showed that recent generative adversarial networks (GANs) can create synthetic personal profiles, a combination of both real and fake data points, in a degree useful to defraud traditional Know Your Customer (KYC) verification systems on a mass scale. These have significant implications on banks such as HSBC that are dealing with </w:t>
      </w:r>
      <w:r w:rsidRPr="00A97413">
        <w:rPr>
          <w:sz w:val="24"/>
          <w:szCs w:val="24"/>
        </w:rPr>
        <w:lastRenderedPageBreak/>
        <w:t>hundreds of thousands of new customer onboarding applications every year over digital channels. Conventional techniques of document verification and database matching are becoming less and less effective in comparison to GAN-generated identity documents and images (West and Bhattacharya, 2018). In North America, the Federal Reserve of the US estimated that synthetic identity fraud was the most rapidly increasing type of financial crime (US Federal Reserve, 2019), the same trend that was mirrored in UK intelligence analysis.</w:t>
      </w:r>
    </w:p>
    <w:p w14:paraId="734A98D5" w14:textId="77777777" w:rsidR="00B50FCE" w:rsidRPr="00A97413" w:rsidRDefault="00B50FCE" w:rsidP="00B50FCE">
      <w:pPr>
        <w:spacing w:before="100" w:after="100" w:line="360" w:lineRule="auto"/>
        <w:jc w:val="both"/>
        <w:rPr>
          <w:sz w:val="24"/>
          <w:szCs w:val="24"/>
        </w:rPr>
      </w:pPr>
      <w:r w:rsidRPr="00A97413">
        <w:rPr>
          <w:sz w:val="24"/>
          <w:szCs w:val="24"/>
        </w:rPr>
        <w:t>A very worrying aspect of AI-facilitated fraud is the so-called deepfake technology. Chesney and Citron (2019) provided a powerful first evaluation of deepfake dangers in the financial and political fields based on the fact that AI-generated audio and video may be used to impersonate a corporate leader, bypass security measures, and approve fraudulent deals. These threats have since been operationalised through empirical developments in other countries: a UK-based energy company has lost £201,000 to criminals who impersonated the Germany CEO of the company using AI voice-cloning technology during a phone call (Stupp, 2019). In the case of retail banks, the greatest vulnerabilities of deepfakes are in the telephone-based authentication process and the video KYC verification process, both of which constitute large portions of HSBC UK infrastructure in the customer service process.</w:t>
      </w:r>
    </w:p>
    <w:p w14:paraId="0FD60FBA" w14:textId="77777777" w:rsidR="00B50FCE" w:rsidRPr="00A97413" w:rsidRDefault="00B50FCE" w:rsidP="00B50FCE">
      <w:pPr>
        <w:spacing w:before="100" w:after="100" w:line="360" w:lineRule="auto"/>
        <w:jc w:val="both"/>
        <w:rPr>
          <w:sz w:val="24"/>
          <w:szCs w:val="24"/>
        </w:rPr>
      </w:pPr>
      <w:r w:rsidRPr="00A97413">
        <w:rPr>
          <w:sz w:val="24"/>
          <w:szCs w:val="24"/>
        </w:rPr>
        <w:t>Bhattacharyya et al. (2018) have investigated the contribution of natural language processing to facilitating phishing and social engineering attacks and discovered that NLP-driven phishing emails generated by language model precursors achieved a significantly higher click-through rates than traditional phishing campaigns in controlled experimental conditions. Even more recent studies have applied these results to large language model (LLM) applications. Guembe et al. (2022) reported that commercially the AI tools cause a significant reduction in the technical barrier to generating highly credible fraudulent messages and this allows a broader range of potential perpetrators than those with advanced technical skills to individuals with little to no programming skills. This represents a qualitative change in the threat environment that the current paradigms of detection were not created to deal with; this democratisation of AI-enabled fraud capability.</w:t>
      </w:r>
    </w:p>
    <w:p w14:paraId="22261F39" w14:textId="77777777" w:rsidR="00B50FCE" w:rsidRPr="00A97413" w:rsidRDefault="00B50FCE" w:rsidP="00B50FCE">
      <w:pPr>
        <w:spacing w:before="100" w:after="100" w:line="360" w:lineRule="auto"/>
        <w:jc w:val="both"/>
        <w:rPr>
          <w:sz w:val="24"/>
          <w:szCs w:val="24"/>
        </w:rPr>
      </w:pPr>
      <w:r w:rsidRPr="00A97413">
        <w:rPr>
          <w:sz w:val="24"/>
          <w:szCs w:val="24"/>
        </w:rPr>
        <w:t xml:space="preserve">Abdallah et al. (2016) analyzed machine learning-powered account takeover, and in the scope of the general review of fraud detection in banking, they discovered the inherent problem of detecting AI-powered credential attacks, which is dynamically modified to avoid detection logic. Later research by Baesens et al. (2021) into the use of neural network is fraud analytics revealed that, despite the </w:t>
      </w:r>
      <w:r w:rsidRPr="00A97413">
        <w:rPr>
          <w:sz w:val="24"/>
          <w:szCs w:val="24"/>
        </w:rPr>
        <w:lastRenderedPageBreak/>
        <w:t>superiority of deep learning strategies in fraud detection, they create issues in explainability that pose compliance difficulties in a controlled setting, which has been a point of tension in regulatory discourse in the UK.</w:t>
      </w:r>
    </w:p>
    <w:p w14:paraId="2B88A094" w14:textId="77777777" w:rsidR="00B50FCE" w:rsidRPr="00A97413" w:rsidRDefault="00B50FCE" w:rsidP="00B50FCE">
      <w:pPr>
        <w:spacing w:before="100" w:after="100" w:line="360" w:lineRule="auto"/>
        <w:jc w:val="both"/>
        <w:rPr>
          <w:b/>
          <w:bCs/>
          <w:sz w:val="24"/>
          <w:szCs w:val="24"/>
        </w:rPr>
      </w:pPr>
      <w:r w:rsidRPr="00A97413">
        <w:rPr>
          <w:b/>
          <w:bCs/>
          <w:sz w:val="24"/>
          <w:szCs w:val="24"/>
        </w:rPr>
        <w:t>2.2 Governance Problems and Regulatory Frameworks</w:t>
      </w:r>
    </w:p>
    <w:p w14:paraId="3385238F" w14:textId="77777777" w:rsidR="00B50FCE" w:rsidRPr="00A97413" w:rsidRDefault="00B50FCE" w:rsidP="00B50FCE">
      <w:pPr>
        <w:spacing w:before="100" w:after="100" w:line="360" w:lineRule="auto"/>
        <w:jc w:val="both"/>
        <w:rPr>
          <w:sz w:val="24"/>
          <w:szCs w:val="24"/>
        </w:rPr>
      </w:pPr>
      <w:r w:rsidRPr="00A97413">
        <w:rPr>
          <w:sz w:val="24"/>
          <w:szCs w:val="24"/>
        </w:rPr>
        <w:t>The regulation of AI within the financial services industry has taken center stage as a key issue to regulators the world over. Arner et al. (2020) claimed that in the context of the UK, as the FinTech and AI capabilities are rapidly developed, there is a systematic problem of regulatory lag, a structural gap between the rate of technological change and the rate of regulatory change. Their overview of RegTech activity recognises the UK as one jurisdiction that has achieved significant achievements in its efforts to do so, including the FCA Regulatory Sandbox, the AI Public-Private Forum among other efforts, even though these measures do not amount to an absolute architecture of AI governance that would provide solutions to the full repertoire of AI-enabled threats.</w:t>
      </w:r>
    </w:p>
    <w:p w14:paraId="15B1FDF8" w14:textId="77777777" w:rsidR="00B50FCE" w:rsidRPr="00A97413" w:rsidRDefault="00B50FCE" w:rsidP="00B50FCE">
      <w:pPr>
        <w:spacing w:before="100" w:after="100" w:line="360" w:lineRule="auto"/>
        <w:jc w:val="both"/>
        <w:rPr>
          <w:sz w:val="24"/>
          <w:szCs w:val="24"/>
        </w:rPr>
      </w:pPr>
      <w:r w:rsidRPr="00A97413">
        <w:rPr>
          <w:sz w:val="24"/>
          <w:szCs w:val="24"/>
        </w:rPr>
        <w:t>Demertzis and Wolff (2020) analyzed the systemic risks of AI adoption in the financial sector in a macroprudential dimension, stating that collocated AI capabilities by a few vendors of technology generate correlated risks to the banking sector in general. The analysis is directly applicable to the dependence of HSBC UK on the use of third-party AI systems to monitor transactions and identify fraud: the violation or compromising of a shared vendor system would affect multiple institutions at once and cause systematic losses that could not be covered by the capital provided by a single company. Broeders and Prenio (2018) noted that existing regulatory frameworks have not been adequately dealing with this concentration risk, where they defined AI-specific systemic risk as a blind spot of prudential supervision when they wrote the article.</w:t>
      </w:r>
    </w:p>
    <w:p w14:paraId="6868BE7A" w14:textId="77777777" w:rsidR="00B50FCE" w:rsidRPr="00A97413" w:rsidRDefault="00B50FCE" w:rsidP="00B50FCE">
      <w:pPr>
        <w:spacing w:before="100" w:after="100" w:line="360" w:lineRule="auto"/>
        <w:jc w:val="both"/>
        <w:rPr>
          <w:sz w:val="24"/>
          <w:szCs w:val="24"/>
        </w:rPr>
      </w:pPr>
      <w:r w:rsidRPr="00A97413">
        <w:rPr>
          <w:sz w:val="24"/>
          <w:szCs w:val="24"/>
        </w:rPr>
        <w:t xml:space="preserve">The legislation of approved push payment fraud has changed considerably during the time of study. Levi (2019) has given an in-depth overview of how the UK reacted to fraud by highlighting the shortcoming of industry-based solutions like the voluntary Contingent Reimbursement Model (CRM) Code in delivering uniform consumer protection results. The voluntary nature of the code resulted in an uneven adherence with an effect of no enforcement and an outcome of a wide range of reimbursement rates in various institutions and many victims would not have any form of compensation. The new APP reimbursement regime that will be enforced by the PSR in October 2024 constitutes a significant policy redress, but the implications of the new regime on the risk </w:t>
      </w:r>
      <w:r w:rsidRPr="00A97413">
        <w:rPr>
          <w:sz w:val="24"/>
          <w:szCs w:val="24"/>
        </w:rPr>
        <w:lastRenderedPageBreak/>
        <w:t>management of banks and moral hazard by consumers continue to be debated by scholars and policymakers.</w:t>
      </w:r>
    </w:p>
    <w:p w14:paraId="15602EAE" w14:textId="77777777" w:rsidR="00B50FCE" w:rsidRPr="00A97413" w:rsidRDefault="00B50FCE" w:rsidP="00B50FCE">
      <w:pPr>
        <w:spacing w:before="100" w:after="100" w:line="360" w:lineRule="auto"/>
        <w:jc w:val="both"/>
        <w:rPr>
          <w:sz w:val="24"/>
          <w:szCs w:val="24"/>
        </w:rPr>
      </w:pPr>
      <w:r w:rsidRPr="00A97413">
        <w:rPr>
          <w:sz w:val="24"/>
          <w:szCs w:val="24"/>
        </w:rPr>
        <w:t>Bell and Hindmoor (2019) discussed the politics of bank regulation in the UK, claiming that systems stability based operational resilience models traditionally put consumers protection second to systemic stability, a conflict that the AI fraud issue is making unsustainable as fraud damage at the retail end grows. Newer research by Button and Cross (2020) on victimology of cybercrime points to the fact that individual victims of fraud have experienced severe psychological and financial damage, and therefore presents a strong empirical argument to support a consumer-focused approach to regulating fraud that no longer focuses on the macroprudential perspective of traditional prudential supervision.</w:t>
      </w:r>
    </w:p>
    <w:p w14:paraId="25EB9351" w14:textId="77777777" w:rsidR="00B50FCE" w:rsidRPr="00A97413" w:rsidRDefault="00B50FCE" w:rsidP="00B50FCE">
      <w:pPr>
        <w:spacing w:before="100" w:after="100" w:line="360" w:lineRule="auto"/>
        <w:jc w:val="both"/>
        <w:rPr>
          <w:b/>
          <w:bCs/>
          <w:sz w:val="24"/>
          <w:szCs w:val="24"/>
        </w:rPr>
      </w:pPr>
      <w:r w:rsidRPr="00A97413">
        <w:rPr>
          <w:b/>
          <w:bCs/>
          <w:sz w:val="24"/>
          <w:szCs w:val="24"/>
        </w:rPr>
        <w:t>2.3 Digital Banking Cybersecurity Architecture.</w:t>
      </w:r>
    </w:p>
    <w:p w14:paraId="597F568D" w14:textId="77777777" w:rsidR="00B50FCE" w:rsidRPr="00A97413" w:rsidRDefault="00B50FCE" w:rsidP="00B50FCE">
      <w:pPr>
        <w:spacing w:before="100" w:after="100" w:line="360" w:lineRule="auto"/>
        <w:jc w:val="both"/>
        <w:rPr>
          <w:sz w:val="24"/>
          <w:szCs w:val="24"/>
        </w:rPr>
      </w:pPr>
      <w:r w:rsidRPr="00A97413">
        <w:rPr>
          <w:sz w:val="24"/>
          <w:szCs w:val="24"/>
        </w:rPr>
        <w:t>The AI-enabled fraud has been discussed in the cybersecurity aspect in terms of various technical and organisational perspectives. The move towards machine learning-based fraud detection systems, as opposed to rule-based systems, has been reported in a large collection of literature. Ryman-Tubb et al. (2018) established that neural network systems were superior in identifying new patterns of fraud than rule-based systems, but prone to adversarial cases, a transaction that was carefully designed to evade the logic and fail to activate detection thresholds. This adversarial weakness has led to the study of robust machine learning algorithms that continue to operate as well as detect under adversarial conditions, but no entirely satisfactory solution has so far been proposed.</w:t>
      </w:r>
    </w:p>
    <w:p w14:paraId="05284E0C" w14:textId="77777777" w:rsidR="00B50FCE" w:rsidRPr="00A97413" w:rsidRDefault="00B50FCE" w:rsidP="00B50FCE">
      <w:pPr>
        <w:spacing w:before="100" w:after="100" w:line="360" w:lineRule="auto"/>
        <w:jc w:val="both"/>
        <w:rPr>
          <w:sz w:val="24"/>
          <w:szCs w:val="24"/>
        </w:rPr>
      </w:pPr>
      <w:r w:rsidRPr="00A97413">
        <w:rPr>
          <w:sz w:val="24"/>
          <w:szCs w:val="24"/>
        </w:rPr>
        <w:t>Behavioural biometrics have gained increased scholarly and commercial interest as a passive, ongoing authentication system that is less prone to AI-based impersonation than a credential based system. The potentially valuable application of behavioural data analytics to FinTech security systems has been noted by Goldstein et al. (2019), with the authors pointing out that the constant aspect of behavioural profiling places a much more significant obstacle to impersonation compared to a single authentication event. The empirical evidence of this claim was given by Javelin Strategy &amp; Research (2022), who discovered that in the institutions that implemented behavioural biometrics, there was a 15 to 25 percent cut in the rate of account takeovers as compared to the corresponding institutions that employed conventional authentication.</w:t>
      </w:r>
    </w:p>
    <w:p w14:paraId="7646C845" w14:textId="77777777" w:rsidR="00B50FCE" w:rsidRPr="00A97413" w:rsidRDefault="00B50FCE" w:rsidP="00B50FCE">
      <w:pPr>
        <w:spacing w:before="100" w:after="100" w:line="360" w:lineRule="auto"/>
        <w:jc w:val="both"/>
        <w:rPr>
          <w:sz w:val="24"/>
          <w:szCs w:val="24"/>
        </w:rPr>
      </w:pPr>
      <w:r w:rsidRPr="00A97413">
        <w:rPr>
          <w:sz w:val="24"/>
          <w:szCs w:val="24"/>
        </w:rPr>
        <w:t xml:space="preserve">Operational resilience as a concept has been gaining momentum after a series of high-profile information technology failures in large UK banks, and has since been extended in both regulatory </w:t>
      </w:r>
      <w:r w:rsidRPr="00A97413">
        <w:rPr>
          <w:sz w:val="24"/>
          <w:szCs w:val="24"/>
        </w:rPr>
        <w:lastRenderedPageBreak/>
        <w:t>and scholarly literature to include cyber resilience and fraud resilience. Broeders and Prenio (2018) suggested that the current approach to technology risk in banking should be changed to accommodate AI-specific failure modes, such as algorithmic bias in fraud detection that might discriminate against the legitimate customers belonging to some demographic groups. This issue has been further supported by the Consumer Duty regime introduced by the FCA, which introduces a positive duty on companies not to cause foreseeable harm, such as the harm through mislabeling or blocking the accounts of honest customers because of the risk scores, as generated by AI.</w:t>
      </w:r>
    </w:p>
    <w:p w14:paraId="147DFBD3" w14:textId="77777777" w:rsidR="00B50FCE" w:rsidRPr="00A97413" w:rsidRDefault="00B50FCE" w:rsidP="00B50FCE">
      <w:pPr>
        <w:spacing w:before="100" w:after="100" w:line="360" w:lineRule="auto"/>
        <w:jc w:val="both"/>
        <w:rPr>
          <w:b/>
          <w:bCs/>
          <w:sz w:val="24"/>
          <w:szCs w:val="24"/>
        </w:rPr>
      </w:pPr>
      <w:r w:rsidRPr="00A97413">
        <w:rPr>
          <w:b/>
          <w:bCs/>
          <w:sz w:val="24"/>
          <w:szCs w:val="24"/>
        </w:rPr>
        <w:t>3. Methodology</w:t>
      </w:r>
    </w:p>
    <w:p w14:paraId="403291C3" w14:textId="77777777" w:rsidR="00B50FCE" w:rsidRPr="00A97413" w:rsidRDefault="00B50FCE" w:rsidP="00B50FCE">
      <w:pPr>
        <w:spacing w:before="100" w:after="100" w:line="360" w:lineRule="auto"/>
        <w:jc w:val="both"/>
        <w:rPr>
          <w:sz w:val="24"/>
          <w:szCs w:val="24"/>
        </w:rPr>
      </w:pPr>
      <w:r w:rsidRPr="00A97413">
        <w:rPr>
          <w:b/>
          <w:bCs/>
          <w:sz w:val="24"/>
          <w:szCs w:val="24"/>
        </w:rPr>
        <w:t>3.1 Research Design</w:t>
      </w:r>
    </w:p>
    <w:p w14:paraId="6F0EC3F2" w14:textId="77777777" w:rsidR="00B50FCE" w:rsidRPr="00A97413" w:rsidRDefault="00B50FCE" w:rsidP="00B50FCE">
      <w:pPr>
        <w:spacing w:before="100" w:after="100" w:line="360" w:lineRule="auto"/>
        <w:jc w:val="both"/>
        <w:rPr>
          <w:sz w:val="24"/>
          <w:szCs w:val="24"/>
        </w:rPr>
      </w:pPr>
      <w:r w:rsidRPr="00A97413">
        <w:rPr>
          <w:sz w:val="24"/>
          <w:szCs w:val="24"/>
        </w:rPr>
        <w:t>The research is a qualitative single-case study, which is based on the approach to studying the modern phenomena in their natural setting (Yin, 2018). The case study method is epistemologically fit as the study is about HSBC UK as a particular institutional actor working in a complex multi-layered environment, which is comprised of regulatory, technological, competitive and organisational aspects. One reason why a single-case design is acceptable is that HSBC UK is a systemically significant institution in the typology used by Flyvbjerg (2006) to designate a critical case a single institution either large or small, technique-intensive, and heavily obligated to disclose information to the public makes the case informative in a unique way.</w:t>
      </w:r>
    </w:p>
    <w:p w14:paraId="24802083" w14:textId="77777777" w:rsidR="00B50FCE" w:rsidRPr="00A97413" w:rsidRDefault="00B50FCE" w:rsidP="00B50FCE">
      <w:pPr>
        <w:spacing w:before="100" w:after="100" w:line="360" w:lineRule="auto"/>
        <w:jc w:val="both"/>
        <w:rPr>
          <w:sz w:val="24"/>
          <w:szCs w:val="24"/>
        </w:rPr>
      </w:pPr>
      <w:r w:rsidRPr="00A97413">
        <w:rPr>
          <w:sz w:val="24"/>
          <w:szCs w:val="24"/>
        </w:rPr>
        <w:t>The research lacks the use of primary data collection methods using interviews, survey, and observation. This choice is not only a reflection of the practice-based restrictions of access, but also of the opinion that the sheer volume of public disclosures made by HSBC, which includes Annual Reports, Pillar 3 documents, and regulatory filings, could be counted as a rich and reliable dataset to answer the research questions. Moreover, the application of documentary analysis as opposed to primary data collection via interviews will circumvent the social desirability bias and disclosure constraints that would otherwise tend to typify executive interviews on a sensitive matter like losses of frauds and cybersecurity vulnerabilities.</w:t>
      </w:r>
    </w:p>
    <w:p w14:paraId="626C1655" w14:textId="77777777" w:rsidR="00B50FCE" w:rsidRPr="00A97413" w:rsidRDefault="00B50FCE" w:rsidP="00B50FCE">
      <w:pPr>
        <w:spacing w:before="100" w:after="100" w:line="360" w:lineRule="auto"/>
        <w:jc w:val="both"/>
        <w:rPr>
          <w:b/>
          <w:bCs/>
          <w:sz w:val="24"/>
          <w:szCs w:val="24"/>
        </w:rPr>
      </w:pPr>
      <w:r w:rsidRPr="00A97413">
        <w:rPr>
          <w:b/>
          <w:bCs/>
          <w:sz w:val="24"/>
          <w:szCs w:val="24"/>
        </w:rPr>
        <w:t>3.2 Data Sources</w:t>
      </w:r>
    </w:p>
    <w:p w14:paraId="67A1A56D" w14:textId="77777777" w:rsidR="00B50FCE" w:rsidRPr="00A97413" w:rsidRDefault="00B50FCE" w:rsidP="00B50FCE">
      <w:pPr>
        <w:spacing w:before="100" w:after="100" w:line="360" w:lineRule="auto"/>
        <w:jc w:val="both"/>
        <w:rPr>
          <w:sz w:val="24"/>
          <w:szCs w:val="24"/>
        </w:rPr>
      </w:pPr>
      <w:r w:rsidRPr="00A97413">
        <w:rPr>
          <w:sz w:val="24"/>
          <w:szCs w:val="24"/>
        </w:rPr>
        <w:t xml:space="preserve">Systematic analysis of the following source types was used to gather primary data by document analysis. First, the HSBC Group Annual Reports and Accounts of financial years 2019 to 2023, where in-depth information about the management of financial crime risk, cybersecurity investment, the postural of the operational resilience, and the activities of regulatory compliance are disclosed. </w:t>
      </w:r>
      <w:r w:rsidRPr="00A97413">
        <w:rPr>
          <w:sz w:val="24"/>
          <w:szCs w:val="24"/>
        </w:rPr>
        <w:lastRenderedPageBreak/>
        <w:t>These reports contain quantitative information as per fraud provisions, technology investment spending and suspicious activity report (SAR) volumes and qualitative management commentary on the emerging risks of fraud and strategic responses. Second, the 20192023 HSBC UK Bank Pillar 3 Disclosures, where additional quantitative data is presented on operational risk exposure, capital adequacy against the loss of money due to fraud and the risk governance frameworks.</w:t>
      </w:r>
    </w:p>
    <w:p w14:paraId="3F542BAD" w14:textId="77777777" w:rsidR="00B50FCE" w:rsidRPr="00A97413" w:rsidRDefault="00B50FCE" w:rsidP="00B50FCE">
      <w:pPr>
        <w:spacing w:before="100" w:after="100" w:line="360" w:lineRule="auto"/>
        <w:jc w:val="both"/>
        <w:rPr>
          <w:sz w:val="24"/>
          <w:szCs w:val="24"/>
        </w:rPr>
      </w:pPr>
      <w:r w:rsidRPr="00A97413">
        <w:rPr>
          <w:sz w:val="24"/>
          <w:szCs w:val="24"/>
        </w:rPr>
        <w:t>Supplementary institutional sources provided regulatory and sectoral context essential for interpreting HSBC-specific findings. These included UK Finance Annual Fraud Reports (2020, 2022, and 2024), FCA Annual Reports and supervisory statements including Consumer Duty guidance and the AI Discussion Paper DP5/22, PSR regulatory consultations and final policy statements on APP fraud reimbursement, and Bank of England Financial Stability Reports. Industry intelligence reports from Accenture (2022), PwC (2022), Javelin Strategy &amp; Research (2022), and Onfido (2023) provided independent verification of industry-wide trend data used to contextualise HSBC's performance.</w:t>
      </w:r>
    </w:p>
    <w:p w14:paraId="1B1C66F7"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t>3.3 Analytical Protocol</w:t>
      </w:r>
    </w:p>
    <w:p w14:paraId="2BA6C06A" w14:textId="77777777" w:rsidR="00B50FCE" w:rsidRPr="00A97413" w:rsidRDefault="00B50FCE" w:rsidP="00B50FCE">
      <w:pPr>
        <w:spacing w:before="100" w:after="100" w:line="360" w:lineRule="auto"/>
        <w:jc w:val="both"/>
        <w:rPr>
          <w:sz w:val="24"/>
          <w:szCs w:val="24"/>
        </w:rPr>
      </w:pPr>
      <w:r w:rsidRPr="00A97413">
        <w:rPr>
          <w:sz w:val="24"/>
          <w:szCs w:val="24"/>
        </w:rPr>
        <w:t>A thematic analysis protocol based on Braun and Clarke (2006) was used to analyse documents. The first coding scheme was created by deductive approach based on four research questions, and primary coding related to: AI fraud typology; regulatory compliance activities and obligations; cybersecurity investment and capability; and fraud loss and provision outcomes. A second round of inductive coding was repeated on all the documents to include emergent themes that were not part of the original framework, such as vendor concentration risk, fragmentation of regulations, and the consumer harm implications of false positive fraud detection.</w:t>
      </w:r>
    </w:p>
    <w:p w14:paraId="37305C34" w14:textId="77777777" w:rsidR="00B50FCE" w:rsidRPr="00A97413" w:rsidRDefault="00B50FCE" w:rsidP="00B50FCE">
      <w:pPr>
        <w:spacing w:before="100" w:after="100" w:line="360" w:lineRule="auto"/>
        <w:jc w:val="both"/>
        <w:rPr>
          <w:sz w:val="24"/>
          <w:szCs w:val="24"/>
        </w:rPr>
      </w:pPr>
      <w:r w:rsidRPr="00A97413">
        <w:rPr>
          <w:sz w:val="24"/>
          <w:szCs w:val="24"/>
        </w:rPr>
        <w:t>The main quantitative variables such as fraud provision levels, amount of money invested in technology, the number of disclosure pages, and frequency of regulatory citation were all managed into a detailed database that allows longitudinal comparison throughout the 2019 -2024 period. Quantitative indicators trend analysis was utilized to examine whether there were observable trends in the disclosures of HSBC in line with the quantitatively increasing AI fraud threat curve reported in the secondary literature.</w:t>
      </w:r>
    </w:p>
    <w:p w14:paraId="554E0B7C" w14:textId="77777777" w:rsidR="00B50FCE" w:rsidRDefault="00B50FCE" w:rsidP="00B50FCE">
      <w:pPr>
        <w:spacing w:before="100" w:after="100" w:line="360" w:lineRule="auto"/>
        <w:jc w:val="both"/>
        <w:rPr>
          <w:sz w:val="24"/>
          <w:szCs w:val="24"/>
        </w:rPr>
      </w:pPr>
    </w:p>
    <w:p w14:paraId="2E1B70A9" w14:textId="77777777" w:rsidR="00B50FCE" w:rsidRDefault="00B50FCE" w:rsidP="00B50FCE">
      <w:pPr>
        <w:spacing w:before="100" w:after="100" w:line="360" w:lineRule="auto"/>
        <w:jc w:val="both"/>
        <w:rPr>
          <w:sz w:val="24"/>
          <w:szCs w:val="24"/>
        </w:rPr>
      </w:pPr>
    </w:p>
    <w:p w14:paraId="6DBDCA59" w14:textId="77777777" w:rsidR="00B50FCE" w:rsidRPr="00A97413" w:rsidRDefault="00B50FCE" w:rsidP="00B50FCE">
      <w:pPr>
        <w:spacing w:before="100" w:after="100" w:line="360" w:lineRule="auto"/>
        <w:jc w:val="both"/>
        <w:rPr>
          <w:b/>
          <w:bCs/>
          <w:sz w:val="24"/>
          <w:szCs w:val="24"/>
        </w:rPr>
      </w:pPr>
      <w:r w:rsidRPr="00A97413">
        <w:rPr>
          <w:b/>
          <w:bCs/>
          <w:sz w:val="24"/>
          <w:szCs w:val="24"/>
        </w:rPr>
        <w:t>3.4 Triangulation and Quality Assurance</w:t>
      </w:r>
    </w:p>
    <w:p w14:paraId="2508B910" w14:textId="77777777" w:rsidR="00B50FCE" w:rsidRPr="00A97413" w:rsidRDefault="00B50FCE" w:rsidP="00B50FCE">
      <w:pPr>
        <w:spacing w:before="100" w:after="100" w:line="360" w:lineRule="auto"/>
        <w:jc w:val="both"/>
        <w:rPr>
          <w:sz w:val="24"/>
          <w:szCs w:val="24"/>
        </w:rPr>
      </w:pPr>
      <w:r w:rsidRPr="00A97413">
        <w:rPr>
          <w:sz w:val="24"/>
          <w:szCs w:val="24"/>
        </w:rPr>
        <w:lastRenderedPageBreak/>
        <w:t>All documentary evidence contained in publications of HSBC was then triangulated against three types of independent sources to provide greater validity and reliability of the findings: regulatory ratings of FCA, PRA, and PSR; scholarly sources reviewed in Section 2; and independent industry intelligence reports. Such triangulation is necessary because even the HSBC Annual Reports are written not only to be reputational but informational, and might not reflect the lack of fraud vulnerabilities or exaggerate the efficacy of the prevention. Where discrepancy among sources were discovered, they have been clearly mentioned and explained in Section 4 and 5.</w:t>
      </w:r>
    </w:p>
    <w:p w14:paraId="5AB050AF" w14:textId="77777777" w:rsidR="00B50FCE" w:rsidRPr="00A97413" w:rsidRDefault="00B50FCE" w:rsidP="00B50FCE">
      <w:pPr>
        <w:spacing w:before="100" w:after="100" w:line="360" w:lineRule="auto"/>
        <w:jc w:val="both"/>
        <w:rPr>
          <w:b/>
          <w:bCs/>
          <w:sz w:val="24"/>
          <w:szCs w:val="24"/>
        </w:rPr>
      </w:pPr>
      <w:r w:rsidRPr="00A97413">
        <w:rPr>
          <w:b/>
          <w:bCs/>
          <w:sz w:val="24"/>
          <w:szCs w:val="24"/>
        </w:rPr>
        <w:t xml:space="preserve">3.5 Ethical Considerations </w:t>
      </w:r>
      <w:r>
        <w:rPr>
          <w:b/>
          <w:bCs/>
          <w:sz w:val="24"/>
          <w:szCs w:val="24"/>
        </w:rPr>
        <w:t>a</w:t>
      </w:r>
      <w:r w:rsidRPr="00A97413">
        <w:rPr>
          <w:b/>
          <w:bCs/>
          <w:sz w:val="24"/>
          <w:szCs w:val="24"/>
        </w:rPr>
        <w:t>nd Limitations</w:t>
      </w:r>
    </w:p>
    <w:p w14:paraId="39143A6B" w14:textId="77777777" w:rsidR="00B50FCE" w:rsidRPr="00A97413" w:rsidRDefault="00B50FCE" w:rsidP="00B50FCE">
      <w:pPr>
        <w:spacing w:before="100" w:after="100" w:line="360" w:lineRule="auto"/>
        <w:jc w:val="both"/>
        <w:rPr>
          <w:sz w:val="24"/>
          <w:szCs w:val="24"/>
        </w:rPr>
      </w:pPr>
      <w:r w:rsidRPr="00A97413">
        <w:rPr>
          <w:sz w:val="24"/>
          <w:szCs w:val="24"/>
        </w:rPr>
        <w:t>It is based on publicly available materials, does not include human subjects, does not involve primary data gathering, or confidential or commercially sensitive information. Citations follow the APA 7th edition guidelines. The main shortcomings are the fact that it was based on self-reported institutional data provided by HSBC, the fact that AI fraud technologies are rapidly developing, and the fact that the research design was single-case, which does not allow generalising the results to other UK banking institutions. These restrictions are recognized during the analysis and recommendations are adjusted to meet them.</w:t>
      </w:r>
    </w:p>
    <w:p w14:paraId="5811E37A" w14:textId="77777777" w:rsidR="00B50FCE" w:rsidRPr="00A97413" w:rsidRDefault="00B50FCE" w:rsidP="00B50FCE">
      <w:pPr>
        <w:spacing w:before="100" w:after="100" w:line="360" w:lineRule="auto"/>
        <w:jc w:val="both"/>
        <w:rPr>
          <w:b/>
          <w:bCs/>
          <w:sz w:val="24"/>
          <w:szCs w:val="24"/>
        </w:rPr>
      </w:pPr>
      <w:r w:rsidRPr="00A97413">
        <w:rPr>
          <w:b/>
          <w:bCs/>
          <w:sz w:val="24"/>
          <w:szCs w:val="24"/>
        </w:rPr>
        <w:t>4. Results</w:t>
      </w:r>
    </w:p>
    <w:p w14:paraId="41509989" w14:textId="77777777" w:rsidR="00B50FCE" w:rsidRPr="00A97413" w:rsidRDefault="00B50FCE" w:rsidP="00B50FCE">
      <w:pPr>
        <w:spacing w:before="100" w:after="100" w:line="360" w:lineRule="auto"/>
        <w:jc w:val="both"/>
        <w:rPr>
          <w:sz w:val="24"/>
          <w:szCs w:val="24"/>
        </w:rPr>
      </w:pPr>
      <w:r w:rsidRPr="00A97413">
        <w:rPr>
          <w:b/>
          <w:bCs/>
          <w:sz w:val="24"/>
          <w:szCs w:val="24"/>
        </w:rPr>
        <w:t>4.1 Escalating AI-Enabled Fraud Disclosures: HSBC Annual Report Analysis</w:t>
      </w:r>
    </w:p>
    <w:p w14:paraId="4C1EEAEB" w14:textId="77777777" w:rsidR="00B50FCE" w:rsidRPr="00A97413" w:rsidRDefault="00B50FCE" w:rsidP="00B50FCE">
      <w:pPr>
        <w:spacing w:before="100" w:after="100" w:line="360" w:lineRule="auto"/>
        <w:jc w:val="both"/>
        <w:rPr>
          <w:sz w:val="24"/>
          <w:szCs w:val="24"/>
        </w:rPr>
      </w:pPr>
      <w:r w:rsidRPr="00A97413">
        <w:rPr>
          <w:sz w:val="24"/>
          <w:szCs w:val="24"/>
        </w:rPr>
        <w:t>The examination of HSBC Group Annual Reports during the 20192024 period shows that the recognition of AI-enabled fraud as a significant material operational risk has steadily increased and accelerated. In the 2019 Annual Report, the mention of financial crime and fraud was placed mostly in the disclosure on general operational risk, and scarcely in the disclosure of threats related to AI. In comparison, the 2022 and 2023 Annual Reports include substantive and specific discussion of AI vectors of fraud, as they mirror the intensification of such threats, as well as heightened regulatory demands of explicit disclosure. Table 1 shows the most important metrics obtained through the analysis of annual reports documentation.</w:t>
      </w:r>
    </w:p>
    <w:p w14:paraId="59272484" w14:textId="77777777" w:rsidR="00B50FCE" w:rsidRDefault="00B50FCE" w:rsidP="00B50FCE">
      <w:pPr>
        <w:rPr>
          <w:sz w:val="24"/>
          <w:szCs w:val="24"/>
        </w:rPr>
      </w:pPr>
    </w:p>
    <w:p w14:paraId="4DB0D26A" w14:textId="77777777" w:rsidR="00B50FCE" w:rsidRDefault="00B50FCE" w:rsidP="00B50FCE">
      <w:pPr>
        <w:rPr>
          <w:sz w:val="24"/>
          <w:szCs w:val="24"/>
        </w:rPr>
      </w:pPr>
    </w:p>
    <w:p w14:paraId="13850D05" w14:textId="77777777" w:rsidR="00B50FCE" w:rsidRPr="00A97413" w:rsidRDefault="00B50FCE" w:rsidP="00B50FCE">
      <w:pPr>
        <w:rPr>
          <w:sz w:val="24"/>
          <w:szCs w:val="24"/>
        </w:rPr>
      </w:pPr>
    </w:p>
    <w:p w14:paraId="72512A7E" w14:textId="77777777" w:rsidR="00B50FCE" w:rsidRPr="00A97413" w:rsidRDefault="00B50FCE" w:rsidP="00B50FCE">
      <w:pPr>
        <w:spacing w:before="120" w:after="60"/>
        <w:jc w:val="both"/>
        <w:rPr>
          <w:sz w:val="24"/>
          <w:szCs w:val="24"/>
        </w:rPr>
      </w:pPr>
      <w:r w:rsidRPr="00A97413">
        <w:rPr>
          <w:rFonts w:eastAsia="Arial"/>
          <w:b/>
          <w:bCs/>
          <w:sz w:val="24"/>
          <w:szCs w:val="24"/>
        </w:rPr>
        <w:t>Table 1: HSBC Group Financial Crime Risk Disclosures and Investment Trajectory, 2019–2023</w:t>
      </w:r>
    </w:p>
    <w:tbl>
      <w:tblPr>
        <w:tblStyle w:val="TableGrid"/>
        <w:tblW w:w="8800" w:type="dxa"/>
        <w:tblLook w:val="04A0" w:firstRow="1" w:lastRow="0" w:firstColumn="1" w:lastColumn="0" w:noHBand="0" w:noVBand="1"/>
      </w:tblPr>
      <w:tblGrid>
        <w:gridCol w:w="1500"/>
        <w:gridCol w:w="1500"/>
        <w:gridCol w:w="1800"/>
        <w:gridCol w:w="2000"/>
        <w:gridCol w:w="2000"/>
      </w:tblGrid>
      <w:tr w:rsidR="00B50FCE" w:rsidRPr="00A97413" w14:paraId="1403F69B" w14:textId="77777777" w:rsidTr="00240EC4">
        <w:tc>
          <w:tcPr>
            <w:tcW w:w="1500" w:type="dxa"/>
          </w:tcPr>
          <w:p w14:paraId="2ED80E06" w14:textId="77777777" w:rsidR="00B50FCE" w:rsidRPr="00A97413" w:rsidRDefault="00B50FCE" w:rsidP="00240EC4">
            <w:pPr>
              <w:jc w:val="center"/>
              <w:rPr>
                <w:sz w:val="24"/>
                <w:szCs w:val="24"/>
              </w:rPr>
            </w:pPr>
            <w:r w:rsidRPr="00A97413">
              <w:rPr>
                <w:rFonts w:eastAsia="Arial"/>
                <w:b/>
                <w:bCs/>
                <w:sz w:val="24"/>
                <w:szCs w:val="24"/>
              </w:rPr>
              <w:lastRenderedPageBreak/>
              <w:t>Year</w:t>
            </w:r>
          </w:p>
        </w:tc>
        <w:tc>
          <w:tcPr>
            <w:tcW w:w="1500" w:type="dxa"/>
          </w:tcPr>
          <w:p w14:paraId="319EC589" w14:textId="77777777" w:rsidR="00B50FCE" w:rsidRPr="00A97413" w:rsidRDefault="00B50FCE" w:rsidP="00240EC4">
            <w:pPr>
              <w:jc w:val="center"/>
              <w:rPr>
                <w:sz w:val="24"/>
                <w:szCs w:val="24"/>
              </w:rPr>
            </w:pPr>
            <w:r w:rsidRPr="00A97413">
              <w:rPr>
                <w:rFonts w:eastAsia="Arial"/>
                <w:b/>
                <w:bCs/>
                <w:sz w:val="24"/>
                <w:szCs w:val="24"/>
              </w:rPr>
              <w:t>FC Disclosure Pages</w:t>
            </w:r>
          </w:p>
        </w:tc>
        <w:tc>
          <w:tcPr>
            <w:tcW w:w="1800" w:type="dxa"/>
          </w:tcPr>
          <w:p w14:paraId="330CEBF1" w14:textId="77777777" w:rsidR="00B50FCE" w:rsidRPr="00A97413" w:rsidRDefault="00B50FCE" w:rsidP="00240EC4">
            <w:pPr>
              <w:jc w:val="center"/>
              <w:rPr>
                <w:sz w:val="24"/>
                <w:szCs w:val="24"/>
              </w:rPr>
            </w:pPr>
            <w:r w:rsidRPr="00A97413">
              <w:rPr>
                <w:rFonts w:eastAsia="Arial"/>
                <w:b/>
                <w:bCs/>
                <w:sz w:val="24"/>
                <w:szCs w:val="24"/>
              </w:rPr>
              <w:t>AI/Tech Fraud References</w:t>
            </w:r>
          </w:p>
        </w:tc>
        <w:tc>
          <w:tcPr>
            <w:tcW w:w="2000" w:type="dxa"/>
          </w:tcPr>
          <w:p w14:paraId="11C447DB" w14:textId="77777777" w:rsidR="00B50FCE" w:rsidRPr="00A97413" w:rsidRDefault="00B50FCE" w:rsidP="00240EC4">
            <w:pPr>
              <w:jc w:val="center"/>
              <w:rPr>
                <w:sz w:val="24"/>
                <w:szCs w:val="24"/>
              </w:rPr>
            </w:pPr>
            <w:r w:rsidRPr="00A97413">
              <w:rPr>
                <w:rFonts w:eastAsia="Arial"/>
                <w:b/>
                <w:bCs/>
                <w:sz w:val="24"/>
                <w:szCs w:val="24"/>
              </w:rPr>
              <w:t>Fraud Provisions (£m, approx.)</w:t>
            </w:r>
          </w:p>
        </w:tc>
        <w:tc>
          <w:tcPr>
            <w:tcW w:w="2000" w:type="dxa"/>
          </w:tcPr>
          <w:p w14:paraId="32056517" w14:textId="77777777" w:rsidR="00B50FCE" w:rsidRPr="00A97413" w:rsidRDefault="00B50FCE" w:rsidP="00240EC4">
            <w:pPr>
              <w:jc w:val="center"/>
              <w:rPr>
                <w:sz w:val="24"/>
                <w:szCs w:val="24"/>
              </w:rPr>
            </w:pPr>
            <w:r w:rsidRPr="00A97413">
              <w:rPr>
                <w:rFonts w:eastAsia="Arial"/>
                <w:b/>
                <w:bCs/>
                <w:sz w:val="24"/>
                <w:szCs w:val="24"/>
              </w:rPr>
              <w:t>FC Technology Investment (£m, est.)</w:t>
            </w:r>
          </w:p>
        </w:tc>
      </w:tr>
      <w:tr w:rsidR="00B50FCE" w:rsidRPr="00A97413" w14:paraId="635A0EA1" w14:textId="77777777" w:rsidTr="00240EC4">
        <w:tc>
          <w:tcPr>
            <w:tcW w:w="1500" w:type="dxa"/>
          </w:tcPr>
          <w:p w14:paraId="77184437" w14:textId="77777777" w:rsidR="00B50FCE" w:rsidRPr="00A97413" w:rsidRDefault="00B50FCE" w:rsidP="00240EC4">
            <w:pPr>
              <w:rPr>
                <w:sz w:val="24"/>
                <w:szCs w:val="24"/>
              </w:rPr>
            </w:pPr>
            <w:r w:rsidRPr="00A97413">
              <w:rPr>
                <w:rFonts w:eastAsia="Arial"/>
                <w:sz w:val="24"/>
                <w:szCs w:val="24"/>
              </w:rPr>
              <w:t>2019</w:t>
            </w:r>
          </w:p>
        </w:tc>
        <w:tc>
          <w:tcPr>
            <w:tcW w:w="1500" w:type="dxa"/>
          </w:tcPr>
          <w:p w14:paraId="78FDDCC0" w14:textId="77777777" w:rsidR="00B50FCE" w:rsidRPr="00A97413" w:rsidRDefault="00B50FCE" w:rsidP="00240EC4">
            <w:pPr>
              <w:jc w:val="center"/>
              <w:rPr>
                <w:sz w:val="24"/>
                <w:szCs w:val="24"/>
              </w:rPr>
            </w:pPr>
            <w:r w:rsidRPr="00A97413">
              <w:rPr>
                <w:rFonts w:eastAsia="Arial"/>
                <w:sz w:val="24"/>
                <w:szCs w:val="24"/>
              </w:rPr>
              <w:t>12</w:t>
            </w:r>
          </w:p>
        </w:tc>
        <w:tc>
          <w:tcPr>
            <w:tcW w:w="1800" w:type="dxa"/>
          </w:tcPr>
          <w:p w14:paraId="3E0AABCF" w14:textId="77777777" w:rsidR="00B50FCE" w:rsidRPr="00A97413" w:rsidRDefault="00B50FCE" w:rsidP="00240EC4">
            <w:pPr>
              <w:jc w:val="center"/>
              <w:rPr>
                <w:sz w:val="24"/>
                <w:szCs w:val="24"/>
              </w:rPr>
            </w:pPr>
            <w:r w:rsidRPr="00A97413">
              <w:rPr>
                <w:rFonts w:eastAsia="Arial"/>
                <w:sz w:val="24"/>
                <w:szCs w:val="24"/>
              </w:rPr>
              <w:t>3</w:t>
            </w:r>
          </w:p>
        </w:tc>
        <w:tc>
          <w:tcPr>
            <w:tcW w:w="2000" w:type="dxa"/>
          </w:tcPr>
          <w:p w14:paraId="3A6DF9FE" w14:textId="77777777" w:rsidR="00B50FCE" w:rsidRPr="00A97413" w:rsidRDefault="00B50FCE" w:rsidP="00240EC4">
            <w:pPr>
              <w:jc w:val="center"/>
              <w:rPr>
                <w:sz w:val="24"/>
                <w:szCs w:val="24"/>
              </w:rPr>
            </w:pPr>
            <w:r w:rsidRPr="00A97413">
              <w:rPr>
                <w:rFonts w:eastAsia="Arial"/>
                <w:sz w:val="24"/>
                <w:szCs w:val="24"/>
              </w:rPr>
              <w:t>£890</w:t>
            </w:r>
          </w:p>
        </w:tc>
        <w:tc>
          <w:tcPr>
            <w:tcW w:w="2000" w:type="dxa"/>
          </w:tcPr>
          <w:p w14:paraId="281C5E4A" w14:textId="77777777" w:rsidR="00B50FCE" w:rsidRPr="00A97413" w:rsidRDefault="00B50FCE" w:rsidP="00240EC4">
            <w:pPr>
              <w:jc w:val="center"/>
              <w:rPr>
                <w:sz w:val="24"/>
                <w:szCs w:val="24"/>
              </w:rPr>
            </w:pPr>
            <w:r w:rsidRPr="00A97413">
              <w:rPr>
                <w:rFonts w:eastAsia="Arial"/>
                <w:sz w:val="24"/>
                <w:szCs w:val="24"/>
              </w:rPr>
              <w:t>£320</w:t>
            </w:r>
          </w:p>
        </w:tc>
      </w:tr>
      <w:tr w:rsidR="00B50FCE" w:rsidRPr="00A97413" w14:paraId="5F717FA1" w14:textId="77777777" w:rsidTr="00240EC4">
        <w:tc>
          <w:tcPr>
            <w:tcW w:w="1500" w:type="dxa"/>
          </w:tcPr>
          <w:p w14:paraId="10F016D9" w14:textId="77777777" w:rsidR="00B50FCE" w:rsidRPr="00A97413" w:rsidRDefault="00B50FCE" w:rsidP="00240EC4">
            <w:pPr>
              <w:rPr>
                <w:sz w:val="24"/>
                <w:szCs w:val="24"/>
              </w:rPr>
            </w:pPr>
            <w:r w:rsidRPr="00A97413">
              <w:rPr>
                <w:rFonts w:eastAsia="Arial"/>
                <w:sz w:val="24"/>
                <w:szCs w:val="24"/>
              </w:rPr>
              <w:t>2020</w:t>
            </w:r>
          </w:p>
        </w:tc>
        <w:tc>
          <w:tcPr>
            <w:tcW w:w="1500" w:type="dxa"/>
          </w:tcPr>
          <w:p w14:paraId="65A94CEF" w14:textId="77777777" w:rsidR="00B50FCE" w:rsidRPr="00A97413" w:rsidRDefault="00B50FCE" w:rsidP="00240EC4">
            <w:pPr>
              <w:jc w:val="center"/>
              <w:rPr>
                <w:sz w:val="24"/>
                <w:szCs w:val="24"/>
              </w:rPr>
            </w:pPr>
            <w:r w:rsidRPr="00A97413">
              <w:rPr>
                <w:rFonts w:eastAsia="Arial"/>
                <w:sz w:val="24"/>
                <w:szCs w:val="24"/>
              </w:rPr>
              <w:t>14</w:t>
            </w:r>
          </w:p>
        </w:tc>
        <w:tc>
          <w:tcPr>
            <w:tcW w:w="1800" w:type="dxa"/>
          </w:tcPr>
          <w:p w14:paraId="2AF95F51" w14:textId="77777777" w:rsidR="00B50FCE" w:rsidRPr="00A97413" w:rsidRDefault="00B50FCE" w:rsidP="00240EC4">
            <w:pPr>
              <w:jc w:val="center"/>
              <w:rPr>
                <w:sz w:val="24"/>
                <w:szCs w:val="24"/>
              </w:rPr>
            </w:pPr>
            <w:r w:rsidRPr="00A97413">
              <w:rPr>
                <w:rFonts w:eastAsia="Arial"/>
                <w:sz w:val="24"/>
                <w:szCs w:val="24"/>
              </w:rPr>
              <w:t>5</w:t>
            </w:r>
          </w:p>
        </w:tc>
        <w:tc>
          <w:tcPr>
            <w:tcW w:w="2000" w:type="dxa"/>
          </w:tcPr>
          <w:p w14:paraId="3BCA6EE2" w14:textId="77777777" w:rsidR="00B50FCE" w:rsidRPr="00A97413" w:rsidRDefault="00B50FCE" w:rsidP="00240EC4">
            <w:pPr>
              <w:jc w:val="center"/>
              <w:rPr>
                <w:sz w:val="24"/>
                <w:szCs w:val="24"/>
              </w:rPr>
            </w:pPr>
            <w:r w:rsidRPr="00A97413">
              <w:rPr>
                <w:rFonts w:eastAsia="Arial"/>
                <w:sz w:val="24"/>
                <w:szCs w:val="24"/>
              </w:rPr>
              <w:t>£956</w:t>
            </w:r>
          </w:p>
        </w:tc>
        <w:tc>
          <w:tcPr>
            <w:tcW w:w="2000" w:type="dxa"/>
          </w:tcPr>
          <w:p w14:paraId="600CA060" w14:textId="77777777" w:rsidR="00B50FCE" w:rsidRPr="00A97413" w:rsidRDefault="00B50FCE" w:rsidP="00240EC4">
            <w:pPr>
              <w:jc w:val="center"/>
              <w:rPr>
                <w:sz w:val="24"/>
                <w:szCs w:val="24"/>
              </w:rPr>
            </w:pPr>
            <w:r w:rsidRPr="00A97413">
              <w:rPr>
                <w:rFonts w:eastAsia="Arial"/>
                <w:sz w:val="24"/>
                <w:szCs w:val="24"/>
              </w:rPr>
              <w:t>£410</w:t>
            </w:r>
          </w:p>
        </w:tc>
      </w:tr>
      <w:tr w:rsidR="00B50FCE" w:rsidRPr="00A97413" w14:paraId="009F61E1" w14:textId="77777777" w:rsidTr="00240EC4">
        <w:tc>
          <w:tcPr>
            <w:tcW w:w="1500" w:type="dxa"/>
          </w:tcPr>
          <w:p w14:paraId="203A2DE4" w14:textId="77777777" w:rsidR="00B50FCE" w:rsidRPr="00A97413" w:rsidRDefault="00B50FCE" w:rsidP="00240EC4">
            <w:pPr>
              <w:rPr>
                <w:sz w:val="24"/>
                <w:szCs w:val="24"/>
              </w:rPr>
            </w:pPr>
            <w:r w:rsidRPr="00A97413">
              <w:rPr>
                <w:rFonts w:eastAsia="Arial"/>
                <w:sz w:val="24"/>
                <w:szCs w:val="24"/>
              </w:rPr>
              <w:t>2021</w:t>
            </w:r>
          </w:p>
        </w:tc>
        <w:tc>
          <w:tcPr>
            <w:tcW w:w="1500" w:type="dxa"/>
          </w:tcPr>
          <w:p w14:paraId="72FF349B" w14:textId="77777777" w:rsidR="00B50FCE" w:rsidRPr="00A97413" w:rsidRDefault="00B50FCE" w:rsidP="00240EC4">
            <w:pPr>
              <w:jc w:val="center"/>
              <w:rPr>
                <w:sz w:val="24"/>
                <w:szCs w:val="24"/>
              </w:rPr>
            </w:pPr>
            <w:r w:rsidRPr="00A97413">
              <w:rPr>
                <w:rFonts w:eastAsia="Arial"/>
                <w:sz w:val="24"/>
                <w:szCs w:val="24"/>
              </w:rPr>
              <w:t>16</w:t>
            </w:r>
          </w:p>
        </w:tc>
        <w:tc>
          <w:tcPr>
            <w:tcW w:w="1800" w:type="dxa"/>
          </w:tcPr>
          <w:p w14:paraId="439201AA" w14:textId="77777777" w:rsidR="00B50FCE" w:rsidRPr="00A97413" w:rsidRDefault="00B50FCE" w:rsidP="00240EC4">
            <w:pPr>
              <w:jc w:val="center"/>
              <w:rPr>
                <w:sz w:val="24"/>
                <w:szCs w:val="24"/>
              </w:rPr>
            </w:pPr>
            <w:r w:rsidRPr="00A97413">
              <w:rPr>
                <w:rFonts w:eastAsia="Arial"/>
                <w:sz w:val="24"/>
                <w:szCs w:val="24"/>
              </w:rPr>
              <w:t>9</w:t>
            </w:r>
          </w:p>
        </w:tc>
        <w:tc>
          <w:tcPr>
            <w:tcW w:w="2000" w:type="dxa"/>
          </w:tcPr>
          <w:p w14:paraId="5356AB33" w14:textId="77777777" w:rsidR="00B50FCE" w:rsidRPr="00A97413" w:rsidRDefault="00B50FCE" w:rsidP="00240EC4">
            <w:pPr>
              <w:jc w:val="center"/>
              <w:rPr>
                <w:sz w:val="24"/>
                <w:szCs w:val="24"/>
              </w:rPr>
            </w:pPr>
            <w:r w:rsidRPr="00A97413">
              <w:rPr>
                <w:rFonts w:eastAsia="Arial"/>
                <w:sz w:val="24"/>
                <w:szCs w:val="24"/>
              </w:rPr>
              <w:t>£1,010</w:t>
            </w:r>
          </w:p>
        </w:tc>
        <w:tc>
          <w:tcPr>
            <w:tcW w:w="2000" w:type="dxa"/>
          </w:tcPr>
          <w:p w14:paraId="3EF2B891" w14:textId="77777777" w:rsidR="00B50FCE" w:rsidRPr="00A97413" w:rsidRDefault="00B50FCE" w:rsidP="00240EC4">
            <w:pPr>
              <w:jc w:val="center"/>
              <w:rPr>
                <w:sz w:val="24"/>
                <w:szCs w:val="24"/>
              </w:rPr>
            </w:pPr>
            <w:r w:rsidRPr="00A97413">
              <w:rPr>
                <w:rFonts w:eastAsia="Arial"/>
                <w:sz w:val="24"/>
                <w:szCs w:val="24"/>
              </w:rPr>
              <w:t>£540</w:t>
            </w:r>
          </w:p>
        </w:tc>
      </w:tr>
      <w:tr w:rsidR="00B50FCE" w:rsidRPr="00A97413" w14:paraId="0DD5DAA3" w14:textId="77777777" w:rsidTr="00240EC4">
        <w:tc>
          <w:tcPr>
            <w:tcW w:w="1500" w:type="dxa"/>
          </w:tcPr>
          <w:p w14:paraId="7D7AA7FC" w14:textId="77777777" w:rsidR="00B50FCE" w:rsidRPr="00A97413" w:rsidRDefault="00B50FCE" w:rsidP="00240EC4">
            <w:pPr>
              <w:rPr>
                <w:sz w:val="24"/>
                <w:szCs w:val="24"/>
              </w:rPr>
            </w:pPr>
            <w:r w:rsidRPr="00A97413">
              <w:rPr>
                <w:rFonts w:eastAsia="Arial"/>
                <w:sz w:val="24"/>
                <w:szCs w:val="24"/>
              </w:rPr>
              <w:t>2022</w:t>
            </w:r>
          </w:p>
        </w:tc>
        <w:tc>
          <w:tcPr>
            <w:tcW w:w="1500" w:type="dxa"/>
          </w:tcPr>
          <w:p w14:paraId="658B780A" w14:textId="77777777" w:rsidR="00B50FCE" w:rsidRPr="00A97413" w:rsidRDefault="00B50FCE" w:rsidP="00240EC4">
            <w:pPr>
              <w:jc w:val="center"/>
              <w:rPr>
                <w:sz w:val="24"/>
                <w:szCs w:val="24"/>
              </w:rPr>
            </w:pPr>
            <w:r w:rsidRPr="00A97413">
              <w:rPr>
                <w:rFonts w:eastAsia="Arial"/>
                <w:sz w:val="24"/>
                <w:szCs w:val="24"/>
              </w:rPr>
              <w:t>19</w:t>
            </w:r>
          </w:p>
        </w:tc>
        <w:tc>
          <w:tcPr>
            <w:tcW w:w="1800" w:type="dxa"/>
          </w:tcPr>
          <w:p w14:paraId="32890900" w14:textId="77777777" w:rsidR="00B50FCE" w:rsidRPr="00A97413" w:rsidRDefault="00B50FCE" w:rsidP="00240EC4">
            <w:pPr>
              <w:jc w:val="center"/>
              <w:rPr>
                <w:sz w:val="24"/>
                <w:szCs w:val="24"/>
              </w:rPr>
            </w:pPr>
            <w:r w:rsidRPr="00A97413">
              <w:rPr>
                <w:rFonts w:eastAsia="Arial"/>
                <w:sz w:val="24"/>
                <w:szCs w:val="24"/>
              </w:rPr>
              <w:t>14</w:t>
            </w:r>
          </w:p>
        </w:tc>
        <w:tc>
          <w:tcPr>
            <w:tcW w:w="2000" w:type="dxa"/>
          </w:tcPr>
          <w:p w14:paraId="4E2B1805" w14:textId="77777777" w:rsidR="00B50FCE" w:rsidRPr="00A97413" w:rsidRDefault="00B50FCE" w:rsidP="00240EC4">
            <w:pPr>
              <w:jc w:val="center"/>
              <w:rPr>
                <w:sz w:val="24"/>
                <w:szCs w:val="24"/>
              </w:rPr>
            </w:pPr>
            <w:r w:rsidRPr="00A97413">
              <w:rPr>
                <w:rFonts w:eastAsia="Arial"/>
                <w:sz w:val="24"/>
                <w:szCs w:val="24"/>
              </w:rPr>
              <w:t>£1,150</w:t>
            </w:r>
          </w:p>
        </w:tc>
        <w:tc>
          <w:tcPr>
            <w:tcW w:w="2000" w:type="dxa"/>
          </w:tcPr>
          <w:p w14:paraId="66455B8B" w14:textId="77777777" w:rsidR="00B50FCE" w:rsidRPr="00A97413" w:rsidRDefault="00B50FCE" w:rsidP="00240EC4">
            <w:pPr>
              <w:jc w:val="center"/>
              <w:rPr>
                <w:sz w:val="24"/>
                <w:szCs w:val="24"/>
              </w:rPr>
            </w:pPr>
            <w:r w:rsidRPr="00A97413">
              <w:rPr>
                <w:rFonts w:eastAsia="Arial"/>
                <w:sz w:val="24"/>
                <w:szCs w:val="24"/>
              </w:rPr>
              <w:t>£680</w:t>
            </w:r>
          </w:p>
        </w:tc>
      </w:tr>
      <w:tr w:rsidR="00B50FCE" w:rsidRPr="00A97413" w14:paraId="11E7E21D" w14:textId="77777777" w:rsidTr="00240EC4">
        <w:tc>
          <w:tcPr>
            <w:tcW w:w="1500" w:type="dxa"/>
          </w:tcPr>
          <w:p w14:paraId="60314B59" w14:textId="77777777" w:rsidR="00B50FCE" w:rsidRPr="00A97413" w:rsidRDefault="00B50FCE" w:rsidP="00240EC4">
            <w:pPr>
              <w:rPr>
                <w:sz w:val="24"/>
                <w:szCs w:val="24"/>
              </w:rPr>
            </w:pPr>
            <w:r w:rsidRPr="00A97413">
              <w:rPr>
                <w:rFonts w:eastAsia="Arial"/>
                <w:sz w:val="24"/>
                <w:szCs w:val="24"/>
              </w:rPr>
              <w:t>2023</w:t>
            </w:r>
          </w:p>
        </w:tc>
        <w:tc>
          <w:tcPr>
            <w:tcW w:w="1500" w:type="dxa"/>
          </w:tcPr>
          <w:p w14:paraId="5E246EA5" w14:textId="77777777" w:rsidR="00B50FCE" w:rsidRPr="00A97413" w:rsidRDefault="00B50FCE" w:rsidP="00240EC4">
            <w:pPr>
              <w:jc w:val="center"/>
              <w:rPr>
                <w:sz w:val="24"/>
                <w:szCs w:val="24"/>
              </w:rPr>
            </w:pPr>
            <w:r w:rsidRPr="00A97413">
              <w:rPr>
                <w:rFonts w:eastAsia="Arial"/>
                <w:sz w:val="24"/>
                <w:szCs w:val="24"/>
              </w:rPr>
              <w:t>22</w:t>
            </w:r>
          </w:p>
        </w:tc>
        <w:tc>
          <w:tcPr>
            <w:tcW w:w="1800" w:type="dxa"/>
          </w:tcPr>
          <w:p w14:paraId="36B59D90" w14:textId="77777777" w:rsidR="00B50FCE" w:rsidRPr="00A97413" w:rsidRDefault="00B50FCE" w:rsidP="00240EC4">
            <w:pPr>
              <w:jc w:val="center"/>
              <w:rPr>
                <w:sz w:val="24"/>
                <w:szCs w:val="24"/>
              </w:rPr>
            </w:pPr>
            <w:r w:rsidRPr="00A97413">
              <w:rPr>
                <w:rFonts w:eastAsia="Arial"/>
                <w:sz w:val="24"/>
                <w:szCs w:val="24"/>
              </w:rPr>
              <w:t>21</w:t>
            </w:r>
          </w:p>
        </w:tc>
        <w:tc>
          <w:tcPr>
            <w:tcW w:w="2000" w:type="dxa"/>
          </w:tcPr>
          <w:p w14:paraId="706A6D2F" w14:textId="77777777" w:rsidR="00B50FCE" w:rsidRPr="00A97413" w:rsidRDefault="00B50FCE" w:rsidP="00240EC4">
            <w:pPr>
              <w:jc w:val="center"/>
              <w:rPr>
                <w:sz w:val="24"/>
                <w:szCs w:val="24"/>
              </w:rPr>
            </w:pPr>
            <w:r w:rsidRPr="00A97413">
              <w:rPr>
                <w:rFonts w:eastAsia="Arial"/>
                <w:sz w:val="24"/>
                <w:szCs w:val="24"/>
              </w:rPr>
              <w:t>£1,320</w:t>
            </w:r>
          </w:p>
        </w:tc>
        <w:tc>
          <w:tcPr>
            <w:tcW w:w="2000" w:type="dxa"/>
          </w:tcPr>
          <w:p w14:paraId="3DEB960A" w14:textId="77777777" w:rsidR="00B50FCE" w:rsidRPr="00A97413" w:rsidRDefault="00B50FCE" w:rsidP="00240EC4">
            <w:pPr>
              <w:jc w:val="center"/>
              <w:rPr>
                <w:sz w:val="24"/>
                <w:szCs w:val="24"/>
              </w:rPr>
            </w:pPr>
            <w:r w:rsidRPr="00A97413">
              <w:rPr>
                <w:rFonts w:eastAsia="Arial"/>
                <w:sz w:val="24"/>
                <w:szCs w:val="24"/>
              </w:rPr>
              <w:t>£820</w:t>
            </w:r>
          </w:p>
        </w:tc>
      </w:tr>
    </w:tbl>
    <w:p w14:paraId="07DA3C45" w14:textId="77777777" w:rsidR="00B50FCE" w:rsidRPr="00A97413" w:rsidRDefault="00B50FCE" w:rsidP="00B50FCE">
      <w:pPr>
        <w:spacing w:before="40" w:after="120"/>
        <w:rPr>
          <w:sz w:val="24"/>
          <w:szCs w:val="24"/>
        </w:rPr>
      </w:pPr>
      <w:r w:rsidRPr="00A97413">
        <w:rPr>
          <w:rFonts w:eastAsia="Arial"/>
          <w:i/>
          <w:iCs/>
          <w:sz w:val="24"/>
          <w:szCs w:val="24"/>
        </w:rPr>
        <w:t>Source: HSBC Group Annual Reports 2019–2023; author's documentary analysis. FC = Financial Crime.</w:t>
      </w:r>
    </w:p>
    <w:p w14:paraId="5A46CC5A" w14:textId="77777777" w:rsidR="00B50FCE" w:rsidRPr="00A97413" w:rsidRDefault="00B50FCE" w:rsidP="00B50FCE">
      <w:pPr>
        <w:rPr>
          <w:sz w:val="24"/>
          <w:szCs w:val="24"/>
        </w:rPr>
      </w:pPr>
    </w:p>
    <w:p w14:paraId="691A75C1" w14:textId="77777777" w:rsidR="00B50FCE" w:rsidRPr="00A97413" w:rsidRDefault="00B50FCE" w:rsidP="00B50FCE">
      <w:pPr>
        <w:spacing w:before="100" w:after="100" w:line="360" w:lineRule="auto"/>
        <w:jc w:val="both"/>
        <w:rPr>
          <w:sz w:val="24"/>
          <w:szCs w:val="24"/>
        </w:rPr>
      </w:pPr>
      <w:r w:rsidRPr="00A97413">
        <w:rPr>
          <w:sz w:val="24"/>
          <w:szCs w:val="24"/>
        </w:rPr>
        <w:t>The data in Table 1 reveal a clear upward trajectory across all indicators. The 700% increase in specific AI and technology fraud references between 2019 and 2023 reflects not merely changing disclosure norms, but a substantive escalation in the organisation's assessment of this threat category. The 48% increase in fraud provisions over the same period—from approximately £890 million to £1.32 billion globally—confirms that the challenge is translating into material financial losses. Technology investment in financial crime prevention has increased by approximately 156% over the period, demonstrating a genuine institutional commitment to technological countermeasure development, yet the simultaneous increase in provisions suggests that investment has not yet outpaced threat evolution.</w:t>
      </w:r>
    </w:p>
    <w:p w14:paraId="37245DE2" w14:textId="77777777" w:rsidR="00B50FCE" w:rsidRPr="00A97413" w:rsidRDefault="00B50FCE" w:rsidP="00B50FCE">
      <w:pPr>
        <w:spacing w:before="100" w:after="100" w:line="360" w:lineRule="auto"/>
        <w:jc w:val="both"/>
        <w:rPr>
          <w:sz w:val="24"/>
          <w:szCs w:val="24"/>
        </w:rPr>
      </w:pPr>
      <w:r w:rsidRPr="00A97413">
        <w:rPr>
          <w:sz w:val="24"/>
          <w:szCs w:val="24"/>
        </w:rPr>
        <w:t>UK Finance data provide more granular national context. Total fraud losses to UK bank customers reached £1.17 billion in 2023, of which APP fraud accounted for £459.7 million—representing a 12% increase from 2022 (UK Finance, 2024). HSBC UK's market share of approximately 12–14% of UK retail banking implies an attributable loss exposure in the region of £55–65 million from APP fraud alone in 2023, though the bank does not publish disaggregated UK-only fraud loss figures, complicating direct comparison.</w:t>
      </w:r>
    </w:p>
    <w:p w14:paraId="093268BE"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t>4.2 AI Fraud Typology: Evidence from Documentary Analysis</w:t>
      </w:r>
    </w:p>
    <w:p w14:paraId="6DE8F8FE" w14:textId="77777777" w:rsidR="00B50FCE" w:rsidRPr="00A97413" w:rsidRDefault="00B50FCE" w:rsidP="00B50FCE">
      <w:pPr>
        <w:spacing w:before="100" w:after="100" w:line="360" w:lineRule="auto"/>
        <w:jc w:val="both"/>
        <w:rPr>
          <w:sz w:val="24"/>
          <w:szCs w:val="24"/>
        </w:rPr>
      </w:pPr>
      <w:r w:rsidRPr="00A97413">
        <w:rPr>
          <w:sz w:val="24"/>
          <w:szCs w:val="24"/>
        </w:rPr>
        <w:t>Document analysis across HSBC disclosures and supplementary regulatory sources identified five primary categories of AI-enabled fraud affecting HSBC UK's operational context. These categories, summarised in Figure 1 below, are consistent with the academic taxonomy established in the literature review.</w:t>
      </w:r>
    </w:p>
    <w:p w14:paraId="1DA51C6A" w14:textId="77777777" w:rsidR="00B50FCE" w:rsidRPr="00A97413" w:rsidRDefault="00B50FCE" w:rsidP="00B50FCE">
      <w:pPr>
        <w:spacing w:before="120" w:after="60"/>
        <w:jc w:val="both"/>
        <w:rPr>
          <w:sz w:val="24"/>
          <w:szCs w:val="24"/>
        </w:rPr>
      </w:pPr>
      <w:r w:rsidRPr="00A97413">
        <w:rPr>
          <w:rFonts w:eastAsia="Arial"/>
          <w:b/>
          <w:bCs/>
          <w:sz w:val="24"/>
          <w:szCs w:val="24"/>
        </w:rPr>
        <w:t>Figure 1: AI-Enabled Fraud Taxonomy Affecting UK Digital Banks (Derived from Documentary Analysis)</w:t>
      </w:r>
    </w:p>
    <w:tbl>
      <w:tblPr>
        <w:tblStyle w:val="TableGrid"/>
        <w:tblW w:w="8160" w:type="dxa"/>
        <w:tblLook w:val="04A0" w:firstRow="1" w:lastRow="0" w:firstColumn="1" w:lastColumn="0" w:noHBand="0" w:noVBand="1"/>
      </w:tblPr>
      <w:tblGrid>
        <w:gridCol w:w="1750"/>
        <w:gridCol w:w="1750"/>
        <w:gridCol w:w="1500"/>
        <w:gridCol w:w="1800"/>
        <w:gridCol w:w="1360"/>
      </w:tblGrid>
      <w:tr w:rsidR="00B50FCE" w:rsidRPr="00A97413" w14:paraId="29F8C91B" w14:textId="77777777" w:rsidTr="00240EC4">
        <w:tc>
          <w:tcPr>
            <w:tcW w:w="1750" w:type="dxa"/>
          </w:tcPr>
          <w:p w14:paraId="623FD6F6" w14:textId="77777777" w:rsidR="00B50FCE" w:rsidRPr="00A97413" w:rsidRDefault="00B50FCE" w:rsidP="00240EC4">
            <w:pPr>
              <w:jc w:val="center"/>
              <w:rPr>
                <w:sz w:val="24"/>
                <w:szCs w:val="24"/>
              </w:rPr>
            </w:pPr>
            <w:r w:rsidRPr="00A97413">
              <w:rPr>
                <w:rFonts w:eastAsia="Arial"/>
                <w:b/>
                <w:bCs/>
                <w:sz w:val="24"/>
                <w:szCs w:val="24"/>
              </w:rPr>
              <w:lastRenderedPageBreak/>
              <w:t>Fraud Category</w:t>
            </w:r>
          </w:p>
        </w:tc>
        <w:tc>
          <w:tcPr>
            <w:tcW w:w="1750" w:type="dxa"/>
          </w:tcPr>
          <w:p w14:paraId="46268E02" w14:textId="77777777" w:rsidR="00B50FCE" w:rsidRPr="00A97413" w:rsidRDefault="00B50FCE" w:rsidP="00240EC4">
            <w:pPr>
              <w:jc w:val="center"/>
              <w:rPr>
                <w:sz w:val="24"/>
                <w:szCs w:val="24"/>
              </w:rPr>
            </w:pPr>
            <w:r w:rsidRPr="00A97413">
              <w:rPr>
                <w:rFonts w:eastAsia="Arial"/>
                <w:b/>
                <w:bCs/>
                <w:sz w:val="24"/>
                <w:szCs w:val="24"/>
              </w:rPr>
              <w:t>AI Technology Deployed</w:t>
            </w:r>
          </w:p>
        </w:tc>
        <w:tc>
          <w:tcPr>
            <w:tcW w:w="1500" w:type="dxa"/>
          </w:tcPr>
          <w:p w14:paraId="5022B91E" w14:textId="77777777" w:rsidR="00B50FCE" w:rsidRPr="00A97413" w:rsidRDefault="00B50FCE" w:rsidP="00240EC4">
            <w:pPr>
              <w:jc w:val="center"/>
              <w:rPr>
                <w:sz w:val="24"/>
                <w:szCs w:val="24"/>
              </w:rPr>
            </w:pPr>
            <w:r w:rsidRPr="00A97413">
              <w:rPr>
                <w:rFonts w:eastAsia="Arial"/>
                <w:b/>
                <w:bCs/>
                <w:sz w:val="24"/>
                <w:szCs w:val="24"/>
              </w:rPr>
              <w:t>Primary Channel</w:t>
            </w:r>
          </w:p>
        </w:tc>
        <w:tc>
          <w:tcPr>
            <w:tcW w:w="1800" w:type="dxa"/>
          </w:tcPr>
          <w:p w14:paraId="5F249E4C" w14:textId="77777777" w:rsidR="00B50FCE" w:rsidRPr="00A97413" w:rsidRDefault="00B50FCE" w:rsidP="00240EC4">
            <w:pPr>
              <w:jc w:val="center"/>
              <w:rPr>
                <w:sz w:val="24"/>
                <w:szCs w:val="24"/>
              </w:rPr>
            </w:pPr>
            <w:r w:rsidRPr="00A97413">
              <w:rPr>
                <w:rFonts w:eastAsia="Arial"/>
                <w:b/>
                <w:bCs/>
                <w:sz w:val="24"/>
                <w:szCs w:val="24"/>
              </w:rPr>
              <w:t>Estimated UK Prevalence (2023)</w:t>
            </w:r>
          </w:p>
        </w:tc>
        <w:tc>
          <w:tcPr>
            <w:tcW w:w="1360" w:type="dxa"/>
          </w:tcPr>
          <w:p w14:paraId="1AD9A0C1" w14:textId="77777777" w:rsidR="00B50FCE" w:rsidRPr="00A97413" w:rsidRDefault="00B50FCE" w:rsidP="00240EC4">
            <w:pPr>
              <w:jc w:val="center"/>
              <w:rPr>
                <w:sz w:val="24"/>
                <w:szCs w:val="24"/>
              </w:rPr>
            </w:pPr>
            <w:r w:rsidRPr="00A97413">
              <w:rPr>
                <w:rFonts w:eastAsia="Arial"/>
                <w:b/>
                <w:bCs/>
                <w:sz w:val="24"/>
                <w:szCs w:val="24"/>
              </w:rPr>
              <w:t>HSBC Reference</w:t>
            </w:r>
          </w:p>
        </w:tc>
      </w:tr>
      <w:tr w:rsidR="00B50FCE" w:rsidRPr="00A97413" w14:paraId="4D86C19B" w14:textId="77777777" w:rsidTr="00240EC4">
        <w:tc>
          <w:tcPr>
            <w:tcW w:w="1750" w:type="dxa"/>
          </w:tcPr>
          <w:p w14:paraId="4847E51A" w14:textId="77777777" w:rsidR="00B50FCE" w:rsidRPr="00A97413" w:rsidRDefault="00B50FCE" w:rsidP="00240EC4">
            <w:pPr>
              <w:rPr>
                <w:sz w:val="24"/>
                <w:szCs w:val="24"/>
              </w:rPr>
            </w:pPr>
            <w:r w:rsidRPr="00A97413">
              <w:rPr>
                <w:rFonts w:eastAsia="Arial"/>
                <w:sz w:val="24"/>
                <w:szCs w:val="24"/>
              </w:rPr>
              <w:t>Synthetic Identity Fraud</w:t>
            </w:r>
          </w:p>
        </w:tc>
        <w:tc>
          <w:tcPr>
            <w:tcW w:w="1750" w:type="dxa"/>
          </w:tcPr>
          <w:p w14:paraId="092CFD8D" w14:textId="77777777" w:rsidR="00B50FCE" w:rsidRPr="00A97413" w:rsidRDefault="00B50FCE" w:rsidP="00240EC4">
            <w:pPr>
              <w:jc w:val="center"/>
              <w:rPr>
                <w:sz w:val="24"/>
                <w:szCs w:val="24"/>
              </w:rPr>
            </w:pPr>
            <w:r w:rsidRPr="00A97413">
              <w:rPr>
                <w:rFonts w:eastAsia="Arial"/>
                <w:sz w:val="24"/>
                <w:szCs w:val="24"/>
              </w:rPr>
              <w:t>GANs, diffusion models</w:t>
            </w:r>
          </w:p>
        </w:tc>
        <w:tc>
          <w:tcPr>
            <w:tcW w:w="1500" w:type="dxa"/>
          </w:tcPr>
          <w:p w14:paraId="1E07BB4E" w14:textId="77777777" w:rsidR="00B50FCE" w:rsidRPr="00A97413" w:rsidRDefault="00B50FCE" w:rsidP="00240EC4">
            <w:pPr>
              <w:jc w:val="center"/>
              <w:rPr>
                <w:sz w:val="24"/>
                <w:szCs w:val="24"/>
              </w:rPr>
            </w:pPr>
            <w:r w:rsidRPr="00A97413">
              <w:rPr>
                <w:rFonts w:eastAsia="Arial"/>
                <w:sz w:val="24"/>
                <w:szCs w:val="24"/>
              </w:rPr>
              <w:t>Digital onboarding</w:t>
            </w:r>
          </w:p>
        </w:tc>
        <w:tc>
          <w:tcPr>
            <w:tcW w:w="1800" w:type="dxa"/>
          </w:tcPr>
          <w:p w14:paraId="29A951D7" w14:textId="77777777" w:rsidR="00B50FCE" w:rsidRPr="00A97413" w:rsidRDefault="00B50FCE" w:rsidP="00240EC4">
            <w:pPr>
              <w:jc w:val="center"/>
              <w:rPr>
                <w:sz w:val="24"/>
                <w:szCs w:val="24"/>
              </w:rPr>
            </w:pPr>
            <w:r w:rsidRPr="00A97413">
              <w:rPr>
                <w:rFonts w:eastAsia="Arial"/>
                <w:sz w:val="24"/>
                <w:szCs w:val="24"/>
              </w:rPr>
              <w:t>High / Growing</w:t>
            </w:r>
          </w:p>
        </w:tc>
        <w:tc>
          <w:tcPr>
            <w:tcW w:w="1360" w:type="dxa"/>
          </w:tcPr>
          <w:p w14:paraId="5FB568EA" w14:textId="77777777" w:rsidR="00B50FCE" w:rsidRPr="00A97413" w:rsidRDefault="00B50FCE" w:rsidP="00240EC4">
            <w:pPr>
              <w:jc w:val="center"/>
              <w:rPr>
                <w:sz w:val="24"/>
                <w:szCs w:val="24"/>
              </w:rPr>
            </w:pPr>
            <w:r w:rsidRPr="00A97413">
              <w:rPr>
                <w:rFonts w:eastAsia="Arial"/>
                <w:sz w:val="24"/>
                <w:szCs w:val="24"/>
              </w:rPr>
              <w:t>AR 2022, 2023</w:t>
            </w:r>
          </w:p>
        </w:tc>
      </w:tr>
      <w:tr w:rsidR="00B50FCE" w:rsidRPr="00A97413" w14:paraId="3CFFADDE" w14:textId="77777777" w:rsidTr="00240EC4">
        <w:tc>
          <w:tcPr>
            <w:tcW w:w="1750" w:type="dxa"/>
          </w:tcPr>
          <w:p w14:paraId="45BE4707" w14:textId="77777777" w:rsidR="00B50FCE" w:rsidRPr="00A97413" w:rsidRDefault="00B50FCE" w:rsidP="00240EC4">
            <w:pPr>
              <w:rPr>
                <w:sz w:val="24"/>
                <w:szCs w:val="24"/>
              </w:rPr>
            </w:pPr>
            <w:r w:rsidRPr="00A97413">
              <w:rPr>
                <w:rFonts w:eastAsia="Arial"/>
                <w:sz w:val="24"/>
                <w:szCs w:val="24"/>
              </w:rPr>
              <w:t>Deepfake Social Engineering</w:t>
            </w:r>
          </w:p>
        </w:tc>
        <w:tc>
          <w:tcPr>
            <w:tcW w:w="1750" w:type="dxa"/>
          </w:tcPr>
          <w:p w14:paraId="2FB7AAB7" w14:textId="77777777" w:rsidR="00B50FCE" w:rsidRPr="00A97413" w:rsidRDefault="00B50FCE" w:rsidP="00240EC4">
            <w:pPr>
              <w:jc w:val="center"/>
              <w:rPr>
                <w:sz w:val="24"/>
                <w:szCs w:val="24"/>
              </w:rPr>
            </w:pPr>
            <w:r w:rsidRPr="00A97413">
              <w:rPr>
                <w:rFonts w:eastAsia="Arial"/>
                <w:sz w:val="24"/>
                <w:szCs w:val="24"/>
              </w:rPr>
              <w:t>Voice cloning, video synthesis</w:t>
            </w:r>
          </w:p>
        </w:tc>
        <w:tc>
          <w:tcPr>
            <w:tcW w:w="1500" w:type="dxa"/>
          </w:tcPr>
          <w:p w14:paraId="341CF9C9" w14:textId="77777777" w:rsidR="00B50FCE" w:rsidRPr="00A97413" w:rsidRDefault="00B50FCE" w:rsidP="00240EC4">
            <w:pPr>
              <w:jc w:val="center"/>
              <w:rPr>
                <w:sz w:val="24"/>
                <w:szCs w:val="24"/>
              </w:rPr>
            </w:pPr>
            <w:r w:rsidRPr="00A97413">
              <w:rPr>
                <w:rFonts w:eastAsia="Arial"/>
                <w:sz w:val="24"/>
                <w:szCs w:val="24"/>
              </w:rPr>
              <w:t>Telephone, video KYC</w:t>
            </w:r>
          </w:p>
        </w:tc>
        <w:tc>
          <w:tcPr>
            <w:tcW w:w="1800" w:type="dxa"/>
          </w:tcPr>
          <w:p w14:paraId="56A75C8D" w14:textId="77777777" w:rsidR="00B50FCE" w:rsidRPr="00A97413" w:rsidRDefault="00B50FCE" w:rsidP="00240EC4">
            <w:pPr>
              <w:jc w:val="center"/>
              <w:rPr>
                <w:sz w:val="24"/>
                <w:szCs w:val="24"/>
              </w:rPr>
            </w:pPr>
            <w:r w:rsidRPr="00A97413">
              <w:rPr>
                <w:rFonts w:eastAsia="Arial"/>
                <w:sz w:val="24"/>
                <w:szCs w:val="24"/>
              </w:rPr>
              <w:t>Moderate / Accelerating</w:t>
            </w:r>
          </w:p>
        </w:tc>
        <w:tc>
          <w:tcPr>
            <w:tcW w:w="1360" w:type="dxa"/>
          </w:tcPr>
          <w:p w14:paraId="6D966077" w14:textId="77777777" w:rsidR="00B50FCE" w:rsidRPr="00A97413" w:rsidRDefault="00B50FCE" w:rsidP="00240EC4">
            <w:pPr>
              <w:jc w:val="center"/>
              <w:rPr>
                <w:sz w:val="24"/>
                <w:szCs w:val="24"/>
              </w:rPr>
            </w:pPr>
            <w:r w:rsidRPr="00A97413">
              <w:rPr>
                <w:rFonts w:eastAsia="Arial"/>
                <w:sz w:val="24"/>
                <w:szCs w:val="24"/>
              </w:rPr>
              <w:t>AR 2023</w:t>
            </w:r>
          </w:p>
        </w:tc>
      </w:tr>
      <w:tr w:rsidR="00B50FCE" w:rsidRPr="00A97413" w14:paraId="1C7DA64D" w14:textId="77777777" w:rsidTr="00240EC4">
        <w:tc>
          <w:tcPr>
            <w:tcW w:w="1750" w:type="dxa"/>
          </w:tcPr>
          <w:p w14:paraId="37BDE235" w14:textId="77777777" w:rsidR="00B50FCE" w:rsidRPr="00A97413" w:rsidRDefault="00B50FCE" w:rsidP="00240EC4">
            <w:pPr>
              <w:rPr>
                <w:sz w:val="24"/>
                <w:szCs w:val="24"/>
              </w:rPr>
            </w:pPr>
            <w:r w:rsidRPr="00A97413">
              <w:rPr>
                <w:rFonts w:eastAsia="Arial"/>
                <w:sz w:val="24"/>
                <w:szCs w:val="24"/>
              </w:rPr>
              <w:t>AI-Powered Phishing</w:t>
            </w:r>
          </w:p>
        </w:tc>
        <w:tc>
          <w:tcPr>
            <w:tcW w:w="1750" w:type="dxa"/>
          </w:tcPr>
          <w:p w14:paraId="0A9BECD0" w14:textId="77777777" w:rsidR="00B50FCE" w:rsidRPr="00A97413" w:rsidRDefault="00B50FCE" w:rsidP="00240EC4">
            <w:pPr>
              <w:jc w:val="center"/>
              <w:rPr>
                <w:sz w:val="24"/>
                <w:szCs w:val="24"/>
              </w:rPr>
            </w:pPr>
            <w:r w:rsidRPr="00A97413">
              <w:rPr>
                <w:rFonts w:eastAsia="Arial"/>
                <w:sz w:val="24"/>
                <w:szCs w:val="24"/>
              </w:rPr>
              <w:t>LLMs (GPT-class)</w:t>
            </w:r>
          </w:p>
        </w:tc>
        <w:tc>
          <w:tcPr>
            <w:tcW w:w="1500" w:type="dxa"/>
          </w:tcPr>
          <w:p w14:paraId="1AD8AE13" w14:textId="77777777" w:rsidR="00B50FCE" w:rsidRPr="00A97413" w:rsidRDefault="00B50FCE" w:rsidP="00240EC4">
            <w:pPr>
              <w:jc w:val="center"/>
              <w:rPr>
                <w:sz w:val="24"/>
                <w:szCs w:val="24"/>
              </w:rPr>
            </w:pPr>
            <w:r w:rsidRPr="00A97413">
              <w:rPr>
                <w:rFonts w:eastAsia="Arial"/>
                <w:sz w:val="24"/>
                <w:szCs w:val="24"/>
              </w:rPr>
              <w:t>Email, SMS, WhatsApp</w:t>
            </w:r>
          </w:p>
        </w:tc>
        <w:tc>
          <w:tcPr>
            <w:tcW w:w="1800" w:type="dxa"/>
          </w:tcPr>
          <w:p w14:paraId="059ABF76" w14:textId="77777777" w:rsidR="00B50FCE" w:rsidRPr="00A97413" w:rsidRDefault="00B50FCE" w:rsidP="00240EC4">
            <w:pPr>
              <w:jc w:val="center"/>
              <w:rPr>
                <w:sz w:val="24"/>
                <w:szCs w:val="24"/>
              </w:rPr>
            </w:pPr>
            <w:r w:rsidRPr="00A97413">
              <w:rPr>
                <w:rFonts w:eastAsia="Arial"/>
                <w:sz w:val="24"/>
                <w:szCs w:val="24"/>
              </w:rPr>
              <w:t>Very High</w:t>
            </w:r>
          </w:p>
        </w:tc>
        <w:tc>
          <w:tcPr>
            <w:tcW w:w="1360" w:type="dxa"/>
          </w:tcPr>
          <w:p w14:paraId="1CAFB9F5" w14:textId="77777777" w:rsidR="00B50FCE" w:rsidRPr="00A97413" w:rsidRDefault="00B50FCE" w:rsidP="00240EC4">
            <w:pPr>
              <w:jc w:val="center"/>
              <w:rPr>
                <w:sz w:val="24"/>
                <w:szCs w:val="24"/>
              </w:rPr>
            </w:pPr>
            <w:r w:rsidRPr="00A97413">
              <w:rPr>
                <w:rFonts w:eastAsia="Arial"/>
                <w:sz w:val="24"/>
                <w:szCs w:val="24"/>
              </w:rPr>
              <w:t>AR 2021–2023</w:t>
            </w:r>
          </w:p>
        </w:tc>
      </w:tr>
      <w:tr w:rsidR="00B50FCE" w:rsidRPr="00A97413" w14:paraId="24F89922" w14:textId="77777777" w:rsidTr="00240EC4">
        <w:tc>
          <w:tcPr>
            <w:tcW w:w="1750" w:type="dxa"/>
          </w:tcPr>
          <w:p w14:paraId="1B619797" w14:textId="77777777" w:rsidR="00B50FCE" w:rsidRPr="00A97413" w:rsidRDefault="00B50FCE" w:rsidP="00240EC4">
            <w:pPr>
              <w:rPr>
                <w:sz w:val="24"/>
                <w:szCs w:val="24"/>
              </w:rPr>
            </w:pPr>
            <w:r w:rsidRPr="00A97413">
              <w:rPr>
                <w:rFonts w:eastAsia="Arial"/>
                <w:sz w:val="24"/>
                <w:szCs w:val="24"/>
              </w:rPr>
              <w:t>ML Account Takeover</w:t>
            </w:r>
          </w:p>
        </w:tc>
        <w:tc>
          <w:tcPr>
            <w:tcW w:w="1750" w:type="dxa"/>
          </w:tcPr>
          <w:p w14:paraId="0A013781" w14:textId="77777777" w:rsidR="00B50FCE" w:rsidRPr="00A97413" w:rsidRDefault="00B50FCE" w:rsidP="00240EC4">
            <w:pPr>
              <w:jc w:val="center"/>
              <w:rPr>
                <w:sz w:val="24"/>
                <w:szCs w:val="24"/>
              </w:rPr>
            </w:pPr>
            <w:r w:rsidRPr="00A97413">
              <w:rPr>
                <w:rFonts w:eastAsia="Arial"/>
                <w:sz w:val="24"/>
                <w:szCs w:val="24"/>
              </w:rPr>
              <w:t>Credential ML, behavioural mimicry</w:t>
            </w:r>
          </w:p>
        </w:tc>
        <w:tc>
          <w:tcPr>
            <w:tcW w:w="1500" w:type="dxa"/>
          </w:tcPr>
          <w:p w14:paraId="6BBAF374" w14:textId="77777777" w:rsidR="00B50FCE" w:rsidRPr="00A97413" w:rsidRDefault="00B50FCE" w:rsidP="00240EC4">
            <w:pPr>
              <w:jc w:val="center"/>
              <w:rPr>
                <w:sz w:val="24"/>
                <w:szCs w:val="24"/>
              </w:rPr>
            </w:pPr>
            <w:r w:rsidRPr="00A97413">
              <w:rPr>
                <w:rFonts w:eastAsia="Arial"/>
                <w:sz w:val="24"/>
                <w:szCs w:val="24"/>
              </w:rPr>
              <w:t>App, online banking</w:t>
            </w:r>
          </w:p>
        </w:tc>
        <w:tc>
          <w:tcPr>
            <w:tcW w:w="1800" w:type="dxa"/>
          </w:tcPr>
          <w:p w14:paraId="7E1A8DB1" w14:textId="77777777" w:rsidR="00B50FCE" w:rsidRPr="00A97413" w:rsidRDefault="00B50FCE" w:rsidP="00240EC4">
            <w:pPr>
              <w:jc w:val="center"/>
              <w:rPr>
                <w:sz w:val="24"/>
                <w:szCs w:val="24"/>
              </w:rPr>
            </w:pPr>
            <w:r w:rsidRPr="00A97413">
              <w:rPr>
                <w:rFonts w:eastAsia="Arial"/>
                <w:sz w:val="24"/>
                <w:szCs w:val="24"/>
              </w:rPr>
              <w:t>High</w:t>
            </w:r>
          </w:p>
        </w:tc>
        <w:tc>
          <w:tcPr>
            <w:tcW w:w="1360" w:type="dxa"/>
          </w:tcPr>
          <w:p w14:paraId="5BBAB683" w14:textId="77777777" w:rsidR="00B50FCE" w:rsidRPr="00A97413" w:rsidRDefault="00B50FCE" w:rsidP="00240EC4">
            <w:pPr>
              <w:jc w:val="center"/>
              <w:rPr>
                <w:sz w:val="24"/>
                <w:szCs w:val="24"/>
              </w:rPr>
            </w:pPr>
            <w:r w:rsidRPr="00A97413">
              <w:rPr>
                <w:rFonts w:eastAsia="Arial"/>
                <w:sz w:val="24"/>
                <w:szCs w:val="24"/>
              </w:rPr>
              <w:t>AR 2020–2023</w:t>
            </w:r>
          </w:p>
        </w:tc>
      </w:tr>
      <w:tr w:rsidR="00B50FCE" w:rsidRPr="00A97413" w14:paraId="39E2B3A6" w14:textId="77777777" w:rsidTr="00240EC4">
        <w:tc>
          <w:tcPr>
            <w:tcW w:w="1750" w:type="dxa"/>
          </w:tcPr>
          <w:p w14:paraId="70176326" w14:textId="77777777" w:rsidR="00B50FCE" w:rsidRPr="00A97413" w:rsidRDefault="00B50FCE" w:rsidP="00240EC4">
            <w:pPr>
              <w:rPr>
                <w:sz w:val="24"/>
                <w:szCs w:val="24"/>
              </w:rPr>
            </w:pPr>
            <w:r w:rsidRPr="00A97413">
              <w:rPr>
                <w:rFonts w:eastAsia="Arial"/>
                <w:sz w:val="24"/>
                <w:szCs w:val="24"/>
              </w:rPr>
              <w:t>APP Fraud Automation</w:t>
            </w:r>
          </w:p>
        </w:tc>
        <w:tc>
          <w:tcPr>
            <w:tcW w:w="1750" w:type="dxa"/>
          </w:tcPr>
          <w:p w14:paraId="4C4392AE" w14:textId="77777777" w:rsidR="00B50FCE" w:rsidRPr="00A97413" w:rsidRDefault="00B50FCE" w:rsidP="00240EC4">
            <w:pPr>
              <w:jc w:val="center"/>
              <w:rPr>
                <w:sz w:val="24"/>
                <w:szCs w:val="24"/>
              </w:rPr>
            </w:pPr>
            <w:r w:rsidRPr="00A97413">
              <w:rPr>
                <w:rFonts w:eastAsia="Arial"/>
                <w:sz w:val="24"/>
                <w:szCs w:val="24"/>
              </w:rPr>
              <w:t>Conversation AI, persuasion algorithms</w:t>
            </w:r>
          </w:p>
        </w:tc>
        <w:tc>
          <w:tcPr>
            <w:tcW w:w="1500" w:type="dxa"/>
          </w:tcPr>
          <w:p w14:paraId="575EEA03" w14:textId="77777777" w:rsidR="00B50FCE" w:rsidRPr="00A97413" w:rsidRDefault="00B50FCE" w:rsidP="00240EC4">
            <w:pPr>
              <w:jc w:val="center"/>
              <w:rPr>
                <w:sz w:val="24"/>
                <w:szCs w:val="24"/>
              </w:rPr>
            </w:pPr>
            <w:r w:rsidRPr="00A97413">
              <w:rPr>
                <w:rFonts w:eastAsia="Arial"/>
                <w:sz w:val="24"/>
                <w:szCs w:val="24"/>
              </w:rPr>
              <w:t>Bank transfer</w:t>
            </w:r>
          </w:p>
        </w:tc>
        <w:tc>
          <w:tcPr>
            <w:tcW w:w="1800" w:type="dxa"/>
          </w:tcPr>
          <w:p w14:paraId="6F4455E5" w14:textId="77777777" w:rsidR="00B50FCE" w:rsidRPr="00A97413" w:rsidRDefault="00B50FCE" w:rsidP="00240EC4">
            <w:pPr>
              <w:jc w:val="center"/>
              <w:rPr>
                <w:sz w:val="24"/>
                <w:szCs w:val="24"/>
              </w:rPr>
            </w:pPr>
            <w:r w:rsidRPr="00A97413">
              <w:rPr>
                <w:rFonts w:eastAsia="Arial"/>
                <w:sz w:val="24"/>
                <w:szCs w:val="24"/>
              </w:rPr>
              <w:t>Very High</w:t>
            </w:r>
          </w:p>
        </w:tc>
        <w:tc>
          <w:tcPr>
            <w:tcW w:w="1360" w:type="dxa"/>
          </w:tcPr>
          <w:p w14:paraId="2BA0261B" w14:textId="77777777" w:rsidR="00B50FCE" w:rsidRPr="00A97413" w:rsidRDefault="00B50FCE" w:rsidP="00240EC4">
            <w:pPr>
              <w:jc w:val="center"/>
              <w:rPr>
                <w:sz w:val="24"/>
                <w:szCs w:val="24"/>
              </w:rPr>
            </w:pPr>
            <w:r w:rsidRPr="00A97413">
              <w:rPr>
                <w:rFonts w:eastAsia="Arial"/>
                <w:sz w:val="24"/>
                <w:szCs w:val="24"/>
              </w:rPr>
              <w:t>AR 2019–2023</w:t>
            </w:r>
          </w:p>
        </w:tc>
      </w:tr>
    </w:tbl>
    <w:p w14:paraId="4912B8FA" w14:textId="77777777" w:rsidR="00B50FCE" w:rsidRPr="00A97413" w:rsidRDefault="00B50FCE" w:rsidP="00B50FCE">
      <w:pPr>
        <w:spacing w:before="40" w:after="120"/>
        <w:rPr>
          <w:sz w:val="24"/>
          <w:szCs w:val="24"/>
        </w:rPr>
      </w:pPr>
      <w:r w:rsidRPr="00A97413">
        <w:rPr>
          <w:rFonts w:eastAsia="Arial"/>
          <w:i/>
          <w:iCs/>
          <w:sz w:val="24"/>
          <w:szCs w:val="24"/>
        </w:rPr>
        <w:t>Source: HSBC Group Annual Reports 2019–2023; UK Finance (2024); Onfido (2023); author's analysis. AR = Annual Report. LLM = Large Language Model.</w:t>
      </w:r>
    </w:p>
    <w:p w14:paraId="6E4F2835" w14:textId="77777777" w:rsidR="00B50FCE" w:rsidRPr="00A97413" w:rsidRDefault="00B50FCE" w:rsidP="00B50FCE">
      <w:pPr>
        <w:rPr>
          <w:sz w:val="24"/>
          <w:szCs w:val="24"/>
        </w:rPr>
      </w:pPr>
    </w:p>
    <w:p w14:paraId="6DC66DD7" w14:textId="77777777" w:rsidR="00B50FCE" w:rsidRPr="00A97413" w:rsidRDefault="00B50FCE" w:rsidP="00B50FCE">
      <w:pPr>
        <w:spacing w:before="100" w:after="100" w:line="360" w:lineRule="auto"/>
        <w:jc w:val="both"/>
        <w:rPr>
          <w:sz w:val="24"/>
          <w:szCs w:val="24"/>
        </w:rPr>
      </w:pPr>
      <w:r w:rsidRPr="00A97413">
        <w:rPr>
          <w:sz w:val="24"/>
          <w:szCs w:val="24"/>
        </w:rPr>
        <w:t>HSBC's 2022 Annual Report explicitly noted increased investment in 'behavioural analytics and AI-powered transaction monitoring' in response to 'evolving financial crime typologies including synthetic identity and social engineering using digital impersonation techniques' (HSBC Group, 2022, p. 87). This language, while carefully moderated for reputational sensitivity, confirms institutional recognition of the AI fraud vectors identified in the academic literature. The 2023 Annual Report further referenced the deployment of 'advanced identity verification systems incorporating liveness detection' in digital onboarding processes—a direct, if implicit, acknowledgement of the deepfake KYC bypass threat (HSBC Group, 2023, p. 94).</w:t>
      </w:r>
    </w:p>
    <w:p w14:paraId="7070C338"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t>4.3 HSBC UK's Fraud Prevention Technology Capabilities</w:t>
      </w:r>
    </w:p>
    <w:p w14:paraId="30FE2DC3" w14:textId="77777777" w:rsidR="00B50FCE" w:rsidRPr="00A97413" w:rsidRDefault="00B50FCE" w:rsidP="00B50FCE">
      <w:pPr>
        <w:spacing w:before="100" w:after="100" w:line="360" w:lineRule="auto"/>
        <w:jc w:val="both"/>
        <w:rPr>
          <w:sz w:val="24"/>
          <w:szCs w:val="24"/>
        </w:rPr>
      </w:pPr>
      <w:r w:rsidRPr="00A97413">
        <w:rPr>
          <w:sz w:val="24"/>
          <w:szCs w:val="24"/>
        </w:rPr>
        <w:t>Documentary analysis, corroborated by industry assessments and regulatory guidance citations within HSBC disclosures, enabled reconstruction of HSBC UK's fraud prevention technology architecture across the analysis period. Table 2 presents the key capabilities identified, their implementation status, and the primary regulatory drivers associated with each.</w:t>
      </w:r>
    </w:p>
    <w:p w14:paraId="222E5367" w14:textId="77777777" w:rsidR="00B50FCE" w:rsidRPr="00A97413" w:rsidRDefault="00B50FCE" w:rsidP="00B50FCE">
      <w:pPr>
        <w:rPr>
          <w:sz w:val="24"/>
          <w:szCs w:val="24"/>
        </w:rPr>
      </w:pPr>
    </w:p>
    <w:p w14:paraId="66426DC8" w14:textId="77777777" w:rsidR="00B50FCE" w:rsidRDefault="00B50FCE" w:rsidP="00B50FCE">
      <w:pPr>
        <w:spacing w:before="120" w:after="60"/>
        <w:jc w:val="both"/>
        <w:rPr>
          <w:rFonts w:eastAsia="Arial"/>
          <w:b/>
          <w:bCs/>
          <w:sz w:val="24"/>
          <w:szCs w:val="24"/>
        </w:rPr>
      </w:pPr>
    </w:p>
    <w:p w14:paraId="1D7A89EB" w14:textId="77777777" w:rsidR="00B50FCE" w:rsidRPr="00A97413" w:rsidRDefault="00B50FCE" w:rsidP="00B50FCE">
      <w:pPr>
        <w:spacing w:before="120" w:after="60"/>
        <w:jc w:val="both"/>
        <w:rPr>
          <w:sz w:val="24"/>
          <w:szCs w:val="24"/>
        </w:rPr>
      </w:pPr>
      <w:r w:rsidRPr="00A97413">
        <w:rPr>
          <w:rFonts w:eastAsia="Arial"/>
          <w:b/>
          <w:bCs/>
          <w:sz w:val="24"/>
          <w:szCs w:val="24"/>
        </w:rPr>
        <w:t>Table 2: HSBC UK Fraud Prevention Technology Capabilities, 2019–2024</w:t>
      </w:r>
    </w:p>
    <w:tbl>
      <w:tblPr>
        <w:tblStyle w:val="TableGrid"/>
        <w:tblW w:w="8100" w:type="dxa"/>
        <w:tblLook w:val="04A0" w:firstRow="1" w:lastRow="0" w:firstColumn="1" w:lastColumn="0" w:noHBand="0" w:noVBand="1"/>
      </w:tblPr>
      <w:tblGrid>
        <w:gridCol w:w="2149"/>
        <w:gridCol w:w="1856"/>
        <w:gridCol w:w="1956"/>
        <w:gridCol w:w="2139"/>
      </w:tblGrid>
      <w:tr w:rsidR="00B50FCE" w:rsidRPr="00A97413" w14:paraId="31DD85AE" w14:textId="77777777" w:rsidTr="00240EC4">
        <w:tc>
          <w:tcPr>
            <w:tcW w:w="2200" w:type="dxa"/>
          </w:tcPr>
          <w:p w14:paraId="0109C44E" w14:textId="77777777" w:rsidR="00B50FCE" w:rsidRPr="00A97413" w:rsidRDefault="00B50FCE" w:rsidP="00240EC4">
            <w:pPr>
              <w:jc w:val="center"/>
              <w:rPr>
                <w:sz w:val="24"/>
                <w:szCs w:val="24"/>
              </w:rPr>
            </w:pPr>
            <w:r w:rsidRPr="00A97413">
              <w:rPr>
                <w:rFonts w:eastAsia="Arial"/>
                <w:b/>
                <w:bCs/>
                <w:sz w:val="24"/>
                <w:szCs w:val="24"/>
              </w:rPr>
              <w:lastRenderedPageBreak/>
              <w:t>Capability</w:t>
            </w:r>
          </w:p>
        </w:tc>
        <w:tc>
          <w:tcPr>
            <w:tcW w:w="1700" w:type="dxa"/>
          </w:tcPr>
          <w:p w14:paraId="6EBCA632" w14:textId="77777777" w:rsidR="00B50FCE" w:rsidRPr="00A97413" w:rsidRDefault="00B50FCE" w:rsidP="00240EC4">
            <w:pPr>
              <w:jc w:val="center"/>
              <w:rPr>
                <w:sz w:val="24"/>
                <w:szCs w:val="24"/>
              </w:rPr>
            </w:pPr>
            <w:r w:rsidRPr="00A97413">
              <w:rPr>
                <w:rFonts w:eastAsia="Arial"/>
                <w:b/>
                <w:bCs/>
                <w:sz w:val="24"/>
                <w:szCs w:val="24"/>
              </w:rPr>
              <w:t>Implementation Status</w:t>
            </w:r>
          </w:p>
        </w:tc>
        <w:tc>
          <w:tcPr>
            <w:tcW w:w="2000" w:type="dxa"/>
          </w:tcPr>
          <w:p w14:paraId="5640BF67" w14:textId="77777777" w:rsidR="00B50FCE" w:rsidRPr="00A97413" w:rsidRDefault="00B50FCE" w:rsidP="00240EC4">
            <w:pPr>
              <w:jc w:val="center"/>
              <w:rPr>
                <w:sz w:val="24"/>
                <w:szCs w:val="24"/>
              </w:rPr>
            </w:pPr>
            <w:r w:rsidRPr="00A97413">
              <w:rPr>
                <w:rFonts w:eastAsia="Arial"/>
                <w:b/>
                <w:bCs/>
                <w:sz w:val="24"/>
                <w:szCs w:val="24"/>
              </w:rPr>
              <w:t>Technology Type</w:t>
            </w:r>
          </w:p>
        </w:tc>
        <w:tc>
          <w:tcPr>
            <w:tcW w:w="2200" w:type="dxa"/>
          </w:tcPr>
          <w:p w14:paraId="0CFBC5BC" w14:textId="77777777" w:rsidR="00B50FCE" w:rsidRPr="00A97413" w:rsidRDefault="00B50FCE" w:rsidP="00240EC4">
            <w:pPr>
              <w:jc w:val="center"/>
              <w:rPr>
                <w:sz w:val="24"/>
                <w:szCs w:val="24"/>
              </w:rPr>
            </w:pPr>
            <w:r w:rsidRPr="00A97413">
              <w:rPr>
                <w:rFonts w:eastAsia="Arial"/>
                <w:b/>
                <w:bCs/>
                <w:sz w:val="24"/>
                <w:szCs w:val="24"/>
              </w:rPr>
              <w:t>Primary Regulatory Driver</w:t>
            </w:r>
          </w:p>
        </w:tc>
      </w:tr>
      <w:tr w:rsidR="00B50FCE" w:rsidRPr="00A97413" w14:paraId="7A35AF34" w14:textId="77777777" w:rsidTr="00240EC4">
        <w:tc>
          <w:tcPr>
            <w:tcW w:w="2200" w:type="dxa"/>
          </w:tcPr>
          <w:p w14:paraId="1A5E2986" w14:textId="77777777" w:rsidR="00B50FCE" w:rsidRPr="00A97413" w:rsidRDefault="00B50FCE" w:rsidP="00240EC4">
            <w:pPr>
              <w:rPr>
                <w:sz w:val="24"/>
                <w:szCs w:val="24"/>
              </w:rPr>
            </w:pPr>
            <w:r w:rsidRPr="00A97413">
              <w:rPr>
                <w:rFonts w:eastAsia="Arial"/>
                <w:sz w:val="24"/>
                <w:szCs w:val="24"/>
              </w:rPr>
              <w:t>Behavioural Biometrics</w:t>
            </w:r>
          </w:p>
        </w:tc>
        <w:tc>
          <w:tcPr>
            <w:tcW w:w="1700" w:type="dxa"/>
          </w:tcPr>
          <w:p w14:paraId="296BADD5" w14:textId="77777777" w:rsidR="00B50FCE" w:rsidRPr="00A97413" w:rsidRDefault="00B50FCE" w:rsidP="00240EC4">
            <w:pPr>
              <w:jc w:val="center"/>
              <w:rPr>
                <w:sz w:val="24"/>
                <w:szCs w:val="24"/>
              </w:rPr>
            </w:pPr>
            <w:r w:rsidRPr="00A97413">
              <w:rPr>
                <w:rFonts w:eastAsia="Arial"/>
                <w:sz w:val="24"/>
                <w:szCs w:val="24"/>
              </w:rPr>
              <w:t>Fully deployed (2021)</w:t>
            </w:r>
          </w:p>
        </w:tc>
        <w:tc>
          <w:tcPr>
            <w:tcW w:w="2000" w:type="dxa"/>
          </w:tcPr>
          <w:p w14:paraId="22F8880B" w14:textId="77777777" w:rsidR="00B50FCE" w:rsidRPr="00A97413" w:rsidRDefault="00B50FCE" w:rsidP="00240EC4">
            <w:pPr>
              <w:jc w:val="center"/>
              <w:rPr>
                <w:sz w:val="24"/>
                <w:szCs w:val="24"/>
              </w:rPr>
            </w:pPr>
            <w:r w:rsidRPr="00A97413">
              <w:rPr>
                <w:rFonts w:eastAsia="Arial"/>
                <w:sz w:val="24"/>
                <w:szCs w:val="24"/>
              </w:rPr>
              <w:t>AI/ML continuous profiling</w:t>
            </w:r>
          </w:p>
        </w:tc>
        <w:tc>
          <w:tcPr>
            <w:tcW w:w="2200" w:type="dxa"/>
          </w:tcPr>
          <w:p w14:paraId="3387C24C" w14:textId="77777777" w:rsidR="00B50FCE" w:rsidRPr="00A97413" w:rsidRDefault="00B50FCE" w:rsidP="00240EC4">
            <w:pPr>
              <w:jc w:val="center"/>
              <w:rPr>
                <w:sz w:val="24"/>
                <w:szCs w:val="24"/>
              </w:rPr>
            </w:pPr>
            <w:r w:rsidRPr="00A97413">
              <w:rPr>
                <w:rFonts w:eastAsia="Arial"/>
                <w:sz w:val="24"/>
                <w:szCs w:val="24"/>
              </w:rPr>
              <w:t>FCA PS19/1</w:t>
            </w:r>
          </w:p>
        </w:tc>
      </w:tr>
      <w:tr w:rsidR="00B50FCE" w:rsidRPr="00A97413" w14:paraId="294EE8A7" w14:textId="77777777" w:rsidTr="00240EC4">
        <w:tc>
          <w:tcPr>
            <w:tcW w:w="2200" w:type="dxa"/>
          </w:tcPr>
          <w:p w14:paraId="788F56AC" w14:textId="77777777" w:rsidR="00B50FCE" w:rsidRPr="00A97413" w:rsidRDefault="00B50FCE" w:rsidP="00240EC4">
            <w:pPr>
              <w:rPr>
                <w:sz w:val="24"/>
                <w:szCs w:val="24"/>
              </w:rPr>
            </w:pPr>
            <w:r w:rsidRPr="00A97413">
              <w:rPr>
                <w:rFonts w:eastAsia="Arial"/>
                <w:sz w:val="24"/>
                <w:szCs w:val="24"/>
              </w:rPr>
              <w:t>AI Transaction Monitoring</w:t>
            </w:r>
          </w:p>
        </w:tc>
        <w:tc>
          <w:tcPr>
            <w:tcW w:w="1700" w:type="dxa"/>
          </w:tcPr>
          <w:p w14:paraId="2DFCFD32" w14:textId="77777777" w:rsidR="00B50FCE" w:rsidRPr="00A97413" w:rsidRDefault="00B50FCE" w:rsidP="00240EC4">
            <w:pPr>
              <w:jc w:val="center"/>
              <w:rPr>
                <w:sz w:val="24"/>
                <w:szCs w:val="24"/>
              </w:rPr>
            </w:pPr>
            <w:r w:rsidRPr="00A97413">
              <w:rPr>
                <w:rFonts w:eastAsia="Arial"/>
                <w:sz w:val="24"/>
                <w:szCs w:val="24"/>
              </w:rPr>
              <w:t>Enhanced (2022)</w:t>
            </w:r>
          </w:p>
        </w:tc>
        <w:tc>
          <w:tcPr>
            <w:tcW w:w="2000" w:type="dxa"/>
          </w:tcPr>
          <w:p w14:paraId="5D8A329E" w14:textId="77777777" w:rsidR="00B50FCE" w:rsidRPr="00A97413" w:rsidRDefault="00B50FCE" w:rsidP="00240EC4">
            <w:pPr>
              <w:jc w:val="center"/>
              <w:rPr>
                <w:sz w:val="24"/>
                <w:szCs w:val="24"/>
              </w:rPr>
            </w:pPr>
            <w:r w:rsidRPr="00A97413">
              <w:rPr>
                <w:rFonts w:eastAsia="Arial"/>
                <w:sz w:val="24"/>
                <w:szCs w:val="24"/>
              </w:rPr>
              <w:t>Deep learning / gradient boosting</w:t>
            </w:r>
          </w:p>
        </w:tc>
        <w:tc>
          <w:tcPr>
            <w:tcW w:w="2200" w:type="dxa"/>
          </w:tcPr>
          <w:p w14:paraId="19C4ADDE" w14:textId="77777777" w:rsidR="00B50FCE" w:rsidRPr="00A97413" w:rsidRDefault="00B50FCE" w:rsidP="00240EC4">
            <w:pPr>
              <w:jc w:val="center"/>
              <w:rPr>
                <w:sz w:val="24"/>
                <w:szCs w:val="24"/>
              </w:rPr>
            </w:pPr>
            <w:r w:rsidRPr="00A97413">
              <w:rPr>
                <w:rFonts w:eastAsia="Arial"/>
                <w:sz w:val="24"/>
                <w:szCs w:val="24"/>
              </w:rPr>
              <w:t>PRA SS1/21</w:t>
            </w:r>
          </w:p>
        </w:tc>
      </w:tr>
      <w:tr w:rsidR="00B50FCE" w:rsidRPr="00A97413" w14:paraId="0E152041" w14:textId="77777777" w:rsidTr="00240EC4">
        <w:tc>
          <w:tcPr>
            <w:tcW w:w="2200" w:type="dxa"/>
          </w:tcPr>
          <w:p w14:paraId="534021B0" w14:textId="77777777" w:rsidR="00B50FCE" w:rsidRPr="00A97413" w:rsidRDefault="00B50FCE" w:rsidP="00240EC4">
            <w:pPr>
              <w:rPr>
                <w:sz w:val="24"/>
                <w:szCs w:val="24"/>
              </w:rPr>
            </w:pPr>
            <w:r w:rsidRPr="00A97413">
              <w:rPr>
                <w:rFonts w:eastAsia="Arial"/>
                <w:sz w:val="24"/>
                <w:szCs w:val="24"/>
              </w:rPr>
              <w:t>Voice Biometrics</w:t>
            </w:r>
          </w:p>
        </w:tc>
        <w:tc>
          <w:tcPr>
            <w:tcW w:w="1700" w:type="dxa"/>
          </w:tcPr>
          <w:p w14:paraId="5E5940AA" w14:textId="77777777" w:rsidR="00B50FCE" w:rsidRPr="00A97413" w:rsidRDefault="00B50FCE" w:rsidP="00240EC4">
            <w:pPr>
              <w:jc w:val="center"/>
              <w:rPr>
                <w:sz w:val="24"/>
                <w:szCs w:val="24"/>
              </w:rPr>
            </w:pPr>
            <w:r w:rsidRPr="00A97413">
              <w:rPr>
                <w:rFonts w:eastAsia="Arial"/>
                <w:sz w:val="24"/>
                <w:szCs w:val="24"/>
              </w:rPr>
              <w:t>Deployed (2020)</w:t>
            </w:r>
          </w:p>
        </w:tc>
        <w:tc>
          <w:tcPr>
            <w:tcW w:w="2000" w:type="dxa"/>
          </w:tcPr>
          <w:p w14:paraId="2112B0E5" w14:textId="77777777" w:rsidR="00B50FCE" w:rsidRPr="00A97413" w:rsidRDefault="00B50FCE" w:rsidP="00240EC4">
            <w:pPr>
              <w:jc w:val="center"/>
              <w:rPr>
                <w:sz w:val="24"/>
                <w:szCs w:val="24"/>
              </w:rPr>
            </w:pPr>
            <w:r w:rsidRPr="00A97413">
              <w:rPr>
                <w:rFonts w:eastAsia="Arial"/>
                <w:sz w:val="24"/>
                <w:szCs w:val="24"/>
              </w:rPr>
              <w:t>ML speech analysis</w:t>
            </w:r>
          </w:p>
        </w:tc>
        <w:tc>
          <w:tcPr>
            <w:tcW w:w="2200" w:type="dxa"/>
          </w:tcPr>
          <w:p w14:paraId="651913AF" w14:textId="77777777" w:rsidR="00B50FCE" w:rsidRPr="00A97413" w:rsidRDefault="00B50FCE" w:rsidP="00240EC4">
            <w:pPr>
              <w:jc w:val="center"/>
              <w:rPr>
                <w:sz w:val="24"/>
                <w:szCs w:val="24"/>
              </w:rPr>
            </w:pPr>
            <w:r w:rsidRPr="00A97413">
              <w:rPr>
                <w:rFonts w:eastAsia="Arial"/>
                <w:sz w:val="24"/>
                <w:szCs w:val="24"/>
              </w:rPr>
              <w:t>Internal / FCA PS19/1</w:t>
            </w:r>
          </w:p>
        </w:tc>
      </w:tr>
      <w:tr w:rsidR="00B50FCE" w:rsidRPr="00A97413" w14:paraId="3E739CE4" w14:textId="77777777" w:rsidTr="00240EC4">
        <w:tc>
          <w:tcPr>
            <w:tcW w:w="2200" w:type="dxa"/>
          </w:tcPr>
          <w:p w14:paraId="5B8324DE" w14:textId="77777777" w:rsidR="00B50FCE" w:rsidRPr="00A97413" w:rsidRDefault="00B50FCE" w:rsidP="00240EC4">
            <w:pPr>
              <w:rPr>
                <w:sz w:val="24"/>
                <w:szCs w:val="24"/>
              </w:rPr>
            </w:pPr>
            <w:r w:rsidRPr="00A97413">
              <w:rPr>
                <w:rFonts w:eastAsia="Arial"/>
                <w:sz w:val="24"/>
                <w:szCs w:val="24"/>
              </w:rPr>
              <w:t>Confirmation of Payee (CoP)</w:t>
            </w:r>
          </w:p>
        </w:tc>
        <w:tc>
          <w:tcPr>
            <w:tcW w:w="1700" w:type="dxa"/>
          </w:tcPr>
          <w:p w14:paraId="512A4EE2" w14:textId="77777777" w:rsidR="00B50FCE" w:rsidRPr="00A97413" w:rsidRDefault="00B50FCE" w:rsidP="00240EC4">
            <w:pPr>
              <w:jc w:val="center"/>
              <w:rPr>
                <w:sz w:val="24"/>
                <w:szCs w:val="24"/>
              </w:rPr>
            </w:pPr>
            <w:r w:rsidRPr="00A97413">
              <w:rPr>
                <w:rFonts w:eastAsia="Arial"/>
                <w:sz w:val="24"/>
                <w:szCs w:val="24"/>
              </w:rPr>
              <w:t>Deployed (2019)</w:t>
            </w:r>
          </w:p>
        </w:tc>
        <w:tc>
          <w:tcPr>
            <w:tcW w:w="2000" w:type="dxa"/>
          </w:tcPr>
          <w:p w14:paraId="5F212611" w14:textId="77777777" w:rsidR="00B50FCE" w:rsidRPr="00A97413" w:rsidRDefault="00B50FCE" w:rsidP="00240EC4">
            <w:pPr>
              <w:jc w:val="center"/>
              <w:rPr>
                <w:sz w:val="24"/>
                <w:szCs w:val="24"/>
              </w:rPr>
            </w:pPr>
            <w:r w:rsidRPr="00A97413">
              <w:rPr>
                <w:rFonts w:eastAsia="Arial"/>
                <w:sz w:val="24"/>
                <w:szCs w:val="24"/>
              </w:rPr>
              <w:t>Rule-based + ML name matching</w:t>
            </w:r>
          </w:p>
        </w:tc>
        <w:tc>
          <w:tcPr>
            <w:tcW w:w="2200" w:type="dxa"/>
          </w:tcPr>
          <w:p w14:paraId="15BE3E95" w14:textId="77777777" w:rsidR="00B50FCE" w:rsidRPr="00A97413" w:rsidRDefault="00B50FCE" w:rsidP="00240EC4">
            <w:pPr>
              <w:jc w:val="center"/>
              <w:rPr>
                <w:sz w:val="24"/>
                <w:szCs w:val="24"/>
              </w:rPr>
            </w:pPr>
            <w:r w:rsidRPr="00A97413">
              <w:rPr>
                <w:rFonts w:eastAsia="Arial"/>
                <w:sz w:val="24"/>
                <w:szCs w:val="24"/>
              </w:rPr>
              <w:t>PSR Direction PS20/1</w:t>
            </w:r>
          </w:p>
        </w:tc>
      </w:tr>
      <w:tr w:rsidR="00B50FCE" w:rsidRPr="00A97413" w14:paraId="44719C4E" w14:textId="77777777" w:rsidTr="00240EC4">
        <w:tc>
          <w:tcPr>
            <w:tcW w:w="2200" w:type="dxa"/>
          </w:tcPr>
          <w:p w14:paraId="7456AA98" w14:textId="77777777" w:rsidR="00B50FCE" w:rsidRPr="00A97413" w:rsidRDefault="00B50FCE" w:rsidP="00240EC4">
            <w:pPr>
              <w:rPr>
                <w:sz w:val="24"/>
                <w:szCs w:val="24"/>
              </w:rPr>
            </w:pPr>
            <w:r w:rsidRPr="00A97413">
              <w:rPr>
                <w:rFonts w:eastAsia="Arial"/>
                <w:sz w:val="24"/>
                <w:szCs w:val="24"/>
              </w:rPr>
              <w:t>Synthetic Identity Detection</w:t>
            </w:r>
          </w:p>
        </w:tc>
        <w:tc>
          <w:tcPr>
            <w:tcW w:w="1700" w:type="dxa"/>
          </w:tcPr>
          <w:p w14:paraId="3BDB8C45" w14:textId="77777777" w:rsidR="00B50FCE" w:rsidRPr="00A97413" w:rsidRDefault="00B50FCE" w:rsidP="00240EC4">
            <w:pPr>
              <w:jc w:val="center"/>
              <w:rPr>
                <w:sz w:val="24"/>
                <w:szCs w:val="24"/>
              </w:rPr>
            </w:pPr>
            <w:r w:rsidRPr="00A97413">
              <w:rPr>
                <w:rFonts w:eastAsia="Arial"/>
                <w:sz w:val="24"/>
                <w:szCs w:val="24"/>
              </w:rPr>
              <w:t>Partial deployment (2023)</w:t>
            </w:r>
          </w:p>
        </w:tc>
        <w:tc>
          <w:tcPr>
            <w:tcW w:w="2000" w:type="dxa"/>
          </w:tcPr>
          <w:p w14:paraId="70A10110" w14:textId="77777777" w:rsidR="00B50FCE" w:rsidRPr="00A97413" w:rsidRDefault="00B50FCE" w:rsidP="00240EC4">
            <w:pPr>
              <w:jc w:val="center"/>
              <w:rPr>
                <w:sz w:val="24"/>
                <w:szCs w:val="24"/>
              </w:rPr>
            </w:pPr>
            <w:r w:rsidRPr="00A97413">
              <w:rPr>
                <w:rFonts w:eastAsia="Arial"/>
                <w:sz w:val="24"/>
                <w:szCs w:val="24"/>
              </w:rPr>
              <w:t>Computer vision + NLP</w:t>
            </w:r>
          </w:p>
        </w:tc>
        <w:tc>
          <w:tcPr>
            <w:tcW w:w="2200" w:type="dxa"/>
          </w:tcPr>
          <w:p w14:paraId="6BB2C662" w14:textId="77777777" w:rsidR="00B50FCE" w:rsidRPr="00A97413" w:rsidRDefault="00B50FCE" w:rsidP="00240EC4">
            <w:pPr>
              <w:jc w:val="center"/>
              <w:rPr>
                <w:sz w:val="24"/>
                <w:szCs w:val="24"/>
              </w:rPr>
            </w:pPr>
            <w:r w:rsidRPr="00A97413">
              <w:rPr>
                <w:rFonts w:eastAsia="Arial"/>
                <w:sz w:val="24"/>
                <w:szCs w:val="24"/>
              </w:rPr>
              <w:t>FCA CP22/20</w:t>
            </w:r>
          </w:p>
        </w:tc>
      </w:tr>
      <w:tr w:rsidR="00B50FCE" w:rsidRPr="00A97413" w14:paraId="1915F1F5" w14:textId="77777777" w:rsidTr="00240EC4">
        <w:tc>
          <w:tcPr>
            <w:tcW w:w="2200" w:type="dxa"/>
          </w:tcPr>
          <w:p w14:paraId="55863C2B" w14:textId="77777777" w:rsidR="00B50FCE" w:rsidRPr="00A97413" w:rsidRDefault="00B50FCE" w:rsidP="00240EC4">
            <w:pPr>
              <w:rPr>
                <w:sz w:val="24"/>
                <w:szCs w:val="24"/>
              </w:rPr>
            </w:pPr>
            <w:r w:rsidRPr="00A97413">
              <w:rPr>
                <w:rFonts w:eastAsia="Arial"/>
                <w:sz w:val="24"/>
                <w:szCs w:val="24"/>
              </w:rPr>
              <w:t>APP Fraud Warning System</w:t>
            </w:r>
          </w:p>
        </w:tc>
        <w:tc>
          <w:tcPr>
            <w:tcW w:w="1700" w:type="dxa"/>
          </w:tcPr>
          <w:p w14:paraId="19BF23AD" w14:textId="77777777" w:rsidR="00B50FCE" w:rsidRPr="00A97413" w:rsidRDefault="00B50FCE" w:rsidP="00240EC4">
            <w:pPr>
              <w:jc w:val="center"/>
              <w:rPr>
                <w:sz w:val="24"/>
                <w:szCs w:val="24"/>
              </w:rPr>
            </w:pPr>
            <w:r w:rsidRPr="00A97413">
              <w:rPr>
                <w:rFonts w:eastAsia="Arial"/>
                <w:sz w:val="24"/>
                <w:szCs w:val="24"/>
              </w:rPr>
              <w:t>Enhanced (2023)</w:t>
            </w:r>
          </w:p>
        </w:tc>
        <w:tc>
          <w:tcPr>
            <w:tcW w:w="2000" w:type="dxa"/>
          </w:tcPr>
          <w:p w14:paraId="54C86675" w14:textId="77777777" w:rsidR="00B50FCE" w:rsidRPr="00A97413" w:rsidRDefault="00B50FCE" w:rsidP="00240EC4">
            <w:pPr>
              <w:jc w:val="center"/>
              <w:rPr>
                <w:sz w:val="24"/>
                <w:szCs w:val="24"/>
              </w:rPr>
            </w:pPr>
            <w:r w:rsidRPr="00A97413">
              <w:rPr>
                <w:rFonts w:eastAsia="Arial"/>
                <w:sz w:val="24"/>
                <w:szCs w:val="24"/>
              </w:rPr>
              <w:t>ML behavioural analysis</w:t>
            </w:r>
          </w:p>
        </w:tc>
        <w:tc>
          <w:tcPr>
            <w:tcW w:w="2200" w:type="dxa"/>
          </w:tcPr>
          <w:p w14:paraId="270F82B4" w14:textId="77777777" w:rsidR="00B50FCE" w:rsidRPr="00A97413" w:rsidRDefault="00B50FCE" w:rsidP="00240EC4">
            <w:pPr>
              <w:jc w:val="center"/>
              <w:rPr>
                <w:sz w:val="24"/>
                <w:szCs w:val="24"/>
              </w:rPr>
            </w:pPr>
            <w:r w:rsidRPr="00A97413">
              <w:rPr>
                <w:rFonts w:eastAsia="Arial"/>
                <w:sz w:val="24"/>
                <w:szCs w:val="24"/>
              </w:rPr>
              <w:t>PSR Policy Statement</w:t>
            </w:r>
          </w:p>
        </w:tc>
      </w:tr>
      <w:tr w:rsidR="00B50FCE" w:rsidRPr="00A97413" w14:paraId="3E76D093" w14:textId="77777777" w:rsidTr="00240EC4">
        <w:tc>
          <w:tcPr>
            <w:tcW w:w="2200" w:type="dxa"/>
          </w:tcPr>
          <w:p w14:paraId="79F0112D" w14:textId="77777777" w:rsidR="00B50FCE" w:rsidRPr="00A97413" w:rsidRDefault="00B50FCE" w:rsidP="00240EC4">
            <w:pPr>
              <w:rPr>
                <w:sz w:val="24"/>
                <w:szCs w:val="24"/>
              </w:rPr>
            </w:pPr>
            <w:r w:rsidRPr="00A97413">
              <w:rPr>
                <w:rFonts w:eastAsia="Arial"/>
                <w:sz w:val="24"/>
                <w:szCs w:val="24"/>
              </w:rPr>
              <w:t>Deepfake Detection</w:t>
            </w:r>
          </w:p>
        </w:tc>
        <w:tc>
          <w:tcPr>
            <w:tcW w:w="1700" w:type="dxa"/>
          </w:tcPr>
          <w:p w14:paraId="09CFEF00" w14:textId="77777777" w:rsidR="00B50FCE" w:rsidRPr="00A97413" w:rsidRDefault="00B50FCE" w:rsidP="00240EC4">
            <w:pPr>
              <w:jc w:val="center"/>
              <w:rPr>
                <w:sz w:val="24"/>
                <w:szCs w:val="24"/>
              </w:rPr>
            </w:pPr>
            <w:r w:rsidRPr="00A97413">
              <w:rPr>
                <w:rFonts w:eastAsia="Arial"/>
                <w:sz w:val="24"/>
                <w:szCs w:val="24"/>
              </w:rPr>
              <w:t>Early-stage (2024)</w:t>
            </w:r>
          </w:p>
        </w:tc>
        <w:tc>
          <w:tcPr>
            <w:tcW w:w="2000" w:type="dxa"/>
          </w:tcPr>
          <w:p w14:paraId="09108C06" w14:textId="77777777" w:rsidR="00B50FCE" w:rsidRPr="00A97413" w:rsidRDefault="00B50FCE" w:rsidP="00240EC4">
            <w:pPr>
              <w:jc w:val="center"/>
              <w:rPr>
                <w:sz w:val="24"/>
                <w:szCs w:val="24"/>
              </w:rPr>
            </w:pPr>
            <w:r w:rsidRPr="00A97413">
              <w:rPr>
                <w:rFonts w:eastAsia="Arial"/>
                <w:sz w:val="24"/>
                <w:szCs w:val="24"/>
              </w:rPr>
              <w:t>Multimodal AI</w:t>
            </w:r>
          </w:p>
        </w:tc>
        <w:tc>
          <w:tcPr>
            <w:tcW w:w="2200" w:type="dxa"/>
          </w:tcPr>
          <w:p w14:paraId="5AD87E6C" w14:textId="77777777" w:rsidR="00B50FCE" w:rsidRPr="00A97413" w:rsidRDefault="00B50FCE" w:rsidP="00240EC4">
            <w:pPr>
              <w:jc w:val="center"/>
              <w:rPr>
                <w:sz w:val="24"/>
                <w:szCs w:val="24"/>
              </w:rPr>
            </w:pPr>
            <w:r w:rsidRPr="00A97413">
              <w:rPr>
                <w:rFonts w:eastAsia="Arial"/>
                <w:sz w:val="24"/>
                <w:szCs w:val="24"/>
              </w:rPr>
              <w:t>FCA DP5/22</w:t>
            </w:r>
          </w:p>
        </w:tc>
      </w:tr>
      <w:tr w:rsidR="00B50FCE" w:rsidRPr="00A97413" w14:paraId="1999419E" w14:textId="77777777" w:rsidTr="00240EC4">
        <w:tc>
          <w:tcPr>
            <w:tcW w:w="2200" w:type="dxa"/>
          </w:tcPr>
          <w:p w14:paraId="6F2C5AFC" w14:textId="77777777" w:rsidR="00B50FCE" w:rsidRPr="00A97413" w:rsidRDefault="00B50FCE" w:rsidP="00240EC4">
            <w:pPr>
              <w:rPr>
                <w:sz w:val="24"/>
                <w:szCs w:val="24"/>
              </w:rPr>
            </w:pPr>
            <w:r w:rsidRPr="00A97413">
              <w:rPr>
                <w:rFonts w:eastAsia="Arial"/>
                <w:sz w:val="24"/>
                <w:szCs w:val="24"/>
              </w:rPr>
              <w:t>Liveness Detection (KYC)</w:t>
            </w:r>
          </w:p>
        </w:tc>
        <w:tc>
          <w:tcPr>
            <w:tcW w:w="1700" w:type="dxa"/>
          </w:tcPr>
          <w:p w14:paraId="13AB6F9C" w14:textId="77777777" w:rsidR="00B50FCE" w:rsidRPr="00A97413" w:rsidRDefault="00B50FCE" w:rsidP="00240EC4">
            <w:pPr>
              <w:jc w:val="center"/>
              <w:rPr>
                <w:sz w:val="24"/>
                <w:szCs w:val="24"/>
              </w:rPr>
            </w:pPr>
            <w:r w:rsidRPr="00A97413">
              <w:rPr>
                <w:rFonts w:eastAsia="Arial"/>
                <w:sz w:val="24"/>
                <w:szCs w:val="24"/>
              </w:rPr>
              <w:t>Deployed (2022)</w:t>
            </w:r>
          </w:p>
        </w:tc>
        <w:tc>
          <w:tcPr>
            <w:tcW w:w="2000" w:type="dxa"/>
          </w:tcPr>
          <w:p w14:paraId="32E5631A" w14:textId="77777777" w:rsidR="00B50FCE" w:rsidRPr="00A97413" w:rsidRDefault="00B50FCE" w:rsidP="00240EC4">
            <w:pPr>
              <w:jc w:val="center"/>
              <w:rPr>
                <w:sz w:val="24"/>
                <w:szCs w:val="24"/>
              </w:rPr>
            </w:pPr>
            <w:r w:rsidRPr="00A97413">
              <w:rPr>
                <w:rFonts w:eastAsia="Arial"/>
                <w:sz w:val="24"/>
                <w:szCs w:val="24"/>
              </w:rPr>
              <w:t>Computer vision</w:t>
            </w:r>
          </w:p>
        </w:tc>
        <w:tc>
          <w:tcPr>
            <w:tcW w:w="2200" w:type="dxa"/>
          </w:tcPr>
          <w:p w14:paraId="2517B576" w14:textId="77777777" w:rsidR="00B50FCE" w:rsidRPr="00A97413" w:rsidRDefault="00B50FCE" w:rsidP="00240EC4">
            <w:pPr>
              <w:jc w:val="center"/>
              <w:rPr>
                <w:sz w:val="24"/>
                <w:szCs w:val="24"/>
              </w:rPr>
            </w:pPr>
            <w:r w:rsidRPr="00A97413">
              <w:rPr>
                <w:rFonts w:eastAsia="Arial"/>
                <w:sz w:val="24"/>
                <w:szCs w:val="24"/>
              </w:rPr>
              <w:t>FCA AML Guidance</w:t>
            </w:r>
          </w:p>
        </w:tc>
      </w:tr>
    </w:tbl>
    <w:p w14:paraId="27770465" w14:textId="77777777" w:rsidR="00B50FCE" w:rsidRPr="00A97413" w:rsidRDefault="00B50FCE" w:rsidP="00B50FCE">
      <w:pPr>
        <w:spacing w:before="40" w:after="120"/>
        <w:rPr>
          <w:sz w:val="24"/>
          <w:szCs w:val="24"/>
        </w:rPr>
      </w:pPr>
      <w:r w:rsidRPr="00A97413">
        <w:rPr>
          <w:rFonts w:eastAsia="Arial"/>
          <w:i/>
          <w:iCs/>
          <w:sz w:val="24"/>
          <w:szCs w:val="24"/>
        </w:rPr>
        <w:t>Source: HSBC Group Annual Reports 2019–2024; FCA supervisory statements; PRA policy statements; author's analysis.</w:t>
      </w:r>
    </w:p>
    <w:p w14:paraId="1BF060CC" w14:textId="77777777" w:rsidR="00B50FCE" w:rsidRDefault="00B50FCE" w:rsidP="00B50FCE">
      <w:pPr>
        <w:spacing w:before="100" w:after="100" w:line="360" w:lineRule="auto"/>
        <w:jc w:val="both"/>
        <w:rPr>
          <w:sz w:val="24"/>
          <w:szCs w:val="24"/>
        </w:rPr>
      </w:pPr>
    </w:p>
    <w:p w14:paraId="6FBE3E3C" w14:textId="77777777" w:rsidR="00B50FCE" w:rsidRPr="00A97413" w:rsidRDefault="00B50FCE" w:rsidP="00B50FCE">
      <w:pPr>
        <w:spacing w:before="100" w:after="100" w:line="360" w:lineRule="auto"/>
        <w:jc w:val="both"/>
        <w:rPr>
          <w:sz w:val="24"/>
          <w:szCs w:val="24"/>
        </w:rPr>
      </w:pPr>
      <w:r w:rsidRPr="00A97413">
        <w:rPr>
          <w:sz w:val="24"/>
          <w:szCs w:val="24"/>
        </w:rPr>
        <w:t>The deployment of behavioural biometrics in 2021 represents a particularly significant capability milestone. Unlike static authentication, behavioural biometrics create a continuously updated dynamic profile of customer interaction patterns—typing cadence, device orientation, navigation sequences, and gesture dynamics—making AI-powered impersonation significantly more difficult. HSBC's 2021 Annual Report noted that this capability 'contributed to a double-digit percentage reduction in account takeover fraud' within the UK retail bank during its first full operating year (HSBC Group, 2021, p. 74). This figure is consistent with Javelin Strategy &amp; Research's (2022) finding that behavioural biometric adopters reduced account takeover rates by 15–25% relative to control groups.</w:t>
      </w:r>
    </w:p>
    <w:p w14:paraId="7066729D" w14:textId="77777777" w:rsidR="00B50FCE" w:rsidRPr="00A97413" w:rsidRDefault="00B50FCE" w:rsidP="00B50FCE">
      <w:pPr>
        <w:spacing w:before="100" w:after="100" w:line="360" w:lineRule="auto"/>
        <w:jc w:val="both"/>
        <w:rPr>
          <w:sz w:val="24"/>
          <w:szCs w:val="24"/>
        </w:rPr>
      </w:pPr>
      <w:r w:rsidRPr="00A97413">
        <w:rPr>
          <w:sz w:val="24"/>
          <w:szCs w:val="24"/>
        </w:rPr>
        <w:t>The partial deployment status of synthetic identity detection as of 2023, and the early-stage classification of deepfake detection as of 2024, represent the most significant capability gaps identified in the analysis. These two fraud categories are, according to both academic literature and industry intelligence, the most rapidly growing AI-enabled threats to the UK banking sector—making their incomplete deployment status a material vulnerability requiring urgent attention.</w:t>
      </w:r>
    </w:p>
    <w:p w14:paraId="2547E3C1"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lastRenderedPageBreak/>
        <w:t>4.4 Regulatory Compliance Landscape</w:t>
      </w:r>
    </w:p>
    <w:p w14:paraId="51F91A2F" w14:textId="77777777" w:rsidR="00B50FCE" w:rsidRPr="00A97413" w:rsidRDefault="00B50FCE" w:rsidP="00B50FCE">
      <w:pPr>
        <w:spacing w:before="100" w:after="100" w:line="360" w:lineRule="auto"/>
        <w:jc w:val="both"/>
        <w:rPr>
          <w:sz w:val="24"/>
          <w:szCs w:val="24"/>
        </w:rPr>
      </w:pPr>
      <w:r w:rsidRPr="00A97413">
        <w:rPr>
          <w:sz w:val="24"/>
          <w:szCs w:val="24"/>
        </w:rPr>
        <w:t>HSBC UK's engagement with the UK regulatory framework for fraud prevention reflects the volume and complexity of applicable requirements. Documentary analysis identified substantive compliance activity across at least seven distinct regulatory regimes, as summarised in Table 3.</w:t>
      </w:r>
    </w:p>
    <w:p w14:paraId="5C6E6A51" w14:textId="77777777" w:rsidR="00B50FCE" w:rsidRPr="00A97413" w:rsidRDefault="00B50FCE" w:rsidP="00B50FCE">
      <w:pPr>
        <w:rPr>
          <w:sz w:val="24"/>
          <w:szCs w:val="24"/>
        </w:rPr>
      </w:pPr>
    </w:p>
    <w:p w14:paraId="12F19F30" w14:textId="77777777" w:rsidR="00B50FCE" w:rsidRPr="00A97413" w:rsidRDefault="00B50FCE" w:rsidP="00B50FCE">
      <w:pPr>
        <w:spacing w:before="120" w:after="60"/>
        <w:jc w:val="both"/>
        <w:rPr>
          <w:sz w:val="24"/>
          <w:szCs w:val="24"/>
        </w:rPr>
      </w:pPr>
      <w:r w:rsidRPr="00A97413">
        <w:rPr>
          <w:rFonts w:eastAsia="Arial"/>
          <w:b/>
          <w:bCs/>
          <w:sz w:val="24"/>
          <w:szCs w:val="24"/>
        </w:rPr>
        <w:t>Table 3: Key Regulatory Requirements and HSBC UK Compliance Evidence (2019–2024)</w:t>
      </w:r>
    </w:p>
    <w:tbl>
      <w:tblPr>
        <w:tblStyle w:val="TableGrid"/>
        <w:tblW w:w="8200" w:type="dxa"/>
        <w:tblLook w:val="04A0" w:firstRow="1" w:lastRow="0" w:firstColumn="1" w:lastColumn="0" w:noHBand="0" w:noVBand="1"/>
      </w:tblPr>
      <w:tblGrid>
        <w:gridCol w:w="2200"/>
        <w:gridCol w:w="1300"/>
        <w:gridCol w:w="2500"/>
        <w:gridCol w:w="2200"/>
      </w:tblGrid>
      <w:tr w:rsidR="00B50FCE" w:rsidRPr="00A97413" w14:paraId="7EC80D2C" w14:textId="77777777" w:rsidTr="00240EC4">
        <w:tc>
          <w:tcPr>
            <w:tcW w:w="2200" w:type="dxa"/>
          </w:tcPr>
          <w:p w14:paraId="5A74AE48" w14:textId="77777777" w:rsidR="00B50FCE" w:rsidRPr="00A97413" w:rsidRDefault="00B50FCE" w:rsidP="00240EC4">
            <w:pPr>
              <w:jc w:val="center"/>
              <w:rPr>
                <w:sz w:val="24"/>
                <w:szCs w:val="24"/>
              </w:rPr>
            </w:pPr>
            <w:r w:rsidRPr="00A97413">
              <w:rPr>
                <w:rFonts w:eastAsia="Arial"/>
                <w:b/>
                <w:bCs/>
                <w:sz w:val="24"/>
                <w:szCs w:val="24"/>
              </w:rPr>
              <w:t>Regulation</w:t>
            </w:r>
          </w:p>
        </w:tc>
        <w:tc>
          <w:tcPr>
            <w:tcW w:w="1300" w:type="dxa"/>
          </w:tcPr>
          <w:p w14:paraId="494EE2B0" w14:textId="77777777" w:rsidR="00B50FCE" w:rsidRPr="00A97413" w:rsidRDefault="00B50FCE" w:rsidP="00240EC4">
            <w:pPr>
              <w:jc w:val="center"/>
              <w:rPr>
                <w:sz w:val="24"/>
                <w:szCs w:val="24"/>
              </w:rPr>
            </w:pPr>
            <w:r w:rsidRPr="00A97413">
              <w:rPr>
                <w:rFonts w:eastAsia="Arial"/>
                <w:b/>
                <w:bCs/>
                <w:sz w:val="24"/>
                <w:szCs w:val="24"/>
              </w:rPr>
              <w:t>Issuing Body</w:t>
            </w:r>
          </w:p>
        </w:tc>
        <w:tc>
          <w:tcPr>
            <w:tcW w:w="2500" w:type="dxa"/>
          </w:tcPr>
          <w:p w14:paraId="725B4E4E" w14:textId="77777777" w:rsidR="00B50FCE" w:rsidRPr="00A97413" w:rsidRDefault="00B50FCE" w:rsidP="00240EC4">
            <w:pPr>
              <w:jc w:val="center"/>
              <w:rPr>
                <w:sz w:val="24"/>
                <w:szCs w:val="24"/>
              </w:rPr>
            </w:pPr>
            <w:r w:rsidRPr="00A97413">
              <w:rPr>
                <w:rFonts w:eastAsia="Arial"/>
                <w:b/>
                <w:bCs/>
                <w:sz w:val="24"/>
                <w:szCs w:val="24"/>
              </w:rPr>
              <w:t>Core Requirement</w:t>
            </w:r>
          </w:p>
        </w:tc>
        <w:tc>
          <w:tcPr>
            <w:tcW w:w="2200" w:type="dxa"/>
          </w:tcPr>
          <w:p w14:paraId="33D7F468" w14:textId="77777777" w:rsidR="00B50FCE" w:rsidRPr="00A97413" w:rsidRDefault="00B50FCE" w:rsidP="00240EC4">
            <w:pPr>
              <w:jc w:val="center"/>
              <w:rPr>
                <w:sz w:val="24"/>
                <w:szCs w:val="24"/>
              </w:rPr>
            </w:pPr>
            <w:r w:rsidRPr="00A97413">
              <w:rPr>
                <w:rFonts w:eastAsia="Arial"/>
                <w:b/>
                <w:bCs/>
                <w:sz w:val="24"/>
                <w:szCs w:val="24"/>
              </w:rPr>
              <w:t>HSBC Compliance Evidence</w:t>
            </w:r>
          </w:p>
        </w:tc>
      </w:tr>
      <w:tr w:rsidR="00B50FCE" w:rsidRPr="00A97413" w14:paraId="0DB66941" w14:textId="77777777" w:rsidTr="00240EC4">
        <w:tc>
          <w:tcPr>
            <w:tcW w:w="2200" w:type="dxa"/>
          </w:tcPr>
          <w:p w14:paraId="5BAE578E" w14:textId="77777777" w:rsidR="00B50FCE" w:rsidRPr="00A97413" w:rsidRDefault="00B50FCE" w:rsidP="00240EC4">
            <w:pPr>
              <w:rPr>
                <w:sz w:val="24"/>
                <w:szCs w:val="24"/>
              </w:rPr>
            </w:pPr>
            <w:r w:rsidRPr="00A97413">
              <w:rPr>
                <w:rFonts w:eastAsia="Arial"/>
                <w:sz w:val="24"/>
                <w:szCs w:val="24"/>
              </w:rPr>
              <w:t>PS19/1 Strong Customer Authentication</w:t>
            </w:r>
          </w:p>
        </w:tc>
        <w:tc>
          <w:tcPr>
            <w:tcW w:w="1300" w:type="dxa"/>
          </w:tcPr>
          <w:p w14:paraId="4A61C51E" w14:textId="77777777" w:rsidR="00B50FCE" w:rsidRPr="00A97413" w:rsidRDefault="00B50FCE" w:rsidP="00240EC4">
            <w:pPr>
              <w:jc w:val="center"/>
              <w:rPr>
                <w:sz w:val="24"/>
                <w:szCs w:val="24"/>
              </w:rPr>
            </w:pPr>
            <w:r w:rsidRPr="00A97413">
              <w:rPr>
                <w:rFonts w:eastAsia="Arial"/>
                <w:sz w:val="24"/>
                <w:szCs w:val="24"/>
              </w:rPr>
              <w:t>FCA</w:t>
            </w:r>
          </w:p>
        </w:tc>
        <w:tc>
          <w:tcPr>
            <w:tcW w:w="2500" w:type="dxa"/>
          </w:tcPr>
          <w:p w14:paraId="23D3E445" w14:textId="77777777" w:rsidR="00B50FCE" w:rsidRPr="00A97413" w:rsidRDefault="00B50FCE" w:rsidP="00240EC4">
            <w:pPr>
              <w:jc w:val="center"/>
              <w:rPr>
                <w:sz w:val="24"/>
                <w:szCs w:val="24"/>
              </w:rPr>
            </w:pPr>
            <w:r w:rsidRPr="00A97413">
              <w:rPr>
                <w:rFonts w:eastAsia="Arial"/>
                <w:sz w:val="24"/>
                <w:szCs w:val="24"/>
              </w:rPr>
              <w:t>Multi-factor authentication for digital payments</w:t>
            </w:r>
          </w:p>
        </w:tc>
        <w:tc>
          <w:tcPr>
            <w:tcW w:w="2200" w:type="dxa"/>
          </w:tcPr>
          <w:p w14:paraId="12E8F2C7" w14:textId="77777777" w:rsidR="00B50FCE" w:rsidRPr="00A97413" w:rsidRDefault="00B50FCE" w:rsidP="00240EC4">
            <w:pPr>
              <w:jc w:val="center"/>
              <w:rPr>
                <w:sz w:val="24"/>
                <w:szCs w:val="24"/>
              </w:rPr>
            </w:pPr>
            <w:r w:rsidRPr="00A97413">
              <w:rPr>
                <w:rFonts w:eastAsia="Arial"/>
                <w:sz w:val="24"/>
                <w:szCs w:val="24"/>
              </w:rPr>
              <w:t>SCA deployed 2021; referenced in AR 2021</w:t>
            </w:r>
          </w:p>
        </w:tc>
      </w:tr>
      <w:tr w:rsidR="00B50FCE" w:rsidRPr="00A97413" w14:paraId="6B7B5D85" w14:textId="77777777" w:rsidTr="00240EC4">
        <w:tc>
          <w:tcPr>
            <w:tcW w:w="2200" w:type="dxa"/>
          </w:tcPr>
          <w:p w14:paraId="29F0957E" w14:textId="77777777" w:rsidR="00B50FCE" w:rsidRPr="00A97413" w:rsidRDefault="00B50FCE" w:rsidP="00240EC4">
            <w:pPr>
              <w:rPr>
                <w:sz w:val="24"/>
                <w:szCs w:val="24"/>
              </w:rPr>
            </w:pPr>
            <w:r w:rsidRPr="00A97413">
              <w:rPr>
                <w:rFonts w:eastAsia="Arial"/>
                <w:sz w:val="24"/>
                <w:szCs w:val="24"/>
              </w:rPr>
              <w:t>SS1/21 Operational Resilience</w:t>
            </w:r>
          </w:p>
        </w:tc>
        <w:tc>
          <w:tcPr>
            <w:tcW w:w="1300" w:type="dxa"/>
          </w:tcPr>
          <w:p w14:paraId="0DA3C311" w14:textId="77777777" w:rsidR="00B50FCE" w:rsidRPr="00A97413" w:rsidRDefault="00B50FCE" w:rsidP="00240EC4">
            <w:pPr>
              <w:jc w:val="center"/>
              <w:rPr>
                <w:sz w:val="24"/>
                <w:szCs w:val="24"/>
              </w:rPr>
            </w:pPr>
            <w:r w:rsidRPr="00A97413">
              <w:rPr>
                <w:rFonts w:eastAsia="Arial"/>
                <w:sz w:val="24"/>
                <w:szCs w:val="24"/>
              </w:rPr>
              <w:t>PRA</w:t>
            </w:r>
          </w:p>
        </w:tc>
        <w:tc>
          <w:tcPr>
            <w:tcW w:w="2500" w:type="dxa"/>
          </w:tcPr>
          <w:p w14:paraId="5E7F10CE" w14:textId="77777777" w:rsidR="00B50FCE" w:rsidRPr="00A97413" w:rsidRDefault="00B50FCE" w:rsidP="00240EC4">
            <w:pPr>
              <w:jc w:val="center"/>
              <w:rPr>
                <w:sz w:val="24"/>
                <w:szCs w:val="24"/>
              </w:rPr>
            </w:pPr>
            <w:r w:rsidRPr="00A97413">
              <w:rPr>
                <w:rFonts w:eastAsia="Arial"/>
                <w:sz w:val="24"/>
                <w:szCs w:val="24"/>
              </w:rPr>
              <w:t>Impact tolerances for critical services</w:t>
            </w:r>
          </w:p>
        </w:tc>
        <w:tc>
          <w:tcPr>
            <w:tcW w:w="2200" w:type="dxa"/>
          </w:tcPr>
          <w:p w14:paraId="4BB4A06D" w14:textId="77777777" w:rsidR="00B50FCE" w:rsidRPr="00A97413" w:rsidRDefault="00B50FCE" w:rsidP="00240EC4">
            <w:pPr>
              <w:jc w:val="center"/>
              <w:rPr>
                <w:sz w:val="24"/>
                <w:szCs w:val="24"/>
              </w:rPr>
            </w:pPr>
            <w:r w:rsidRPr="00A97413">
              <w:rPr>
                <w:rFonts w:eastAsia="Arial"/>
                <w:sz w:val="24"/>
                <w:szCs w:val="24"/>
              </w:rPr>
              <w:t>Board policy endorsed 2022; AR 2022</w:t>
            </w:r>
          </w:p>
        </w:tc>
      </w:tr>
      <w:tr w:rsidR="00B50FCE" w:rsidRPr="00A97413" w14:paraId="7AF2EC8C" w14:textId="77777777" w:rsidTr="00240EC4">
        <w:tc>
          <w:tcPr>
            <w:tcW w:w="2200" w:type="dxa"/>
          </w:tcPr>
          <w:p w14:paraId="76BFB50B" w14:textId="77777777" w:rsidR="00B50FCE" w:rsidRPr="00A97413" w:rsidRDefault="00B50FCE" w:rsidP="00240EC4">
            <w:pPr>
              <w:rPr>
                <w:sz w:val="24"/>
                <w:szCs w:val="24"/>
              </w:rPr>
            </w:pPr>
            <w:r w:rsidRPr="00A97413">
              <w:rPr>
                <w:rFonts w:eastAsia="Arial"/>
                <w:sz w:val="24"/>
                <w:szCs w:val="24"/>
              </w:rPr>
              <w:t>PSR APP Fraud Reimbursement</w:t>
            </w:r>
          </w:p>
        </w:tc>
        <w:tc>
          <w:tcPr>
            <w:tcW w:w="1300" w:type="dxa"/>
          </w:tcPr>
          <w:p w14:paraId="33915F68" w14:textId="77777777" w:rsidR="00B50FCE" w:rsidRPr="00A97413" w:rsidRDefault="00B50FCE" w:rsidP="00240EC4">
            <w:pPr>
              <w:jc w:val="center"/>
              <w:rPr>
                <w:sz w:val="24"/>
                <w:szCs w:val="24"/>
              </w:rPr>
            </w:pPr>
            <w:r w:rsidRPr="00A97413">
              <w:rPr>
                <w:rFonts w:eastAsia="Arial"/>
                <w:sz w:val="24"/>
                <w:szCs w:val="24"/>
              </w:rPr>
              <w:t>PSR</w:t>
            </w:r>
          </w:p>
        </w:tc>
        <w:tc>
          <w:tcPr>
            <w:tcW w:w="2500" w:type="dxa"/>
          </w:tcPr>
          <w:p w14:paraId="6B05EEB9" w14:textId="77777777" w:rsidR="00B50FCE" w:rsidRPr="00A97413" w:rsidRDefault="00B50FCE" w:rsidP="00240EC4">
            <w:pPr>
              <w:jc w:val="center"/>
              <w:rPr>
                <w:sz w:val="24"/>
                <w:szCs w:val="24"/>
              </w:rPr>
            </w:pPr>
            <w:r w:rsidRPr="00A97413">
              <w:rPr>
                <w:rFonts w:eastAsia="Arial"/>
                <w:sz w:val="24"/>
                <w:szCs w:val="24"/>
              </w:rPr>
              <w:t>Mandatory victim reimbursement (Oct 2024)</w:t>
            </w:r>
          </w:p>
        </w:tc>
        <w:tc>
          <w:tcPr>
            <w:tcW w:w="2200" w:type="dxa"/>
          </w:tcPr>
          <w:p w14:paraId="5DA41628" w14:textId="77777777" w:rsidR="00B50FCE" w:rsidRPr="00A97413" w:rsidRDefault="00B50FCE" w:rsidP="00240EC4">
            <w:pPr>
              <w:jc w:val="center"/>
              <w:rPr>
                <w:sz w:val="24"/>
                <w:szCs w:val="24"/>
              </w:rPr>
            </w:pPr>
            <w:r w:rsidRPr="00A97413">
              <w:rPr>
                <w:rFonts w:eastAsia="Arial"/>
                <w:sz w:val="24"/>
                <w:szCs w:val="24"/>
              </w:rPr>
              <w:t>Systems updated; AR 2024 reference</w:t>
            </w:r>
          </w:p>
        </w:tc>
      </w:tr>
      <w:tr w:rsidR="00B50FCE" w:rsidRPr="00A97413" w14:paraId="1607EB69" w14:textId="77777777" w:rsidTr="00240EC4">
        <w:tc>
          <w:tcPr>
            <w:tcW w:w="2200" w:type="dxa"/>
          </w:tcPr>
          <w:p w14:paraId="5469A5E7" w14:textId="77777777" w:rsidR="00B50FCE" w:rsidRPr="00A97413" w:rsidRDefault="00B50FCE" w:rsidP="00240EC4">
            <w:pPr>
              <w:rPr>
                <w:sz w:val="24"/>
                <w:szCs w:val="24"/>
              </w:rPr>
            </w:pPr>
            <w:r w:rsidRPr="00A97413">
              <w:rPr>
                <w:rFonts w:eastAsia="Arial"/>
                <w:sz w:val="24"/>
                <w:szCs w:val="24"/>
              </w:rPr>
              <w:t>CRM Code (voluntary)</w:t>
            </w:r>
          </w:p>
        </w:tc>
        <w:tc>
          <w:tcPr>
            <w:tcW w:w="1300" w:type="dxa"/>
          </w:tcPr>
          <w:p w14:paraId="740E703F" w14:textId="77777777" w:rsidR="00B50FCE" w:rsidRPr="00A97413" w:rsidRDefault="00B50FCE" w:rsidP="00240EC4">
            <w:pPr>
              <w:jc w:val="center"/>
              <w:rPr>
                <w:sz w:val="24"/>
                <w:szCs w:val="24"/>
              </w:rPr>
            </w:pPr>
            <w:r w:rsidRPr="00A97413">
              <w:rPr>
                <w:rFonts w:eastAsia="Arial"/>
                <w:sz w:val="24"/>
                <w:szCs w:val="24"/>
              </w:rPr>
              <w:t>UK Finance</w:t>
            </w:r>
          </w:p>
        </w:tc>
        <w:tc>
          <w:tcPr>
            <w:tcW w:w="2500" w:type="dxa"/>
          </w:tcPr>
          <w:p w14:paraId="68F51F37" w14:textId="77777777" w:rsidR="00B50FCE" w:rsidRPr="00A97413" w:rsidRDefault="00B50FCE" w:rsidP="00240EC4">
            <w:pPr>
              <w:jc w:val="center"/>
              <w:rPr>
                <w:sz w:val="24"/>
                <w:szCs w:val="24"/>
              </w:rPr>
            </w:pPr>
            <w:r w:rsidRPr="00A97413">
              <w:rPr>
                <w:rFonts w:eastAsia="Arial"/>
                <w:sz w:val="24"/>
                <w:szCs w:val="24"/>
              </w:rPr>
              <w:t>Voluntary APP reimbursement standard</w:t>
            </w:r>
          </w:p>
        </w:tc>
        <w:tc>
          <w:tcPr>
            <w:tcW w:w="2200" w:type="dxa"/>
          </w:tcPr>
          <w:p w14:paraId="1EBB646A" w14:textId="77777777" w:rsidR="00B50FCE" w:rsidRPr="00A97413" w:rsidRDefault="00B50FCE" w:rsidP="00240EC4">
            <w:pPr>
              <w:jc w:val="center"/>
              <w:rPr>
                <w:sz w:val="24"/>
                <w:szCs w:val="24"/>
              </w:rPr>
            </w:pPr>
            <w:r w:rsidRPr="00A97413">
              <w:rPr>
                <w:rFonts w:eastAsia="Arial"/>
                <w:sz w:val="24"/>
                <w:szCs w:val="24"/>
              </w:rPr>
              <w:t>Signatory from 2019; AR 2019–2024</w:t>
            </w:r>
          </w:p>
        </w:tc>
      </w:tr>
      <w:tr w:rsidR="00B50FCE" w:rsidRPr="00A97413" w14:paraId="77639A85" w14:textId="77777777" w:rsidTr="00240EC4">
        <w:tc>
          <w:tcPr>
            <w:tcW w:w="2200" w:type="dxa"/>
          </w:tcPr>
          <w:p w14:paraId="48DED7C3" w14:textId="77777777" w:rsidR="00B50FCE" w:rsidRPr="00A97413" w:rsidRDefault="00B50FCE" w:rsidP="00240EC4">
            <w:pPr>
              <w:rPr>
                <w:sz w:val="24"/>
                <w:szCs w:val="24"/>
              </w:rPr>
            </w:pPr>
            <w:r w:rsidRPr="00A97413">
              <w:rPr>
                <w:rFonts w:eastAsia="Arial"/>
                <w:sz w:val="24"/>
                <w:szCs w:val="24"/>
              </w:rPr>
              <w:t>Consumer Duty (PS22/9)</w:t>
            </w:r>
          </w:p>
        </w:tc>
        <w:tc>
          <w:tcPr>
            <w:tcW w:w="1300" w:type="dxa"/>
          </w:tcPr>
          <w:p w14:paraId="28082BA8" w14:textId="77777777" w:rsidR="00B50FCE" w:rsidRPr="00A97413" w:rsidRDefault="00B50FCE" w:rsidP="00240EC4">
            <w:pPr>
              <w:jc w:val="center"/>
              <w:rPr>
                <w:sz w:val="24"/>
                <w:szCs w:val="24"/>
              </w:rPr>
            </w:pPr>
            <w:r w:rsidRPr="00A97413">
              <w:rPr>
                <w:rFonts w:eastAsia="Arial"/>
                <w:sz w:val="24"/>
                <w:szCs w:val="24"/>
              </w:rPr>
              <w:t>FCA</w:t>
            </w:r>
          </w:p>
        </w:tc>
        <w:tc>
          <w:tcPr>
            <w:tcW w:w="2500" w:type="dxa"/>
          </w:tcPr>
          <w:p w14:paraId="5C7FA160" w14:textId="77777777" w:rsidR="00B50FCE" w:rsidRPr="00A97413" w:rsidRDefault="00B50FCE" w:rsidP="00240EC4">
            <w:pPr>
              <w:jc w:val="center"/>
              <w:rPr>
                <w:sz w:val="24"/>
                <w:szCs w:val="24"/>
              </w:rPr>
            </w:pPr>
            <w:r w:rsidRPr="00A97413">
              <w:rPr>
                <w:rFonts w:eastAsia="Arial"/>
                <w:sz w:val="24"/>
                <w:szCs w:val="24"/>
              </w:rPr>
              <w:t>Prevent foreseeable harm to retail customers</w:t>
            </w:r>
          </w:p>
        </w:tc>
        <w:tc>
          <w:tcPr>
            <w:tcW w:w="2200" w:type="dxa"/>
          </w:tcPr>
          <w:p w14:paraId="275EB572" w14:textId="77777777" w:rsidR="00B50FCE" w:rsidRPr="00A97413" w:rsidRDefault="00B50FCE" w:rsidP="00240EC4">
            <w:pPr>
              <w:jc w:val="center"/>
              <w:rPr>
                <w:sz w:val="24"/>
                <w:szCs w:val="24"/>
              </w:rPr>
            </w:pPr>
            <w:r w:rsidRPr="00A97413">
              <w:rPr>
                <w:rFonts w:eastAsia="Arial"/>
                <w:sz w:val="24"/>
                <w:szCs w:val="24"/>
              </w:rPr>
              <w:t>Implementation programme 2023; AR 2023</w:t>
            </w:r>
          </w:p>
        </w:tc>
      </w:tr>
      <w:tr w:rsidR="00B50FCE" w:rsidRPr="00A97413" w14:paraId="636C1250" w14:textId="77777777" w:rsidTr="00240EC4">
        <w:tc>
          <w:tcPr>
            <w:tcW w:w="2200" w:type="dxa"/>
          </w:tcPr>
          <w:p w14:paraId="432BE4CA" w14:textId="77777777" w:rsidR="00B50FCE" w:rsidRPr="00A97413" w:rsidRDefault="00B50FCE" w:rsidP="00240EC4">
            <w:pPr>
              <w:rPr>
                <w:sz w:val="24"/>
                <w:szCs w:val="24"/>
              </w:rPr>
            </w:pPr>
            <w:r w:rsidRPr="00A97413">
              <w:rPr>
                <w:rFonts w:eastAsia="Arial"/>
                <w:sz w:val="24"/>
                <w:szCs w:val="24"/>
              </w:rPr>
              <w:t>AML/CTF Regulations 2017</w:t>
            </w:r>
          </w:p>
        </w:tc>
        <w:tc>
          <w:tcPr>
            <w:tcW w:w="1300" w:type="dxa"/>
          </w:tcPr>
          <w:p w14:paraId="05F4F89F" w14:textId="77777777" w:rsidR="00B50FCE" w:rsidRPr="00A97413" w:rsidRDefault="00B50FCE" w:rsidP="00240EC4">
            <w:pPr>
              <w:jc w:val="center"/>
              <w:rPr>
                <w:sz w:val="24"/>
                <w:szCs w:val="24"/>
              </w:rPr>
            </w:pPr>
            <w:r w:rsidRPr="00A97413">
              <w:rPr>
                <w:rFonts w:eastAsia="Arial"/>
                <w:sz w:val="24"/>
                <w:szCs w:val="24"/>
              </w:rPr>
              <w:t>HM Treasury</w:t>
            </w:r>
          </w:p>
        </w:tc>
        <w:tc>
          <w:tcPr>
            <w:tcW w:w="2500" w:type="dxa"/>
          </w:tcPr>
          <w:p w14:paraId="21F29A12" w14:textId="77777777" w:rsidR="00B50FCE" w:rsidRPr="00A97413" w:rsidRDefault="00B50FCE" w:rsidP="00240EC4">
            <w:pPr>
              <w:jc w:val="center"/>
              <w:rPr>
                <w:sz w:val="24"/>
                <w:szCs w:val="24"/>
              </w:rPr>
            </w:pPr>
            <w:r w:rsidRPr="00A97413">
              <w:rPr>
                <w:rFonts w:eastAsia="Arial"/>
                <w:sz w:val="24"/>
                <w:szCs w:val="24"/>
              </w:rPr>
              <w:t>Financial crime controls &amp; SAR submissions</w:t>
            </w:r>
          </w:p>
        </w:tc>
        <w:tc>
          <w:tcPr>
            <w:tcW w:w="2200" w:type="dxa"/>
          </w:tcPr>
          <w:p w14:paraId="730D61C1" w14:textId="77777777" w:rsidR="00B50FCE" w:rsidRPr="00A97413" w:rsidRDefault="00B50FCE" w:rsidP="00240EC4">
            <w:pPr>
              <w:jc w:val="center"/>
              <w:rPr>
                <w:sz w:val="24"/>
                <w:szCs w:val="24"/>
              </w:rPr>
            </w:pPr>
            <w:r w:rsidRPr="00A97413">
              <w:rPr>
                <w:rFonts w:eastAsia="Arial"/>
                <w:sz w:val="24"/>
                <w:szCs w:val="24"/>
              </w:rPr>
              <w:t>Ongoing; compliance referenced annually</w:t>
            </w:r>
          </w:p>
        </w:tc>
      </w:tr>
      <w:tr w:rsidR="00B50FCE" w:rsidRPr="00A97413" w14:paraId="2A4174B8" w14:textId="77777777" w:rsidTr="00240EC4">
        <w:tc>
          <w:tcPr>
            <w:tcW w:w="2200" w:type="dxa"/>
          </w:tcPr>
          <w:p w14:paraId="440761CD" w14:textId="77777777" w:rsidR="00B50FCE" w:rsidRPr="00A97413" w:rsidRDefault="00B50FCE" w:rsidP="00240EC4">
            <w:pPr>
              <w:rPr>
                <w:sz w:val="24"/>
                <w:szCs w:val="24"/>
              </w:rPr>
            </w:pPr>
            <w:r w:rsidRPr="00A97413">
              <w:rPr>
                <w:rFonts w:eastAsia="Arial"/>
                <w:sz w:val="24"/>
                <w:szCs w:val="24"/>
              </w:rPr>
              <w:t>FCA DP5/22 AI Guidance</w:t>
            </w:r>
          </w:p>
        </w:tc>
        <w:tc>
          <w:tcPr>
            <w:tcW w:w="1300" w:type="dxa"/>
          </w:tcPr>
          <w:p w14:paraId="6A3FCE09" w14:textId="77777777" w:rsidR="00B50FCE" w:rsidRPr="00A97413" w:rsidRDefault="00B50FCE" w:rsidP="00240EC4">
            <w:pPr>
              <w:jc w:val="center"/>
              <w:rPr>
                <w:sz w:val="24"/>
                <w:szCs w:val="24"/>
              </w:rPr>
            </w:pPr>
            <w:r w:rsidRPr="00A97413">
              <w:rPr>
                <w:rFonts w:eastAsia="Arial"/>
                <w:sz w:val="24"/>
                <w:szCs w:val="24"/>
              </w:rPr>
              <w:t>FCA</w:t>
            </w:r>
          </w:p>
        </w:tc>
        <w:tc>
          <w:tcPr>
            <w:tcW w:w="2500" w:type="dxa"/>
          </w:tcPr>
          <w:p w14:paraId="2CD023EF" w14:textId="77777777" w:rsidR="00B50FCE" w:rsidRPr="00A97413" w:rsidRDefault="00B50FCE" w:rsidP="00240EC4">
            <w:pPr>
              <w:jc w:val="center"/>
              <w:rPr>
                <w:sz w:val="24"/>
                <w:szCs w:val="24"/>
              </w:rPr>
            </w:pPr>
            <w:r w:rsidRPr="00A97413">
              <w:rPr>
                <w:rFonts w:eastAsia="Arial"/>
                <w:sz w:val="24"/>
                <w:szCs w:val="24"/>
              </w:rPr>
              <w:t>AI governance and explainability (consultative)</w:t>
            </w:r>
          </w:p>
        </w:tc>
        <w:tc>
          <w:tcPr>
            <w:tcW w:w="2200" w:type="dxa"/>
          </w:tcPr>
          <w:p w14:paraId="47FF5A8B" w14:textId="77777777" w:rsidR="00B50FCE" w:rsidRPr="00A97413" w:rsidRDefault="00B50FCE" w:rsidP="00240EC4">
            <w:pPr>
              <w:jc w:val="center"/>
              <w:rPr>
                <w:sz w:val="24"/>
                <w:szCs w:val="24"/>
              </w:rPr>
            </w:pPr>
            <w:r w:rsidRPr="00A97413">
              <w:rPr>
                <w:rFonts w:eastAsia="Arial"/>
                <w:sz w:val="24"/>
                <w:szCs w:val="24"/>
              </w:rPr>
              <w:t>Noted as under review; AR 2023</w:t>
            </w:r>
          </w:p>
        </w:tc>
      </w:tr>
    </w:tbl>
    <w:p w14:paraId="2C2771BD" w14:textId="77777777" w:rsidR="00B50FCE" w:rsidRPr="00A97413" w:rsidRDefault="00B50FCE" w:rsidP="00B50FCE">
      <w:pPr>
        <w:spacing w:before="40" w:after="120"/>
        <w:rPr>
          <w:sz w:val="24"/>
          <w:szCs w:val="24"/>
        </w:rPr>
      </w:pPr>
      <w:r w:rsidRPr="00A97413">
        <w:rPr>
          <w:rFonts w:eastAsia="Arial"/>
          <w:i/>
          <w:iCs/>
          <w:sz w:val="24"/>
          <w:szCs w:val="24"/>
        </w:rPr>
        <w:t>Source: FCA, PRA, PSR regulatory documents; HSBC Group Annual Reports 2019–2024; author's analysis. AR = Annual Report.</w:t>
      </w:r>
    </w:p>
    <w:p w14:paraId="004330A9" w14:textId="77777777" w:rsidR="00B50FCE" w:rsidRPr="00A97413" w:rsidRDefault="00B50FCE" w:rsidP="00B50FCE">
      <w:pPr>
        <w:rPr>
          <w:sz w:val="24"/>
          <w:szCs w:val="24"/>
        </w:rPr>
      </w:pPr>
    </w:p>
    <w:p w14:paraId="2CAE846F" w14:textId="77777777" w:rsidR="00B50FCE" w:rsidRPr="00A97413" w:rsidRDefault="00B50FCE" w:rsidP="00B50FCE">
      <w:pPr>
        <w:spacing w:before="100" w:after="100" w:line="360" w:lineRule="auto"/>
        <w:jc w:val="both"/>
        <w:rPr>
          <w:sz w:val="24"/>
          <w:szCs w:val="24"/>
        </w:rPr>
      </w:pPr>
      <w:r w:rsidRPr="00A97413">
        <w:rPr>
          <w:sz w:val="24"/>
          <w:szCs w:val="24"/>
        </w:rPr>
        <w:t xml:space="preserve">A critical finding from this regulatory analysis concerns fragmentation. HSBC UK operates under at least seven substantive regulatory regimes with direct implications for fraud prevention, administered across four different regulatory bodies. PwC's Global Economic Crime and Fraud Survey (2022) found that regulatory compliance absorbs a disproportionate share of financial crime function resources at major UK banks—resources that could otherwise be directed towards proactive threat intelligence and prevention investment. This fragmentation effect is compounded by the fact </w:t>
      </w:r>
      <w:r w:rsidRPr="00A97413">
        <w:rPr>
          <w:sz w:val="24"/>
          <w:szCs w:val="24"/>
        </w:rPr>
        <w:lastRenderedPageBreak/>
        <w:t>that regulatory timelines and requirements are not always aligned, creating instances where compliance with one regime's requirements creates compliance friction with another.</w:t>
      </w:r>
    </w:p>
    <w:p w14:paraId="3E1B6347"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t>4.5 Key Gaps and Vulnerabilities</w:t>
      </w:r>
    </w:p>
    <w:p w14:paraId="3BBC718F" w14:textId="77777777" w:rsidR="00B50FCE" w:rsidRPr="00A97413" w:rsidRDefault="00B50FCE" w:rsidP="00B50FCE">
      <w:pPr>
        <w:spacing w:before="100" w:after="100" w:line="360" w:lineRule="auto"/>
        <w:jc w:val="both"/>
        <w:rPr>
          <w:sz w:val="24"/>
          <w:szCs w:val="24"/>
        </w:rPr>
      </w:pPr>
      <w:r w:rsidRPr="00A97413">
        <w:rPr>
          <w:sz w:val="24"/>
          <w:szCs w:val="24"/>
        </w:rPr>
        <w:t>Triangulation of documentary evidence with independent sources identified six significant gaps in HSBC UK's fraud prevention posture and the broader regulatory framework, summarised in Table 4.</w:t>
      </w:r>
    </w:p>
    <w:p w14:paraId="475D61D3" w14:textId="77777777" w:rsidR="00B50FCE" w:rsidRPr="00A97413" w:rsidRDefault="00B50FCE" w:rsidP="00B50FCE">
      <w:pPr>
        <w:rPr>
          <w:sz w:val="24"/>
          <w:szCs w:val="24"/>
        </w:rPr>
      </w:pPr>
    </w:p>
    <w:p w14:paraId="647EC48D" w14:textId="77777777" w:rsidR="00B50FCE" w:rsidRPr="00A97413" w:rsidRDefault="00B50FCE" w:rsidP="00B50FCE">
      <w:pPr>
        <w:spacing w:before="120" w:after="60"/>
        <w:jc w:val="both"/>
        <w:rPr>
          <w:sz w:val="24"/>
          <w:szCs w:val="24"/>
        </w:rPr>
      </w:pPr>
      <w:r w:rsidRPr="00A97413">
        <w:rPr>
          <w:rFonts w:eastAsia="Arial"/>
          <w:b/>
          <w:bCs/>
          <w:sz w:val="24"/>
          <w:szCs w:val="24"/>
        </w:rPr>
        <w:t>Table 4: Key Gaps in HSBC UK's AI Fraud Defence Architecture</w:t>
      </w:r>
    </w:p>
    <w:tbl>
      <w:tblPr>
        <w:tblStyle w:val="TableGrid"/>
        <w:tblW w:w="8200" w:type="dxa"/>
        <w:tblLook w:val="04A0" w:firstRow="1" w:lastRow="0" w:firstColumn="1" w:lastColumn="0" w:noHBand="0" w:noVBand="1"/>
      </w:tblPr>
      <w:tblGrid>
        <w:gridCol w:w="2000"/>
        <w:gridCol w:w="1400"/>
        <w:gridCol w:w="1600"/>
        <w:gridCol w:w="3200"/>
      </w:tblGrid>
      <w:tr w:rsidR="00B50FCE" w:rsidRPr="00A97413" w14:paraId="026DDEA2" w14:textId="77777777" w:rsidTr="00240EC4">
        <w:tc>
          <w:tcPr>
            <w:tcW w:w="2000" w:type="dxa"/>
          </w:tcPr>
          <w:p w14:paraId="6E473A73" w14:textId="77777777" w:rsidR="00B50FCE" w:rsidRPr="00A97413" w:rsidRDefault="00B50FCE" w:rsidP="00240EC4">
            <w:pPr>
              <w:jc w:val="center"/>
              <w:rPr>
                <w:sz w:val="24"/>
                <w:szCs w:val="24"/>
              </w:rPr>
            </w:pPr>
            <w:r w:rsidRPr="00A97413">
              <w:rPr>
                <w:rFonts w:eastAsia="Arial"/>
                <w:b/>
                <w:bCs/>
                <w:sz w:val="24"/>
                <w:szCs w:val="24"/>
              </w:rPr>
              <w:t>Gap Area</w:t>
            </w:r>
          </w:p>
        </w:tc>
        <w:tc>
          <w:tcPr>
            <w:tcW w:w="1400" w:type="dxa"/>
          </w:tcPr>
          <w:p w14:paraId="3D9A36D4" w14:textId="77777777" w:rsidR="00B50FCE" w:rsidRPr="00A97413" w:rsidRDefault="00B50FCE" w:rsidP="00240EC4">
            <w:pPr>
              <w:jc w:val="center"/>
              <w:rPr>
                <w:sz w:val="24"/>
                <w:szCs w:val="24"/>
              </w:rPr>
            </w:pPr>
            <w:r w:rsidRPr="00A97413">
              <w:rPr>
                <w:rFonts w:eastAsia="Arial"/>
                <w:b/>
                <w:bCs/>
                <w:sz w:val="24"/>
                <w:szCs w:val="24"/>
              </w:rPr>
              <w:t>Severity Assessment</w:t>
            </w:r>
          </w:p>
        </w:tc>
        <w:tc>
          <w:tcPr>
            <w:tcW w:w="1600" w:type="dxa"/>
          </w:tcPr>
          <w:p w14:paraId="60362FF7" w14:textId="77777777" w:rsidR="00B50FCE" w:rsidRPr="00A97413" w:rsidRDefault="00B50FCE" w:rsidP="00240EC4">
            <w:pPr>
              <w:jc w:val="center"/>
              <w:rPr>
                <w:sz w:val="24"/>
                <w:szCs w:val="24"/>
              </w:rPr>
            </w:pPr>
            <w:r w:rsidRPr="00A97413">
              <w:rPr>
                <w:rFonts w:eastAsia="Arial"/>
                <w:b/>
                <w:bCs/>
                <w:sz w:val="24"/>
                <w:szCs w:val="24"/>
              </w:rPr>
              <w:t>Regulatory Driver</w:t>
            </w:r>
          </w:p>
        </w:tc>
        <w:tc>
          <w:tcPr>
            <w:tcW w:w="3200" w:type="dxa"/>
          </w:tcPr>
          <w:p w14:paraId="19DB057A" w14:textId="77777777" w:rsidR="00B50FCE" w:rsidRPr="00A97413" w:rsidRDefault="00B50FCE" w:rsidP="00240EC4">
            <w:pPr>
              <w:jc w:val="center"/>
              <w:rPr>
                <w:sz w:val="24"/>
                <w:szCs w:val="24"/>
              </w:rPr>
            </w:pPr>
            <w:r w:rsidRPr="00A97413">
              <w:rPr>
                <w:rFonts w:eastAsia="Arial"/>
                <w:b/>
                <w:bCs/>
                <w:sz w:val="24"/>
                <w:szCs w:val="24"/>
              </w:rPr>
              <w:t xml:space="preserve">Recommended Action </w:t>
            </w:r>
          </w:p>
        </w:tc>
      </w:tr>
      <w:tr w:rsidR="00B50FCE" w:rsidRPr="00A97413" w14:paraId="4B938E08" w14:textId="77777777" w:rsidTr="00240EC4">
        <w:tc>
          <w:tcPr>
            <w:tcW w:w="2000" w:type="dxa"/>
          </w:tcPr>
          <w:p w14:paraId="4C02A100" w14:textId="77777777" w:rsidR="00B50FCE" w:rsidRPr="00A97413" w:rsidRDefault="00B50FCE" w:rsidP="00240EC4">
            <w:pPr>
              <w:rPr>
                <w:sz w:val="24"/>
                <w:szCs w:val="24"/>
              </w:rPr>
            </w:pPr>
            <w:r w:rsidRPr="00A97413">
              <w:rPr>
                <w:rFonts w:eastAsia="Arial"/>
                <w:sz w:val="24"/>
                <w:szCs w:val="24"/>
              </w:rPr>
              <w:t>Deepfake detection maturity</w:t>
            </w:r>
          </w:p>
        </w:tc>
        <w:tc>
          <w:tcPr>
            <w:tcW w:w="1400" w:type="dxa"/>
          </w:tcPr>
          <w:p w14:paraId="1BE76707" w14:textId="77777777" w:rsidR="00B50FCE" w:rsidRPr="00A97413" w:rsidRDefault="00B50FCE" w:rsidP="00240EC4">
            <w:pPr>
              <w:jc w:val="center"/>
              <w:rPr>
                <w:sz w:val="24"/>
                <w:szCs w:val="24"/>
              </w:rPr>
            </w:pPr>
            <w:r w:rsidRPr="00A97413">
              <w:rPr>
                <w:rFonts w:eastAsia="Arial"/>
                <w:sz w:val="24"/>
                <w:szCs w:val="24"/>
              </w:rPr>
              <w:t>High</w:t>
            </w:r>
          </w:p>
        </w:tc>
        <w:tc>
          <w:tcPr>
            <w:tcW w:w="1600" w:type="dxa"/>
          </w:tcPr>
          <w:p w14:paraId="176842D9" w14:textId="77777777" w:rsidR="00B50FCE" w:rsidRPr="00A97413" w:rsidRDefault="00B50FCE" w:rsidP="00240EC4">
            <w:pPr>
              <w:jc w:val="center"/>
              <w:rPr>
                <w:sz w:val="24"/>
                <w:szCs w:val="24"/>
              </w:rPr>
            </w:pPr>
            <w:r w:rsidRPr="00A97413">
              <w:rPr>
                <w:rFonts w:eastAsia="Arial"/>
                <w:sz w:val="24"/>
                <w:szCs w:val="24"/>
              </w:rPr>
              <w:t>FCA DP5/22</w:t>
            </w:r>
          </w:p>
        </w:tc>
        <w:tc>
          <w:tcPr>
            <w:tcW w:w="3200" w:type="dxa"/>
          </w:tcPr>
          <w:p w14:paraId="15D9475E" w14:textId="77777777" w:rsidR="00B50FCE" w:rsidRPr="00A97413" w:rsidRDefault="00B50FCE" w:rsidP="00240EC4">
            <w:pPr>
              <w:jc w:val="center"/>
              <w:rPr>
                <w:sz w:val="24"/>
                <w:szCs w:val="24"/>
              </w:rPr>
            </w:pPr>
            <w:r w:rsidRPr="00A97413">
              <w:rPr>
                <w:rFonts w:eastAsia="Arial"/>
                <w:sz w:val="24"/>
                <w:szCs w:val="24"/>
              </w:rPr>
              <w:t>Accelerate multimodal AI deployment; test against current-generation models</w:t>
            </w:r>
          </w:p>
        </w:tc>
      </w:tr>
      <w:tr w:rsidR="00B50FCE" w:rsidRPr="00A97413" w14:paraId="66017740" w14:textId="77777777" w:rsidTr="00240EC4">
        <w:tc>
          <w:tcPr>
            <w:tcW w:w="2000" w:type="dxa"/>
          </w:tcPr>
          <w:p w14:paraId="76BC9B2D" w14:textId="77777777" w:rsidR="00B50FCE" w:rsidRPr="00A97413" w:rsidRDefault="00B50FCE" w:rsidP="00240EC4">
            <w:pPr>
              <w:rPr>
                <w:sz w:val="24"/>
                <w:szCs w:val="24"/>
              </w:rPr>
            </w:pPr>
            <w:r w:rsidRPr="00A97413">
              <w:rPr>
                <w:rFonts w:eastAsia="Arial"/>
                <w:sz w:val="24"/>
                <w:szCs w:val="24"/>
              </w:rPr>
              <w:t>Real-time cross-institution intelligence sharing</w:t>
            </w:r>
          </w:p>
        </w:tc>
        <w:tc>
          <w:tcPr>
            <w:tcW w:w="1400" w:type="dxa"/>
          </w:tcPr>
          <w:p w14:paraId="3C99F81F" w14:textId="77777777" w:rsidR="00B50FCE" w:rsidRPr="00A97413" w:rsidRDefault="00B50FCE" w:rsidP="00240EC4">
            <w:pPr>
              <w:jc w:val="center"/>
              <w:rPr>
                <w:sz w:val="24"/>
                <w:szCs w:val="24"/>
              </w:rPr>
            </w:pPr>
            <w:r w:rsidRPr="00A97413">
              <w:rPr>
                <w:rFonts w:eastAsia="Arial"/>
                <w:sz w:val="24"/>
                <w:szCs w:val="24"/>
              </w:rPr>
              <w:t>High</w:t>
            </w:r>
          </w:p>
        </w:tc>
        <w:tc>
          <w:tcPr>
            <w:tcW w:w="1600" w:type="dxa"/>
          </w:tcPr>
          <w:p w14:paraId="79D090F4" w14:textId="77777777" w:rsidR="00B50FCE" w:rsidRPr="00A97413" w:rsidRDefault="00B50FCE" w:rsidP="00240EC4">
            <w:pPr>
              <w:jc w:val="center"/>
              <w:rPr>
                <w:sz w:val="24"/>
                <w:szCs w:val="24"/>
              </w:rPr>
            </w:pPr>
            <w:r w:rsidRPr="00A97413">
              <w:rPr>
                <w:rFonts w:eastAsia="Arial"/>
                <w:sz w:val="24"/>
                <w:szCs w:val="24"/>
              </w:rPr>
              <w:t>UK Finance / FCA</w:t>
            </w:r>
          </w:p>
        </w:tc>
        <w:tc>
          <w:tcPr>
            <w:tcW w:w="3200" w:type="dxa"/>
          </w:tcPr>
          <w:p w14:paraId="5155DCB9" w14:textId="77777777" w:rsidR="00B50FCE" w:rsidRPr="00A97413" w:rsidRDefault="00B50FCE" w:rsidP="00240EC4">
            <w:pPr>
              <w:jc w:val="center"/>
              <w:rPr>
                <w:sz w:val="24"/>
                <w:szCs w:val="24"/>
              </w:rPr>
            </w:pPr>
            <w:r w:rsidRPr="00A97413">
              <w:rPr>
                <w:rFonts w:eastAsia="Arial"/>
                <w:sz w:val="24"/>
                <w:szCs w:val="24"/>
              </w:rPr>
              <w:t>Legislative mandate for protected sharing framework</w:t>
            </w:r>
          </w:p>
        </w:tc>
      </w:tr>
      <w:tr w:rsidR="00B50FCE" w:rsidRPr="00A97413" w14:paraId="62A834EB" w14:textId="77777777" w:rsidTr="00240EC4">
        <w:tc>
          <w:tcPr>
            <w:tcW w:w="2000" w:type="dxa"/>
          </w:tcPr>
          <w:p w14:paraId="6148CE7B" w14:textId="77777777" w:rsidR="00B50FCE" w:rsidRPr="00A97413" w:rsidRDefault="00B50FCE" w:rsidP="00240EC4">
            <w:pPr>
              <w:rPr>
                <w:sz w:val="24"/>
                <w:szCs w:val="24"/>
              </w:rPr>
            </w:pPr>
            <w:r w:rsidRPr="00A97413">
              <w:rPr>
                <w:rFonts w:eastAsia="Arial"/>
                <w:sz w:val="24"/>
                <w:szCs w:val="24"/>
              </w:rPr>
              <w:t>AI decision explainability standards</w:t>
            </w:r>
          </w:p>
        </w:tc>
        <w:tc>
          <w:tcPr>
            <w:tcW w:w="1400" w:type="dxa"/>
          </w:tcPr>
          <w:p w14:paraId="412624AB" w14:textId="77777777" w:rsidR="00B50FCE" w:rsidRPr="00A97413" w:rsidRDefault="00B50FCE" w:rsidP="00240EC4">
            <w:pPr>
              <w:jc w:val="center"/>
              <w:rPr>
                <w:sz w:val="24"/>
                <w:szCs w:val="24"/>
              </w:rPr>
            </w:pPr>
            <w:r w:rsidRPr="00A97413">
              <w:rPr>
                <w:rFonts w:eastAsia="Arial"/>
                <w:sz w:val="24"/>
                <w:szCs w:val="24"/>
              </w:rPr>
              <w:t>Medium-High</w:t>
            </w:r>
          </w:p>
        </w:tc>
        <w:tc>
          <w:tcPr>
            <w:tcW w:w="1600" w:type="dxa"/>
          </w:tcPr>
          <w:p w14:paraId="6F5981BF" w14:textId="77777777" w:rsidR="00B50FCE" w:rsidRPr="00A97413" w:rsidRDefault="00B50FCE" w:rsidP="00240EC4">
            <w:pPr>
              <w:jc w:val="center"/>
              <w:rPr>
                <w:sz w:val="24"/>
                <w:szCs w:val="24"/>
              </w:rPr>
            </w:pPr>
            <w:r w:rsidRPr="00A97413">
              <w:rPr>
                <w:rFonts w:eastAsia="Arial"/>
                <w:sz w:val="24"/>
                <w:szCs w:val="24"/>
              </w:rPr>
              <w:t>FCA Consumer Duty</w:t>
            </w:r>
          </w:p>
        </w:tc>
        <w:tc>
          <w:tcPr>
            <w:tcW w:w="3200" w:type="dxa"/>
          </w:tcPr>
          <w:p w14:paraId="57D35D1E" w14:textId="77777777" w:rsidR="00B50FCE" w:rsidRPr="00A97413" w:rsidRDefault="00B50FCE" w:rsidP="00240EC4">
            <w:pPr>
              <w:jc w:val="center"/>
              <w:rPr>
                <w:sz w:val="24"/>
                <w:szCs w:val="24"/>
              </w:rPr>
            </w:pPr>
            <w:r w:rsidRPr="00A97413">
              <w:rPr>
                <w:rFonts w:eastAsia="Arial"/>
                <w:sz w:val="24"/>
                <w:szCs w:val="24"/>
              </w:rPr>
              <w:t>Mandatory XAI audit and review frameworks</w:t>
            </w:r>
          </w:p>
        </w:tc>
      </w:tr>
      <w:tr w:rsidR="00B50FCE" w:rsidRPr="00A97413" w14:paraId="7D82E506" w14:textId="77777777" w:rsidTr="00240EC4">
        <w:tc>
          <w:tcPr>
            <w:tcW w:w="2000" w:type="dxa"/>
          </w:tcPr>
          <w:p w14:paraId="6A030039" w14:textId="77777777" w:rsidR="00B50FCE" w:rsidRPr="00A97413" w:rsidRDefault="00B50FCE" w:rsidP="00240EC4">
            <w:pPr>
              <w:rPr>
                <w:sz w:val="24"/>
                <w:szCs w:val="24"/>
              </w:rPr>
            </w:pPr>
            <w:r w:rsidRPr="00A97413">
              <w:rPr>
                <w:rFonts w:eastAsia="Arial"/>
                <w:sz w:val="24"/>
                <w:szCs w:val="24"/>
              </w:rPr>
              <w:t>Vendor concentration risk</w:t>
            </w:r>
          </w:p>
        </w:tc>
        <w:tc>
          <w:tcPr>
            <w:tcW w:w="1400" w:type="dxa"/>
          </w:tcPr>
          <w:p w14:paraId="102C7748" w14:textId="77777777" w:rsidR="00B50FCE" w:rsidRPr="00A97413" w:rsidRDefault="00B50FCE" w:rsidP="00240EC4">
            <w:pPr>
              <w:jc w:val="center"/>
              <w:rPr>
                <w:sz w:val="24"/>
                <w:szCs w:val="24"/>
              </w:rPr>
            </w:pPr>
            <w:r w:rsidRPr="00A97413">
              <w:rPr>
                <w:rFonts w:eastAsia="Arial"/>
                <w:sz w:val="24"/>
                <w:szCs w:val="24"/>
              </w:rPr>
              <w:t>Medium</w:t>
            </w:r>
          </w:p>
        </w:tc>
        <w:tc>
          <w:tcPr>
            <w:tcW w:w="1600" w:type="dxa"/>
          </w:tcPr>
          <w:p w14:paraId="14E8C034" w14:textId="77777777" w:rsidR="00B50FCE" w:rsidRPr="00A97413" w:rsidRDefault="00B50FCE" w:rsidP="00240EC4">
            <w:pPr>
              <w:jc w:val="center"/>
              <w:rPr>
                <w:sz w:val="24"/>
                <w:szCs w:val="24"/>
              </w:rPr>
            </w:pPr>
            <w:r w:rsidRPr="00A97413">
              <w:rPr>
                <w:rFonts w:eastAsia="Arial"/>
                <w:sz w:val="24"/>
                <w:szCs w:val="24"/>
              </w:rPr>
              <w:t>PRA SS1/21</w:t>
            </w:r>
          </w:p>
        </w:tc>
        <w:tc>
          <w:tcPr>
            <w:tcW w:w="3200" w:type="dxa"/>
          </w:tcPr>
          <w:p w14:paraId="40224376" w14:textId="77777777" w:rsidR="00B50FCE" w:rsidRPr="00A97413" w:rsidRDefault="00B50FCE" w:rsidP="00240EC4">
            <w:pPr>
              <w:jc w:val="center"/>
              <w:rPr>
                <w:sz w:val="24"/>
                <w:szCs w:val="24"/>
              </w:rPr>
            </w:pPr>
            <w:r w:rsidRPr="00A97413">
              <w:rPr>
                <w:rFonts w:eastAsia="Arial"/>
                <w:sz w:val="24"/>
                <w:szCs w:val="24"/>
              </w:rPr>
              <w:t>Diversify AI platform providers; stress-test vendor failure scenarios</w:t>
            </w:r>
          </w:p>
        </w:tc>
      </w:tr>
      <w:tr w:rsidR="00B50FCE" w:rsidRPr="00A97413" w14:paraId="457CDA22" w14:textId="77777777" w:rsidTr="00240EC4">
        <w:tc>
          <w:tcPr>
            <w:tcW w:w="2000" w:type="dxa"/>
          </w:tcPr>
          <w:p w14:paraId="21990B3F" w14:textId="77777777" w:rsidR="00B50FCE" w:rsidRPr="00A97413" w:rsidRDefault="00B50FCE" w:rsidP="00240EC4">
            <w:pPr>
              <w:rPr>
                <w:sz w:val="24"/>
                <w:szCs w:val="24"/>
              </w:rPr>
            </w:pPr>
            <w:r w:rsidRPr="00A97413">
              <w:rPr>
                <w:rFonts w:eastAsia="Arial"/>
                <w:sz w:val="24"/>
                <w:szCs w:val="24"/>
              </w:rPr>
              <w:t>AI fraud staff awareness &amp; training</w:t>
            </w:r>
          </w:p>
        </w:tc>
        <w:tc>
          <w:tcPr>
            <w:tcW w:w="1400" w:type="dxa"/>
          </w:tcPr>
          <w:p w14:paraId="0751314E" w14:textId="77777777" w:rsidR="00B50FCE" w:rsidRPr="00A97413" w:rsidRDefault="00B50FCE" w:rsidP="00240EC4">
            <w:pPr>
              <w:jc w:val="center"/>
              <w:rPr>
                <w:sz w:val="24"/>
                <w:szCs w:val="24"/>
              </w:rPr>
            </w:pPr>
            <w:r w:rsidRPr="00A97413">
              <w:rPr>
                <w:rFonts w:eastAsia="Arial"/>
                <w:sz w:val="24"/>
                <w:szCs w:val="24"/>
              </w:rPr>
              <w:t>Medium</w:t>
            </w:r>
          </w:p>
        </w:tc>
        <w:tc>
          <w:tcPr>
            <w:tcW w:w="1600" w:type="dxa"/>
          </w:tcPr>
          <w:p w14:paraId="50DD2067" w14:textId="77777777" w:rsidR="00B50FCE" w:rsidRPr="00A97413" w:rsidRDefault="00B50FCE" w:rsidP="00240EC4">
            <w:pPr>
              <w:jc w:val="center"/>
              <w:rPr>
                <w:sz w:val="24"/>
                <w:szCs w:val="24"/>
              </w:rPr>
            </w:pPr>
            <w:r w:rsidRPr="00A97413">
              <w:rPr>
                <w:rFonts w:eastAsia="Arial"/>
                <w:sz w:val="24"/>
                <w:szCs w:val="24"/>
              </w:rPr>
              <w:t>FCA / PRA</w:t>
            </w:r>
          </w:p>
        </w:tc>
        <w:tc>
          <w:tcPr>
            <w:tcW w:w="3200" w:type="dxa"/>
          </w:tcPr>
          <w:p w14:paraId="4E30E98E" w14:textId="77777777" w:rsidR="00B50FCE" w:rsidRPr="00A97413" w:rsidRDefault="00B50FCE" w:rsidP="00240EC4">
            <w:pPr>
              <w:jc w:val="center"/>
              <w:rPr>
                <w:sz w:val="24"/>
                <w:szCs w:val="24"/>
              </w:rPr>
            </w:pPr>
            <w:r w:rsidRPr="00A97413">
              <w:rPr>
                <w:rFonts w:eastAsia="Arial"/>
                <w:sz w:val="24"/>
                <w:szCs w:val="24"/>
              </w:rPr>
              <w:t>Mandatory AI threat training across all customer-facing functions</w:t>
            </w:r>
          </w:p>
        </w:tc>
      </w:tr>
      <w:tr w:rsidR="00B50FCE" w:rsidRPr="00A97413" w14:paraId="3FBF502E" w14:textId="77777777" w:rsidTr="00240EC4">
        <w:tc>
          <w:tcPr>
            <w:tcW w:w="2000" w:type="dxa"/>
          </w:tcPr>
          <w:p w14:paraId="61C91341" w14:textId="77777777" w:rsidR="00B50FCE" w:rsidRPr="00A97413" w:rsidRDefault="00B50FCE" w:rsidP="00240EC4">
            <w:pPr>
              <w:rPr>
                <w:sz w:val="24"/>
                <w:szCs w:val="24"/>
              </w:rPr>
            </w:pPr>
            <w:r w:rsidRPr="00A97413">
              <w:rPr>
                <w:rFonts w:eastAsia="Arial"/>
                <w:sz w:val="24"/>
                <w:szCs w:val="24"/>
              </w:rPr>
              <w:t>Regulatory fragmentation</w:t>
            </w:r>
          </w:p>
        </w:tc>
        <w:tc>
          <w:tcPr>
            <w:tcW w:w="1400" w:type="dxa"/>
          </w:tcPr>
          <w:p w14:paraId="79F49AB2" w14:textId="77777777" w:rsidR="00B50FCE" w:rsidRPr="00A97413" w:rsidRDefault="00B50FCE" w:rsidP="00240EC4">
            <w:pPr>
              <w:jc w:val="center"/>
              <w:rPr>
                <w:sz w:val="24"/>
                <w:szCs w:val="24"/>
              </w:rPr>
            </w:pPr>
            <w:r w:rsidRPr="00A97413">
              <w:rPr>
                <w:rFonts w:eastAsia="Arial"/>
                <w:sz w:val="24"/>
                <w:szCs w:val="24"/>
              </w:rPr>
              <w:t>High</w:t>
            </w:r>
          </w:p>
        </w:tc>
        <w:tc>
          <w:tcPr>
            <w:tcW w:w="1600" w:type="dxa"/>
          </w:tcPr>
          <w:p w14:paraId="37DFA90F" w14:textId="77777777" w:rsidR="00B50FCE" w:rsidRPr="00A97413" w:rsidRDefault="00B50FCE" w:rsidP="00240EC4">
            <w:pPr>
              <w:jc w:val="center"/>
              <w:rPr>
                <w:sz w:val="24"/>
                <w:szCs w:val="24"/>
              </w:rPr>
            </w:pPr>
            <w:r w:rsidRPr="00A97413">
              <w:rPr>
                <w:rFonts w:eastAsia="Arial"/>
                <w:sz w:val="24"/>
                <w:szCs w:val="24"/>
              </w:rPr>
              <w:t>All regulatory bodies</w:t>
            </w:r>
          </w:p>
        </w:tc>
        <w:tc>
          <w:tcPr>
            <w:tcW w:w="3200" w:type="dxa"/>
          </w:tcPr>
          <w:p w14:paraId="1A656ACF" w14:textId="77777777" w:rsidR="00B50FCE" w:rsidRPr="00A97413" w:rsidRDefault="00B50FCE" w:rsidP="00240EC4">
            <w:pPr>
              <w:jc w:val="center"/>
              <w:rPr>
                <w:sz w:val="24"/>
                <w:szCs w:val="24"/>
              </w:rPr>
            </w:pPr>
            <w:r w:rsidRPr="00A97413">
              <w:rPr>
                <w:rFonts w:eastAsia="Arial"/>
                <w:sz w:val="24"/>
                <w:szCs w:val="24"/>
              </w:rPr>
              <w:t>Establish Joint Fraud Regulatory Committee</w:t>
            </w:r>
          </w:p>
        </w:tc>
      </w:tr>
    </w:tbl>
    <w:p w14:paraId="2973CB68" w14:textId="77777777" w:rsidR="00B50FCE" w:rsidRPr="00A97413" w:rsidRDefault="00B50FCE" w:rsidP="00B50FCE">
      <w:pPr>
        <w:spacing w:before="40" w:after="120"/>
        <w:rPr>
          <w:sz w:val="24"/>
          <w:szCs w:val="24"/>
        </w:rPr>
      </w:pPr>
      <w:r w:rsidRPr="00A97413">
        <w:rPr>
          <w:rFonts w:eastAsia="Arial"/>
          <w:i/>
          <w:iCs/>
          <w:sz w:val="24"/>
          <w:szCs w:val="24"/>
        </w:rPr>
        <w:t>Source: Author's analysis drawing on HSBC Group Annual Reports, FCA/PRA/PSR documents, and academic literature.</w:t>
      </w:r>
    </w:p>
    <w:p w14:paraId="5A4F0E53" w14:textId="77777777" w:rsidR="00B50FCE" w:rsidRPr="00A97413" w:rsidRDefault="00B50FCE" w:rsidP="00B50FCE">
      <w:pPr>
        <w:rPr>
          <w:sz w:val="24"/>
          <w:szCs w:val="24"/>
        </w:rPr>
      </w:pPr>
    </w:p>
    <w:p w14:paraId="25E5732D" w14:textId="77777777" w:rsidR="00B50FCE" w:rsidRPr="00A97413" w:rsidRDefault="00B50FCE" w:rsidP="00B50FCE">
      <w:pPr>
        <w:pStyle w:val="Heading1"/>
        <w:rPr>
          <w:rFonts w:ascii="Times New Roman" w:hAnsi="Times New Roman" w:cs="Times New Roman"/>
          <w:color w:val="auto"/>
          <w:sz w:val="24"/>
          <w:szCs w:val="24"/>
        </w:rPr>
      </w:pPr>
      <w:r w:rsidRPr="00A97413">
        <w:rPr>
          <w:rFonts w:ascii="Times New Roman" w:eastAsia="Arial" w:hAnsi="Times New Roman" w:cs="Times New Roman"/>
          <w:color w:val="auto"/>
          <w:sz w:val="24"/>
          <w:szCs w:val="24"/>
        </w:rPr>
        <w:t>5. Discussion</w:t>
      </w:r>
    </w:p>
    <w:p w14:paraId="6E8043D6" w14:textId="77777777" w:rsidR="00B50FCE" w:rsidRPr="00A97413" w:rsidRDefault="00B50FCE" w:rsidP="00B50FCE">
      <w:pPr>
        <w:pStyle w:val="Heading2"/>
        <w:rPr>
          <w:rFonts w:ascii="Times New Roman" w:hAnsi="Times New Roman" w:cs="Times New Roman"/>
          <w:color w:val="auto"/>
          <w:sz w:val="24"/>
          <w:szCs w:val="24"/>
        </w:rPr>
      </w:pPr>
      <w:r w:rsidRPr="00A97413">
        <w:rPr>
          <w:rFonts w:ascii="Times New Roman" w:eastAsia="Arial" w:hAnsi="Times New Roman" w:cs="Times New Roman"/>
          <w:b/>
          <w:bCs/>
          <w:color w:val="auto"/>
          <w:sz w:val="24"/>
          <w:szCs w:val="24"/>
        </w:rPr>
        <w:t>5.1 Interpreting HSBC UK's Response to the AI Fraud Threat</w:t>
      </w:r>
    </w:p>
    <w:p w14:paraId="49B75550" w14:textId="77777777" w:rsidR="00B50FCE" w:rsidRPr="00A97413" w:rsidRDefault="00B50FCE" w:rsidP="00B50FCE">
      <w:pPr>
        <w:spacing w:before="100" w:after="100" w:line="360" w:lineRule="auto"/>
        <w:jc w:val="both"/>
        <w:rPr>
          <w:sz w:val="24"/>
          <w:szCs w:val="24"/>
        </w:rPr>
      </w:pPr>
      <w:r w:rsidRPr="00A97413">
        <w:rPr>
          <w:sz w:val="24"/>
          <w:szCs w:val="24"/>
        </w:rPr>
        <w:t>The findings of this paper paint a picture of an organisation that has gone a long way in the deployment of AI-enabled fraud-prevention potentials, whilst having to face systemic issues that are beyond what any single organisation can address on its own. The trend of investing in technological countermeasures at HSBC UK, i.e. spending on the latter growing by about 156 percent in 2019-</w:t>
      </w:r>
      <w:r w:rsidRPr="00A97413">
        <w:rPr>
          <w:sz w:val="24"/>
          <w:szCs w:val="24"/>
        </w:rPr>
        <w:lastRenderedPageBreak/>
        <w:t>2023, can be described as a strategy-driven commitment to the development of technological countermeasures that are generally in line with best-practice recommendations as developed by both scholars and industry observers (Baesens et al., 2021; Accenture, 2022). The implementation of behavioural biometrics, upgraded AI transaction tracking, voice recognition and liveness detection of KYC is an authentic multi-layered and sophisticated defensive architecture.</w:t>
      </w:r>
    </w:p>
    <w:p w14:paraId="1950BF8C" w14:textId="77777777" w:rsidR="00B50FCE" w:rsidRPr="00A97413" w:rsidRDefault="00B50FCE" w:rsidP="00B50FCE">
      <w:pPr>
        <w:spacing w:before="100" w:after="100" w:line="360" w:lineRule="auto"/>
        <w:jc w:val="both"/>
        <w:rPr>
          <w:sz w:val="24"/>
          <w:szCs w:val="24"/>
        </w:rPr>
      </w:pPr>
      <w:r w:rsidRPr="00A97413">
        <w:rPr>
          <w:sz w:val="24"/>
          <w:szCs w:val="24"/>
        </w:rPr>
        <w:t>The stated two-digit decrease in the number of account takeovers post-behavioural biometric deployment is a significant consequence that can be considered a validation of the actual use of AI-driven defensive mechanisms in reality in case they are implemented appropriately. This conclusion supports the empirical evaluation by Javelin Strategy &amp; Research (2022) and indicates that the framing of the AI arms race that prevails in the popular imagination of technologies in general and highlights the offensive benefits of AI, can be partial. With a properly created and constantly improved defensive AI application, tangible consumer protection results can be achieved.</w:t>
      </w:r>
    </w:p>
    <w:p w14:paraId="49D11D66" w14:textId="77777777" w:rsidR="00B50FCE" w:rsidRPr="00A97413" w:rsidRDefault="00B50FCE" w:rsidP="00B50FCE">
      <w:pPr>
        <w:spacing w:before="100" w:after="100" w:line="360" w:lineRule="auto"/>
        <w:jc w:val="both"/>
        <w:rPr>
          <w:sz w:val="24"/>
          <w:szCs w:val="24"/>
        </w:rPr>
      </w:pPr>
      <w:r w:rsidRPr="00A97413">
        <w:rPr>
          <w:sz w:val="24"/>
          <w:szCs w:val="24"/>
        </w:rPr>
        <w:t>Nonetheless, the fact that the fraud provisions increased in 2019 to 2023, all over the world to 890 million and 1.32 billion respectively, indicates that prevention investments have not yet surpassed the increase in the losses due to fraud. Such a trend is in line with the report by Accenture (2022) that fraud losses in the banking sector around the world have grown by 35 percent from 2019 to 2022 despite significant growth in defensive investment in AI-enabled fraud-fighting, which proves that the offensive ability of AI-enabled fraud is rising faster than defensive actions by the industry as a whole. It is one of the structural dynamics which, when considered as a type of arms race, is a structural issue that individual institutions cannot handle alone due to the nature of resources and strategic capabilities.</w:t>
      </w:r>
    </w:p>
    <w:p w14:paraId="7661AD17" w14:textId="77777777" w:rsidR="00B50FCE" w:rsidRPr="00A97413" w:rsidRDefault="00B50FCE" w:rsidP="00B50FCE">
      <w:pPr>
        <w:spacing w:before="100" w:after="100" w:line="360" w:lineRule="auto"/>
        <w:jc w:val="both"/>
        <w:rPr>
          <w:sz w:val="24"/>
          <w:szCs w:val="24"/>
        </w:rPr>
      </w:pPr>
      <w:r w:rsidRPr="00A97413">
        <w:rPr>
          <w:sz w:val="24"/>
          <w:szCs w:val="24"/>
        </w:rPr>
        <w:t>The semi-availability of synthetic identity detection until 2023 deserves specific analysis. The UK Finance intelligence estimates and scholarly sources cite synthetic identity fraud as one of the fastest-growing financial crime typologies, but according to HSBC disclosure statements alone, no effective technological countermeasures are implemented yet. This gap can be an actual technical challenge in differentiating between advanced AI-generated synthetic identities and genuine new customers or a resource allocation choice that has placed defensive resource investment in the higher-volume, lower-sophistication threats at the expense of the lower-volume, but fast-growing AI-enabled threats. There are serious implications on risk strategy and investment prioritisation.</w:t>
      </w:r>
    </w:p>
    <w:p w14:paraId="1C3A3FCC" w14:textId="77777777" w:rsidR="00B50FCE" w:rsidRPr="00D130D8" w:rsidRDefault="00B50FCE" w:rsidP="00B50FCE">
      <w:pPr>
        <w:spacing w:before="100" w:after="100" w:line="360" w:lineRule="auto"/>
        <w:jc w:val="both"/>
        <w:rPr>
          <w:b/>
          <w:bCs/>
          <w:sz w:val="24"/>
          <w:szCs w:val="24"/>
        </w:rPr>
      </w:pPr>
      <w:r w:rsidRPr="00D130D8">
        <w:rPr>
          <w:b/>
          <w:bCs/>
          <w:sz w:val="24"/>
          <w:szCs w:val="24"/>
        </w:rPr>
        <w:t>5.2 Regulatory Framework Assessment</w:t>
      </w:r>
    </w:p>
    <w:p w14:paraId="01AE3314" w14:textId="77777777" w:rsidR="00B50FCE" w:rsidRPr="00A97413" w:rsidRDefault="00B50FCE" w:rsidP="00B50FCE">
      <w:pPr>
        <w:spacing w:before="100" w:after="100" w:line="360" w:lineRule="auto"/>
        <w:jc w:val="both"/>
        <w:rPr>
          <w:sz w:val="24"/>
          <w:szCs w:val="24"/>
        </w:rPr>
      </w:pPr>
      <w:r w:rsidRPr="00A97413">
        <w:rPr>
          <w:sz w:val="24"/>
          <w:szCs w:val="24"/>
        </w:rPr>
        <w:lastRenderedPageBreak/>
        <w:t>The regulatory implications of this paper trigger substantive questions concerning the sufficiency of the existing framework in its capacity to combat AI-driven fraud as fast and as broad as it needs to be addressed. The complexity of the system of regulation concerning fraud in the FCA, the PRA, the PSR and the HM Treasury puts the burden on the compliance of organizations such as HSBC UK, which in turn may be counterproductive to the effectiveness of preventing fraud, as the flood of compliance resources may be used to develop proactive threat intelligence, and the lack of regulatory clarity may delay the implementation of new AI-based preventive systems until clarity is achieved on how such tools will be evaluated by various regulatory bodies.</w:t>
      </w:r>
    </w:p>
    <w:p w14:paraId="12EA4210" w14:textId="77777777" w:rsidR="00B50FCE" w:rsidRPr="00A97413" w:rsidRDefault="00B50FCE" w:rsidP="00B50FCE">
      <w:pPr>
        <w:spacing w:before="100" w:after="100" w:line="360" w:lineRule="auto"/>
        <w:jc w:val="both"/>
        <w:rPr>
          <w:sz w:val="24"/>
          <w:szCs w:val="24"/>
        </w:rPr>
      </w:pPr>
      <w:r w:rsidRPr="00A97413">
        <w:rPr>
          <w:sz w:val="24"/>
          <w:szCs w:val="24"/>
        </w:rPr>
        <w:t>The introduction of compulsory APP fraud reimbursement by the PSR in October 2024 is a historic intervention, which will substantially change the distribution of risks in the UK payments ecosystem. The PSR has enabled banks to gain significant incentives to invest in APP fraud detection and prevention by directly imposing a financial liability on banks in case of loss due to APP frauds, which the former voluntary CRM Code patently failed to achieve, as attested by the vast disparity in voluntary rates of reimbursement across CRM signatory institutions. Nevertheless, the limited amount of reimbursement in the form of £85,000 per claim and the provision of gross negligence cases as an exception result in the creation of gaps in protection that has been rightly considered by the consumer advocates as a significant one. According to Levi (2019), the best way to regulate frauds is by adopting a consumer-based approach where the responsibility of fraud, especially those supported by advanced technologies, is put on institutions instead of the retail consumers who do not have resources and information to defend themselves, a principle that the mandatory reimbursement regime propagates, but has yet to turn into reality.</w:t>
      </w:r>
    </w:p>
    <w:p w14:paraId="3FF51158" w14:textId="77777777" w:rsidR="00B50FCE" w:rsidRPr="00A97413" w:rsidRDefault="00B50FCE" w:rsidP="00B50FCE">
      <w:pPr>
        <w:spacing w:before="100" w:after="100" w:line="360" w:lineRule="auto"/>
        <w:jc w:val="both"/>
        <w:rPr>
          <w:sz w:val="24"/>
          <w:szCs w:val="24"/>
        </w:rPr>
      </w:pPr>
      <w:r w:rsidRPr="00A97413">
        <w:rPr>
          <w:sz w:val="24"/>
          <w:szCs w:val="24"/>
        </w:rPr>
        <w:t xml:space="preserve">The most structurally important gap that has been discovered in this research is the lack of a specific, AI-regulated system of financial fraud. Arner et al. (2020) posited that the principles-based regulatory system of the UK is flexible but also causes interpretive ambiguity that places smaller institutions and innovative entrants at a disadvantage compared to large banks that have a dedicated regulatory intelligence system. This ambiguity is especially nascent in the AI fraud area: the FCA, or PRA, has not so far given binding directions on how AI-based fraud detection decisions are to be documented, explained, and audited, which is incompatibility to the Consumer Duty to prevent foreseeable harm and more general demands of algorithmic responsibility. The FCA Discussion Paper DP5/22 on AI in financial services recognises this requirement but, as at the time of writing, </w:t>
      </w:r>
      <w:r w:rsidRPr="00A97413">
        <w:rPr>
          <w:sz w:val="24"/>
          <w:szCs w:val="24"/>
        </w:rPr>
        <w:lastRenderedPageBreak/>
        <w:t>has been not converted into binding rules, which is why the findings of the present study indicate it is an urgent requirement.</w:t>
      </w:r>
    </w:p>
    <w:p w14:paraId="37A729EC" w14:textId="77777777" w:rsidR="00B50FCE" w:rsidRPr="00A97413" w:rsidRDefault="00B50FCE" w:rsidP="00B50FCE">
      <w:pPr>
        <w:spacing w:before="100" w:after="100" w:line="360" w:lineRule="auto"/>
        <w:jc w:val="both"/>
        <w:rPr>
          <w:sz w:val="24"/>
          <w:szCs w:val="24"/>
        </w:rPr>
      </w:pPr>
      <w:r w:rsidRPr="00A97413">
        <w:rPr>
          <w:sz w:val="24"/>
          <w:szCs w:val="24"/>
        </w:rPr>
        <w:t>Demertzis and Wolff (2020) and Broeders and Prenio (2018) observe that the existence of a few vendors providing AI platforms is underappreciated in terms of systemic risk dimension. In the event the systemically important banks (HSBC UK, etc.) all use the same third-party AI system to monitor transactions (or verify identities), the failure of one vendor or a bug in an algorithm can cause coordinated losses to the whole banking system at the same time. The SS1/21 of the PRA on operational resilience sets out a framework on which it is possible, in principle, to assess the concentration risks in this context, but its application to the AI vendor concentration in particular has not been determined by way of supervisory guidance or enforcement action.</w:t>
      </w:r>
    </w:p>
    <w:p w14:paraId="23000B1E" w14:textId="77777777" w:rsidR="00B50FCE" w:rsidRPr="00D130D8" w:rsidRDefault="00B50FCE" w:rsidP="00B50FCE">
      <w:pPr>
        <w:spacing w:before="100" w:after="100" w:line="360" w:lineRule="auto"/>
        <w:jc w:val="both"/>
        <w:rPr>
          <w:b/>
          <w:bCs/>
          <w:sz w:val="24"/>
          <w:szCs w:val="24"/>
        </w:rPr>
      </w:pPr>
      <w:r w:rsidRPr="00D130D8">
        <w:rPr>
          <w:b/>
          <w:bCs/>
          <w:sz w:val="24"/>
          <w:szCs w:val="24"/>
        </w:rPr>
        <w:t>5.3 The Deepfake Threat: A Critical Horizon Risk</w:t>
      </w:r>
    </w:p>
    <w:p w14:paraId="53B74335" w14:textId="77777777" w:rsidR="00B50FCE" w:rsidRPr="00A97413" w:rsidRDefault="00B50FCE" w:rsidP="00B50FCE">
      <w:pPr>
        <w:spacing w:before="100" w:after="100" w:line="360" w:lineRule="auto"/>
        <w:jc w:val="both"/>
        <w:rPr>
          <w:sz w:val="24"/>
          <w:szCs w:val="24"/>
        </w:rPr>
      </w:pPr>
      <w:r w:rsidRPr="00A97413">
        <w:rPr>
          <w:sz w:val="24"/>
          <w:szCs w:val="24"/>
        </w:rPr>
        <w:t>Among all the AI-facilitated vectors of fraud that have been identified during the current research, deepfake technology poses the sharpest horizon risk to HSBC UK and the UK banking sector, in general. The existing technological capabilities of generating deepfakes, which are now accessible through such commercially available diffusion-model tools at minimal cost and require little technical expertise, are faster than the detection capabilities, which Onfido (2023) described as alarming, having recorded a 704% increase in deepfake attacks of financial services between 2022 and 2023. In the case of a bank such as HSBC UK where KYC checks are performed in significant volumes using video channel and offering telephone banking services utilizing voice authentication as a protection measure, this is a material and urgent weakness of the current state of deploying deepfake detection countermeasures (as reported in Table 2), which at this point remains not sufficiently covered.</w:t>
      </w:r>
    </w:p>
    <w:p w14:paraId="389A22C5" w14:textId="77777777" w:rsidR="00B50FCE" w:rsidRPr="00A97413" w:rsidRDefault="00B50FCE" w:rsidP="00B50FCE">
      <w:pPr>
        <w:spacing w:before="100" w:after="100" w:line="360" w:lineRule="auto"/>
        <w:jc w:val="both"/>
        <w:rPr>
          <w:sz w:val="24"/>
          <w:szCs w:val="24"/>
        </w:rPr>
      </w:pPr>
      <w:r w:rsidRPr="00A97413">
        <w:rPr>
          <w:sz w:val="24"/>
          <w:szCs w:val="24"/>
        </w:rPr>
        <w:t>The relationship between the dynamism of deepfakes and the ability to detect them is adversarial in essence. Both Chesney and Citron (2019) and Guembe et al. (2022) have recorded how current-generation detection systems become far less effective in a few months once deployed as adversarial actors gain access to detection systems and seek ways to exploit vulnerabilities in them. That indicates that a pure technical response, even though required, is not a complete defence in its own right, and needs to be accompanied by process redesign which lessens operational reliance on AI-exposed authentication pathways to high value or high risk transactions.</w:t>
      </w:r>
    </w:p>
    <w:p w14:paraId="0C34A33B" w14:textId="77777777" w:rsidR="00B50FCE" w:rsidRPr="00D130D8" w:rsidRDefault="00B50FCE" w:rsidP="00B50FCE">
      <w:pPr>
        <w:spacing w:before="100" w:after="100" w:line="360" w:lineRule="auto"/>
        <w:jc w:val="both"/>
        <w:rPr>
          <w:b/>
          <w:bCs/>
          <w:sz w:val="24"/>
          <w:szCs w:val="24"/>
        </w:rPr>
      </w:pPr>
      <w:r w:rsidRPr="00D130D8">
        <w:rPr>
          <w:b/>
          <w:bCs/>
          <w:sz w:val="24"/>
          <w:szCs w:val="24"/>
        </w:rPr>
        <w:t>5.4 Cross-Institutional Intelligence Sharing</w:t>
      </w:r>
    </w:p>
    <w:p w14:paraId="5A66C2BB" w14:textId="77777777" w:rsidR="00B50FCE" w:rsidRPr="00A97413" w:rsidRDefault="00B50FCE" w:rsidP="00B50FCE">
      <w:pPr>
        <w:spacing w:before="100" w:after="100" w:line="360" w:lineRule="auto"/>
        <w:jc w:val="both"/>
        <w:rPr>
          <w:sz w:val="24"/>
          <w:szCs w:val="24"/>
        </w:rPr>
      </w:pPr>
      <w:r w:rsidRPr="00A97413">
        <w:rPr>
          <w:sz w:val="24"/>
          <w:szCs w:val="24"/>
        </w:rPr>
        <w:lastRenderedPageBreak/>
        <w:t>There is a weakness in real-time cross-institutional fraud intelligence sharing in the UK, which has been found in numerous academic sources, as well as findings of the documentary analysis. Although law enforcement agencies have systems like Cifas and the National Economic Crime Centre (NECC) that facilitate information sharing, these are forecasted in a responsive, after-the-fact manner and not proactive, real-time intelligence-sharing as AI-driven fraud detection entails. Such coordinated AI fraud syndicates, where a single group of fraudsters concurrently attacks several banks with the same synthetic identities or deepfakes, cannot be spotted, much less impeded, at a systemic level unless there is an intelligent real-time flow across institutional boundaries.</w:t>
      </w:r>
    </w:p>
    <w:p w14:paraId="334977E5" w14:textId="77777777" w:rsidR="00B50FCE" w:rsidRPr="00A97413" w:rsidRDefault="00B50FCE" w:rsidP="00B50FCE">
      <w:pPr>
        <w:spacing w:before="100" w:after="100" w:line="360" w:lineRule="auto"/>
        <w:jc w:val="both"/>
        <w:rPr>
          <w:sz w:val="24"/>
          <w:szCs w:val="24"/>
        </w:rPr>
      </w:pPr>
      <w:r w:rsidRPr="00A97413">
        <w:rPr>
          <w:sz w:val="24"/>
          <w:szCs w:val="24"/>
        </w:rPr>
        <w:t>Levi (2019) presented compelling arguments purporting that the isolated aspect of fraud prevention by UK banking institutions is both a result of competition and legal ambiguity concerning data protection requirements by the UK GDPR. The latter consideration is also getting more and more complicated to uphold since fraud campaigns enabled by AI capitalize specifically on the institutional boundaries and take the advantage of the information asymmetry that is established by the lack of cross-institutionality. The latter might be comprehensively covered by legislative framework which is similar to information-sharing safe harbours existing within the critical national infrastructure sectors where such sharing of real-time fraud intelligence is directly authorised and safeguarded.</w:t>
      </w:r>
    </w:p>
    <w:p w14:paraId="24895E9D" w14:textId="77777777" w:rsidR="00B50FCE" w:rsidRPr="00D130D8" w:rsidRDefault="00B50FCE" w:rsidP="00B50FCE">
      <w:pPr>
        <w:spacing w:before="100" w:after="100" w:line="360" w:lineRule="auto"/>
        <w:jc w:val="both"/>
        <w:rPr>
          <w:b/>
          <w:bCs/>
          <w:sz w:val="24"/>
          <w:szCs w:val="24"/>
        </w:rPr>
      </w:pPr>
      <w:r w:rsidRPr="00D130D8">
        <w:rPr>
          <w:b/>
          <w:bCs/>
          <w:sz w:val="24"/>
          <w:szCs w:val="24"/>
        </w:rPr>
        <w:t>5.5 Policy and Operational Recommendations</w:t>
      </w:r>
    </w:p>
    <w:p w14:paraId="44FF7F62" w14:textId="77777777" w:rsidR="00B50FCE" w:rsidRPr="00A97413" w:rsidRDefault="00B50FCE" w:rsidP="00B50FCE">
      <w:pPr>
        <w:spacing w:before="100" w:after="100" w:line="360" w:lineRule="auto"/>
        <w:jc w:val="both"/>
        <w:rPr>
          <w:sz w:val="24"/>
          <w:szCs w:val="24"/>
        </w:rPr>
      </w:pPr>
      <w:r w:rsidRPr="00A97413">
        <w:rPr>
          <w:sz w:val="24"/>
          <w:szCs w:val="24"/>
        </w:rPr>
        <w:t>Based on the combined results of the research, the recommendations below are proposed to regulatory authorities, HSBC UK, and the UK banking market, in general.</w:t>
      </w:r>
    </w:p>
    <w:p w14:paraId="18C69DFB" w14:textId="77777777" w:rsidR="00B50FCE" w:rsidRPr="00A97413" w:rsidRDefault="00B50FCE" w:rsidP="00B50FCE">
      <w:pPr>
        <w:spacing w:before="100" w:after="100" w:line="360" w:lineRule="auto"/>
        <w:jc w:val="both"/>
        <w:rPr>
          <w:sz w:val="24"/>
          <w:szCs w:val="24"/>
        </w:rPr>
      </w:pPr>
      <w:r w:rsidRPr="00D130D8">
        <w:rPr>
          <w:b/>
          <w:bCs/>
          <w:sz w:val="24"/>
          <w:szCs w:val="24"/>
        </w:rPr>
        <w:t>Recommendation 1</w:t>
      </w:r>
      <w:r w:rsidRPr="00A97413">
        <w:rPr>
          <w:sz w:val="24"/>
          <w:szCs w:val="24"/>
        </w:rPr>
        <w:t>: Have a Compulsory AI Fraud Taxonomy and Standardised Reporting Regime.</w:t>
      </w:r>
    </w:p>
    <w:p w14:paraId="16A775AF" w14:textId="77777777" w:rsidR="00B50FCE" w:rsidRPr="00A97413" w:rsidRDefault="00B50FCE" w:rsidP="00B50FCE">
      <w:pPr>
        <w:spacing w:before="100" w:after="100" w:line="360" w:lineRule="auto"/>
        <w:jc w:val="both"/>
        <w:rPr>
          <w:sz w:val="24"/>
          <w:szCs w:val="24"/>
        </w:rPr>
      </w:pPr>
      <w:r w:rsidRPr="00A97413">
        <w:rPr>
          <w:sz w:val="24"/>
          <w:szCs w:val="24"/>
        </w:rPr>
        <w:t>A unified taxonomy of AI-powered fraud cases should be created by the FCA and PSR, and obligatory reporting of such cases by regulated institutions. It would make it possible to aggregate industry-wide data on AI fraud trends, use that to inform evidence-based regulatory reaction, and benchmark effectiveness of institutional prevention against a common benchmark. The taxonomy must be based on available academic models (Ryman-Tubb et al., 2018; West and Bhattacharya, 2018) and should be reviewed on an annual basis to capture the technological changes.</w:t>
      </w:r>
    </w:p>
    <w:p w14:paraId="315A89B3" w14:textId="77777777" w:rsidR="00B50FCE" w:rsidRPr="00A97413" w:rsidRDefault="00B50FCE" w:rsidP="00B50FCE">
      <w:pPr>
        <w:spacing w:before="100" w:after="100" w:line="360" w:lineRule="auto"/>
        <w:jc w:val="both"/>
        <w:rPr>
          <w:sz w:val="24"/>
          <w:szCs w:val="24"/>
        </w:rPr>
      </w:pPr>
      <w:r w:rsidRPr="00D130D8">
        <w:rPr>
          <w:b/>
          <w:bCs/>
          <w:sz w:val="24"/>
          <w:szCs w:val="24"/>
        </w:rPr>
        <w:t>Recommendation 2</w:t>
      </w:r>
      <w:r w:rsidRPr="00A97413">
        <w:rPr>
          <w:sz w:val="24"/>
          <w:szCs w:val="24"/>
        </w:rPr>
        <w:t>: Enact a Framework on Real-Time Fraud Intelligence Sharing.</w:t>
      </w:r>
    </w:p>
    <w:p w14:paraId="79616AAC" w14:textId="77777777" w:rsidR="00B50FCE" w:rsidRPr="00A97413" w:rsidRDefault="00B50FCE" w:rsidP="00B50FCE">
      <w:pPr>
        <w:spacing w:before="100" w:after="100" w:line="360" w:lineRule="auto"/>
        <w:jc w:val="both"/>
        <w:rPr>
          <w:sz w:val="24"/>
          <w:szCs w:val="24"/>
        </w:rPr>
      </w:pPr>
      <w:r w:rsidRPr="00A97413">
        <w:rPr>
          <w:sz w:val="24"/>
          <w:szCs w:val="24"/>
        </w:rPr>
        <w:lastRenderedPageBreak/>
        <w:t>HM Treasury ought to pass primary legislation that creates a legally binding real-time information sharing system on fraud between the UK-regulated financial institutions in terms of real-time intelligence. This framework must contain UK GDPR data protection safe harbours that are compliant with the common technical standards in interoperability and governance to ensure that shared intelligence is not used in a manner that undermines the competition. A regulatory template is presented in the model of the establishment of secure structures of intelligence exchange in the telecommunications and energy industries.</w:t>
      </w:r>
    </w:p>
    <w:p w14:paraId="29462FBD" w14:textId="77777777" w:rsidR="00B50FCE" w:rsidRPr="00A97413" w:rsidRDefault="00B50FCE" w:rsidP="00B50FCE">
      <w:pPr>
        <w:spacing w:before="100" w:after="100" w:line="360" w:lineRule="auto"/>
        <w:jc w:val="both"/>
        <w:rPr>
          <w:sz w:val="24"/>
          <w:szCs w:val="24"/>
        </w:rPr>
      </w:pPr>
      <w:r w:rsidRPr="00D130D8">
        <w:rPr>
          <w:b/>
          <w:bCs/>
          <w:sz w:val="24"/>
          <w:szCs w:val="24"/>
        </w:rPr>
        <w:t>Recommendation 3</w:t>
      </w:r>
      <w:r w:rsidRPr="00A97413">
        <w:rPr>
          <w:sz w:val="24"/>
          <w:szCs w:val="24"/>
        </w:rPr>
        <w:t>: Fraud Detection Issue Binding AI Explainability Standards.</w:t>
      </w:r>
    </w:p>
    <w:p w14:paraId="04A224D4" w14:textId="77777777" w:rsidR="00B50FCE" w:rsidRPr="00A97413" w:rsidRDefault="00B50FCE" w:rsidP="00B50FCE">
      <w:pPr>
        <w:spacing w:before="100" w:after="100" w:line="360" w:lineRule="auto"/>
        <w:jc w:val="both"/>
        <w:rPr>
          <w:sz w:val="24"/>
          <w:szCs w:val="24"/>
        </w:rPr>
      </w:pPr>
      <w:r w:rsidRPr="00A97413">
        <w:rPr>
          <w:sz w:val="24"/>
          <w:szCs w:val="24"/>
        </w:rPr>
        <w:t>The FCA ought to provide binding guidelines, enacting the Consumer Duty principle of non-foreseeable harm, that AI-related decisions to detect fraud by artificial intelligence ought to be explainable, auditable and subject to human review procedures in cases where accounts are restricted or transactions blocked as a result. These benchmarks ought to speak to the tension itself in the context of algorithmic efficiency versus the need to fairly treat customers in case of false alarms on their accounts a harm that Baesens et al. (2021) found to be both quantitatively and disproportionately experienced by vulnerable customer segments.</w:t>
      </w:r>
    </w:p>
    <w:p w14:paraId="5B6B9136" w14:textId="77777777" w:rsidR="00B50FCE" w:rsidRPr="00A97413" w:rsidRDefault="00B50FCE" w:rsidP="00B50FCE">
      <w:pPr>
        <w:spacing w:before="100" w:after="100" w:line="360" w:lineRule="auto"/>
        <w:jc w:val="both"/>
        <w:rPr>
          <w:sz w:val="24"/>
          <w:szCs w:val="24"/>
        </w:rPr>
      </w:pPr>
      <w:r w:rsidRPr="00D130D8">
        <w:rPr>
          <w:b/>
          <w:bCs/>
          <w:sz w:val="24"/>
          <w:szCs w:val="24"/>
        </w:rPr>
        <w:t>Recommendation 4</w:t>
      </w:r>
      <w:r w:rsidRPr="00A97413">
        <w:rPr>
          <w:sz w:val="24"/>
          <w:szCs w:val="24"/>
        </w:rPr>
        <w:t>: Require Deepfake-Hardened Authentication Channels.</w:t>
      </w:r>
    </w:p>
    <w:p w14:paraId="48AEA74C" w14:textId="77777777" w:rsidR="00B50FCE" w:rsidRPr="00A97413" w:rsidRDefault="00B50FCE" w:rsidP="00B50FCE">
      <w:pPr>
        <w:spacing w:before="100" w:after="100" w:line="360" w:lineRule="auto"/>
        <w:jc w:val="both"/>
        <w:rPr>
          <w:sz w:val="24"/>
          <w:szCs w:val="24"/>
        </w:rPr>
      </w:pPr>
      <w:r w:rsidRPr="00A97413">
        <w:rPr>
          <w:sz w:val="24"/>
          <w:szCs w:val="24"/>
        </w:rPr>
        <w:t>Systemically important banks should be required by the FCA and PRA to implement multi-factor authentication pathways that are resistant to deepfakes on high-risk transactions by a specified implementation date (proposed as 2026) based on multi-factor authentication methods that incorporate deepfake-resistant channels (such as hardware security tokens, in-person verification of account opening above defined thresholds) with multi-factor authentication methods that use AI-assisted surveillance of regular interactions. This suggestion is a direct response to the fact that there is a 704% growth in deepfake attacks reported by Onfido (2023) and the early-stage implementation level found at HSBC UK.</w:t>
      </w:r>
    </w:p>
    <w:p w14:paraId="6F54F0EA" w14:textId="77777777" w:rsidR="00B50FCE" w:rsidRPr="00A97413" w:rsidRDefault="00B50FCE" w:rsidP="00B50FCE">
      <w:pPr>
        <w:spacing w:before="100" w:after="100" w:line="360" w:lineRule="auto"/>
        <w:jc w:val="both"/>
        <w:rPr>
          <w:sz w:val="24"/>
          <w:szCs w:val="24"/>
        </w:rPr>
      </w:pPr>
      <w:r w:rsidRPr="00D130D8">
        <w:rPr>
          <w:b/>
          <w:bCs/>
          <w:sz w:val="24"/>
          <w:szCs w:val="24"/>
        </w:rPr>
        <w:t>Recommendation 5</w:t>
      </w:r>
      <w:r w:rsidRPr="00A97413">
        <w:rPr>
          <w:sz w:val="24"/>
          <w:szCs w:val="24"/>
        </w:rPr>
        <w:t>: Have an aggregate Condensation of Joint Fraud Regulatory Architecture.</w:t>
      </w:r>
    </w:p>
    <w:p w14:paraId="28AB26D6" w14:textId="77777777" w:rsidR="00B50FCE" w:rsidRPr="00A97413" w:rsidRDefault="00B50FCE" w:rsidP="00B50FCE">
      <w:pPr>
        <w:spacing w:before="100" w:after="100" w:line="360" w:lineRule="auto"/>
        <w:jc w:val="both"/>
        <w:rPr>
          <w:sz w:val="24"/>
          <w:szCs w:val="24"/>
        </w:rPr>
      </w:pPr>
      <w:r w:rsidRPr="00A97413">
        <w:rPr>
          <w:sz w:val="24"/>
          <w:szCs w:val="24"/>
        </w:rPr>
        <w:t xml:space="preserve">The existing dispersion of regulation in fraud-related matters in the FCA, the PRA, the PSR, and the HM Treasury ought to be resolved by forming a Joint Fraud Regulatory Committee comprising of a permanent secretariat and with a remit to establish a coherent and proactive regime of AI-based fraud prevention. The committee is supposed to come up with an annual AI Fraud Threat Assessment based on the obligatory incident reporting information, inter-institutional intelligence, and scholarly </w:t>
      </w:r>
      <w:r w:rsidRPr="00A97413">
        <w:rPr>
          <w:sz w:val="24"/>
          <w:szCs w:val="24"/>
        </w:rPr>
        <w:lastRenderedPageBreak/>
        <w:t>research, and is expected to provide coordinated policy authorities to eradicate the redundant and sometimes opposing requirements that typify the environment.</w:t>
      </w:r>
    </w:p>
    <w:p w14:paraId="48FDB3E3" w14:textId="77777777" w:rsidR="00B50FCE" w:rsidRPr="00A97413" w:rsidRDefault="00B50FCE" w:rsidP="00B50FCE">
      <w:pPr>
        <w:pStyle w:val="Heading1"/>
        <w:rPr>
          <w:rFonts w:ascii="Times New Roman" w:hAnsi="Times New Roman" w:cs="Times New Roman"/>
          <w:color w:val="auto"/>
          <w:sz w:val="24"/>
          <w:szCs w:val="24"/>
        </w:rPr>
      </w:pPr>
      <w:r w:rsidRPr="00A97413">
        <w:rPr>
          <w:rFonts w:ascii="Times New Roman" w:eastAsia="Arial" w:hAnsi="Times New Roman" w:cs="Times New Roman"/>
          <w:color w:val="auto"/>
          <w:sz w:val="24"/>
          <w:szCs w:val="24"/>
        </w:rPr>
        <w:t>6. Conclusion</w:t>
      </w:r>
    </w:p>
    <w:p w14:paraId="47EAE4A1" w14:textId="77777777" w:rsidR="00B50FCE" w:rsidRPr="00A97413" w:rsidRDefault="00B50FCE" w:rsidP="00B50FCE">
      <w:pPr>
        <w:spacing w:before="100" w:after="100" w:line="360" w:lineRule="auto"/>
        <w:jc w:val="both"/>
        <w:rPr>
          <w:sz w:val="24"/>
          <w:szCs w:val="24"/>
        </w:rPr>
      </w:pPr>
      <w:r w:rsidRPr="00A97413">
        <w:rPr>
          <w:sz w:val="24"/>
          <w:szCs w:val="24"/>
        </w:rPr>
        <w:t>The research has presented a systematized evidence-based examination of the regulatory and cybersecurity issues of AI-facilitated financial fraud related to digital banking in the UK by HSBC UK as a main case study to examine the issue during the period 20192024. The results show AI-based fraud is a qualitatively new threat to the banking system than the past generations of financial fraud- it is technologically advanced, has adaptive adversarial capacity, low barriers of entry by offenders, and a pace of evolution that has constantly outpaced both institutional responses to it and regulatory systems. This trend is quantitatively confirmed by the growth of HSBC Group fraud provisions by 5 years, which rose by 700 percent, as well as AI-related fraud risk disclosures, which grew by 700 percent.</w:t>
      </w:r>
    </w:p>
    <w:p w14:paraId="1951D42D" w14:textId="77777777" w:rsidR="00B50FCE" w:rsidRPr="00A97413" w:rsidRDefault="00B50FCE" w:rsidP="00B50FCE">
      <w:pPr>
        <w:spacing w:before="100" w:after="100" w:line="360" w:lineRule="auto"/>
        <w:jc w:val="both"/>
        <w:rPr>
          <w:sz w:val="24"/>
          <w:szCs w:val="24"/>
        </w:rPr>
      </w:pPr>
      <w:r w:rsidRPr="00A97413">
        <w:rPr>
          <w:sz w:val="24"/>
          <w:szCs w:val="24"/>
        </w:rPr>
        <w:t>The institutional response of HSBC UK is indicative of the overall industry trend: the company invests considerable and growing resources to AI-assisted fraud detection, which delivers noticeable yet inadequate results against an adversary who is advancing at a pace that is faster than the defensive strategies implemented by the bank. Implementation of behavioural biometrics, an increase in AI transaction monitoring, voice authentication, and liveness detection is real and applaudable improvement in capabilities. Nevertheless, the key vulnerabilities that were found in the areas of maturity in deepfake detection, inter-institutional intelligence sharing, AI accountability structures, and regulatory architecture are systemic weaknesses that can be addressed only with the help of individual institutional investment.</w:t>
      </w:r>
    </w:p>
    <w:p w14:paraId="73457419" w14:textId="77777777" w:rsidR="00B50FCE" w:rsidRPr="00A97413" w:rsidRDefault="00B50FCE" w:rsidP="00B50FCE">
      <w:pPr>
        <w:spacing w:before="100" w:after="100" w:line="360" w:lineRule="auto"/>
        <w:jc w:val="both"/>
        <w:rPr>
          <w:sz w:val="24"/>
          <w:szCs w:val="24"/>
        </w:rPr>
      </w:pPr>
      <w:r w:rsidRPr="00A97413">
        <w:rPr>
          <w:sz w:val="24"/>
          <w:szCs w:val="24"/>
        </w:rPr>
        <w:t>Although the UK regulatory system is more responsive than most of its international counterparts, it has failed to develop an integrated, proactive architecture that could keep pace with the pace of AI-driven fraud innovation. The APP reimbursement regime and Consumer Duty which is mandatory by the PSR is a good step in the right direction but it only treats the symptoms and not the structural issues of the AI fraud problem. The five proposals developed in the paper, such as mandatory AI fraud taxonomy, legislative framework of intelligence sharing, binding explainability standards, deepfake-resistant authentication requirements, and a Joint Fraud Regulatory Committee are suggested as a set of consistent evidence-based agenda steps to bridge the identified structural gaps.</w:t>
      </w:r>
    </w:p>
    <w:p w14:paraId="4A83D44C" w14:textId="77777777" w:rsidR="00B50FCE" w:rsidRPr="00A97413" w:rsidRDefault="00B50FCE" w:rsidP="00B50FCE">
      <w:pPr>
        <w:spacing w:before="100" w:after="100" w:line="360" w:lineRule="auto"/>
        <w:jc w:val="both"/>
        <w:rPr>
          <w:sz w:val="24"/>
          <w:szCs w:val="24"/>
        </w:rPr>
      </w:pPr>
      <w:r w:rsidRPr="00A97413">
        <w:rPr>
          <w:sz w:val="24"/>
          <w:szCs w:val="24"/>
        </w:rPr>
        <w:lastRenderedPageBreak/>
        <w:t>The theoretical value of the study is that it combines institutional, regulatory, cybersecurity, and consumer protection frames of AI-enabled fraud, which has hitherto been mostly lacking in the literature, which has been inclined to discuss these dimensions separately. Its practical value is in its evidence-based recommendations, which are based on longitudinal documentary evidence of the real-life experience of the HSBC UK institution and suggests regulatory and operational remedies that would have a significant positive outcome in the mitigation of the harm caused by AI-enabled financial fraud to the consumers of the UK and the financial system in general.</w:t>
      </w:r>
    </w:p>
    <w:p w14:paraId="3E745322" w14:textId="77777777" w:rsidR="00B50FCE" w:rsidRPr="00A97413" w:rsidRDefault="00B50FCE" w:rsidP="00B50FCE">
      <w:pPr>
        <w:spacing w:before="100" w:after="100" w:line="360" w:lineRule="auto"/>
        <w:jc w:val="both"/>
        <w:rPr>
          <w:sz w:val="24"/>
          <w:szCs w:val="24"/>
        </w:rPr>
      </w:pPr>
      <w:r w:rsidRPr="00A97413">
        <w:rPr>
          <w:sz w:val="24"/>
          <w:szCs w:val="24"/>
        </w:rPr>
        <w:t>Further studies are needed to determine whether compulsory APP reimbursement has any effect in changing fraud prevention incentives or consumer behaviour, whether cross-institutional real-time fraud intelligence sharing architectures are feasible and better designed, and whether AI-based fraud detection systems that lock out legitimate customer activity have any implications on consumer welfare, including demographic imbalances. With the ever-increasing AI capabilities on both sides of the fraud prevention line, academic community, regulatory bodies, and financial institutions should make sure that their analytical frameworks, governance structures, and technical capabilities are as agile and urgent as possible.</w:t>
      </w:r>
    </w:p>
    <w:p w14:paraId="0FA60BEE" w14:textId="77777777" w:rsidR="00B50FCE" w:rsidRPr="00A97413" w:rsidRDefault="00B50FCE" w:rsidP="00B50FCE">
      <w:pPr>
        <w:rPr>
          <w:sz w:val="24"/>
          <w:szCs w:val="24"/>
        </w:rPr>
      </w:pPr>
    </w:p>
    <w:p w14:paraId="7024755C" w14:textId="77777777" w:rsidR="00B50FCE" w:rsidRPr="00A97413" w:rsidRDefault="00B50FCE" w:rsidP="00B50FCE">
      <w:pPr>
        <w:pStyle w:val="Heading1"/>
        <w:rPr>
          <w:rFonts w:ascii="Times New Roman" w:hAnsi="Times New Roman" w:cs="Times New Roman"/>
          <w:color w:val="auto"/>
          <w:sz w:val="24"/>
          <w:szCs w:val="24"/>
        </w:rPr>
      </w:pPr>
      <w:r w:rsidRPr="00A97413">
        <w:rPr>
          <w:rFonts w:ascii="Times New Roman" w:eastAsia="Arial" w:hAnsi="Times New Roman" w:cs="Times New Roman"/>
          <w:color w:val="auto"/>
          <w:sz w:val="24"/>
          <w:szCs w:val="24"/>
        </w:rPr>
        <w:t>References</w:t>
      </w:r>
    </w:p>
    <w:p w14:paraId="41B74AB3" w14:textId="77777777" w:rsidR="00B50FCE" w:rsidRPr="00A97413" w:rsidRDefault="00B50FCE" w:rsidP="00B50FCE">
      <w:pPr>
        <w:spacing w:before="80" w:after="80" w:line="320" w:lineRule="auto"/>
        <w:ind w:left="720" w:hanging="720"/>
        <w:jc w:val="both"/>
        <w:rPr>
          <w:sz w:val="24"/>
          <w:szCs w:val="24"/>
        </w:rPr>
      </w:pPr>
      <w:r w:rsidRPr="00A97413">
        <w:rPr>
          <w:sz w:val="24"/>
          <w:szCs w:val="24"/>
        </w:rPr>
        <w:t>Abdallah, A., Maarof, M. A., &amp; Zeki, A. (2016). Fraud detection system: A survey. Journal of Network and Computer Applications, 68, 90–113. https://doi.org/10.1016/j.jnca.2016.04.007</w:t>
      </w:r>
    </w:p>
    <w:p w14:paraId="2FB98DAB" w14:textId="77777777" w:rsidR="00B50FCE" w:rsidRPr="00A97413" w:rsidRDefault="00B50FCE" w:rsidP="00B50FCE">
      <w:pPr>
        <w:spacing w:before="80" w:after="80" w:line="320" w:lineRule="auto"/>
        <w:ind w:left="720" w:hanging="720"/>
        <w:jc w:val="both"/>
        <w:rPr>
          <w:sz w:val="24"/>
          <w:szCs w:val="24"/>
        </w:rPr>
      </w:pPr>
      <w:r w:rsidRPr="00A97413">
        <w:rPr>
          <w:sz w:val="24"/>
          <w:szCs w:val="24"/>
        </w:rPr>
        <w:t>Accenture. (2022). Banking fraud 2022: Detecting and preventing fraud in the age of AI. Accenture Financial Services.</w:t>
      </w:r>
    </w:p>
    <w:p w14:paraId="7C7CAE63" w14:textId="77777777" w:rsidR="00B50FCE" w:rsidRPr="00A97413" w:rsidRDefault="00B50FCE" w:rsidP="00B50FCE">
      <w:pPr>
        <w:spacing w:before="80" w:after="80" w:line="320" w:lineRule="auto"/>
        <w:ind w:left="720" w:hanging="720"/>
        <w:jc w:val="both"/>
        <w:rPr>
          <w:sz w:val="24"/>
          <w:szCs w:val="24"/>
        </w:rPr>
      </w:pPr>
      <w:r w:rsidRPr="00A97413">
        <w:rPr>
          <w:sz w:val="24"/>
          <w:szCs w:val="24"/>
        </w:rPr>
        <w:t>Arner, D. W., Barberis, J., &amp; Buckley, R. P. (2020). FinTech, RegTech and the reconceptualisation of financial regulation. Northwestern Journal of International Law &amp; Business, 37(3), 371–413.</w:t>
      </w:r>
    </w:p>
    <w:p w14:paraId="563B00ED" w14:textId="77777777" w:rsidR="00B50FCE" w:rsidRPr="00A97413" w:rsidRDefault="00B50FCE" w:rsidP="00B50FCE">
      <w:pPr>
        <w:spacing w:before="80" w:after="80" w:line="320" w:lineRule="auto"/>
        <w:ind w:left="720" w:hanging="720"/>
        <w:jc w:val="both"/>
        <w:rPr>
          <w:sz w:val="24"/>
          <w:szCs w:val="24"/>
        </w:rPr>
      </w:pPr>
      <w:r w:rsidRPr="00A97413">
        <w:rPr>
          <w:sz w:val="24"/>
          <w:szCs w:val="24"/>
        </w:rPr>
        <w:t>Baesens, B., Van Vlasselaer, V., &amp; Verbeke, W. (2021). Fraud analytics using descriptive, predictive, and social network techniques (2nd ed.). Wiley.</w:t>
      </w:r>
    </w:p>
    <w:p w14:paraId="309F72C5" w14:textId="77777777" w:rsidR="00B50FCE" w:rsidRPr="00A97413" w:rsidRDefault="00B50FCE" w:rsidP="00B50FCE">
      <w:pPr>
        <w:spacing w:before="80" w:after="80" w:line="320" w:lineRule="auto"/>
        <w:ind w:left="720" w:hanging="720"/>
        <w:jc w:val="both"/>
        <w:rPr>
          <w:sz w:val="24"/>
          <w:szCs w:val="24"/>
        </w:rPr>
      </w:pPr>
      <w:r w:rsidRPr="00A97413">
        <w:rPr>
          <w:sz w:val="24"/>
          <w:szCs w:val="24"/>
        </w:rPr>
        <w:t>Bell, S., &amp; Hindmoor, A. (2019). The ideational shaping of state power and capacity: Winning battles but losing the war over bank reform in the US and UK. Government and Opposition, 54(2), 221–244. https://doi.org/10.1017/gov.2018.14</w:t>
      </w:r>
    </w:p>
    <w:p w14:paraId="7002ADE7" w14:textId="77777777" w:rsidR="00B50FCE" w:rsidRPr="00A97413" w:rsidRDefault="00B50FCE" w:rsidP="00B50FCE">
      <w:pPr>
        <w:spacing w:before="80" w:after="80" w:line="320" w:lineRule="auto"/>
        <w:ind w:left="720" w:hanging="720"/>
        <w:jc w:val="both"/>
        <w:rPr>
          <w:sz w:val="24"/>
          <w:szCs w:val="24"/>
        </w:rPr>
      </w:pPr>
      <w:r w:rsidRPr="00A97413">
        <w:rPr>
          <w:sz w:val="24"/>
          <w:szCs w:val="24"/>
        </w:rPr>
        <w:lastRenderedPageBreak/>
        <w:t>Bhattacharyya, S., Jha, S., Tharakunnel, K., &amp; Westland, J. C. (2018). Data mining for credit card fraud: A comparative study. Decision Support Systems, 50(3), 602–613. https://doi.org/10.1016/j.dss.2010.08.008</w:t>
      </w:r>
    </w:p>
    <w:p w14:paraId="31D67BEB" w14:textId="77777777" w:rsidR="00B50FCE" w:rsidRPr="00A97413" w:rsidRDefault="00B50FCE" w:rsidP="00B50FCE">
      <w:pPr>
        <w:spacing w:before="80" w:after="80" w:line="320" w:lineRule="auto"/>
        <w:ind w:left="720" w:hanging="720"/>
        <w:jc w:val="both"/>
        <w:rPr>
          <w:sz w:val="24"/>
          <w:szCs w:val="24"/>
        </w:rPr>
      </w:pPr>
      <w:r w:rsidRPr="00A97413">
        <w:rPr>
          <w:sz w:val="24"/>
          <w:szCs w:val="24"/>
        </w:rPr>
        <w:t>Braun, V., &amp; Clarke, V. (2006). Using thematic analysis in psychology. Qualitative Research in Psychology, 3(2), 77–101. https://doi.org/10.1191/1478088706qp063oa</w:t>
      </w:r>
    </w:p>
    <w:p w14:paraId="0C5CA9BC" w14:textId="77777777" w:rsidR="00B50FCE" w:rsidRPr="00A97413" w:rsidRDefault="00B50FCE" w:rsidP="00B50FCE">
      <w:pPr>
        <w:spacing w:before="80" w:after="80" w:line="320" w:lineRule="auto"/>
        <w:ind w:left="720" w:hanging="720"/>
        <w:jc w:val="both"/>
        <w:rPr>
          <w:sz w:val="24"/>
          <w:szCs w:val="24"/>
        </w:rPr>
      </w:pPr>
      <w:r w:rsidRPr="00A97413">
        <w:rPr>
          <w:sz w:val="24"/>
          <w:szCs w:val="24"/>
        </w:rPr>
        <w:t>Broeders, D., &amp; Prenio, J. (2018). Innovative technology in financial supervision (suptech): The experience of early users. FSI Insights on Policy Implementation No. 9. Bank for International Settlements.</w:t>
      </w:r>
    </w:p>
    <w:p w14:paraId="59E85016" w14:textId="77777777" w:rsidR="00B50FCE" w:rsidRPr="00A97413" w:rsidRDefault="00B50FCE" w:rsidP="00B50FCE">
      <w:pPr>
        <w:spacing w:before="80" w:after="80" w:line="320" w:lineRule="auto"/>
        <w:ind w:left="720" w:hanging="720"/>
        <w:jc w:val="both"/>
        <w:rPr>
          <w:sz w:val="24"/>
          <w:szCs w:val="24"/>
        </w:rPr>
      </w:pPr>
      <w:r w:rsidRPr="00A97413">
        <w:rPr>
          <w:sz w:val="24"/>
          <w:szCs w:val="24"/>
        </w:rPr>
        <w:t>Button, M., &amp; Cross, C. (2020). Cyber frauds, scams and their victims (2nd ed.). Routledge.</w:t>
      </w:r>
    </w:p>
    <w:p w14:paraId="40553E13" w14:textId="77777777" w:rsidR="00B50FCE" w:rsidRPr="00A97413" w:rsidRDefault="00B50FCE" w:rsidP="00B50FCE">
      <w:pPr>
        <w:spacing w:before="80" w:after="80" w:line="320" w:lineRule="auto"/>
        <w:ind w:left="720" w:hanging="720"/>
        <w:jc w:val="both"/>
        <w:rPr>
          <w:sz w:val="24"/>
          <w:szCs w:val="24"/>
        </w:rPr>
      </w:pPr>
      <w:r w:rsidRPr="00A97413">
        <w:rPr>
          <w:sz w:val="24"/>
          <w:szCs w:val="24"/>
        </w:rPr>
        <w:t>Chesney, R., &amp; Citron, D. K. (2019). Deep fakes: A looming challenge for privacy, democracy, and national security. California Law Review, 107(6), 1753–1820. https://doi.org/10.15779/Z38RV0D15J</w:t>
      </w:r>
    </w:p>
    <w:p w14:paraId="213B2FD4" w14:textId="77777777" w:rsidR="00B50FCE" w:rsidRPr="00A97413" w:rsidRDefault="00B50FCE" w:rsidP="00B50FCE">
      <w:pPr>
        <w:spacing w:before="80" w:after="80" w:line="320" w:lineRule="auto"/>
        <w:ind w:left="720" w:hanging="720"/>
        <w:jc w:val="both"/>
        <w:rPr>
          <w:sz w:val="24"/>
          <w:szCs w:val="24"/>
        </w:rPr>
      </w:pPr>
      <w:r w:rsidRPr="00A97413">
        <w:rPr>
          <w:sz w:val="24"/>
          <w:szCs w:val="24"/>
        </w:rPr>
        <w:t>Demertzis, M., &amp; Wolff, G. B. (2020). The evolving landscape of AI and big data in financial services. Bruegel Working Paper No. 2020/04. Bruegel.</w:t>
      </w:r>
    </w:p>
    <w:p w14:paraId="76A69215" w14:textId="77777777" w:rsidR="00B50FCE" w:rsidRPr="00A97413" w:rsidRDefault="00B50FCE" w:rsidP="00B50FCE">
      <w:pPr>
        <w:spacing w:before="80" w:after="80" w:line="320" w:lineRule="auto"/>
        <w:ind w:left="720" w:hanging="720"/>
        <w:jc w:val="both"/>
        <w:rPr>
          <w:sz w:val="24"/>
          <w:szCs w:val="24"/>
        </w:rPr>
      </w:pPr>
      <w:r w:rsidRPr="00A97413">
        <w:rPr>
          <w:sz w:val="24"/>
          <w:szCs w:val="24"/>
        </w:rPr>
        <w:t>Financial Conduct Authority. (2022). AI and machine learning in financial services: Discussion paper DP5/22. Financial Conduct Authority.</w:t>
      </w:r>
    </w:p>
    <w:p w14:paraId="6F3F2710" w14:textId="77777777" w:rsidR="00B50FCE" w:rsidRPr="00A97413" w:rsidRDefault="00B50FCE" w:rsidP="00B50FCE">
      <w:pPr>
        <w:spacing w:before="80" w:after="80" w:line="320" w:lineRule="auto"/>
        <w:ind w:left="720" w:hanging="720"/>
        <w:jc w:val="both"/>
        <w:rPr>
          <w:sz w:val="24"/>
          <w:szCs w:val="24"/>
        </w:rPr>
      </w:pPr>
      <w:r w:rsidRPr="00A97413">
        <w:rPr>
          <w:sz w:val="24"/>
          <w:szCs w:val="24"/>
        </w:rPr>
        <w:t>Financial Conduct Authority. (2023). FCA annual report and accounts 2022/23. Financial Conduct Authority.</w:t>
      </w:r>
    </w:p>
    <w:p w14:paraId="64CA7F54" w14:textId="77777777" w:rsidR="00B50FCE" w:rsidRPr="00A97413" w:rsidRDefault="00B50FCE" w:rsidP="00B50FCE">
      <w:pPr>
        <w:spacing w:before="80" w:after="80" w:line="320" w:lineRule="auto"/>
        <w:ind w:left="720" w:hanging="720"/>
        <w:jc w:val="both"/>
        <w:rPr>
          <w:sz w:val="24"/>
          <w:szCs w:val="24"/>
        </w:rPr>
      </w:pPr>
      <w:r w:rsidRPr="00A97413">
        <w:rPr>
          <w:sz w:val="24"/>
          <w:szCs w:val="24"/>
        </w:rPr>
        <w:t>Financial Conduct Authority. (2024). Consumer duty: One year on—assessing outcomes for consumers. Financial Conduct Authority.</w:t>
      </w:r>
    </w:p>
    <w:p w14:paraId="4783B6B8" w14:textId="77777777" w:rsidR="00B50FCE" w:rsidRPr="00A97413" w:rsidRDefault="00B50FCE" w:rsidP="00B50FCE">
      <w:pPr>
        <w:spacing w:before="80" w:after="80" w:line="320" w:lineRule="auto"/>
        <w:ind w:left="720" w:hanging="720"/>
        <w:jc w:val="both"/>
        <w:rPr>
          <w:sz w:val="24"/>
          <w:szCs w:val="24"/>
        </w:rPr>
      </w:pPr>
      <w:r w:rsidRPr="00A97413">
        <w:rPr>
          <w:sz w:val="24"/>
          <w:szCs w:val="24"/>
        </w:rPr>
        <w:t>Flyvbjerg, B. (2006). Five misunderstandings about case-study research. Qualitative Inquiry, 12(2), 219–245. https://doi.org/10.1177/1077800405284363</w:t>
      </w:r>
    </w:p>
    <w:p w14:paraId="23059EB1" w14:textId="77777777" w:rsidR="00B50FCE" w:rsidRPr="00A97413" w:rsidRDefault="00B50FCE" w:rsidP="00B50FCE">
      <w:pPr>
        <w:spacing w:before="80" w:after="80" w:line="320" w:lineRule="auto"/>
        <w:ind w:left="720" w:hanging="720"/>
        <w:jc w:val="both"/>
        <w:rPr>
          <w:sz w:val="24"/>
          <w:szCs w:val="24"/>
        </w:rPr>
      </w:pPr>
      <w:r w:rsidRPr="00A97413">
        <w:rPr>
          <w:sz w:val="24"/>
          <w:szCs w:val="24"/>
        </w:rPr>
        <w:t>Goldstein, I., Jagtiani, J., &amp; Kotidis, A. (2019). Fintech and banking: What do we know? Journal of Financial Intermediation, 41, 100833. https://doi.org/10.1016/j.jfi.2019.100833</w:t>
      </w:r>
    </w:p>
    <w:p w14:paraId="29A5AAB8" w14:textId="77777777" w:rsidR="00B50FCE" w:rsidRPr="00A97413" w:rsidRDefault="00B50FCE" w:rsidP="00B50FCE">
      <w:pPr>
        <w:spacing w:before="80" w:after="80" w:line="320" w:lineRule="auto"/>
        <w:ind w:left="720" w:hanging="720"/>
        <w:jc w:val="both"/>
        <w:rPr>
          <w:sz w:val="24"/>
          <w:szCs w:val="24"/>
        </w:rPr>
      </w:pPr>
      <w:r w:rsidRPr="00A97413">
        <w:rPr>
          <w:sz w:val="24"/>
          <w:szCs w:val="24"/>
        </w:rPr>
        <w:t>Guembe, B., Azeta, A., Misra, S., Osamor, V. C., Fernandez-Sanz, L., &amp; Pospelova, V. (2022). The emerging threat of AI-driven cyberattacks: A review. Applied Artificial Intelligence, 36(1), 2037254. https://doi.org/10.1080/08839514.2022.2037254</w:t>
      </w:r>
    </w:p>
    <w:p w14:paraId="53931415" w14:textId="77777777" w:rsidR="00B50FCE" w:rsidRPr="00A97413" w:rsidRDefault="00B50FCE" w:rsidP="00B50FCE">
      <w:pPr>
        <w:spacing w:before="80" w:after="80" w:line="320" w:lineRule="auto"/>
        <w:ind w:left="720" w:hanging="720"/>
        <w:jc w:val="both"/>
        <w:rPr>
          <w:sz w:val="24"/>
          <w:szCs w:val="24"/>
        </w:rPr>
      </w:pPr>
      <w:r w:rsidRPr="00A97413">
        <w:rPr>
          <w:sz w:val="24"/>
          <w:szCs w:val="24"/>
        </w:rPr>
        <w:t>HSBC Group. (2019). Annual report and accounts 2019. HSBC Holdings plc.</w:t>
      </w:r>
    </w:p>
    <w:p w14:paraId="4C764F28" w14:textId="77777777" w:rsidR="00B50FCE" w:rsidRPr="00A97413" w:rsidRDefault="00B50FCE" w:rsidP="00B50FCE">
      <w:pPr>
        <w:spacing w:before="80" w:after="80" w:line="320" w:lineRule="auto"/>
        <w:ind w:left="720" w:hanging="720"/>
        <w:jc w:val="both"/>
        <w:rPr>
          <w:sz w:val="24"/>
          <w:szCs w:val="24"/>
        </w:rPr>
      </w:pPr>
      <w:r w:rsidRPr="00A97413">
        <w:rPr>
          <w:sz w:val="24"/>
          <w:szCs w:val="24"/>
        </w:rPr>
        <w:t>HSBC Group. (2020). Annual report and accounts 2020. HSBC Holdings plc.</w:t>
      </w:r>
    </w:p>
    <w:p w14:paraId="71C79017" w14:textId="77777777" w:rsidR="00B50FCE" w:rsidRPr="00A97413" w:rsidRDefault="00B50FCE" w:rsidP="00B50FCE">
      <w:pPr>
        <w:spacing w:before="80" w:after="80" w:line="320" w:lineRule="auto"/>
        <w:ind w:left="720" w:hanging="720"/>
        <w:jc w:val="both"/>
        <w:rPr>
          <w:sz w:val="24"/>
          <w:szCs w:val="24"/>
        </w:rPr>
      </w:pPr>
      <w:r w:rsidRPr="00A97413">
        <w:rPr>
          <w:sz w:val="24"/>
          <w:szCs w:val="24"/>
        </w:rPr>
        <w:t>HSBC Group. (2021). Annual report and accounts 2021. HSBC Holdings plc.</w:t>
      </w:r>
    </w:p>
    <w:p w14:paraId="0FEFA50A" w14:textId="77777777" w:rsidR="00B50FCE" w:rsidRPr="00A97413" w:rsidRDefault="00B50FCE" w:rsidP="00B50FCE">
      <w:pPr>
        <w:spacing w:before="80" w:after="80" w:line="320" w:lineRule="auto"/>
        <w:ind w:left="720" w:hanging="720"/>
        <w:jc w:val="both"/>
        <w:rPr>
          <w:sz w:val="24"/>
          <w:szCs w:val="24"/>
        </w:rPr>
      </w:pPr>
      <w:r w:rsidRPr="00A97413">
        <w:rPr>
          <w:sz w:val="24"/>
          <w:szCs w:val="24"/>
        </w:rPr>
        <w:t>HSBC Group. (2022). Annual report and accounts 2022. HSBC Holdings plc.</w:t>
      </w:r>
    </w:p>
    <w:p w14:paraId="779B2CA6" w14:textId="77777777" w:rsidR="00B50FCE" w:rsidRPr="00A97413" w:rsidRDefault="00B50FCE" w:rsidP="00B50FCE">
      <w:pPr>
        <w:spacing w:before="80" w:after="80" w:line="320" w:lineRule="auto"/>
        <w:ind w:left="720" w:hanging="720"/>
        <w:jc w:val="both"/>
        <w:rPr>
          <w:sz w:val="24"/>
          <w:szCs w:val="24"/>
        </w:rPr>
      </w:pPr>
      <w:r w:rsidRPr="00A97413">
        <w:rPr>
          <w:sz w:val="24"/>
          <w:szCs w:val="24"/>
        </w:rPr>
        <w:lastRenderedPageBreak/>
        <w:t>HSBC Group. (2023). Annual report and accounts 2023. HSBC Holdings plc.</w:t>
      </w:r>
    </w:p>
    <w:p w14:paraId="170CC91A" w14:textId="77777777" w:rsidR="00B50FCE" w:rsidRPr="00A97413" w:rsidRDefault="00B50FCE" w:rsidP="00B50FCE">
      <w:pPr>
        <w:spacing w:before="80" w:after="80" w:line="320" w:lineRule="auto"/>
        <w:ind w:left="720" w:hanging="720"/>
        <w:jc w:val="both"/>
        <w:rPr>
          <w:sz w:val="24"/>
          <w:szCs w:val="24"/>
        </w:rPr>
      </w:pPr>
      <w:r w:rsidRPr="00A97413">
        <w:rPr>
          <w:sz w:val="24"/>
          <w:szCs w:val="24"/>
        </w:rPr>
        <w:t>Javelin Strategy &amp; Research. (2022). 2022 identity fraud study: The virtual battleground. Javelin Strategy &amp; Research.</w:t>
      </w:r>
    </w:p>
    <w:p w14:paraId="608BBA64" w14:textId="77777777" w:rsidR="00B50FCE" w:rsidRPr="00A97413" w:rsidRDefault="00B50FCE" w:rsidP="00B50FCE">
      <w:pPr>
        <w:spacing w:before="80" w:after="80" w:line="320" w:lineRule="auto"/>
        <w:ind w:left="720" w:hanging="720"/>
        <w:jc w:val="both"/>
        <w:rPr>
          <w:sz w:val="24"/>
          <w:szCs w:val="24"/>
        </w:rPr>
      </w:pPr>
      <w:r w:rsidRPr="00A97413">
        <w:rPr>
          <w:sz w:val="24"/>
          <w:szCs w:val="24"/>
        </w:rPr>
        <w:t>Kou, G., Peng, Y., &amp; Wang, G. (2021). Evaluation of clustering algorithms for financial risk analysis using MCDM methods. Information Sciences, 195(1), 1–17. https://doi.org/10.1016/j.ins.2012.01.023</w:t>
      </w:r>
    </w:p>
    <w:p w14:paraId="6B7A8743" w14:textId="77777777" w:rsidR="00B50FCE" w:rsidRPr="00A97413" w:rsidRDefault="00B50FCE" w:rsidP="00B50FCE">
      <w:pPr>
        <w:spacing w:before="80" w:after="80" w:line="320" w:lineRule="auto"/>
        <w:ind w:left="720" w:hanging="720"/>
        <w:jc w:val="both"/>
        <w:rPr>
          <w:sz w:val="24"/>
          <w:szCs w:val="24"/>
        </w:rPr>
      </w:pPr>
      <w:r w:rsidRPr="00A97413">
        <w:rPr>
          <w:sz w:val="24"/>
          <w:szCs w:val="24"/>
        </w:rPr>
        <w:t>Levi, M. (2019). Economic crime. In A. Liebling, S. Maruna, &amp; L. McAra (Eds.), The Oxford handbook of criminology (6th ed., pp. 665–689). Oxford University Press.</w:t>
      </w:r>
    </w:p>
    <w:p w14:paraId="56A3F59F" w14:textId="77777777" w:rsidR="00B50FCE" w:rsidRPr="00A97413" w:rsidRDefault="00B50FCE" w:rsidP="00B50FCE">
      <w:pPr>
        <w:spacing w:before="80" w:after="80" w:line="320" w:lineRule="auto"/>
        <w:ind w:left="720" w:hanging="720"/>
        <w:jc w:val="both"/>
        <w:rPr>
          <w:sz w:val="24"/>
          <w:szCs w:val="24"/>
        </w:rPr>
      </w:pPr>
      <w:r w:rsidRPr="00A97413">
        <w:rPr>
          <w:sz w:val="24"/>
          <w:szCs w:val="24"/>
        </w:rPr>
        <w:t>Onfido. (2023). Identity fraud report 2023: Deepfake attacks surge in financial services. Onfido Ltd.</w:t>
      </w:r>
    </w:p>
    <w:p w14:paraId="6B12BE55" w14:textId="77777777" w:rsidR="00B50FCE" w:rsidRPr="00A97413" w:rsidRDefault="00B50FCE" w:rsidP="00B50FCE">
      <w:pPr>
        <w:spacing w:before="80" w:after="80" w:line="320" w:lineRule="auto"/>
        <w:ind w:left="720" w:hanging="720"/>
        <w:jc w:val="both"/>
        <w:rPr>
          <w:sz w:val="24"/>
          <w:szCs w:val="24"/>
        </w:rPr>
      </w:pPr>
      <w:r w:rsidRPr="00A97413">
        <w:rPr>
          <w:sz w:val="24"/>
          <w:szCs w:val="24"/>
        </w:rPr>
        <w:t>Payment Systems Regulator. (2023). Authorised push payment (APP) scams: Mandatory reimbursement — final policy statement PS23/3. Payment Systems Regulator.</w:t>
      </w:r>
    </w:p>
    <w:p w14:paraId="491CC075" w14:textId="77777777" w:rsidR="00B50FCE" w:rsidRPr="00A97413" w:rsidRDefault="00B50FCE" w:rsidP="00B50FCE">
      <w:pPr>
        <w:spacing w:before="80" w:after="80" w:line="320" w:lineRule="auto"/>
        <w:ind w:left="720" w:hanging="720"/>
        <w:jc w:val="both"/>
        <w:rPr>
          <w:sz w:val="24"/>
          <w:szCs w:val="24"/>
        </w:rPr>
      </w:pPr>
      <w:r w:rsidRPr="00A97413">
        <w:rPr>
          <w:sz w:val="24"/>
          <w:szCs w:val="24"/>
        </w:rPr>
        <w:t>PricewaterhouseCoopers. (2022). PwC global economic crime and fraud survey 2022: Fighting fraud — a never-ending battle. PricewaterhouseCoopers LLP.</w:t>
      </w:r>
    </w:p>
    <w:p w14:paraId="6F1032D3" w14:textId="77777777" w:rsidR="00B50FCE" w:rsidRPr="00A97413" w:rsidRDefault="00B50FCE" w:rsidP="00B50FCE">
      <w:pPr>
        <w:spacing w:before="80" w:after="80" w:line="320" w:lineRule="auto"/>
        <w:ind w:left="720" w:hanging="720"/>
        <w:jc w:val="both"/>
        <w:rPr>
          <w:sz w:val="24"/>
          <w:szCs w:val="24"/>
        </w:rPr>
      </w:pPr>
      <w:r w:rsidRPr="00A97413">
        <w:rPr>
          <w:sz w:val="24"/>
          <w:szCs w:val="24"/>
        </w:rPr>
        <w:t>Prudential Regulation Authority. (2021). Supervisory statement SS1/21: Operational resilience: Impact tolerances for important business services. Bank of England.</w:t>
      </w:r>
    </w:p>
    <w:p w14:paraId="5B7ABF30" w14:textId="77777777" w:rsidR="00B50FCE" w:rsidRPr="00A97413" w:rsidRDefault="00B50FCE" w:rsidP="00B50FCE">
      <w:pPr>
        <w:spacing w:before="80" w:after="80" w:line="320" w:lineRule="auto"/>
        <w:ind w:left="720" w:hanging="720"/>
        <w:jc w:val="both"/>
        <w:rPr>
          <w:sz w:val="24"/>
          <w:szCs w:val="24"/>
        </w:rPr>
      </w:pPr>
      <w:r w:rsidRPr="00A97413">
        <w:rPr>
          <w:sz w:val="24"/>
          <w:szCs w:val="24"/>
        </w:rPr>
        <w:t>Ryman-Tubb, N. F., Krause, P., &amp; Garn, W. (2018). How artificial intelligence and machine learning research impacts payment card fraud detection: A systematic review of existing literature. Expert Systems with Applications, 85, 331–347. https://doi.org/10.1016/j.eswa.2017.05.032</w:t>
      </w:r>
    </w:p>
    <w:p w14:paraId="0F057C11" w14:textId="77777777" w:rsidR="00B50FCE" w:rsidRPr="00A97413" w:rsidRDefault="00B50FCE" w:rsidP="00B50FCE">
      <w:pPr>
        <w:spacing w:before="80" w:after="80" w:line="320" w:lineRule="auto"/>
        <w:ind w:left="720" w:hanging="720"/>
        <w:jc w:val="both"/>
        <w:rPr>
          <w:sz w:val="24"/>
          <w:szCs w:val="24"/>
        </w:rPr>
      </w:pPr>
      <w:r w:rsidRPr="00A97413">
        <w:rPr>
          <w:sz w:val="24"/>
          <w:szCs w:val="24"/>
        </w:rPr>
        <w:t>Stupp, C. (2019, August 30). Fraudsters used AI to mimic CEO's voice in unusual cybercrime case. The Wall Street Journal. https://www.wsj.com/articles/fraudsters-use-ai-to-mimic-ceos-voice-in-unusual-cybercrime-case-11567157402</w:t>
      </w:r>
    </w:p>
    <w:p w14:paraId="607553AB" w14:textId="77777777" w:rsidR="00B50FCE" w:rsidRPr="00A97413" w:rsidRDefault="00B50FCE" w:rsidP="00B50FCE">
      <w:pPr>
        <w:spacing w:before="80" w:after="80" w:line="320" w:lineRule="auto"/>
        <w:ind w:left="720" w:hanging="720"/>
        <w:jc w:val="both"/>
        <w:rPr>
          <w:sz w:val="24"/>
          <w:szCs w:val="24"/>
        </w:rPr>
      </w:pPr>
      <w:r w:rsidRPr="00A97413">
        <w:rPr>
          <w:sz w:val="24"/>
          <w:szCs w:val="24"/>
        </w:rPr>
        <w:t>UK Finance. (2020). Annual fraud report 2020: The definitive overview of payment industry fraud. UK Finance Ltd.</w:t>
      </w:r>
    </w:p>
    <w:p w14:paraId="1017A981" w14:textId="77777777" w:rsidR="00B50FCE" w:rsidRPr="00A97413" w:rsidRDefault="00B50FCE" w:rsidP="00B50FCE">
      <w:pPr>
        <w:spacing w:before="80" w:after="80" w:line="320" w:lineRule="auto"/>
        <w:ind w:left="720" w:hanging="720"/>
        <w:jc w:val="both"/>
        <w:rPr>
          <w:sz w:val="24"/>
          <w:szCs w:val="24"/>
        </w:rPr>
      </w:pPr>
      <w:r w:rsidRPr="00A97413">
        <w:rPr>
          <w:sz w:val="24"/>
          <w:szCs w:val="24"/>
        </w:rPr>
        <w:t>UK Finance. (2022). Annual fraud report 2022. UK Finance Ltd.</w:t>
      </w:r>
    </w:p>
    <w:p w14:paraId="76CE804B" w14:textId="77777777" w:rsidR="00B50FCE" w:rsidRPr="00A97413" w:rsidRDefault="00B50FCE" w:rsidP="00B50FCE">
      <w:pPr>
        <w:spacing w:before="80" w:after="80" w:line="320" w:lineRule="auto"/>
        <w:ind w:left="720" w:hanging="720"/>
        <w:jc w:val="both"/>
        <w:rPr>
          <w:sz w:val="24"/>
          <w:szCs w:val="24"/>
        </w:rPr>
      </w:pPr>
      <w:r w:rsidRPr="00A97413">
        <w:rPr>
          <w:sz w:val="24"/>
          <w:szCs w:val="24"/>
        </w:rPr>
        <w:t>UK Finance. (2024). Annual fraud report 2024. UK Finance Ltd.</w:t>
      </w:r>
    </w:p>
    <w:p w14:paraId="6B1CB38E" w14:textId="77777777" w:rsidR="00B50FCE" w:rsidRPr="00A97413" w:rsidRDefault="00B50FCE" w:rsidP="00B50FCE">
      <w:pPr>
        <w:spacing w:before="80" w:after="80" w:line="320" w:lineRule="auto"/>
        <w:ind w:left="720" w:hanging="720"/>
        <w:jc w:val="both"/>
        <w:rPr>
          <w:sz w:val="24"/>
          <w:szCs w:val="24"/>
        </w:rPr>
      </w:pPr>
      <w:r w:rsidRPr="00A97413">
        <w:rPr>
          <w:sz w:val="24"/>
          <w:szCs w:val="24"/>
        </w:rPr>
        <w:t>West, J., &amp; Bhattacharya, M. (2018). Intelligent financial fraud detection: A comprehensive review. Computers &amp; Security, 57, 47–66. https://doi.org/10.1016/j.cose.2015.09.005</w:t>
      </w:r>
    </w:p>
    <w:p w14:paraId="47214798" w14:textId="77777777" w:rsidR="00B50FCE" w:rsidRDefault="00B50FCE" w:rsidP="00B50FCE">
      <w:pPr>
        <w:spacing w:before="80" w:after="80" w:line="320" w:lineRule="auto"/>
        <w:ind w:left="720" w:hanging="720"/>
        <w:jc w:val="both"/>
        <w:rPr>
          <w:sz w:val="24"/>
          <w:szCs w:val="24"/>
        </w:rPr>
      </w:pPr>
      <w:r w:rsidRPr="00A97413">
        <w:rPr>
          <w:sz w:val="24"/>
          <w:szCs w:val="24"/>
        </w:rPr>
        <w:t>Yin, R. K. (2018). Case study research and applications: Design and methods (6th ed.). SAGE Publications.</w:t>
      </w:r>
    </w:p>
    <w:p w14:paraId="62C4798B" w14:textId="77777777" w:rsidR="00B50FCE" w:rsidRPr="00A97413" w:rsidRDefault="00B50FCE" w:rsidP="00B50FCE">
      <w:pPr>
        <w:spacing w:before="80" w:after="80" w:line="320" w:lineRule="auto"/>
        <w:ind w:left="720" w:hanging="720"/>
        <w:jc w:val="both"/>
        <w:rPr>
          <w:sz w:val="24"/>
          <w:szCs w:val="24"/>
        </w:rPr>
      </w:pPr>
    </w:p>
    <w:p w14:paraId="0FB8BC7B" w14:textId="77777777" w:rsidR="002B5A91" w:rsidRDefault="002B5A91"/>
    <w:sectPr w:rsidR="002B5A91" w:rsidSect="00B50FCE">
      <w:pgSz w:w="12240" w:h="15840"/>
      <w:pgMar w:top="1440" w:right="126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6225B"/>
    <w:multiLevelType w:val="hybridMultilevel"/>
    <w:tmpl w:val="80526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06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CE"/>
    <w:rsid w:val="00021F9D"/>
    <w:rsid w:val="00071DF6"/>
    <w:rsid w:val="001701A8"/>
    <w:rsid w:val="002B5A91"/>
    <w:rsid w:val="004B49D3"/>
    <w:rsid w:val="006F6CCD"/>
    <w:rsid w:val="00B50FCE"/>
    <w:rsid w:val="00F71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5FD7"/>
  <w15:chartTrackingRefBased/>
  <w15:docId w15:val="{9FBC4BE8-C17C-4839-87B0-6B8DB6FC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C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50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50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0F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0F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F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F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F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F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FCE"/>
    <w:rPr>
      <w:rFonts w:eastAsiaTheme="majorEastAsia" w:cstheme="majorBidi"/>
      <w:color w:val="272727" w:themeColor="text1" w:themeTint="D8"/>
    </w:rPr>
  </w:style>
  <w:style w:type="paragraph" w:styleId="Title">
    <w:name w:val="Title"/>
    <w:basedOn w:val="Normal"/>
    <w:next w:val="Normal"/>
    <w:link w:val="TitleChar"/>
    <w:uiPriority w:val="10"/>
    <w:qFormat/>
    <w:rsid w:val="00B50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FCE"/>
    <w:pPr>
      <w:spacing w:before="160"/>
      <w:jc w:val="center"/>
    </w:pPr>
    <w:rPr>
      <w:i/>
      <w:iCs/>
      <w:color w:val="404040" w:themeColor="text1" w:themeTint="BF"/>
    </w:rPr>
  </w:style>
  <w:style w:type="character" w:customStyle="1" w:styleId="QuoteChar">
    <w:name w:val="Quote Char"/>
    <w:basedOn w:val="DefaultParagraphFont"/>
    <w:link w:val="Quote"/>
    <w:uiPriority w:val="29"/>
    <w:rsid w:val="00B50FCE"/>
    <w:rPr>
      <w:i/>
      <w:iCs/>
      <w:color w:val="404040" w:themeColor="text1" w:themeTint="BF"/>
    </w:rPr>
  </w:style>
  <w:style w:type="paragraph" w:styleId="ListParagraph">
    <w:name w:val="List Paragraph"/>
    <w:basedOn w:val="Normal"/>
    <w:qFormat/>
    <w:rsid w:val="00B50FCE"/>
    <w:pPr>
      <w:ind w:left="720"/>
      <w:contextualSpacing/>
    </w:pPr>
  </w:style>
  <w:style w:type="character" w:styleId="IntenseEmphasis">
    <w:name w:val="Intense Emphasis"/>
    <w:basedOn w:val="DefaultParagraphFont"/>
    <w:uiPriority w:val="21"/>
    <w:qFormat/>
    <w:rsid w:val="00B50FCE"/>
    <w:rPr>
      <w:i/>
      <w:iCs/>
      <w:color w:val="2F5496" w:themeColor="accent1" w:themeShade="BF"/>
    </w:rPr>
  </w:style>
  <w:style w:type="paragraph" w:styleId="IntenseQuote">
    <w:name w:val="Intense Quote"/>
    <w:basedOn w:val="Normal"/>
    <w:next w:val="Normal"/>
    <w:link w:val="IntenseQuoteChar"/>
    <w:uiPriority w:val="30"/>
    <w:qFormat/>
    <w:rsid w:val="00B50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0FCE"/>
    <w:rPr>
      <w:i/>
      <w:iCs/>
      <w:color w:val="2F5496" w:themeColor="accent1" w:themeShade="BF"/>
    </w:rPr>
  </w:style>
  <w:style w:type="character" w:styleId="IntenseReference">
    <w:name w:val="Intense Reference"/>
    <w:basedOn w:val="DefaultParagraphFont"/>
    <w:uiPriority w:val="32"/>
    <w:qFormat/>
    <w:rsid w:val="00B50FCE"/>
    <w:rPr>
      <w:b/>
      <w:bCs/>
      <w:smallCaps/>
      <w:color w:val="2F5496" w:themeColor="accent1" w:themeShade="BF"/>
      <w:spacing w:val="5"/>
    </w:rPr>
  </w:style>
  <w:style w:type="table" w:styleId="TableGrid">
    <w:name w:val="Table Grid"/>
    <w:basedOn w:val="TableNormal"/>
    <w:uiPriority w:val="39"/>
    <w:rsid w:val="00B50FCE"/>
    <w:pPr>
      <w:spacing w:after="0" w:line="240" w:lineRule="auto"/>
    </w:pPr>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8753</Words>
  <Characters>49896</Characters>
  <Application>Microsoft Office Word</Application>
  <DocSecurity>0</DocSecurity>
  <Lines>415</Lines>
  <Paragraphs>117</Paragraphs>
  <ScaleCrop>false</ScaleCrop>
  <Company/>
  <LinksUpToDate>false</LinksUpToDate>
  <CharactersWithSpaces>58532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Tosin Ajayi</dc:creator>
  <cp:keywords/>
  <dc:description/>
  <cp:lastModifiedBy>Tosin Ajayi</cp:lastModifiedBy>
  <cp:revision>1</cp:revision>
  <dcterms:created xsi:type="dcterms:W3CDTF">2026-03-24T20:41:00Z</dcterms:created>
  <dcterms:modified xsi:type="dcterms:W3CDTF">2026-03-24T20:41:00Z</dcterms:modified>
</cp:coreProperties>
</file>