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F1AC" w14:textId="77777777" w:rsidR="00300BDD" w:rsidRDefault="00300BDD" w:rsidP="00301C9A">
      <w:pPr>
        <w:jc w:val="center"/>
      </w:pPr>
    </w:p>
    <w:p w14:paraId="020FF80E" w14:textId="77777777" w:rsidR="00301C9A" w:rsidRDefault="00301C9A" w:rsidP="00301C9A">
      <w:pPr>
        <w:jc w:val="center"/>
      </w:pPr>
    </w:p>
    <w:p w14:paraId="39ABD6C7" w14:textId="77777777" w:rsidR="00301C9A" w:rsidRDefault="00301C9A" w:rsidP="00301C9A">
      <w:pPr>
        <w:jc w:val="center"/>
      </w:pPr>
    </w:p>
    <w:p w14:paraId="1199C939" w14:textId="77777777" w:rsidR="00D572B2" w:rsidRDefault="00D572B2" w:rsidP="00301C9A">
      <w:pPr>
        <w:jc w:val="center"/>
      </w:pPr>
    </w:p>
    <w:p w14:paraId="2E67EE52" w14:textId="1DD0B76E" w:rsidR="00E14AE9" w:rsidRPr="001C2587" w:rsidRDefault="004B1CF9" w:rsidP="00301C9A">
      <w:pPr>
        <w:jc w:val="center"/>
      </w:pPr>
      <w:r w:rsidRPr="001C2587">
        <w:rPr>
          <w:b/>
          <w:bCs/>
        </w:rPr>
        <w:t>Ease of Use and Perceived Usefulness As a mediating Factor Between ICT Competencies and EFL University Lecturers’ Motivation</w:t>
      </w:r>
    </w:p>
    <w:p w14:paraId="5DFD6171" w14:textId="77777777" w:rsidR="00F82450" w:rsidRPr="000D5D7F" w:rsidRDefault="00F82450" w:rsidP="00EA0950">
      <w:pPr>
        <w:spacing w:line="240" w:lineRule="auto"/>
        <w:jc w:val="center"/>
        <w:rPr>
          <w:sz w:val="22"/>
          <w:szCs w:val="20"/>
        </w:rPr>
      </w:pPr>
    </w:p>
    <w:p w14:paraId="68727FE7" w14:textId="77777777" w:rsidR="00FB6934" w:rsidRPr="000D5D7F" w:rsidRDefault="00FB6934" w:rsidP="00EA0950">
      <w:pPr>
        <w:spacing w:line="240" w:lineRule="auto"/>
        <w:jc w:val="center"/>
        <w:rPr>
          <w:sz w:val="22"/>
          <w:szCs w:val="20"/>
        </w:rPr>
      </w:pPr>
    </w:p>
    <w:p w14:paraId="56B15CFC" w14:textId="77777777" w:rsidR="00FB6934" w:rsidRPr="000D5D7F" w:rsidRDefault="00FB6934" w:rsidP="00EA0950">
      <w:pPr>
        <w:spacing w:line="240" w:lineRule="auto"/>
        <w:jc w:val="center"/>
        <w:rPr>
          <w:sz w:val="22"/>
          <w:szCs w:val="20"/>
        </w:rPr>
      </w:pPr>
    </w:p>
    <w:p w14:paraId="28E54B04" w14:textId="77777777" w:rsidR="00FB6934" w:rsidRPr="000D5D7F" w:rsidRDefault="00FB6934" w:rsidP="00EA0950">
      <w:pPr>
        <w:spacing w:line="240" w:lineRule="auto"/>
        <w:jc w:val="center"/>
        <w:rPr>
          <w:sz w:val="22"/>
          <w:szCs w:val="20"/>
        </w:rPr>
      </w:pPr>
    </w:p>
    <w:p w14:paraId="420FF6FF" w14:textId="77777777" w:rsidR="00FB6934" w:rsidRPr="000D5D7F" w:rsidRDefault="00FB6934" w:rsidP="00EA0950">
      <w:pPr>
        <w:spacing w:line="240" w:lineRule="auto"/>
        <w:jc w:val="center"/>
        <w:rPr>
          <w:sz w:val="22"/>
          <w:szCs w:val="20"/>
        </w:rPr>
      </w:pPr>
    </w:p>
    <w:p w14:paraId="3FA2AD7B" w14:textId="77777777" w:rsidR="00FB6934" w:rsidRPr="000D5D7F" w:rsidRDefault="00FB6934" w:rsidP="00EA0950">
      <w:pPr>
        <w:spacing w:line="240" w:lineRule="auto"/>
        <w:jc w:val="center"/>
        <w:rPr>
          <w:rFonts w:asciiTheme="majorBidi" w:eastAsia="Times New Roman" w:hAnsiTheme="majorBidi" w:cstheme="majorBidi"/>
          <w:sz w:val="22"/>
        </w:rPr>
      </w:pPr>
    </w:p>
    <w:p w14:paraId="1EAE9170" w14:textId="77777777" w:rsidR="00F82450" w:rsidRPr="000D5D7F" w:rsidRDefault="00F82450" w:rsidP="00EA0950">
      <w:pPr>
        <w:spacing w:line="240" w:lineRule="auto"/>
        <w:jc w:val="center"/>
        <w:rPr>
          <w:rFonts w:asciiTheme="majorBidi" w:eastAsia="Times New Roman" w:hAnsiTheme="majorBidi" w:cstheme="majorBidi"/>
          <w:sz w:val="22"/>
        </w:rPr>
      </w:pPr>
    </w:p>
    <w:p w14:paraId="0033750F" w14:textId="77777777" w:rsidR="00F82450" w:rsidRPr="000D5D7F" w:rsidRDefault="00F82450" w:rsidP="00EA0950">
      <w:pPr>
        <w:spacing w:line="240" w:lineRule="auto"/>
        <w:jc w:val="center"/>
        <w:rPr>
          <w:rFonts w:asciiTheme="majorBidi" w:eastAsia="Times New Roman" w:hAnsiTheme="majorBidi" w:cstheme="majorBidi"/>
          <w:sz w:val="22"/>
        </w:rPr>
      </w:pPr>
    </w:p>
    <w:p w14:paraId="16AB8FC9" w14:textId="77777777" w:rsidR="00F82450" w:rsidRPr="000D5D7F" w:rsidRDefault="00F82450" w:rsidP="00EA0950">
      <w:pPr>
        <w:spacing w:line="240" w:lineRule="auto"/>
        <w:jc w:val="center"/>
        <w:rPr>
          <w:rFonts w:asciiTheme="majorBidi" w:eastAsia="Times New Roman" w:hAnsiTheme="majorBidi" w:cstheme="majorBidi"/>
          <w:szCs w:val="24"/>
        </w:rPr>
      </w:pPr>
    </w:p>
    <w:p w14:paraId="7C038097" w14:textId="77777777" w:rsidR="00F82450" w:rsidRPr="000D5D7F" w:rsidRDefault="00F82450" w:rsidP="00EA0950">
      <w:pPr>
        <w:spacing w:line="240" w:lineRule="auto"/>
        <w:jc w:val="center"/>
        <w:rPr>
          <w:rFonts w:asciiTheme="majorBidi" w:eastAsia="Times New Roman" w:hAnsiTheme="majorBidi" w:cstheme="majorBidi"/>
          <w:szCs w:val="24"/>
        </w:rPr>
      </w:pPr>
    </w:p>
    <w:p w14:paraId="32490F1A" w14:textId="77777777" w:rsidR="00F82450" w:rsidRPr="000D5D7F" w:rsidRDefault="00F82450" w:rsidP="00EA0950">
      <w:pPr>
        <w:spacing w:line="240" w:lineRule="auto"/>
        <w:jc w:val="center"/>
        <w:rPr>
          <w:rFonts w:asciiTheme="majorBidi" w:eastAsia="Times New Roman" w:hAnsiTheme="majorBidi" w:cstheme="majorBidi"/>
          <w:szCs w:val="24"/>
        </w:rPr>
      </w:pPr>
    </w:p>
    <w:p w14:paraId="0567B531" w14:textId="77777777" w:rsidR="00F82450" w:rsidRPr="000D5D7F" w:rsidRDefault="00F82450" w:rsidP="00EA0950">
      <w:pPr>
        <w:spacing w:line="240" w:lineRule="auto"/>
        <w:jc w:val="center"/>
        <w:rPr>
          <w:rFonts w:asciiTheme="majorBidi" w:eastAsia="Times New Roman" w:hAnsiTheme="majorBidi" w:cstheme="majorBidi"/>
          <w:szCs w:val="24"/>
        </w:rPr>
      </w:pPr>
    </w:p>
    <w:p w14:paraId="454BEEC0" w14:textId="77777777" w:rsidR="00F82450" w:rsidRPr="000D5D7F" w:rsidRDefault="00F82450" w:rsidP="00EA0950">
      <w:pPr>
        <w:spacing w:line="240" w:lineRule="auto"/>
        <w:jc w:val="center"/>
        <w:rPr>
          <w:rFonts w:asciiTheme="majorBidi" w:eastAsia="Times New Roman" w:hAnsiTheme="majorBidi" w:cstheme="majorBidi"/>
          <w:szCs w:val="24"/>
        </w:rPr>
      </w:pPr>
    </w:p>
    <w:p w14:paraId="2EA9251E" w14:textId="77777777" w:rsidR="00F82450" w:rsidRPr="000D5D7F" w:rsidRDefault="00F82450" w:rsidP="00EA0950">
      <w:pPr>
        <w:spacing w:line="240" w:lineRule="auto"/>
        <w:jc w:val="center"/>
        <w:rPr>
          <w:rFonts w:asciiTheme="majorBidi" w:eastAsia="Times New Roman" w:hAnsiTheme="majorBidi" w:cstheme="majorBidi"/>
          <w:szCs w:val="24"/>
        </w:rPr>
      </w:pPr>
    </w:p>
    <w:p w14:paraId="1F5503FA" w14:textId="77777777" w:rsidR="00F82450" w:rsidRPr="000D5D7F" w:rsidRDefault="00F82450" w:rsidP="00EA0950">
      <w:pPr>
        <w:spacing w:line="240" w:lineRule="auto"/>
        <w:jc w:val="center"/>
        <w:rPr>
          <w:rFonts w:asciiTheme="majorBidi" w:eastAsia="Times New Roman" w:hAnsiTheme="majorBidi" w:cstheme="majorBidi"/>
          <w:szCs w:val="24"/>
        </w:rPr>
      </w:pPr>
    </w:p>
    <w:p w14:paraId="09304A86" w14:textId="77777777" w:rsidR="00F82450" w:rsidRPr="000D5D7F" w:rsidRDefault="00F82450" w:rsidP="00EA0950">
      <w:pPr>
        <w:spacing w:line="240" w:lineRule="auto"/>
        <w:jc w:val="center"/>
        <w:rPr>
          <w:rFonts w:asciiTheme="majorBidi" w:eastAsia="Times New Roman" w:hAnsiTheme="majorBidi" w:cstheme="majorBidi"/>
          <w:szCs w:val="24"/>
        </w:rPr>
      </w:pPr>
    </w:p>
    <w:p w14:paraId="6A56AE40" w14:textId="77777777" w:rsidR="00F82450" w:rsidRPr="000D5D7F" w:rsidRDefault="00F82450" w:rsidP="00EA0950">
      <w:pPr>
        <w:spacing w:line="240" w:lineRule="auto"/>
        <w:jc w:val="center"/>
        <w:rPr>
          <w:rFonts w:asciiTheme="majorBidi" w:eastAsia="Times New Roman" w:hAnsiTheme="majorBidi" w:cstheme="majorBidi"/>
          <w:szCs w:val="24"/>
        </w:rPr>
      </w:pPr>
    </w:p>
    <w:p w14:paraId="1639E6C1" w14:textId="77777777" w:rsidR="00F82450" w:rsidRPr="000D5D7F" w:rsidRDefault="00F82450" w:rsidP="00EA0950">
      <w:pPr>
        <w:spacing w:line="240" w:lineRule="auto"/>
        <w:jc w:val="center"/>
        <w:rPr>
          <w:rFonts w:asciiTheme="majorBidi" w:eastAsia="Times New Roman" w:hAnsiTheme="majorBidi" w:cstheme="majorBidi"/>
          <w:szCs w:val="24"/>
        </w:rPr>
      </w:pPr>
    </w:p>
    <w:p w14:paraId="73C68406" w14:textId="77777777" w:rsidR="00F82450" w:rsidRPr="000D5D7F" w:rsidRDefault="00F82450" w:rsidP="00EA0950">
      <w:pPr>
        <w:spacing w:line="240" w:lineRule="auto"/>
        <w:jc w:val="center"/>
        <w:rPr>
          <w:rFonts w:asciiTheme="majorBidi" w:eastAsia="Times New Roman" w:hAnsiTheme="majorBidi" w:cstheme="majorBidi"/>
          <w:szCs w:val="24"/>
        </w:rPr>
      </w:pPr>
    </w:p>
    <w:p w14:paraId="70394362" w14:textId="77777777" w:rsidR="00F82450" w:rsidRPr="000D5D7F" w:rsidRDefault="00F82450" w:rsidP="00EA0950">
      <w:pPr>
        <w:spacing w:line="240" w:lineRule="auto"/>
        <w:jc w:val="center"/>
        <w:rPr>
          <w:rFonts w:asciiTheme="majorBidi" w:eastAsia="Times New Roman" w:hAnsiTheme="majorBidi" w:cstheme="majorBidi"/>
          <w:szCs w:val="24"/>
        </w:rPr>
      </w:pPr>
    </w:p>
    <w:p w14:paraId="6DB2A069" w14:textId="77777777" w:rsidR="00F82450" w:rsidRPr="000D5D7F" w:rsidRDefault="00F82450" w:rsidP="00EA0950">
      <w:pPr>
        <w:spacing w:line="240" w:lineRule="auto"/>
        <w:jc w:val="center"/>
        <w:rPr>
          <w:rFonts w:asciiTheme="majorBidi" w:eastAsia="Times New Roman" w:hAnsiTheme="majorBidi" w:cstheme="majorBidi"/>
          <w:szCs w:val="24"/>
        </w:rPr>
      </w:pPr>
    </w:p>
    <w:p w14:paraId="164E5CA3" w14:textId="77777777" w:rsidR="00F82450" w:rsidRPr="000D5D7F" w:rsidRDefault="00F82450" w:rsidP="00EA0950">
      <w:pPr>
        <w:spacing w:line="240" w:lineRule="auto"/>
        <w:jc w:val="center"/>
        <w:rPr>
          <w:rFonts w:asciiTheme="majorBidi" w:eastAsia="Times New Roman" w:hAnsiTheme="majorBidi" w:cstheme="majorBidi"/>
          <w:szCs w:val="24"/>
        </w:rPr>
      </w:pPr>
    </w:p>
    <w:p w14:paraId="7BB3B585" w14:textId="77777777" w:rsidR="00F82450" w:rsidRPr="000D5D7F" w:rsidRDefault="00F82450" w:rsidP="00EA0950">
      <w:pPr>
        <w:spacing w:line="240" w:lineRule="auto"/>
        <w:jc w:val="center"/>
        <w:rPr>
          <w:rFonts w:asciiTheme="majorBidi" w:eastAsia="Times New Roman" w:hAnsiTheme="majorBidi" w:cstheme="majorBidi"/>
          <w:szCs w:val="24"/>
        </w:rPr>
      </w:pPr>
    </w:p>
    <w:p w14:paraId="32BD80B3" w14:textId="77777777" w:rsidR="00F82450" w:rsidRPr="000D5D7F" w:rsidRDefault="00F82450" w:rsidP="00EA0950">
      <w:pPr>
        <w:spacing w:line="240" w:lineRule="auto"/>
        <w:jc w:val="center"/>
        <w:rPr>
          <w:rFonts w:asciiTheme="majorBidi" w:eastAsia="Times New Roman" w:hAnsiTheme="majorBidi" w:cstheme="majorBidi"/>
          <w:szCs w:val="24"/>
        </w:rPr>
      </w:pPr>
    </w:p>
    <w:p w14:paraId="19ED77E2" w14:textId="77777777" w:rsidR="00F82450" w:rsidRPr="000D5D7F" w:rsidRDefault="00F82450" w:rsidP="00EA0950">
      <w:pPr>
        <w:spacing w:line="240" w:lineRule="auto"/>
        <w:jc w:val="center"/>
        <w:rPr>
          <w:rFonts w:asciiTheme="majorBidi" w:eastAsia="Times New Roman" w:hAnsiTheme="majorBidi" w:cstheme="majorBidi"/>
          <w:szCs w:val="24"/>
        </w:rPr>
      </w:pPr>
    </w:p>
    <w:p w14:paraId="5D5F1337" w14:textId="77777777" w:rsidR="00F82450" w:rsidRPr="000D5D7F" w:rsidRDefault="00F82450" w:rsidP="00EA0950">
      <w:pPr>
        <w:spacing w:line="240" w:lineRule="auto"/>
        <w:jc w:val="center"/>
        <w:rPr>
          <w:rFonts w:asciiTheme="majorBidi" w:eastAsia="Times New Roman" w:hAnsiTheme="majorBidi" w:cstheme="majorBidi"/>
          <w:szCs w:val="24"/>
        </w:rPr>
      </w:pPr>
    </w:p>
    <w:p w14:paraId="60771165" w14:textId="77777777" w:rsidR="00CB61AC" w:rsidRPr="000D5D7F" w:rsidRDefault="00CB61AC" w:rsidP="00EA0950">
      <w:pPr>
        <w:spacing w:line="240" w:lineRule="auto"/>
        <w:jc w:val="center"/>
        <w:rPr>
          <w:rFonts w:asciiTheme="majorBidi" w:eastAsia="Times New Roman" w:hAnsiTheme="majorBidi" w:cstheme="majorBidi"/>
          <w:szCs w:val="24"/>
        </w:rPr>
      </w:pPr>
    </w:p>
    <w:p w14:paraId="71DF3F81" w14:textId="77777777" w:rsidR="00CB61AC" w:rsidRPr="000D5D7F" w:rsidRDefault="00CB61AC" w:rsidP="00EA0950">
      <w:pPr>
        <w:spacing w:line="240" w:lineRule="auto"/>
        <w:jc w:val="center"/>
        <w:rPr>
          <w:rFonts w:asciiTheme="majorBidi" w:eastAsia="Times New Roman" w:hAnsiTheme="majorBidi" w:cstheme="majorBidi"/>
          <w:szCs w:val="24"/>
        </w:rPr>
      </w:pPr>
    </w:p>
    <w:p w14:paraId="3AAA057F" w14:textId="77777777" w:rsidR="00FB6934" w:rsidRPr="000D5D7F" w:rsidRDefault="00FB6934" w:rsidP="00EA0950">
      <w:pPr>
        <w:spacing w:line="240" w:lineRule="auto"/>
        <w:jc w:val="center"/>
        <w:rPr>
          <w:rFonts w:asciiTheme="majorBidi" w:eastAsia="Times New Roman" w:hAnsiTheme="majorBidi" w:cstheme="majorBidi"/>
          <w:szCs w:val="24"/>
        </w:rPr>
      </w:pPr>
    </w:p>
    <w:p w14:paraId="7D9BDDAF" w14:textId="77777777" w:rsidR="00FB6934" w:rsidRPr="000D5D7F" w:rsidRDefault="00FB6934" w:rsidP="00EA0950">
      <w:pPr>
        <w:spacing w:line="240" w:lineRule="auto"/>
        <w:jc w:val="center"/>
        <w:rPr>
          <w:rFonts w:asciiTheme="majorBidi" w:eastAsia="Times New Roman" w:hAnsiTheme="majorBidi" w:cstheme="majorBidi"/>
          <w:szCs w:val="24"/>
        </w:rPr>
      </w:pPr>
    </w:p>
    <w:p w14:paraId="5EA666D5" w14:textId="77777777" w:rsidR="00FB6934" w:rsidRPr="000D5D7F" w:rsidRDefault="00FB6934" w:rsidP="00EA0950">
      <w:pPr>
        <w:spacing w:line="240" w:lineRule="auto"/>
        <w:jc w:val="center"/>
        <w:rPr>
          <w:rFonts w:asciiTheme="majorBidi" w:eastAsia="Times New Roman" w:hAnsiTheme="majorBidi" w:cstheme="majorBidi"/>
          <w:szCs w:val="24"/>
        </w:rPr>
      </w:pPr>
    </w:p>
    <w:p w14:paraId="66455D96" w14:textId="77777777" w:rsidR="00FB6934" w:rsidRPr="000D5D7F" w:rsidRDefault="00FB6934" w:rsidP="00EA0950">
      <w:pPr>
        <w:spacing w:line="240" w:lineRule="auto"/>
        <w:jc w:val="center"/>
        <w:rPr>
          <w:rFonts w:asciiTheme="majorBidi" w:eastAsia="Times New Roman" w:hAnsiTheme="majorBidi" w:cstheme="majorBidi"/>
          <w:szCs w:val="24"/>
        </w:rPr>
      </w:pPr>
    </w:p>
    <w:p w14:paraId="52E5221D" w14:textId="77777777" w:rsidR="00FB6934" w:rsidRPr="000D5D7F" w:rsidRDefault="00FB6934" w:rsidP="00EA0950">
      <w:pPr>
        <w:spacing w:line="240" w:lineRule="auto"/>
        <w:jc w:val="center"/>
        <w:rPr>
          <w:rFonts w:asciiTheme="majorBidi" w:eastAsia="Times New Roman" w:hAnsiTheme="majorBidi" w:cstheme="majorBidi"/>
          <w:szCs w:val="24"/>
        </w:rPr>
      </w:pPr>
    </w:p>
    <w:p w14:paraId="4442498D" w14:textId="77777777" w:rsidR="00F82450" w:rsidRPr="000D5D7F" w:rsidRDefault="00F82450" w:rsidP="00EA0950">
      <w:pPr>
        <w:spacing w:line="240" w:lineRule="auto"/>
        <w:jc w:val="center"/>
        <w:rPr>
          <w:rFonts w:asciiTheme="majorBidi" w:eastAsia="Times New Roman" w:hAnsiTheme="majorBidi" w:cstheme="majorBidi"/>
          <w:szCs w:val="24"/>
        </w:rPr>
      </w:pPr>
    </w:p>
    <w:p w14:paraId="011551ED" w14:textId="77777777" w:rsidR="00F82450" w:rsidRPr="000D5D7F" w:rsidRDefault="00F82450" w:rsidP="00EA0950">
      <w:pPr>
        <w:spacing w:line="240" w:lineRule="auto"/>
        <w:jc w:val="center"/>
        <w:rPr>
          <w:rFonts w:asciiTheme="majorBidi" w:eastAsia="Times New Roman" w:hAnsiTheme="majorBidi" w:cstheme="majorBidi"/>
          <w:szCs w:val="24"/>
        </w:rPr>
      </w:pPr>
    </w:p>
    <w:p w14:paraId="7874A287" w14:textId="29F4B2BD" w:rsidR="00EA0950" w:rsidRPr="000D5D7F" w:rsidRDefault="00EA0950" w:rsidP="00EA0950">
      <w:pPr>
        <w:spacing w:line="240" w:lineRule="auto"/>
        <w:jc w:val="center"/>
        <w:rPr>
          <w:b/>
          <w:bCs/>
        </w:rPr>
      </w:pPr>
      <w:r w:rsidRPr="000D5D7F">
        <w:rPr>
          <w:b/>
          <w:bCs/>
        </w:rPr>
        <w:lastRenderedPageBreak/>
        <w:t>Abstract</w:t>
      </w:r>
    </w:p>
    <w:p w14:paraId="2D8BFD92" w14:textId="77777777" w:rsidR="00EA0950" w:rsidRPr="000D5D7F" w:rsidRDefault="00EA0950" w:rsidP="00EA0950">
      <w:pPr>
        <w:spacing w:line="240" w:lineRule="auto"/>
        <w:jc w:val="center"/>
      </w:pPr>
    </w:p>
    <w:p w14:paraId="1FB22C8E" w14:textId="5696271F" w:rsidR="008C7D13" w:rsidRPr="001C2587" w:rsidRDefault="008C7D13" w:rsidP="00503AF8">
      <w:pPr>
        <w:pStyle w:val="Els-Abstract-text"/>
        <w:spacing w:line="480" w:lineRule="auto"/>
        <w:rPr>
          <w:sz w:val="24"/>
          <w:szCs w:val="22"/>
        </w:rPr>
      </w:pPr>
      <w:r w:rsidRPr="001C2587">
        <w:rPr>
          <w:sz w:val="24"/>
          <w:szCs w:val="22"/>
        </w:rPr>
        <w:t xml:space="preserve">The study's goal is to look at ease of use and perceived utility as a mediating factor in the relationship between ICT competencies and motivation among EFL professors. The TAM sample theory is used to investigate the primary criteria, "perceived ease of use &amp; perceived usefulness." The study used </w:t>
      </w:r>
      <w:r w:rsidR="00503AF8" w:rsidRPr="001C2587">
        <w:rPr>
          <w:sz w:val="24"/>
          <w:szCs w:val="22"/>
        </w:rPr>
        <w:t>exploratory</w:t>
      </w:r>
      <w:r w:rsidRPr="001C2587">
        <w:rPr>
          <w:sz w:val="24"/>
          <w:szCs w:val="22"/>
        </w:rPr>
        <w:t>, descriptive, and survey methods to analyze data. The participants are currently enrolled in King Khalid University. The goal is to choose areas where the researchers want to disclose significant facts about the study's purpose. The data-gathering tool was a 5-point Likert scale-based questionnaire. Furthermore, investigate the barriers and strategies for overcoming these issues. The findings show that there is a statistically significant association between obstacles, ease of use, and sense of interest. Moreover, there is a statistically significant association between ease of use and intentions. However, no statistical relationship exists between barriers, intentions, and trends. The study recommended that EFL professors be kept up to date on rapid technological advances and that motivation be activated at universities to assess ease of use and perceived utility.</w:t>
      </w:r>
    </w:p>
    <w:p w14:paraId="16D61CC8" w14:textId="2881EC4F" w:rsidR="009C68DA" w:rsidRPr="000D5D7F" w:rsidRDefault="004930B3" w:rsidP="009C68DA">
      <w:pPr>
        <w:pStyle w:val="Els-Abstract-text"/>
        <w:spacing w:line="240" w:lineRule="auto"/>
        <w:rPr>
          <w:sz w:val="22"/>
          <w:szCs w:val="22"/>
        </w:rPr>
      </w:pPr>
      <w:r w:rsidRPr="000D5D7F">
        <w:rPr>
          <w:i/>
          <w:sz w:val="22"/>
          <w:szCs w:val="22"/>
        </w:rPr>
        <w:t>Keywords</w:t>
      </w:r>
      <w:r w:rsidR="00A830D6">
        <w:rPr>
          <w:i/>
          <w:iCs/>
          <w:sz w:val="22"/>
          <w:szCs w:val="22"/>
        </w:rPr>
        <w:t xml:space="preserve">: </w:t>
      </w:r>
      <w:r w:rsidR="009C68DA" w:rsidRPr="00A830D6">
        <w:rPr>
          <w:sz w:val="22"/>
          <w:szCs w:val="22"/>
        </w:rPr>
        <w:t xml:space="preserve">EFL lecturers; Ease of </w:t>
      </w:r>
      <w:r w:rsidR="00A830D6" w:rsidRPr="00A830D6">
        <w:rPr>
          <w:sz w:val="22"/>
          <w:szCs w:val="22"/>
        </w:rPr>
        <w:t>use; perceived</w:t>
      </w:r>
      <w:r w:rsidR="009C68DA" w:rsidRPr="00A830D6">
        <w:rPr>
          <w:sz w:val="22"/>
          <w:szCs w:val="22"/>
        </w:rPr>
        <w:t xml:space="preserve"> usefulness; Technology competencies</w:t>
      </w:r>
    </w:p>
    <w:p w14:paraId="4C5EBE98" w14:textId="2F1AD6A3" w:rsidR="000105C2" w:rsidRPr="000D5D7F" w:rsidRDefault="000105C2" w:rsidP="00292C53">
      <w:pPr>
        <w:spacing w:line="240" w:lineRule="auto"/>
        <w:ind w:firstLine="720"/>
      </w:pPr>
    </w:p>
    <w:p w14:paraId="1F6D90A3" w14:textId="77777777" w:rsidR="00F452B3" w:rsidRPr="000D5D7F" w:rsidRDefault="00F452B3" w:rsidP="00F452B3">
      <w:pPr>
        <w:pStyle w:val="Els-body-text"/>
        <w:spacing w:line="240" w:lineRule="auto"/>
        <w:ind w:firstLine="0"/>
        <w:jc w:val="center"/>
        <w:rPr>
          <w:b/>
          <w:bCs/>
          <w:sz w:val="22"/>
          <w:szCs w:val="22"/>
        </w:rPr>
      </w:pPr>
      <w:r w:rsidRPr="000D5D7F">
        <w:rPr>
          <w:b/>
          <w:bCs/>
          <w:sz w:val="22"/>
          <w:szCs w:val="22"/>
        </w:rPr>
        <w:t xml:space="preserve">Introduction </w:t>
      </w:r>
    </w:p>
    <w:p w14:paraId="4952781C" w14:textId="77777777" w:rsidR="00F452B3" w:rsidRPr="000D5D7F" w:rsidRDefault="00F452B3" w:rsidP="00F452B3">
      <w:pPr>
        <w:pStyle w:val="Els-body-text"/>
        <w:spacing w:line="240" w:lineRule="auto"/>
        <w:ind w:firstLine="0"/>
        <w:jc w:val="left"/>
        <w:rPr>
          <w:b/>
          <w:bCs/>
          <w:sz w:val="22"/>
          <w:szCs w:val="22"/>
        </w:rPr>
      </w:pPr>
    </w:p>
    <w:p w14:paraId="37221746" w14:textId="77777777" w:rsidR="00A77234" w:rsidRPr="001C2587" w:rsidRDefault="00435FD6" w:rsidP="000076FC">
      <w:pPr>
        <w:pStyle w:val="NormalWeb"/>
        <w:spacing w:line="480" w:lineRule="auto"/>
        <w:ind w:firstLine="720"/>
        <w:jc w:val="both"/>
        <w:rPr>
          <w:szCs w:val="28"/>
        </w:rPr>
      </w:pPr>
      <w:r w:rsidRPr="001C2587">
        <w:rPr>
          <w:szCs w:val="28"/>
        </w:rPr>
        <w:t xml:space="preserve">One of the main goals of bringing information and communication technologies (ICTs) into university classrooms is to assist teachers in learning new and creative ways to use ICTs. This is partly because teachers must enhance their knowledge and teaching skills to effectively use modern ICT tools in the classroom, such as flipped classrooms, mobile apps, clickers, interactive multimedia, audio devices, the internet, telephones and VoIP, mobile gadgets, instructional television, computer games, teaching machines, interactive whiteboards, programmed instruction, </w:t>
      </w:r>
      <w:r w:rsidRPr="001C2587">
        <w:rPr>
          <w:szCs w:val="28"/>
        </w:rPr>
        <w:lastRenderedPageBreak/>
        <w:t>and more. Digital competence refers to the proficient utilization of digital technology in diverse contexts (Baartman et al., 2011). The improvement of digital skills among lecturers is the first step in dealing with the challenges brought by technological progress. The next step is creating teaching activities that help students gain important digital skills needed to succeed today. Billett et al. (2018) and Okoro (2013) say that competence includes the knowledge, skills, and behaviors someone needs to meet certain performance standards. Competency can also mean the traits or abilities that let a person carry out specific tasks properly. It shows what someone can do in their job, so when the job requires certain actions to achieve goals, the person uses their inner qualities to respond effectively (Nzilano, 2013).</w:t>
      </w:r>
    </w:p>
    <w:p w14:paraId="2F11FD7A" w14:textId="77777777" w:rsidR="00AF46BE" w:rsidRPr="001C2587" w:rsidRDefault="00AF46BE" w:rsidP="00AF46BE">
      <w:pPr>
        <w:spacing w:after="200"/>
        <w:ind w:firstLine="720"/>
        <w:jc w:val="both"/>
        <w:rPr>
          <w:rFonts w:eastAsia="Times New Roman"/>
          <w:szCs w:val="24"/>
        </w:rPr>
      </w:pPr>
      <w:r w:rsidRPr="001C2587">
        <w:rPr>
          <w:rFonts w:eastAsia="Times New Roman"/>
          <w:szCs w:val="24"/>
        </w:rPr>
        <w:t>A substantial body of research from Saudi Arabia has examined the perceptions of English as a Foreign Language (EFL) lecturers regarding the integration of technology in lecture halls (Al-Ahdal &amp; Alharbi, 2021; Al-Ahdal &amp; Shariq, 2019; Allam et al., 2016). (Elstad &amp; Christophersen, 2017) and (Nugroho &amp; Mutiaraningrum, 2020) indicate a discrepancy between the self-perceived competence of EFL lecturers and their real proficiency in utilizing technology. Given this information deficit, the principal objective of the research is to evaluate the technological proficiency of Saudi English as a Foreign Language (EFL) lecturers, considering factors such as their training and the obstacles they faced.</w:t>
      </w:r>
    </w:p>
    <w:p w14:paraId="2139BB22" w14:textId="63480B78" w:rsidR="00F452B3" w:rsidRPr="001C2587" w:rsidRDefault="00F452B3" w:rsidP="00F452B3">
      <w:pPr>
        <w:spacing w:after="200"/>
        <w:ind w:firstLine="720"/>
        <w:jc w:val="both"/>
        <w:rPr>
          <w:szCs w:val="24"/>
        </w:rPr>
      </w:pPr>
      <w:r w:rsidRPr="001C2587">
        <w:rPr>
          <w:szCs w:val="24"/>
        </w:rPr>
        <w:t>There is a critical view that lecturers’ digital abilities are lacking compared to adults in other industries. For example, lecturers are not as good at addressing problems in technology-rich environments (TRE) as adults in other fields. Still, it's important to keep in mind that lecturers’ proficiency with technology is distinct from their competence in digital classroom instruction, albeit this critical notion. According to Colbert et al.</w:t>
      </w:r>
      <w:r w:rsidR="000D5D7F" w:rsidRPr="001C2587">
        <w:rPr>
          <w:szCs w:val="24"/>
        </w:rPr>
        <w:t>(</w:t>
      </w:r>
      <w:r w:rsidRPr="001C2587">
        <w:rPr>
          <w:szCs w:val="24"/>
        </w:rPr>
        <w:t>2008)</w:t>
      </w:r>
      <w:r w:rsidR="000D5D7F" w:rsidRPr="001C2587">
        <w:rPr>
          <w:szCs w:val="24"/>
        </w:rPr>
        <w:t xml:space="preserve"> </w:t>
      </w:r>
      <w:r w:rsidRPr="001C2587">
        <w:rPr>
          <w:szCs w:val="24"/>
        </w:rPr>
        <w:t xml:space="preserve">when trying to figure out if technology helps students learn, we need to think about "the impact of students' linguistic and cultural </w:t>
      </w:r>
      <w:r w:rsidRPr="001C2587">
        <w:rPr>
          <w:szCs w:val="24"/>
        </w:rPr>
        <w:lastRenderedPageBreak/>
        <w:t>backgrounds on technology use, variables that facilitate or impede language acquisition, and the enhancement of language competence" (p. 6-7).As a result of technological advancements, EFL lecturers should employ less traditional classroom practices. Teaching English as a foreign language in Saudi Arabia requires educators to master the use of technology to meet the needs of their students and help them achieve their learning objectives. This is demonstrated by the fact that most Saudi English as a Foreign Language (EFL) lecturers are unprepared to serve as role models when it comes to using technology. This discordance in ICT usage is indicative of a large gap between the private and public spheres of technology use among EFL educators.</w:t>
      </w:r>
    </w:p>
    <w:p w14:paraId="45EB3704" w14:textId="43A191CD" w:rsidR="00D30318" w:rsidRPr="001C2587" w:rsidRDefault="00D30318" w:rsidP="00D30318">
      <w:pPr>
        <w:pStyle w:val="NormalWeb"/>
        <w:spacing w:line="480" w:lineRule="auto"/>
        <w:jc w:val="both"/>
        <w:rPr>
          <w:szCs w:val="28"/>
          <w:lang w:eastAsia="de-DE"/>
        </w:rPr>
      </w:pPr>
      <w:r w:rsidRPr="001C2587">
        <w:rPr>
          <w:szCs w:val="28"/>
          <w:lang w:eastAsia="de-DE"/>
        </w:rPr>
        <w:t>The study was conducted to investigate the ease of use and perceived utility in the relationship between ICT abilities and university teachers' motivation, specifically at King Khalid University. The study focuses primarily on the hurdles to properly implementing ICT in teaching and learning within lecture halls. The questionnaire categorizes barriers such as ICT literacy, knowledge, ICT ease of use, perceived utility, trends, and intention to utilize ICT technologies for EFL university teachers. Thus, the study attempts to determine lecturers' ease of use and perceived utility in employing information technology in lecture halls. Furthermore, the study focuses on the perceived utility of lecturers acquiring appropriate abilities, as well as positive attitudes and confidence in professional growth or training to employ integrated technology in university teaching. Furthermore, the study aims to identify the rational factors that hinder the development of technological competence.</w:t>
      </w:r>
    </w:p>
    <w:p w14:paraId="6FB192B6" w14:textId="77777777" w:rsidR="00F452B3" w:rsidRPr="001C2587" w:rsidRDefault="00F452B3" w:rsidP="00813368">
      <w:pPr>
        <w:pStyle w:val="NormalWeb"/>
        <w:spacing w:line="480" w:lineRule="auto"/>
        <w:jc w:val="both"/>
        <w:rPr>
          <w:b/>
          <w:bCs/>
          <w:lang w:eastAsia="de-DE"/>
        </w:rPr>
      </w:pPr>
      <w:r w:rsidRPr="001C2587">
        <w:rPr>
          <w:b/>
          <w:bCs/>
          <w:lang w:eastAsia="de-DE"/>
        </w:rPr>
        <w:t xml:space="preserve">Questions and the Hypotheses of the Study  </w:t>
      </w:r>
    </w:p>
    <w:p w14:paraId="0A563A85" w14:textId="47E16FE2" w:rsidR="00F452B3" w:rsidRPr="001C2587" w:rsidRDefault="00F452B3" w:rsidP="00813368">
      <w:pPr>
        <w:pStyle w:val="ListParagraph"/>
        <w:numPr>
          <w:ilvl w:val="0"/>
          <w:numId w:val="28"/>
        </w:numPr>
        <w:spacing w:line="480" w:lineRule="auto"/>
        <w:rPr>
          <w:sz w:val="24"/>
          <w:szCs w:val="24"/>
          <w:lang w:val="en-US"/>
        </w:rPr>
      </w:pPr>
      <w:r w:rsidRPr="001C2587">
        <w:rPr>
          <w:sz w:val="24"/>
          <w:szCs w:val="24"/>
          <w:lang w:val="en-US"/>
        </w:rPr>
        <w:t xml:space="preserve">What is the ease of use and perceived usefulness possessed by the lecturers in </w:t>
      </w:r>
      <w:proofErr w:type="gramStart"/>
      <w:r w:rsidRPr="001C2587">
        <w:rPr>
          <w:sz w:val="24"/>
          <w:szCs w:val="24"/>
          <w:lang w:val="en-US"/>
        </w:rPr>
        <w:t>teaching  at</w:t>
      </w:r>
      <w:proofErr w:type="gramEnd"/>
      <w:r w:rsidRPr="001C2587">
        <w:rPr>
          <w:sz w:val="24"/>
          <w:szCs w:val="24"/>
          <w:lang w:val="en-US"/>
        </w:rPr>
        <w:t xml:space="preserve">  King Khalid </w:t>
      </w:r>
      <w:r w:rsidR="00FE0602" w:rsidRPr="001C2587">
        <w:rPr>
          <w:sz w:val="24"/>
          <w:szCs w:val="24"/>
          <w:lang w:val="en-US"/>
        </w:rPr>
        <w:t>University?</w:t>
      </w:r>
    </w:p>
    <w:p w14:paraId="572B7C2C" w14:textId="77777777" w:rsidR="00412864" w:rsidRPr="001C2587" w:rsidRDefault="00F452B3" w:rsidP="00412864">
      <w:pPr>
        <w:pStyle w:val="ListParagraph"/>
        <w:numPr>
          <w:ilvl w:val="0"/>
          <w:numId w:val="28"/>
        </w:numPr>
        <w:spacing w:after="200" w:line="480" w:lineRule="auto"/>
        <w:jc w:val="both"/>
        <w:rPr>
          <w:sz w:val="24"/>
          <w:szCs w:val="24"/>
          <w:lang w:val="en-US"/>
        </w:rPr>
      </w:pPr>
      <w:bookmarkStart w:id="0" w:name="_Hlk190476057"/>
      <w:r w:rsidRPr="001C2587">
        <w:rPr>
          <w:sz w:val="24"/>
          <w:szCs w:val="24"/>
          <w:lang w:val="en-US"/>
        </w:rPr>
        <w:lastRenderedPageBreak/>
        <w:t xml:space="preserve">Do EFL University lectures </w:t>
      </w:r>
      <w:r w:rsidR="00BD2F36" w:rsidRPr="001C2587">
        <w:rPr>
          <w:sz w:val="24"/>
          <w:szCs w:val="24"/>
          <w:lang w:val="en-US"/>
        </w:rPr>
        <w:t>be motivated</w:t>
      </w:r>
      <w:r w:rsidRPr="001C2587">
        <w:rPr>
          <w:sz w:val="24"/>
          <w:szCs w:val="24"/>
          <w:lang w:val="en-US"/>
        </w:rPr>
        <w:t xml:space="preserve"> to implement changes in their teaching habits based on information technology?</w:t>
      </w:r>
    </w:p>
    <w:p w14:paraId="5A09C913" w14:textId="19894315" w:rsidR="00F452B3" w:rsidRPr="001C2587" w:rsidRDefault="00F452B3" w:rsidP="00412864">
      <w:pPr>
        <w:pStyle w:val="ListParagraph"/>
        <w:numPr>
          <w:ilvl w:val="0"/>
          <w:numId w:val="28"/>
        </w:numPr>
        <w:spacing w:after="200" w:line="480" w:lineRule="auto"/>
        <w:jc w:val="both"/>
        <w:rPr>
          <w:sz w:val="24"/>
          <w:szCs w:val="24"/>
          <w:lang w:val="en-US"/>
        </w:rPr>
      </w:pPr>
      <w:r w:rsidRPr="001C2587">
        <w:rPr>
          <w:sz w:val="24"/>
          <w:szCs w:val="22"/>
        </w:rPr>
        <w:t xml:space="preserve">What hinders the acquisition of EFL lecturers’ technology competence at King Khalid </w:t>
      </w:r>
      <w:r w:rsidR="00412864" w:rsidRPr="001C2587">
        <w:rPr>
          <w:sz w:val="24"/>
          <w:szCs w:val="22"/>
        </w:rPr>
        <w:t>University?</w:t>
      </w:r>
    </w:p>
    <w:bookmarkEnd w:id="0"/>
    <w:p w14:paraId="4473B232" w14:textId="65288883" w:rsidR="00F452B3" w:rsidRPr="001C2587" w:rsidRDefault="00F452B3" w:rsidP="00813368">
      <w:pPr>
        <w:pStyle w:val="NormalWeb"/>
        <w:spacing w:line="480" w:lineRule="auto"/>
        <w:jc w:val="both"/>
        <w:rPr>
          <w:lang w:eastAsia="de-DE"/>
        </w:rPr>
      </w:pPr>
      <w:r w:rsidRPr="001C2587">
        <w:rPr>
          <w:lang w:eastAsia="de-DE"/>
        </w:rPr>
        <w:t xml:space="preserve">Moreover, the study has drawn hypotheses to </w:t>
      </w:r>
      <w:r w:rsidR="00412864" w:rsidRPr="001C2587">
        <w:rPr>
          <w:lang w:eastAsia="de-DE"/>
        </w:rPr>
        <w:t>emphasize</w:t>
      </w:r>
      <w:r w:rsidRPr="001C2587">
        <w:rPr>
          <w:lang w:eastAsia="de-DE"/>
        </w:rPr>
        <w:t xml:space="preserve"> the mediating role in relationships between ICT competencies and the EFL university lecturers’ motivation in the barriers, ease of use, intentions, knowledge, and trends. The researchers suggested the following hypotheses as below:</w:t>
      </w:r>
    </w:p>
    <w:p w14:paraId="25880F44"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Ease of use mediates the relationship between Knowledge and Trends.</w:t>
      </w:r>
    </w:p>
    <w:p w14:paraId="6FBE7B24"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Ease of use mediates the relationship between Knowledge and Intention.</w:t>
      </w:r>
    </w:p>
    <w:p w14:paraId="7987134E"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Ease of use mediates the relationship between ITF and Trends.</w:t>
      </w:r>
    </w:p>
    <w:p w14:paraId="4DFC81A9"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Ease of use mediates the relationship between ITF and Intention.</w:t>
      </w:r>
    </w:p>
    <w:p w14:paraId="6B0700A4"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Ease of use mediates the relationship between Barriers and Trends.</w:t>
      </w:r>
    </w:p>
    <w:p w14:paraId="06B08207"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Ease of use mediates the relationship between Barriers and Intention.</w:t>
      </w:r>
    </w:p>
    <w:p w14:paraId="3C78F021"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Perception of Interest mediates the relationship between knowledge and Trends.</w:t>
      </w:r>
    </w:p>
    <w:p w14:paraId="06A0F490"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Perception of interest</w:t>
      </w:r>
      <w:r w:rsidRPr="001C2587">
        <w:rPr>
          <w:sz w:val="24"/>
          <w:szCs w:val="24"/>
          <w:rtl/>
          <w:lang w:val="en-US" w:eastAsia="en-US"/>
        </w:rPr>
        <w:t xml:space="preserve"> </w:t>
      </w:r>
      <w:r w:rsidRPr="001C2587">
        <w:rPr>
          <w:sz w:val="24"/>
          <w:szCs w:val="24"/>
          <w:lang w:val="en-US" w:eastAsia="en-US"/>
        </w:rPr>
        <w:t>mediates the relationship between Knowledge and Intention.</w:t>
      </w:r>
    </w:p>
    <w:p w14:paraId="67D2F23B"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Perception of Interest</w:t>
      </w:r>
      <w:r w:rsidRPr="001C2587">
        <w:rPr>
          <w:sz w:val="24"/>
          <w:szCs w:val="24"/>
          <w:rtl/>
          <w:lang w:val="en-US" w:eastAsia="en-US"/>
        </w:rPr>
        <w:t xml:space="preserve"> </w:t>
      </w:r>
      <w:r w:rsidRPr="001C2587">
        <w:rPr>
          <w:sz w:val="24"/>
          <w:szCs w:val="24"/>
          <w:lang w:val="en-US" w:eastAsia="en-US"/>
        </w:rPr>
        <w:t>mediates the relationship between ITF and Trends.</w:t>
      </w:r>
    </w:p>
    <w:p w14:paraId="22A3AAEF"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Perception of Interest</w:t>
      </w:r>
      <w:r w:rsidRPr="001C2587">
        <w:rPr>
          <w:sz w:val="24"/>
          <w:szCs w:val="24"/>
          <w:rtl/>
          <w:lang w:val="en-US" w:eastAsia="en-US"/>
        </w:rPr>
        <w:t xml:space="preserve"> </w:t>
      </w:r>
      <w:r w:rsidRPr="001C2587">
        <w:rPr>
          <w:sz w:val="24"/>
          <w:szCs w:val="24"/>
          <w:lang w:val="en-US" w:eastAsia="en-US"/>
        </w:rPr>
        <w:t>mediates the relationship between ITF and Intention.</w:t>
      </w:r>
    </w:p>
    <w:p w14:paraId="7BE16312" w14:textId="77777777" w:rsidR="00F452B3" w:rsidRPr="001C2587"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Perception of Interest mediates the relationship between Barriers and Trends.</w:t>
      </w:r>
    </w:p>
    <w:p w14:paraId="48AD6E7F" w14:textId="077FAEFE" w:rsidR="00F452B3" w:rsidRDefault="00F452B3" w:rsidP="003653E0">
      <w:pPr>
        <w:pStyle w:val="ListParagraph"/>
        <w:numPr>
          <w:ilvl w:val="0"/>
          <w:numId w:val="24"/>
        </w:numPr>
        <w:spacing w:line="480" w:lineRule="auto"/>
        <w:rPr>
          <w:sz w:val="24"/>
          <w:szCs w:val="24"/>
          <w:lang w:val="en-US" w:eastAsia="en-US"/>
        </w:rPr>
      </w:pPr>
      <w:r w:rsidRPr="001C2587">
        <w:rPr>
          <w:sz w:val="24"/>
          <w:szCs w:val="24"/>
          <w:lang w:val="en-US" w:eastAsia="en-US"/>
        </w:rPr>
        <w:t>Perception of Interest</w:t>
      </w:r>
      <w:r w:rsidRPr="001C2587">
        <w:rPr>
          <w:sz w:val="24"/>
          <w:szCs w:val="24"/>
          <w:rtl/>
          <w:lang w:val="en-US" w:eastAsia="en-US"/>
        </w:rPr>
        <w:t xml:space="preserve"> </w:t>
      </w:r>
      <w:r w:rsidRPr="001C2587">
        <w:rPr>
          <w:sz w:val="24"/>
          <w:szCs w:val="24"/>
          <w:lang w:val="en-US" w:eastAsia="en-US"/>
        </w:rPr>
        <w:t>mediates the relationship between Barriers and Intention.</w:t>
      </w:r>
    </w:p>
    <w:p w14:paraId="3BC57501" w14:textId="77777777" w:rsidR="001C2587" w:rsidRDefault="001C2587" w:rsidP="001C2587">
      <w:pPr>
        <w:rPr>
          <w:szCs w:val="24"/>
        </w:rPr>
      </w:pPr>
    </w:p>
    <w:p w14:paraId="4C3D6FE8" w14:textId="77777777" w:rsidR="001C2587" w:rsidRDefault="001C2587" w:rsidP="001C2587">
      <w:pPr>
        <w:rPr>
          <w:szCs w:val="24"/>
        </w:rPr>
      </w:pPr>
    </w:p>
    <w:p w14:paraId="3399B0B2" w14:textId="77777777" w:rsidR="001C2587" w:rsidRPr="001C2587" w:rsidRDefault="001C2587" w:rsidP="001C2587">
      <w:pPr>
        <w:rPr>
          <w:szCs w:val="24"/>
        </w:rPr>
      </w:pPr>
    </w:p>
    <w:p w14:paraId="4074D0B5" w14:textId="77777777" w:rsidR="00F452B3" w:rsidRPr="000D5D7F" w:rsidRDefault="00F452B3" w:rsidP="00F452B3">
      <w:pPr>
        <w:spacing w:after="160"/>
        <w:jc w:val="center"/>
        <w:rPr>
          <w:b/>
          <w:bCs/>
          <w:color w:val="000000"/>
          <w:sz w:val="22"/>
        </w:rPr>
      </w:pPr>
      <w:bookmarkStart w:id="1" w:name="_Hlk92693632"/>
      <w:r w:rsidRPr="000D5D7F">
        <w:rPr>
          <w:b/>
          <w:bCs/>
          <w:color w:val="000000"/>
          <w:sz w:val="22"/>
        </w:rPr>
        <w:t>Literature review</w:t>
      </w:r>
    </w:p>
    <w:p w14:paraId="5C779009" w14:textId="77777777" w:rsidR="00F452B3" w:rsidRPr="001C2587" w:rsidRDefault="00F452B3" w:rsidP="00F452B3">
      <w:pPr>
        <w:spacing w:after="160"/>
        <w:rPr>
          <w:b/>
          <w:bCs/>
          <w:color w:val="000000"/>
          <w:szCs w:val="24"/>
        </w:rPr>
      </w:pPr>
      <w:r w:rsidRPr="001C2587">
        <w:rPr>
          <w:b/>
          <w:bCs/>
          <w:color w:val="000000"/>
          <w:szCs w:val="24"/>
        </w:rPr>
        <w:t>Digital Competence</w:t>
      </w:r>
    </w:p>
    <w:p w14:paraId="71DD92C4" w14:textId="40878219" w:rsidR="00F452B3" w:rsidRPr="001C2587" w:rsidRDefault="00F452B3" w:rsidP="00F452B3">
      <w:pPr>
        <w:spacing w:after="160"/>
        <w:ind w:firstLine="720"/>
        <w:jc w:val="both"/>
        <w:rPr>
          <w:szCs w:val="24"/>
        </w:rPr>
      </w:pPr>
      <w:bookmarkStart w:id="2" w:name="_Hlk92693706"/>
      <w:bookmarkEnd w:id="1"/>
      <w:r w:rsidRPr="001C2587">
        <w:rPr>
          <w:color w:val="000000"/>
          <w:szCs w:val="24"/>
        </w:rPr>
        <w:t xml:space="preserve">According to Janssen </w:t>
      </w:r>
      <w:r w:rsidR="005679C4" w:rsidRPr="001C2587">
        <w:rPr>
          <w:color w:val="000000"/>
          <w:szCs w:val="24"/>
        </w:rPr>
        <w:t>et al. (2013</w:t>
      </w:r>
      <w:r w:rsidRPr="001C2587">
        <w:rPr>
          <w:color w:val="000000"/>
          <w:szCs w:val="24"/>
        </w:rPr>
        <w:t>)</w:t>
      </w:r>
      <w:r w:rsidR="00CA44A8" w:rsidRPr="001C2587">
        <w:rPr>
          <w:color w:val="000000"/>
          <w:szCs w:val="24"/>
        </w:rPr>
        <w:t xml:space="preserve"> </w:t>
      </w:r>
      <w:r w:rsidRPr="001C2587">
        <w:rPr>
          <w:color w:val="000000"/>
          <w:szCs w:val="24"/>
        </w:rPr>
        <w:t xml:space="preserve">who explained the difference between "digital literacy" and "competency," the former is more commonly used in educational settings, while the latter is more commonly utilized in European policies and initiatives pertaining to e-inclusion. Furthermore, they argued that competency involves a broader educational understanding that incorporates understanding, proficiency, and perspective on digital technology. </w:t>
      </w:r>
      <w:r w:rsidRPr="001C2587">
        <w:rPr>
          <w:szCs w:val="24"/>
        </w:rPr>
        <w:t xml:space="preserve">They argued that the term "digital competency" is more commonly used in educational settings than "digital literacy," and that the former is more commonly used in European policy and e-inclusion initiatives. They went on to say that competence necessitates a more holistic understanding of education that encompasses digital technology knowledge, abilities, and attitudes. </w:t>
      </w:r>
    </w:p>
    <w:p w14:paraId="5C545FD0" w14:textId="77777777" w:rsidR="00F452B3" w:rsidRPr="001C2587" w:rsidRDefault="00F452B3" w:rsidP="00F452B3">
      <w:pPr>
        <w:spacing w:after="160"/>
        <w:jc w:val="both"/>
        <w:rPr>
          <w:b/>
          <w:bCs/>
          <w:szCs w:val="24"/>
        </w:rPr>
      </w:pPr>
      <w:r w:rsidRPr="001C2587">
        <w:rPr>
          <w:b/>
          <w:bCs/>
          <w:szCs w:val="24"/>
        </w:rPr>
        <w:t xml:space="preserve">Technology Acceptance Model </w:t>
      </w:r>
    </w:p>
    <w:p w14:paraId="20EE4DC6" w14:textId="77777777" w:rsidR="005679C4" w:rsidRPr="001C2587" w:rsidRDefault="005679C4" w:rsidP="005679C4">
      <w:pPr>
        <w:spacing w:after="160"/>
        <w:ind w:firstLine="720"/>
        <w:jc w:val="both"/>
        <w:rPr>
          <w:color w:val="000000"/>
          <w:szCs w:val="24"/>
        </w:rPr>
      </w:pPr>
      <w:r w:rsidRPr="001C2587">
        <w:rPr>
          <w:color w:val="000000"/>
          <w:szCs w:val="24"/>
        </w:rPr>
        <w:t xml:space="preserve">Davis (1986) proposed the technology acceptance model (TAM) as a framework for information systems to forecast whether consumers will embrace new systems. Two key factors—perceived usefulness and perceived ease of use—determine the acceptability of an information system. A system's perceived utility is the extent to which an individual thinks it will enhance his performance. The degree to which an individual anticipates that a system will be user-friendly is known as its perceived ease of use. According to this paradigm, an individual's attitude toward the system's use and his sense of its usefulness affect behavioral intention, which in turn determines the system's use. Davis argues that the potential influence on an individual's performance is just </w:t>
      </w:r>
      <w:r w:rsidRPr="001C2587">
        <w:rPr>
          <w:color w:val="000000"/>
          <w:szCs w:val="24"/>
        </w:rPr>
        <w:lastRenderedPageBreak/>
        <w:t>one of many factors that influence how he uses a system. This information is sourced from Nagadeepa and Mohan (2019).</w:t>
      </w:r>
    </w:p>
    <w:p w14:paraId="2F530566" w14:textId="77777777" w:rsidR="00F452B3" w:rsidRPr="001C2587" w:rsidRDefault="00F452B3" w:rsidP="00F452B3">
      <w:pPr>
        <w:spacing w:after="160"/>
        <w:jc w:val="both"/>
        <w:rPr>
          <w:b/>
          <w:bCs/>
          <w:color w:val="000000"/>
          <w:szCs w:val="24"/>
        </w:rPr>
      </w:pPr>
      <w:r w:rsidRPr="001C2587">
        <w:rPr>
          <w:b/>
          <w:bCs/>
          <w:color w:val="000000"/>
          <w:szCs w:val="24"/>
        </w:rPr>
        <w:t xml:space="preserve">Ease of Use </w:t>
      </w:r>
    </w:p>
    <w:p w14:paraId="1F02DA92" w14:textId="137885D8" w:rsidR="00F452B3" w:rsidRPr="001C2587" w:rsidRDefault="00F452B3" w:rsidP="00F452B3">
      <w:pPr>
        <w:spacing w:after="160"/>
        <w:ind w:firstLine="720"/>
        <w:jc w:val="both"/>
      </w:pPr>
      <w:r w:rsidRPr="001C2587">
        <w:rPr>
          <w:color w:val="000000"/>
          <w:szCs w:val="24"/>
        </w:rPr>
        <w:t xml:space="preserve">The utilization of electronic information resources encompasses the processes of searching, evaluating, retrieving, and contextualizing these resources to address various informational requirements. This utilization represents a method of leveraging information across multiple disciplines that has been obtained to fulfill the specific needs of academic faculty members effectively. The efficacious employment of such resources depends entirely upon their alignment with faculty members' professional responsibilities. The emergence of electronic information resources has substantially transformed the professional activities of academic staff </w:t>
      </w:r>
      <w:r w:rsidR="00070A16" w:rsidRPr="001C2587">
        <w:rPr>
          <w:color w:val="000000"/>
          <w:szCs w:val="24"/>
        </w:rPr>
        <w:t>into</w:t>
      </w:r>
      <w:r w:rsidRPr="001C2587">
        <w:rPr>
          <w:color w:val="000000"/>
          <w:szCs w:val="24"/>
        </w:rPr>
        <w:t xml:space="preserve"> the domains of pedagogy, instruction, and scholarly inquiry, primarily due to their capability to disseminate current research findings and facilitate remote access without geographical limitations. Through this advancement, electronic information resources have achieved significant importance and become essential instruments for propelling higher education institutions forward. These resources now represent substantial investments across numerous universities, particularly given that the Nigerian Universities Commission mandates their availability as a prerequisite for program accreditation. To maximize the benefits derived from electronic information resources, faculty members must possess competencies in operating the information and communication technology devices through which these resources are accessed and utilized (Iroaganachi &amp; Izuagbe, 2018).Kpolovie and Awusaku</w:t>
      </w:r>
      <w:r w:rsidR="003653E0" w:rsidRPr="001C2587">
        <w:rPr>
          <w:color w:val="000000"/>
          <w:szCs w:val="24"/>
        </w:rPr>
        <w:t xml:space="preserve"> (</w:t>
      </w:r>
      <w:r w:rsidRPr="001C2587">
        <w:rPr>
          <w:color w:val="000000"/>
          <w:szCs w:val="24"/>
        </w:rPr>
        <w:t xml:space="preserve">2016) underscored that all individuals, including academic staff, must demonstrate effectiveness and efficiency in information and communication technology usage, as genuine achievement in today's intensely competitive environment relies upon such knowledge and capabilities. This suggests that faculty members' proficiency in utilizing </w:t>
      </w:r>
      <w:r w:rsidRPr="001C2587">
        <w:rPr>
          <w:color w:val="000000"/>
          <w:szCs w:val="24"/>
        </w:rPr>
        <w:lastRenderedPageBreak/>
        <w:t>electronic information resources depends fundamentally on their mastery of information and communication technology tools, which serve as contemporary mechanisms for accessing these resources to enhance their scholarly endeavors</w:t>
      </w:r>
      <w:r w:rsidRPr="001C2587">
        <w:t>.</w:t>
      </w:r>
    </w:p>
    <w:p w14:paraId="4B87D593" w14:textId="77777777" w:rsidR="00F452B3" w:rsidRPr="001C2587" w:rsidRDefault="00F452B3" w:rsidP="00F452B3">
      <w:pPr>
        <w:spacing w:after="160"/>
        <w:jc w:val="both"/>
        <w:rPr>
          <w:b/>
          <w:bCs/>
          <w:color w:val="000000"/>
          <w:szCs w:val="24"/>
        </w:rPr>
      </w:pPr>
      <w:r w:rsidRPr="001C2587">
        <w:rPr>
          <w:b/>
          <w:bCs/>
          <w:color w:val="000000"/>
          <w:szCs w:val="24"/>
        </w:rPr>
        <w:t xml:space="preserve">Perceived Usefulness </w:t>
      </w:r>
    </w:p>
    <w:p w14:paraId="2BDA7C1A" w14:textId="32B8F8B7" w:rsidR="003653E0" w:rsidRPr="001C2587" w:rsidRDefault="00F452B3" w:rsidP="001C2587">
      <w:pPr>
        <w:spacing w:after="160"/>
        <w:ind w:firstLine="720"/>
        <w:jc w:val="both"/>
        <w:rPr>
          <w:szCs w:val="24"/>
        </w:rPr>
      </w:pPr>
      <w:r w:rsidRPr="001C2587">
        <w:rPr>
          <w:szCs w:val="24"/>
        </w:rPr>
        <w:t xml:space="preserve">In conventional terminology, electronic information resources constitute informational materials that exist in digital formats and are retrieved through electronic platforms including computers, CD-ROM technology, internet networks, and additional digital infrastructures. documented electronic books, electronic journals, web-based databases, CD-ROM databases, electronic conference proceedings, electronic theses and dissertations, and electronic newspapers and magazines are primarily accessible to most academic faculty members. These resources afford lecturers informational content that extends beyond their institutional boundaries. The conventional constraints of geographical proximity and temporal limitations have been eliminated through the introduction of electronic information resources, thereby facilitating worldwide information accessibility and scholarly discourse among academics from both industrialized and developing countries globally. In substantiating this assertion, the authors noted that electronic information resources have progressively emerged as an indispensable component in educational practices, research endeavors, pedagogical activities, and learning processes. The imperative to establish the mediating influence of perceived utility and perceived accessibility within information communication technology and its practical implementation among educators motivated this investigation. Perceived utility and perceived accessibility were designated as mediating variables. The findings indicate the following: a statistically significant positive correlation exists between information communication technology support and its utilization, educators' attitudes toward information communication technology adoption and implementation </w:t>
      </w:r>
      <w:r w:rsidRPr="001C2587">
        <w:rPr>
          <w:szCs w:val="24"/>
        </w:rPr>
        <w:lastRenderedPageBreak/>
        <w:t>predict actual usage patterns, and perceived utility and perceived accessibility function as positive partial mediators between information communication technology support and its practical application</w:t>
      </w:r>
      <w:r w:rsidR="003653E0" w:rsidRPr="001C2587">
        <w:rPr>
          <w:szCs w:val="24"/>
        </w:rPr>
        <w:t xml:space="preserve"> </w:t>
      </w:r>
      <w:r w:rsidR="00327CF2" w:rsidRPr="001C2587">
        <w:rPr>
          <w:szCs w:val="24"/>
        </w:rPr>
        <w:t>(Nicholas and Obichukwu, 2021).</w:t>
      </w:r>
    </w:p>
    <w:p w14:paraId="26C4028A" w14:textId="77777777" w:rsidR="00F452B3" w:rsidRPr="001C2587" w:rsidRDefault="00F452B3" w:rsidP="00F452B3">
      <w:pPr>
        <w:spacing w:after="160"/>
        <w:jc w:val="both"/>
        <w:rPr>
          <w:b/>
          <w:bCs/>
          <w:color w:val="000000"/>
          <w:szCs w:val="24"/>
        </w:rPr>
      </w:pPr>
      <w:r w:rsidRPr="001C2587">
        <w:rPr>
          <w:b/>
          <w:bCs/>
          <w:color w:val="000000"/>
          <w:szCs w:val="24"/>
        </w:rPr>
        <w:t xml:space="preserve">Lecturers’ ICT Preparations &amp; Challenges </w:t>
      </w:r>
    </w:p>
    <w:p w14:paraId="109E7686" w14:textId="5023A9A3" w:rsidR="003653E0" w:rsidRPr="001C2587" w:rsidRDefault="00F452B3" w:rsidP="001C2587">
      <w:pPr>
        <w:spacing w:after="160"/>
        <w:ind w:firstLine="720"/>
        <w:jc w:val="both"/>
        <w:rPr>
          <w:color w:val="000000"/>
          <w:szCs w:val="24"/>
        </w:rPr>
      </w:pPr>
      <w:r w:rsidRPr="001C2587">
        <w:rPr>
          <w:color w:val="000000"/>
          <w:szCs w:val="24"/>
        </w:rPr>
        <w:t xml:space="preserve">Professional development in technology-enhanced pedagogy should constitute a fundamental component of faculty preparation initiatives to ensure more systematic integration of technological tools across disciplinary boundaries. Academic institutions have adopted varied approaches, embedding technological discourse within specialized methodological coursework. Despite this methodology's superior capacity to address technology integration within discipline-specific curricula, limitations persist regarding the opportunities available for candidates to implement technology-based instruction in classroom settings. Undoubtedly, no universal approach exists for preparing prospective educators to incorporate technology effectively into their pedagogical practice. Teacher educators frequently encounter difficulties in their endeavors to design, demonstrate, and implement optimal combinations of digital experiences throughout faculty preparation programs (Dexter et al., 2006). Academic staff members occupy a crucial position in the integration of information and communication technology within their instructional methodologies. Faculty members face the challenge of adapting traditional pedagogical approaches through the utilization of information and communication technology tools as instructional media. The greater the extent to which an educator employs instructional technology within the classroom environment, the less instructor-centered the learning environment becomes (Erben et al., 2008), while simultaneously fostering interactive classrooms and promoting learner-centered education. Conversely, educators who belong to different generational cohorts than their students may function as immigrants in contemporary digital environments, potentially developing </w:t>
      </w:r>
      <w:r w:rsidRPr="001C2587">
        <w:rPr>
          <w:color w:val="000000"/>
          <w:szCs w:val="24"/>
        </w:rPr>
        <w:lastRenderedPageBreak/>
        <w:t xml:space="preserve">negative attitudes toward information and communication technology </w:t>
      </w:r>
      <w:r w:rsidR="00B917E7" w:rsidRPr="001C2587">
        <w:rPr>
          <w:color w:val="000000"/>
          <w:szCs w:val="24"/>
        </w:rPr>
        <w:t>usage. Dudeney</w:t>
      </w:r>
      <w:r w:rsidRPr="001C2587">
        <w:rPr>
          <w:color w:val="000000"/>
          <w:szCs w:val="24"/>
        </w:rPr>
        <w:t xml:space="preserve"> and Hockly</w:t>
      </w:r>
      <w:r w:rsidR="003653E0" w:rsidRPr="001C2587">
        <w:rPr>
          <w:color w:val="000000"/>
          <w:szCs w:val="24"/>
        </w:rPr>
        <w:t xml:space="preserve"> (</w:t>
      </w:r>
      <w:r w:rsidRPr="001C2587">
        <w:rPr>
          <w:color w:val="000000"/>
          <w:szCs w:val="24"/>
        </w:rPr>
        <w:t xml:space="preserve">2007) contended that a substantial portion of the adverse </w:t>
      </w:r>
      <w:proofErr w:type="gramStart"/>
      <w:r w:rsidRPr="001C2587">
        <w:rPr>
          <w:color w:val="000000"/>
          <w:szCs w:val="24"/>
        </w:rPr>
        <w:t>attitudes</w:t>
      </w:r>
      <w:proofErr w:type="gramEnd"/>
      <w:r w:rsidRPr="001C2587">
        <w:rPr>
          <w:color w:val="000000"/>
          <w:szCs w:val="24"/>
        </w:rPr>
        <w:t xml:space="preserve"> faculty members harbor toward technology typically stems from insufficient confidence, inadequate facilities, or limited training, culminating in an inability to recognize the advantages of implementing technologies within educational contexts.</w:t>
      </w:r>
    </w:p>
    <w:p w14:paraId="11D595A2" w14:textId="77777777" w:rsidR="00F452B3" w:rsidRPr="001C2587" w:rsidRDefault="00F452B3" w:rsidP="00F452B3">
      <w:pPr>
        <w:spacing w:after="160"/>
        <w:jc w:val="both"/>
        <w:rPr>
          <w:b/>
          <w:bCs/>
          <w:color w:val="000000"/>
          <w:szCs w:val="24"/>
        </w:rPr>
      </w:pPr>
      <w:r w:rsidRPr="001C2587">
        <w:rPr>
          <w:b/>
          <w:bCs/>
          <w:color w:val="000000"/>
          <w:szCs w:val="24"/>
        </w:rPr>
        <w:t xml:space="preserve"> ICT Competency at Saudi Universities </w:t>
      </w:r>
    </w:p>
    <w:p w14:paraId="49DA3567" w14:textId="77777777" w:rsidR="00F452B3" w:rsidRPr="001C2587" w:rsidRDefault="00F452B3" w:rsidP="00F452B3">
      <w:pPr>
        <w:spacing w:after="160"/>
        <w:ind w:firstLine="720"/>
        <w:jc w:val="both"/>
        <w:rPr>
          <w:b/>
          <w:bCs/>
          <w:color w:val="000000"/>
          <w:szCs w:val="24"/>
        </w:rPr>
      </w:pPr>
      <w:r w:rsidRPr="001C2587">
        <w:rPr>
          <w:color w:val="000000"/>
          <w:szCs w:val="24"/>
        </w:rPr>
        <w:t xml:space="preserve">In comparison to other Gulf State higher education institutions, Saudi Arabian universities encounter numerous challenges in the effective implementation and utilization of Information and Communication Technology. Through survey methodology and interview techniques, data were collected from students, faculty members, and administrative personnel across 10 Saudi universities and 5 Gulf States universities. The participant cohort comprised 142 faculty members, 121 staff and administrative personnel, and 511 students, as documented in previous research. The findings demonstrate that Gulf States universities derive substantially greater advantages from Information and Communication Technology than their Saudi counterparts, despite comparable financial allocations, shared cultural frameworks, and adequate infrastructural foundations across all participating nations. Consequently, numerous Saudi universities continue to rely on paper-based procedures that result in operational delays and generate additional complications. For instance, academic staff members spend considerable time executing instructional responsibilities including assessment activities, lecture preparation, and administrative tasks, while simultaneously encountering communication difficulties. Additionally, students confront multiple obstacles related to registration processes, faculty interaction, technological familiarity, and various other concerns. Furthermore, administrative staff demonstrate insufficient competencies for addressing technological challenges, with evidence indicating that Saudi university personnel possess limited </w:t>
      </w:r>
      <w:r w:rsidRPr="001C2587">
        <w:rPr>
          <w:color w:val="000000"/>
          <w:szCs w:val="24"/>
        </w:rPr>
        <w:lastRenderedPageBreak/>
        <w:t>or absent qualifications for Information and Communication Technology utilization and lack understanding of their professional responsibilities and obligations. Additional problems manifest as consequences of systemic institutional issues including inadequate Information and Communication Technology infrastructure, insufficient training programs, limited motivation, and deficient leadership structures (Alturise, 2024).</w:t>
      </w:r>
    </w:p>
    <w:p w14:paraId="533F8A2E" w14:textId="6820E51A" w:rsidR="00F452B3" w:rsidRPr="001C2587" w:rsidRDefault="00F452B3" w:rsidP="00F452B3">
      <w:pPr>
        <w:spacing w:after="160"/>
        <w:jc w:val="center"/>
        <w:rPr>
          <w:b/>
          <w:bCs/>
          <w:color w:val="000000"/>
          <w:szCs w:val="24"/>
        </w:rPr>
      </w:pPr>
      <w:r w:rsidRPr="001C2587">
        <w:rPr>
          <w:b/>
          <w:bCs/>
          <w:color w:val="000000"/>
          <w:szCs w:val="24"/>
        </w:rPr>
        <w:t>Method</w:t>
      </w:r>
      <w:r w:rsidR="00124A3E" w:rsidRPr="001C2587">
        <w:rPr>
          <w:b/>
          <w:bCs/>
          <w:color w:val="000000"/>
          <w:szCs w:val="24"/>
        </w:rPr>
        <w:t>s</w:t>
      </w:r>
    </w:p>
    <w:p w14:paraId="47A4F7C7" w14:textId="77777777" w:rsidR="00F452B3" w:rsidRPr="001C2587" w:rsidRDefault="00F452B3" w:rsidP="00F452B3">
      <w:pPr>
        <w:pStyle w:val="Heading2"/>
        <w:spacing w:line="240" w:lineRule="auto"/>
        <w:rPr>
          <w:rFonts w:eastAsia="Calibri"/>
          <w:b w:val="0"/>
          <w:bCs w:val="0"/>
          <w:lang w:val="en-US"/>
        </w:rPr>
      </w:pPr>
      <w:r w:rsidRPr="001C2587">
        <w:rPr>
          <w:rFonts w:eastAsia="Calibri"/>
          <w:b w:val="0"/>
          <w:bCs w:val="0"/>
          <w:lang w:val="en-US"/>
        </w:rPr>
        <w:t xml:space="preserve">3.1 Research Design </w:t>
      </w:r>
    </w:p>
    <w:p w14:paraId="10AF1B17" w14:textId="7661F50E" w:rsidR="001927EB" w:rsidRPr="001C2587" w:rsidRDefault="001927EB" w:rsidP="00C35E58">
      <w:pPr>
        <w:pStyle w:val="NormalWeb"/>
        <w:spacing w:line="480" w:lineRule="auto"/>
        <w:ind w:firstLine="720"/>
        <w:jc w:val="both"/>
      </w:pPr>
      <w:r w:rsidRPr="001C2587">
        <w:t xml:space="preserve">Research design is a framework of methods and techniques that a researcher selects to integrate the various components of research in a logical manner, thereby ensuring that the research problem is efficiently addressed. It provides helpful tips on the "how" of conducting research using a specific methodology. Each researcher has a list of research queries that require evaluation. This endeavor is feasible through the implementation of research design (Khanday &amp; Khanam, 2019). The present study examines the ease of use and perceived utility as a mediating factor between ICT competencies and the motivation of lecturers at Saudi universities. The researchers aim to identify these obstacles and establish groundwork for potential solutions that will enable lecturers to effectively integrate ICT tools and programs into their teaching processes in lecture halls. The issue of ICT competencies barriers for lecturers has been the subject of numerous studies, which have also examined the challenges of perceived utility and ease of use. Consequently, the investigation illuminates these regions to elucidate the issue and identify solutions. However, this section focuses on the methods used to conduct the study. The section also furnishes details about the study's population, the sampling technique, and the research design. Other topics that are addressed include the validity and reliability of the instrument, the sources of data collection, the method of data collection, and the method of data analysis that was employed in the study. The </w:t>
      </w:r>
      <w:r w:rsidRPr="001C2587">
        <w:lastRenderedPageBreak/>
        <w:t>data was collected using a survey approach in the research. This procedure entails the acquisition of data from primary and secondary sources by means of questionnaires and the review of pertinent literature. Descriptive, exploratory, and survey methodologies will be implemented to execute the pursuit.</w:t>
      </w:r>
    </w:p>
    <w:p w14:paraId="132905A5" w14:textId="539E96E5" w:rsidR="005B56C0" w:rsidRPr="001C2587" w:rsidRDefault="00F452B3" w:rsidP="00C35E58">
      <w:pPr>
        <w:pStyle w:val="Heading2"/>
        <w:spacing w:line="480" w:lineRule="auto"/>
        <w:rPr>
          <w:rFonts w:eastAsia="Calibri"/>
          <w:b w:val="0"/>
          <w:bCs w:val="0"/>
          <w:lang w:val="en-US"/>
        </w:rPr>
      </w:pPr>
      <w:r w:rsidRPr="001C2587">
        <w:rPr>
          <w:rFonts w:eastAsia="Calibri"/>
          <w:b w:val="0"/>
          <w:bCs w:val="0"/>
          <w:lang w:val="en-US"/>
        </w:rPr>
        <w:t>3.2 Population &amp; Sampling</w:t>
      </w:r>
    </w:p>
    <w:p w14:paraId="3A73E536" w14:textId="46DFC590" w:rsidR="00F452B3" w:rsidRPr="001C2587" w:rsidRDefault="00F452B3" w:rsidP="001D7541">
      <w:pPr>
        <w:spacing w:after="160"/>
        <w:ind w:firstLine="720"/>
        <w:jc w:val="both"/>
        <w:rPr>
          <w:szCs w:val="24"/>
        </w:rPr>
      </w:pPr>
      <w:r w:rsidRPr="001C2587">
        <w:rPr>
          <w:szCs w:val="24"/>
        </w:rPr>
        <w:t xml:space="preserve">The population of the study is 100 participants’ males &amp; females who distributed at King Khalid university campuses. The demographic information presents </w:t>
      </w:r>
      <w:r w:rsidR="001927EB" w:rsidRPr="001C2587">
        <w:rPr>
          <w:szCs w:val="24"/>
        </w:rPr>
        <w:t>gender,</w:t>
      </w:r>
      <w:r w:rsidRPr="001C2587">
        <w:rPr>
          <w:szCs w:val="24"/>
        </w:rPr>
        <w:t xml:space="preserve"> teaching experience and qualification degree from bachelor up to doctorate degree. </w:t>
      </w:r>
      <w:r w:rsidR="001927EB" w:rsidRPr="001C2587">
        <w:rPr>
          <w:szCs w:val="24"/>
        </w:rPr>
        <w:t>Most</w:t>
      </w:r>
      <w:r w:rsidRPr="001C2587">
        <w:rPr>
          <w:szCs w:val="24"/>
        </w:rPr>
        <w:t xml:space="preserve"> responses were tracked by those who obtained doctorate degrees. The sample of the </w:t>
      </w:r>
      <w:r w:rsidR="001927EB" w:rsidRPr="001C2587">
        <w:rPr>
          <w:szCs w:val="24"/>
        </w:rPr>
        <w:t>study’s response</w:t>
      </w:r>
      <w:r w:rsidRPr="001C2587">
        <w:rPr>
          <w:szCs w:val="24"/>
        </w:rPr>
        <w:t xml:space="preserve"> is 93 </w:t>
      </w:r>
      <w:proofErr w:type="gramStart"/>
      <w:r w:rsidRPr="001C2587">
        <w:rPr>
          <w:szCs w:val="24"/>
        </w:rPr>
        <w:t>participants ,</w:t>
      </w:r>
      <w:proofErr w:type="gramEnd"/>
      <w:r w:rsidRPr="001C2587">
        <w:rPr>
          <w:szCs w:val="24"/>
        </w:rPr>
        <w:t xml:space="preserve"> </w:t>
      </w:r>
      <w:proofErr w:type="gramStart"/>
      <w:r w:rsidRPr="001C2587">
        <w:rPr>
          <w:szCs w:val="24"/>
        </w:rPr>
        <w:t>89  is</w:t>
      </w:r>
      <w:proofErr w:type="gramEnd"/>
      <w:r w:rsidRPr="001C2587">
        <w:rPr>
          <w:szCs w:val="24"/>
        </w:rPr>
        <w:t xml:space="preserve"> valid for </w:t>
      </w:r>
      <w:r w:rsidR="001927EB" w:rsidRPr="001C2587">
        <w:rPr>
          <w:szCs w:val="24"/>
        </w:rPr>
        <w:t>analysis EFL</w:t>
      </w:r>
      <w:r w:rsidRPr="001C2587">
        <w:rPr>
          <w:szCs w:val="24"/>
        </w:rPr>
        <w:t xml:space="preserve"> </w:t>
      </w:r>
      <w:r w:rsidR="00C35E58" w:rsidRPr="001C2587">
        <w:rPr>
          <w:szCs w:val="24"/>
        </w:rPr>
        <w:t>lecturers teaching</w:t>
      </w:r>
      <w:r w:rsidRPr="001C2587">
        <w:rPr>
          <w:szCs w:val="24"/>
        </w:rPr>
        <w:t xml:space="preserve"> English syllabii integrated with technology. The purposive sample used a selective sample </w:t>
      </w:r>
      <w:r w:rsidR="00C35E58" w:rsidRPr="001C2587">
        <w:rPr>
          <w:szCs w:val="24"/>
        </w:rPr>
        <w:t>which is</w:t>
      </w:r>
      <w:r w:rsidRPr="001C2587">
        <w:rPr>
          <w:szCs w:val="24"/>
        </w:rPr>
        <w:t xml:space="preserve"> a non-probability sampling method where the researchers intentionally select individuals who are most likely to provide relevant, rich, and meaningful data based on the purpose of the study and determined the sample size for research by the scholars (</w:t>
      </w:r>
      <w:proofErr w:type="spellStart"/>
      <w:r w:rsidRPr="001C2587">
        <w:rPr>
          <w:szCs w:val="24"/>
        </w:rPr>
        <w:t>Krejcie</w:t>
      </w:r>
      <w:proofErr w:type="spellEnd"/>
      <w:r w:rsidRPr="001C2587">
        <w:rPr>
          <w:szCs w:val="24"/>
        </w:rPr>
        <w:t xml:space="preserve"> &amp; Morgan,1970) from the given sample. The researchers ensured that participants were chosen in such a way that diverse regions where the University has its colleges found representation in the study. Formal consent was sought from the participants and due clearance obtained from the University’s ethics committee. All responses were measured using five-point scale elements, ranging from "1 = Strongly Disagree" to "5 = Strongly Agree."</w:t>
      </w:r>
    </w:p>
    <w:p w14:paraId="0B2D2934" w14:textId="77777777" w:rsidR="00F452B3" w:rsidRPr="001C2587" w:rsidRDefault="00F452B3" w:rsidP="005B56C0">
      <w:pPr>
        <w:spacing w:after="160"/>
        <w:jc w:val="both"/>
        <w:rPr>
          <w:i/>
          <w:iCs/>
          <w:szCs w:val="24"/>
        </w:rPr>
      </w:pPr>
      <w:r w:rsidRPr="001C2587">
        <w:rPr>
          <w:i/>
          <w:iCs/>
          <w:szCs w:val="24"/>
        </w:rPr>
        <w:t>3.2.1 The Questionnaire</w:t>
      </w:r>
    </w:p>
    <w:p w14:paraId="5E926889" w14:textId="6AA06F18" w:rsidR="00F452B3" w:rsidRPr="001C2587" w:rsidRDefault="00F452B3" w:rsidP="005B56C0">
      <w:pPr>
        <w:spacing w:after="160"/>
        <w:ind w:firstLine="720"/>
        <w:jc w:val="both"/>
        <w:rPr>
          <w:rFonts w:cs="Arial"/>
          <w:szCs w:val="24"/>
          <w:lang w:eastAsia="en-GB"/>
        </w:rPr>
      </w:pPr>
      <w:r w:rsidRPr="001C2587">
        <w:rPr>
          <w:rFonts w:cs="Arial"/>
          <w:szCs w:val="24"/>
          <w:lang w:eastAsia="en-GB"/>
        </w:rPr>
        <w:t xml:space="preserve">The questionnaire was designed to gather data on investigating the ICTs competencies in relationship to ease of use and perceived usefulness for EFL university lecturers’ motivation. It has four dimensions. Each dimension has sub areas. The first dimension is technical competencies </w:t>
      </w:r>
      <w:r w:rsidRPr="001C2587">
        <w:rPr>
          <w:rFonts w:cs="Arial"/>
          <w:szCs w:val="24"/>
          <w:lang w:eastAsia="en-GB"/>
        </w:rPr>
        <w:lastRenderedPageBreak/>
        <w:t xml:space="preserve">which have three </w:t>
      </w:r>
      <w:r w:rsidR="00C35E58" w:rsidRPr="001C2587">
        <w:rPr>
          <w:rFonts w:cs="Arial"/>
          <w:szCs w:val="24"/>
          <w:lang w:eastAsia="en-GB"/>
        </w:rPr>
        <w:t>areas:</w:t>
      </w:r>
      <w:r w:rsidRPr="001C2587">
        <w:rPr>
          <w:rFonts w:cs="Arial"/>
          <w:szCs w:val="24"/>
          <w:lang w:eastAsia="en-GB"/>
        </w:rPr>
        <w:t xml:space="preserve"> </w:t>
      </w:r>
      <w:r w:rsidR="001C2587" w:rsidRPr="001C2587">
        <w:rPr>
          <w:rFonts w:cs="Arial"/>
          <w:szCs w:val="24"/>
          <w:lang w:eastAsia="en-GB"/>
        </w:rPr>
        <w:t>knowledge,</w:t>
      </w:r>
      <w:r w:rsidRPr="001C2587">
        <w:rPr>
          <w:rFonts w:cs="Arial"/>
          <w:szCs w:val="24"/>
          <w:lang w:eastAsia="en-GB"/>
        </w:rPr>
        <w:t xml:space="preserve"> information technology and barriers to use. The second dimension is ease of use and perceived usefulness which has areas such as ease pf </w:t>
      </w:r>
      <w:r w:rsidR="001C2587" w:rsidRPr="001C2587">
        <w:rPr>
          <w:rFonts w:cs="Arial"/>
          <w:szCs w:val="24"/>
          <w:lang w:eastAsia="en-GB"/>
        </w:rPr>
        <w:t>use,</w:t>
      </w:r>
      <w:r w:rsidRPr="001C2587">
        <w:rPr>
          <w:rFonts w:cs="Arial"/>
          <w:szCs w:val="24"/>
          <w:lang w:eastAsia="en-GB"/>
        </w:rPr>
        <w:t xml:space="preserve"> perception of interest and the last one is trends. The third dimension is trends towards lecturers’ principles on using </w:t>
      </w:r>
      <w:r w:rsidR="001C2587" w:rsidRPr="001C2587">
        <w:rPr>
          <w:rFonts w:cs="Arial"/>
          <w:szCs w:val="24"/>
          <w:lang w:eastAsia="en-GB"/>
        </w:rPr>
        <w:t>ICTs.</w:t>
      </w:r>
      <w:r w:rsidRPr="001C2587">
        <w:rPr>
          <w:rFonts w:cs="Arial"/>
          <w:szCs w:val="24"/>
          <w:lang w:eastAsia="en-GB"/>
        </w:rPr>
        <w:t xml:space="preserve"> The fourth dimension is intention to adopt the use of ICTs in teaching English. The questionnaire was planned by google forms as URL and sent via social network app “WhatsApp”. It </w:t>
      </w:r>
      <w:r w:rsidR="001C2587" w:rsidRPr="001C2587">
        <w:rPr>
          <w:rFonts w:cs="Arial"/>
          <w:szCs w:val="24"/>
          <w:lang w:eastAsia="en-GB"/>
        </w:rPr>
        <w:t>took</w:t>
      </w:r>
      <w:r w:rsidRPr="001C2587">
        <w:rPr>
          <w:rFonts w:cs="Arial"/>
          <w:szCs w:val="24"/>
          <w:lang w:eastAsia="en-GB"/>
        </w:rPr>
        <w:t xml:space="preserve"> roughly three months to be analyzed.   </w:t>
      </w:r>
    </w:p>
    <w:p w14:paraId="31C135E6" w14:textId="77777777" w:rsidR="00F452B3" w:rsidRPr="001C2587" w:rsidRDefault="00F452B3" w:rsidP="005B56C0">
      <w:pPr>
        <w:pStyle w:val="Heading2"/>
        <w:spacing w:line="480" w:lineRule="auto"/>
        <w:rPr>
          <w:rFonts w:eastAsia="Calibri"/>
          <w:b w:val="0"/>
          <w:bCs w:val="0"/>
          <w:szCs w:val="24"/>
          <w:lang w:val="en-US"/>
        </w:rPr>
      </w:pPr>
      <w:r w:rsidRPr="001C2587">
        <w:rPr>
          <w:rFonts w:eastAsia="Calibri"/>
          <w:b w:val="0"/>
          <w:bCs w:val="0"/>
          <w:szCs w:val="24"/>
          <w:lang w:val="en-US"/>
        </w:rPr>
        <w:t xml:space="preserve">3.3 Data Analysis </w:t>
      </w:r>
    </w:p>
    <w:p w14:paraId="5C3D8222" w14:textId="77777777" w:rsidR="00F452B3" w:rsidRPr="001C2587" w:rsidRDefault="00F452B3" w:rsidP="005B56C0">
      <w:pPr>
        <w:spacing w:after="200"/>
        <w:ind w:firstLine="720"/>
        <w:jc w:val="both"/>
        <w:rPr>
          <w:i/>
          <w:iCs/>
          <w:color w:val="000000"/>
          <w:szCs w:val="24"/>
        </w:rPr>
      </w:pPr>
      <w:r w:rsidRPr="001C2587">
        <w:rPr>
          <w:i/>
          <w:iCs/>
          <w:color w:val="000000"/>
          <w:szCs w:val="24"/>
        </w:rPr>
        <w:t>3.3.1 Construct reliability, indicator reliability, and convergent validity</w:t>
      </w:r>
    </w:p>
    <w:p w14:paraId="29DB067F" w14:textId="77777777" w:rsidR="00954968" w:rsidRPr="001C2587" w:rsidRDefault="00954968" w:rsidP="00954968">
      <w:pPr>
        <w:spacing w:after="160"/>
        <w:ind w:firstLine="720"/>
        <w:jc w:val="both"/>
        <w:rPr>
          <w:color w:val="000000"/>
          <w:szCs w:val="24"/>
        </w:rPr>
      </w:pPr>
      <w:r w:rsidRPr="001C2587">
        <w:rPr>
          <w:color w:val="000000"/>
          <w:szCs w:val="24"/>
        </w:rPr>
        <w:t>Ockey and Choi (2015) state that factor loadings (FL) are the starting point for the fitness assessment utilizing Partial Least Squares Structural Equation Modeling (PLS-SEM). According to Hair et al. (2019), we view FL values greater than 0.7 as positive. All FL values were greater than 0.7, as shown in Figure 1 and table 1, proving that the study's results were correct.</w:t>
      </w:r>
    </w:p>
    <w:p w14:paraId="46B242EE" w14:textId="77777777" w:rsidR="00582353" w:rsidRPr="000D5D7F" w:rsidRDefault="00582353" w:rsidP="00582353">
      <w:pPr>
        <w:spacing w:after="160" w:line="240" w:lineRule="auto"/>
        <w:jc w:val="both"/>
        <w:rPr>
          <w:b/>
          <w:bCs/>
          <w:szCs w:val="24"/>
        </w:rPr>
      </w:pPr>
      <w:r w:rsidRPr="000D5D7F">
        <w:rPr>
          <w:b/>
          <w:bCs/>
          <w:szCs w:val="24"/>
        </w:rPr>
        <w:t xml:space="preserve">Table 1 </w:t>
      </w:r>
    </w:p>
    <w:tbl>
      <w:tblPr>
        <w:tblW w:w="7887" w:type="dxa"/>
        <w:tblLook w:val="04A0" w:firstRow="1" w:lastRow="0" w:firstColumn="1" w:lastColumn="0" w:noHBand="0" w:noVBand="1"/>
      </w:tblPr>
      <w:tblGrid>
        <w:gridCol w:w="2138"/>
        <w:gridCol w:w="861"/>
        <w:gridCol w:w="899"/>
        <w:gridCol w:w="666"/>
        <w:gridCol w:w="939"/>
        <w:gridCol w:w="1138"/>
        <w:gridCol w:w="1533"/>
        <w:gridCol w:w="772"/>
      </w:tblGrid>
      <w:tr w:rsidR="00582353" w:rsidRPr="000D5D7F" w14:paraId="2C0D4ED0" w14:textId="77777777" w:rsidTr="00AB6F4E">
        <w:trPr>
          <w:trHeight w:val="225"/>
        </w:trPr>
        <w:tc>
          <w:tcPr>
            <w:tcW w:w="1771" w:type="dxa"/>
            <w:tcBorders>
              <w:top w:val="nil"/>
              <w:left w:val="nil"/>
              <w:bottom w:val="nil"/>
              <w:right w:val="nil"/>
            </w:tcBorders>
            <w:noWrap/>
            <w:vAlign w:val="bottom"/>
            <w:hideMark/>
          </w:tcPr>
          <w:p w14:paraId="3FBE827F" w14:textId="77777777" w:rsidR="00582353" w:rsidRPr="000D5D7F" w:rsidRDefault="00582353" w:rsidP="00582353">
            <w:pPr>
              <w:spacing w:line="240" w:lineRule="auto"/>
              <w:rPr>
                <w:rFonts w:eastAsia="Times New Roman"/>
                <w:sz w:val="20"/>
                <w:szCs w:val="20"/>
              </w:rPr>
            </w:pPr>
          </w:p>
        </w:tc>
        <w:tc>
          <w:tcPr>
            <w:tcW w:w="719" w:type="dxa"/>
            <w:tcBorders>
              <w:top w:val="single" w:sz="4" w:space="0" w:color="000000"/>
              <w:left w:val="single" w:sz="4" w:space="0" w:color="000000"/>
              <w:bottom w:val="single" w:sz="4" w:space="0" w:color="000000"/>
              <w:right w:val="single" w:sz="4" w:space="0" w:color="000000"/>
            </w:tcBorders>
            <w:noWrap/>
            <w:vAlign w:val="bottom"/>
            <w:hideMark/>
          </w:tcPr>
          <w:p w14:paraId="0AA11A68" w14:textId="77777777" w:rsidR="00582353" w:rsidRPr="000D5D7F" w:rsidRDefault="00582353" w:rsidP="00582353">
            <w:pPr>
              <w:spacing w:line="240" w:lineRule="auto"/>
              <w:jc w:val="right"/>
              <w:rPr>
                <w:rFonts w:eastAsia="Times New Roman"/>
                <w:color w:val="000000"/>
                <w:sz w:val="20"/>
                <w:szCs w:val="20"/>
              </w:rPr>
            </w:pPr>
            <w:r w:rsidRPr="000D5D7F">
              <w:rPr>
                <w:rFonts w:eastAsia="Times New Roman"/>
                <w:color w:val="000000"/>
                <w:sz w:val="20"/>
                <w:szCs w:val="20"/>
              </w:rPr>
              <w:t>Barriers</w:t>
            </w:r>
          </w:p>
        </w:tc>
        <w:tc>
          <w:tcPr>
            <w:tcW w:w="899" w:type="dxa"/>
            <w:tcBorders>
              <w:top w:val="single" w:sz="4" w:space="0" w:color="000000"/>
              <w:left w:val="nil"/>
              <w:bottom w:val="single" w:sz="4" w:space="0" w:color="000000"/>
              <w:right w:val="single" w:sz="4" w:space="0" w:color="000000"/>
            </w:tcBorders>
            <w:noWrap/>
            <w:vAlign w:val="bottom"/>
            <w:hideMark/>
          </w:tcPr>
          <w:p w14:paraId="617EBA35" w14:textId="77777777" w:rsidR="00582353" w:rsidRPr="000D5D7F" w:rsidRDefault="00582353" w:rsidP="00582353">
            <w:pPr>
              <w:spacing w:line="240" w:lineRule="auto"/>
              <w:jc w:val="right"/>
              <w:rPr>
                <w:rFonts w:eastAsia="Times New Roman"/>
                <w:color w:val="000000"/>
                <w:sz w:val="20"/>
                <w:szCs w:val="20"/>
              </w:rPr>
            </w:pPr>
            <w:r w:rsidRPr="000D5D7F">
              <w:rPr>
                <w:rFonts w:eastAsia="Times New Roman"/>
                <w:color w:val="000000"/>
                <w:sz w:val="20"/>
                <w:szCs w:val="20"/>
              </w:rPr>
              <w:t>Ease of use</w:t>
            </w:r>
          </w:p>
        </w:tc>
        <w:tc>
          <w:tcPr>
            <w:tcW w:w="587" w:type="dxa"/>
            <w:tcBorders>
              <w:top w:val="single" w:sz="4" w:space="0" w:color="000000"/>
              <w:left w:val="nil"/>
              <w:bottom w:val="single" w:sz="4" w:space="0" w:color="000000"/>
              <w:right w:val="single" w:sz="4" w:space="0" w:color="000000"/>
            </w:tcBorders>
            <w:noWrap/>
            <w:vAlign w:val="bottom"/>
            <w:hideMark/>
          </w:tcPr>
          <w:p w14:paraId="55BA6675" w14:textId="77777777" w:rsidR="00582353" w:rsidRPr="000D5D7F" w:rsidRDefault="00582353" w:rsidP="00582353">
            <w:pPr>
              <w:spacing w:line="240" w:lineRule="auto"/>
              <w:jc w:val="right"/>
              <w:rPr>
                <w:rFonts w:eastAsia="Times New Roman"/>
                <w:color w:val="000000"/>
                <w:sz w:val="20"/>
                <w:szCs w:val="20"/>
              </w:rPr>
            </w:pPr>
            <w:r w:rsidRPr="000D5D7F">
              <w:rPr>
                <w:rFonts w:eastAsia="Times New Roman"/>
                <w:color w:val="000000"/>
                <w:sz w:val="20"/>
                <w:szCs w:val="20"/>
              </w:rPr>
              <w:t>ITF</w:t>
            </w:r>
          </w:p>
        </w:tc>
        <w:tc>
          <w:tcPr>
            <w:tcW w:w="784" w:type="dxa"/>
            <w:tcBorders>
              <w:top w:val="single" w:sz="4" w:space="0" w:color="000000"/>
              <w:left w:val="nil"/>
              <w:bottom w:val="single" w:sz="4" w:space="0" w:color="000000"/>
              <w:right w:val="single" w:sz="4" w:space="0" w:color="000000"/>
            </w:tcBorders>
            <w:noWrap/>
            <w:vAlign w:val="bottom"/>
            <w:hideMark/>
          </w:tcPr>
          <w:p w14:paraId="6AF98339" w14:textId="77777777" w:rsidR="00582353" w:rsidRPr="000D5D7F" w:rsidRDefault="00582353" w:rsidP="00582353">
            <w:pPr>
              <w:spacing w:line="240" w:lineRule="auto"/>
              <w:jc w:val="right"/>
              <w:rPr>
                <w:rFonts w:eastAsia="Times New Roman"/>
                <w:color w:val="000000"/>
                <w:sz w:val="20"/>
                <w:szCs w:val="20"/>
              </w:rPr>
            </w:pPr>
            <w:r w:rsidRPr="000D5D7F">
              <w:rPr>
                <w:rFonts w:eastAsia="Times New Roman"/>
                <w:color w:val="000000"/>
                <w:sz w:val="20"/>
                <w:szCs w:val="20"/>
              </w:rPr>
              <w:t>Intention</w:t>
            </w:r>
          </w:p>
        </w:tc>
        <w:tc>
          <w:tcPr>
            <w:tcW w:w="948" w:type="dxa"/>
            <w:tcBorders>
              <w:top w:val="single" w:sz="4" w:space="0" w:color="000000"/>
              <w:left w:val="nil"/>
              <w:bottom w:val="single" w:sz="4" w:space="0" w:color="000000"/>
              <w:right w:val="single" w:sz="4" w:space="0" w:color="000000"/>
            </w:tcBorders>
            <w:noWrap/>
            <w:vAlign w:val="bottom"/>
            <w:hideMark/>
          </w:tcPr>
          <w:p w14:paraId="012C110E" w14:textId="77777777" w:rsidR="00582353" w:rsidRPr="000D5D7F" w:rsidRDefault="00582353" w:rsidP="00582353">
            <w:pPr>
              <w:spacing w:line="240" w:lineRule="auto"/>
              <w:jc w:val="right"/>
              <w:rPr>
                <w:rFonts w:eastAsia="Times New Roman"/>
                <w:color w:val="000000"/>
                <w:sz w:val="20"/>
                <w:szCs w:val="20"/>
              </w:rPr>
            </w:pPr>
            <w:r w:rsidRPr="000D5D7F">
              <w:rPr>
                <w:rFonts w:eastAsia="Times New Roman"/>
                <w:color w:val="000000"/>
                <w:sz w:val="20"/>
                <w:szCs w:val="20"/>
              </w:rPr>
              <w:t>Knowledge</w:t>
            </w:r>
          </w:p>
        </w:tc>
        <w:tc>
          <w:tcPr>
            <w:tcW w:w="1533" w:type="dxa"/>
            <w:tcBorders>
              <w:top w:val="single" w:sz="4" w:space="0" w:color="000000"/>
              <w:left w:val="nil"/>
              <w:bottom w:val="single" w:sz="4" w:space="0" w:color="000000"/>
              <w:right w:val="single" w:sz="4" w:space="0" w:color="000000"/>
            </w:tcBorders>
            <w:noWrap/>
            <w:vAlign w:val="bottom"/>
            <w:hideMark/>
          </w:tcPr>
          <w:p w14:paraId="1296F691" w14:textId="77777777" w:rsidR="00582353" w:rsidRPr="000D5D7F" w:rsidRDefault="00582353" w:rsidP="00582353">
            <w:pPr>
              <w:spacing w:line="240" w:lineRule="auto"/>
              <w:jc w:val="right"/>
              <w:rPr>
                <w:rFonts w:eastAsia="Times New Roman"/>
                <w:color w:val="000000"/>
                <w:sz w:val="20"/>
                <w:szCs w:val="20"/>
              </w:rPr>
            </w:pPr>
            <w:r w:rsidRPr="000D5D7F">
              <w:rPr>
                <w:rFonts w:eastAsia="Times New Roman"/>
                <w:color w:val="000000"/>
                <w:sz w:val="20"/>
                <w:szCs w:val="20"/>
              </w:rPr>
              <w:t>Perception of Interest</w:t>
            </w:r>
          </w:p>
        </w:tc>
        <w:tc>
          <w:tcPr>
            <w:tcW w:w="646" w:type="dxa"/>
            <w:tcBorders>
              <w:top w:val="single" w:sz="4" w:space="0" w:color="000000"/>
              <w:left w:val="nil"/>
              <w:bottom w:val="single" w:sz="4" w:space="0" w:color="000000"/>
              <w:right w:val="single" w:sz="4" w:space="0" w:color="000000"/>
            </w:tcBorders>
            <w:noWrap/>
            <w:vAlign w:val="bottom"/>
            <w:hideMark/>
          </w:tcPr>
          <w:p w14:paraId="447DE029" w14:textId="77777777" w:rsidR="00582353" w:rsidRPr="000D5D7F" w:rsidRDefault="00582353" w:rsidP="00582353">
            <w:pPr>
              <w:spacing w:line="240" w:lineRule="auto"/>
              <w:jc w:val="right"/>
              <w:rPr>
                <w:rFonts w:eastAsia="Times New Roman"/>
                <w:color w:val="000000"/>
                <w:sz w:val="20"/>
                <w:szCs w:val="20"/>
              </w:rPr>
            </w:pPr>
            <w:r w:rsidRPr="000D5D7F">
              <w:rPr>
                <w:rFonts w:eastAsia="Times New Roman"/>
                <w:color w:val="000000"/>
                <w:sz w:val="20"/>
                <w:szCs w:val="20"/>
              </w:rPr>
              <w:t>Trends</w:t>
            </w:r>
          </w:p>
        </w:tc>
      </w:tr>
      <w:tr w:rsidR="00582353" w:rsidRPr="000D5D7F" w14:paraId="25EC3A90" w14:textId="77777777" w:rsidTr="00AB6F4E">
        <w:trPr>
          <w:trHeight w:val="225"/>
        </w:trPr>
        <w:tc>
          <w:tcPr>
            <w:tcW w:w="1771" w:type="dxa"/>
            <w:tcBorders>
              <w:top w:val="single" w:sz="4" w:space="0" w:color="000000"/>
              <w:left w:val="single" w:sz="4" w:space="0" w:color="000000"/>
              <w:bottom w:val="single" w:sz="4" w:space="0" w:color="000000"/>
              <w:right w:val="single" w:sz="4" w:space="0" w:color="000000"/>
            </w:tcBorders>
            <w:noWrap/>
            <w:vAlign w:val="bottom"/>
            <w:hideMark/>
          </w:tcPr>
          <w:p w14:paraId="15954F7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Barriers2</w:t>
            </w:r>
          </w:p>
        </w:tc>
        <w:tc>
          <w:tcPr>
            <w:tcW w:w="719" w:type="dxa"/>
            <w:tcBorders>
              <w:top w:val="nil"/>
              <w:left w:val="nil"/>
              <w:bottom w:val="single" w:sz="4" w:space="0" w:color="000000"/>
              <w:right w:val="single" w:sz="4" w:space="0" w:color="000000"/>
            </w:tcBorders>
            <w:noWrap/>
            <w:vAlign w:val="bottom"/>
            <w:hideMark/>
          </w:tcPr>
          <w:p w14:paraId="1C1744A8"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0.750</w:t>
            </w:r>
          </w:p>
        </w:tc>
        <w:tc>
          <w:tcPr>
            <w:tcW w:w="899" w:type="dxa"/>
            <w:tcBorders>
              <w:top w:val="nil"/>
              <w:left w:val="nil"/>
              <w:bottom w:val="single" w:sz="4" w:space="0" w:color="000000"/>
              <w:right w:val="single" w:sz="4" w:space="0" w:color="000000"/>
            </w:tcBorders>
            <w:noWrap/>
            <w:vAlign w:val="bottom"/>
            <w:hideMark/>
          </w:tcPr>
          <w:p w14:paraId="43B1972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0EFFAC60"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01849B1F"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573FA93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404C4CBF"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4A291A8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2447C380"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728F67A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Barriers4</w:t>
            </w:r>
          </w:p>
        </w:tc>
        <w:tc>
          <w:tcPr>
            <w:tcW w:w="719" w:type="dxa"/>
            <w:tcBorders>
              <w:top w:val="nil"/>
              <w:left w:val="nil"/>
              <w:bottom w:val="single" w:sz="4" w:space="0" w:color="000000"/>
              <w:right w:val="single" w:sz="4" w:space="0" w:color="000000"/>
            </w:tcBorders>
            <w:noWrap/>
            <w:vAlign w:val="bottom"/>
            <w:hideMark/>
          </w:tcPr>
          <w:p w14:paraId="02883422"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0.802</w:t>
            </w:r>
          </w:p>
        </w:tc>
        <w:tc>
          <w:tcPr>
            <w:tcW w:w="899" w:type="dxa"/>
            <w:tcBorders>
              <w:top w:val="nil"/>
              <w:left w:val="nil"/>
              <w:bottom w:val="single" w:sz="4" w:space="0" w:color="000000"/>
              <w:right w:val="single" w:sz="4" w:space="0" w:color="000000"/>
            </w:tcBorders>
            <w:noWrap/>
            <w:vAlign w:val="bottom"/>
            <w:hideMark/>
          </w:tcPr>
          <w:p w14:paraId="3E44B45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6CC6A1E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1B3F06C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5BF38F3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29C99D5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36A648E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16CA55B0"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7023C975"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Barriers6</w:t>
            </w:r>
          </w:p>
        </w:tc>
        <w:tc>
          <w:tcPr>
            <w:tcW w:w="719" w:type="dxa"/>
            <w:tcBorders>
              <w:top w:val="nil"/>
              <w:left w:val="nil"/>
              <w:bottom w:val="single" w:sz="4" w:space="0" w:color="000000"/>
              <w:right w:val="single" w:sz="4" w:space="0" w:color="000000"/>
            </w:tcBorders>
            <w:noWrap/>
            <w:vAlign w:val="bottom"/>
            <w:hideMark/>
          </w:tcPr>
          <w:p w14:paraId="27F4840B"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0.719</w:t>
            </w:r>
          </w:p>
        </w:tc>
        <w:tc>
          <w:tcPr>
            <w:tcW w:w="899" w:type="dxa"/>
            <w:tcBorders>
              <w:top w:val="nil"/>
              <w:left w:val="nil"/>
              <w:bottom w:val="single" w:sz="4" w:space="0" w:color="000000"/>
              <w:right w:val="single" w:sz="4" w:space="0" w:color="000000"/>
            </w:tcBorders>
            <w:noWrap/>
            <w:vAlign w:val="bottom"/>
            <w:hideMark/>
          </w:tcPr>
          <w:p w14:paraId="6A7A5B42"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730BD4D5"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27F0D1C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5CABEC59"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4A96E940"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1A7F0AB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73ED709C"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6B46008D"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Ease_of_use1</w:t>
            </w:r>
          </w:p>
        </w:tc>
        <w:tc>
          <w:tcPr>
            <w:tcW w:w="719" w:type="dxa"/>
            <w:tcBorders>
              <w:top w:val="nil"/>
              <w:left w:val="nil"/>
              <w:bottom w:val="single" w:sz="4" w:space="0" w:color="000000"/>
              <w:right w:val="single" w:sz="4" w:space="0" w:color="000000"/>
            </w:tcBorders>
            <w:noWrap/>
            <w:vAlign w:val="bottom"/>
            <w:hideMark/>
          </w:tcPr>
          <w:p w14:paraId="7790033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6AD8B863"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0.751</w:t>
            </w:r>
          </w:p>
        </w:tc>
        <w:tc>
          <w:tcPr>
            <w:tcW w:w="587" w:type="dxa"/>
            <w:tcBorders>
              <w:top w:val="nil"/>
              <w:left w:val="nil"/>
              <w:bottom w:val="single" w:sz="4" w:space="0" w:color="000000"/>
              <w:right w:val="single" w:sz="4" w:space="0" w:color="000000"/>
            </w:tcBorders>
            <w:noWrap/>
            <w:vAlign w:val="bottom"/>
            <w:hideMark/>
          </w:tcPr>
          <w:p w14:paraId="17269299"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3DD2A8F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55A8B3B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440459B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75F2853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0F99AE9D"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77060495"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Ease_of_use2</w:t>
            </w:r>
          </w:p>
        </w:tc>
        <w:tc>
          <w:tcPr>
            <w:tcW w:w="719" w:type="dxa"/>
            <w:tcBorders>
              <w:top w:val="nil"/>
              <w:left w:val="nil"/>
              <w:bottom w:val="single" w:sz="4" w:space="0" w:color="000000"/>
              <w:right w:val="single" w:sz="4" w:space="0" w:color="000000"/>
            </w:tcBorders>
            <w:noWrap/>
            <w:vAlign w:val="bottom"/>
            <w:hideMark/>
          </w:tcPr>
          <w:p w14:paraId="3CEAC855"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161436A1"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0.903</w:t>
            </w:r>
          </w:p>
        </w:tc>
        <w:tc>
          <w:tcPr>
            <w:tcW w:w="587" w:type="dxa"/>
            <w:tcBorders>
              <w:top w:val="nil"/>
              <w:left w:val="nil"/>
              <w:bottom w:val="single" w:sz="4" w:space="0" w:color="000000"/>
              <w:right w:val="single" w:sz="4" w:space="0" w:color="000000"/>
            </w:tcBorders>
            <w:noWrap/>
            <w:vAlign w:val="bottom"/>
            <w:hideMark/>
          </w:tcPr>
          <w:p w14:paraId="2080787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7B9AF72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03085F4D"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733CAF10"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7A14EB7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20BEE254"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15CC7F0D"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Ease_of_use4</w:t>
            </w:r>
          </w:p>
        </w:tc>
        <w:tc>
          <w:tcPr>
            <w:tcW w:w="719" w:type="dxa"/>
            <w:tcBorders>
              <w:top w:val="nil"/>
              <w:left w:val="nil"/>
              <w:bottom w:val="single" w:sz="4" w:space="0" w:color="000000"/>
              <w:right w:val="single" w:sz="4" w:space="0" w:color="000000"/>
            </w:tcBorders>
            <w:noWrap/>
            <w:vAlign w:val="bottom"/>
            <w:hideMark/>
          </w:tcPr>
          <w:p w14:paraId="6132CA2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7482D984"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0.837</w:t>
            </w:r>
          </w:p>
        </w:tc>
        <w:tc>
          <w:tcPr>
            <w:tcW w:w="587" w:type="dxa"/>
            <w:tcBorders>
              <w:top w:val="nil"/>
              <w:left w:val="nil"/>
              <w:bottom w:val="single" w:sz="4" w:space="0" w:color="000000"/>
              <w:right w:val="single" w:sz="4" w:space="0" w:color="000000"/>
            </w:tcBorders>
            <w:noWrap/>
            <w:vAlign w:val="bottom"/>
            <w:hideMark/>
          </w:tcPr>
          <w:p w14:paraId="5ADF8D7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4D441462"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47CEC5DF"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6289E6C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5F6780A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6ABA4ACC"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55FD86AF"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ITF1</w:t>
            </w:r>
          </w:p>
        </w:tc>
        <w:tc>
          <w:tcPr>
            <w:tcW w:w="719" w:type="dxa"/>
            <w:tcBorders>
              <w:top w:val="nil"/>
              <w:left w:val="nil"/>
              <w:bottom w:val="single" w:sz="4" w:space="0" w:color="000000"/>
              <w:right w:val="single" w:sz="4" w:space="0" w:color="000000"/>
            </w:tcBorders>
            <w:noWrap/>
            <w:vAlign w:val="bottom"/>
            <w:hideMark/>
          </w:tcPr>
          <w:p w14:paraId="7A24BD10"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6E7618A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439DAD71"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0.747</w:t>
            </w:r>
          </w:p>
        </w:tc>
        <w:tc>
          <w:tcPr>
            <w:tcW w:w="784" w:type="dxa"/>
            <w:tcBorders>
              <w:top w:val="nil"/>
              <w:left w:val="nil"/>
              <w:bottom w:val="single" w:sz="4" w:space="0" w:color="000000"/>
              <w:right w:val="single" w:sz="4" w:space="0" w:color="000000"/>
            </w:tcBorders>
            <w:noWrap/>
            <w:vAlign w:val="bottom"/>
            <w:hideMark/>
          </w:tcPr>
          <w:p w14:paraId="1313A6FD"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73F9F0B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56941D7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0B3AD2EB"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667544D5"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07D4749D"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ITF2</w:t>
            </w:r>
          </w:p>
        </w:tc>
        <w:tc>
          <w:tcPr>
            <w:tcW w:w="719" w:type="dxa"/>
            <w:tcBorders>
              <w:top w:val="nil"/>
              <w:left w:val="nil"/>
              <w:bottom w:val="single" w:sz="4" w:space="0" w:color="000000"/>
              <w:right w:val="single" w:sz="4" w:space="0" w:color="000000"/>
            </w:tcBorders>
            <w:noWrap/>
            <w:vAlign w:val="bottom"/>
            <w:hideMark/>
          </w:tcPr>
          <w:p w14:paraId="7C8A7237"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664C973F"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2353420D"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0.784</w:t>
            </w:r>
          </w:p>
        </w:tc>
        <w:tc>
          <w:tcPr>
            <w:tcW w:w="784" w:type="dxa"/>
            <w:tcBorders>
              <w:top w:val="nil"/>
              <w:left w:val="nil"/>
              <w:bottom w:val="single" w:sz="4" w:space="0" w:color="000000"/>
              <w:right w:val="single" w:sz="4" w:space="0" w:color="000000"/>
            </w:tcBorders>
            <w:noWrap/>
            <w:vAlign w:val="bottom"/>
            <w:hideMark/>
          </w:tcPr>
          <w:p w14:paraId="4C19B15B"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10B5D89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2B42B4E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3921F30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6EBAAE54"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3BDE91C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ITF3</w:t>
            </w:r>
          </w:p>
        </w:tc>
        <w:tc>
          <w:tcPr>
            <w:tcW w:w="719" w:type="dxa"/>
            <w:tcBorders>
              <w:top w:val="nil"/>
              <w:left w:val="nil"/>
              <w:bottom w:val="single" w:sz="4" w:space="0" w:color="000000"/>
              <w:right w:val="single" w:sz="4" w:space="0" w:color="000000"/>
            </w:tcBorders>
            <w:noWrap/>
            <w:vAlign w:val="bottom"/>
            <w:hideMark/>
          </w:tcPr>
          <w:p w14:paraId="648C009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69FFBDF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13281C34"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0.842</w:t>
            </w:r>
          </w:p>
        </w:tc>
        <w:tc>
          <w:tcPr>
            <w:tcW w:w="784" w:type="dxa"/>
            <w:tcBorders>
              <w:top w:val="nil"/>
              <w:left w:val="nil"/>
              <w:bottom w:val="single" w:sz="4" w:space="0" w:color="000000"/>
              <w:right w:val="single" w:sz="4" w:space="0" w:color="000000"/>
            </w:tcBorders>
            <w:noWrap/>
            <w:vAlign w:val="bottom"/>
            <w:hideMark/>
          </w:tcPr>
          <w:p w14:paraId="04CEBE7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0A6D072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13B8916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2AADF5C7"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45E8EF79"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0ABEC0F5"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ITF4</w:t>
            </w:r>
          </w:p>
        </w:tc>
        <w:tc>
          <w:tcPr>
            <w:tcW w:w="719" w:type="dxa"/>
            <w:tcBorders>
              <w:top w:val="nil"/>
              <w:left w:val="nil"/>
              <w:bottom w:val="single" w:sz="4" w:space="0" w:color="000000"/>
              <w:right w:val="single" w:sz="4" w:space="0" w:color="000000"/>
            </w:tcBorders>
            <w:noWrap/>
            <w:vAlign w:val="bottom"/>
            <w:hideMark/>
          </w:tcPr>
          <w:p w14:paraId="52FD34F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56E5F040"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4E3E9F24"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0.724</w:t>
            </w:r>
          </w:p>
        </w:tc>
        <w:tc>
          <w:tcPr>
            <w:tcW w:w="784" w:type="dxa"/>
            <w:tcBorders>
              <w:top w:val="nil"/>
              <w:left w:val="nil"/>
              <w:bottom w:val="single" w:sz="4" w:space="0" w:color="000000"/>
              <w:right w:val="single" w:sz="4" w:space="0" w:color="000000"/>
            </w:tcBorders>
            <w:noWrap/>
            <w:vAlign w:val="bottom"/>
            <w:hideMark/>
          </w:tcPr>
          <w:p w14:paraId="536C046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71F141C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4F7533C7"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5E50340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2CA9B602"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1437C34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ITF5</w:t>
            </w:r>
          </w:p>
        </w:tc>
        <w:tc>
          <w:tcPr>
            <w:tcW w:w="719" w:type="dxa"/>
            <w:tcBorders>
              <w:top w:val="nil"/>
              <w:left w:val="nil"/>
              <w:bottom w:val="single" w:sz="4" w:space="0" w:color="000000"/>
              <w:right w:val="single" w:sz="4" w:space="0" w:color="000000"/>
            </w:tcBorders>
            <w:noWrap/>
            <w:vAlign w:val="bottom"/>
            <w:hideMark/>
          </w:tcPr>
          <w:p w14:paraId="3A4A8DB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592AD3E2"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5B0F665B"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0.840</w:t>
            </w:r>
          </w:p>
        </w:tc>
        <w:tc>
          <w:tcPr>
            <w:tcW w:w="784" w:type="dxa"/>
            <w:tcBorders>
              <w:top w:val="nil"/>
              <w:left w:val="nil"/>
              <w:bottom w:val="single" w:sz="4" w:space="0" w:color="000000"/>
              <w:right w:val="single" w:sz="4" w:space="0" w:color="000000"/>
            </w:tcBorders>
            <w:noWrap/>
            <w:vAlign w:val="bottom"/>
            <w:hideMark/>
          </w:tcPr>
          <w:p w14:paraId="78D6A86B"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5E07F845"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72CC626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25E711F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3B28ADB4"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05B82CD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Intention1</w:t>
            </w:r>
          </w:p>
        </w:tc>
        <w:tc>
          <w:tcPr>
            <w:tcW w:w="719" w:type="dxa"/>
            <w:tcBorders>
              <w:top w:val="nil"/>
              <w:left w:val="nil"/>
              <w:bottom w:val="single" w:sz="4" w:space="0" w:color="000000"/>
              <w:right w:val="single" w:sz="4" w:space="0" w:color="000000"/>
            </w:tcBorders>
            <w:noWrap/>
            <w:vAlign w:val="bottom"/>
            <w:hideMark/>
          </w:tcPr>
          <w:p w14:paraId="059C0959"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4E1F506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225B8A2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2CCFF01B"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0.904</w:t>
            </w:r>
          </w:p>
        </w:tc>
        <w:tc>
          <w:tcPr>
            <w:tcW w:w="948" w:type="dxa"/>
            <w:tcBorders>
              <w:top w:val="nil"/>
              <w:left w:val="nil"/>
              <w:bottom w:val="single" w:sz="4" w:space="0" w:color="000000"/>
              <w:right w:val="single" w:sz="4" w:space="0" w:color="000000"/>
            </w:tcBorders>
            <w:noWrap/>
            <w:vAlign w:val="bottom"/>
            <w:hideMark/>
          </w:tcPr>
          <w:p w14:paraId="403B11E7"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352A9972"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3E4D6BAD"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11CD4CC3"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229CB4C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Intention2</w:t>
            </w:r>
          </w:p>
        </w:tc>
        <w:tc>
          <w:tcPr>
            <w:tcW w:w="719" w:type="dxa"/>
            <w:tcBorders>
              <w:top w:val="nil"/>
              <w:left w:val="nil"/>
              <w:bottom w:val="single" w:sz="4" w:space="0" w:color="000000"/>
              <w:right w:val="single" w:sz="4" w:space="0" w:color="000000"/>
            </w:tcBorders>
            <w:noWrap/>
            <w:vAlign w:val="bottom"/>
            <w:hideMark/>
          </w:tcPr>
          <w:p w14:paraId="70CFD65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705F7DBB"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1A6767F2"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0C0B6FE1"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0.926</w:t>
            </w:r>
          </w:p>
        </w:tc>
        <w:tc>
          <w:tcPr>
            <w:tcW w:w="948" w:type="dxa"/>
            <w:tcBorders>
              <w:top w:val="nil"/>
              <w:left w:val="nil"/>
              <w:bottom w:val="single" w:sz="4" w:space="0" w:color="000000"/>
              <w:right w:val="single" w:sz="4" w:space="0" w:color="000000"/>
            </w:tcBorders>
            <w:noWrap/>
            <w:vAlign w:val="bottom"/>
            <w:hideMark/>
          </w:tcPr>
          <w:p w14:paraId="2DCFD0B9"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188715B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1158AC0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34B4FDB0"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0C0686BF"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Intention4</w:t>
            </w:r>
          </w:p>
        </w:tc>
        <w:tc>
          <w:tcPr>
            <w:tcW w:w="719" w:type="dxa"/>
            <w:tcBorders>
              <w:top w:val="nil"/>
              <w:left w:val="nil"/>
              <w:bottom w:val="single" w:sz="4" w:space="0" w:color="000000"/>
              <w:right w:val="single" w:sz="4" w:space="0" w:color="000000"/>
            </w:tcBorders>
            <w:noWrap/>
            <w:vAlign w:val="bottom"/>
            <w:hideMark/>
          </w:tcPr>
          <w:p w14:paraId="716BFFD0"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5741B1C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0E4D98ED"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51F08514"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0.830</w:t>
            </w:r>
          </w:p>
        </w:tc>
        <w:tc>
          <w:tcPr>
            <w:tcW w:w="948" w:type="dxa"/>
            <w:tcBorders>
              <w:top w:val="nil"/>
              <w:left w:val="nil"/>
              <w:bottom w:val="single" w:sz="4" w:space="0" w:color="000000"/>
              <w:right w:val="single" w:sz="4" w:space="0" w:color="000000"/>
            </w:tcBorders>
            <w:noWrap/>
            <w:vAlign w:val="bottom"/>
            <w:hideMark/>
          </w:tcPr>
          <w:p w14:paraId="132E26F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6C9964E9"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53C12BA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05E8D7BF"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1E75161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Knowledge1</w:t>
            </w:r>
          </w:p>
        </w:tc>
        <w:tc>
          <w:tcPr>
            <w:tcW w:w="719" w:type="dxa"/>
            <w:tcBorders>
              <w:top w:val="nil"/>
              <w:left w:val="nil"/>
              <w:bottom w:val="single" w:sz="4" w:space="0" w:color="000000"/>
              <w:right w:val="single" w:sz="4" w:space="0" w:color="000000"/>
            </w:tcBorders>
            <w:noWrap/>
            <w:vAlign w:val="bottom"/>
            <w:hideMark/>
          </w:tcPr>
          <w:p w14:paraId="0CDE33D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4376DE99"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42466F3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232596C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7417200B"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0.754</w:t>
            </w:r>
          </w:p>
        </w:tc>
        <w:tc>
          <w:tcPr>
            <w:tcW w:w="1533" w:type="dxa"/>
            <w:tcBorders>
              <w:top w:val="nil"/>
              <w:left w:val="nil"/>
              <w:bottom w:val="single" w:sz="4" w:space="0" w:color="000000"/>
              <w:right w:val="single" w:sz="4" w:space="0" w:color="000000"/>
            </w:tcBorders>
            <w:noWrap/>
            <w:vAlign w:val="bottom"/>
            <w:hideMark/>
          </w:tcPr>
          <w:p w14:paraId="3635439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346E48B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716D625A"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50A97B80"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Knowledge2</w:t>
            </w:r>
          </w:p>
        </w:tc>
        <w:tc>
          <w:tcPr>
            <w:tcW w:w="719" w:type="dxa"/>
            <w:tcBorders>
              <w:top w:val="nil"/>
              <w:left w:val="nil"/>
              <w:bottom w:val="single" w:sz="4" w:space="0" w:color="000000"/>
              <w:right w:val="single" w:sz="4" w:space="0" w:color="000000"/>
            </w:tcBorders>
            <w:noWrap/>
            <w:vAlign w:val="bottom"/>
            <w:hideMark/>
          </w:tcPr>
          <w:p w14:paraId="10F3B16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6FEA407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08B90DD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3E54086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38D44751"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0.788</w:t>
            </w:r>
          </w:p>
        </w:tc>
        <w:tc>
          <w:tcPr>
            <w:tcW w:w="1533" w:type="dxa"/>
            <w:tcBorders>
              <w:top w:val="nil"/>
              <w:left w:val="nil"/>
              <w:bottom w:val="single" w:sz="4" w:space="0" w:color="000000"/>
              <w:right w:val="single" w:sz="4" w:space="0" w:color="000000"/>
            </w:tcBorders>
            <w:noWrap/>
            <w:vAlign w:val="bottom"/>
            <w:hideMark/>
          </w:tcPr>
          <w:p w14:paraId="42C0C2B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77FAF3F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4A59226C"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0C63160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Knowledge3</w:t>
            </w:r>
          </w:p>
        </w:tc>
        <w:tc>
          <w:tcPr>
            <w:tcW w:w="719" w:type="dxa"/>
            <w:tcBorders>
              <w:top w:val="nil"/>
              <w:left w:val="nil"/>
              <w:bottom w:val="single" w:sz="4" w:space="0" w:color="000000"/>
              <w:right w:val="single" w:sz="4" w:space="0" w:color="000000"/>
            </w:tcBorders>
            <w:noWrap/>
            <w:vAlign w:val="bottom"/>
            <w:hideMark/>
          </w:tcPr>
          <w:p w14:paraId="504FC8D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1FD93EA5"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6C45058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2EF2C23F"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3212C46D"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0.854</w:t>
            </w:r>
          </w:p>
        </w:tc>
        <w:tc>
          <w:tcPr>
            <w:tcW w:w="1533" w:type="dxa"/>
            <w:tcBorders>
              <w:top w:val="nil"/>
              <w:left w:val="nil"/>
              <w:bottom w:val="single" w:sz="4" w:space="0" w:color="000000"/>
              <w:right w:val="single" w:sz="4" w:space="0" w:color="000000"/>
            </w:tcBorders>
            <w:noWrap/>
            <w:vAlign w:val="bottom"/>
            <w:hideMark/>
          </w:tcPr>
          <w:p w14:paraId="150665C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317AAD5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1F461B60"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588A6312"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Perception_of_Interest1</w:t>
            </w:r>
          </w:p>
        </w:tc>
        <w:tc>
          <w:tcPr>
            <w:tcW w:w="719" w:type="dxa"/>
            <w:tcBorders>
              <w:top w:val="nil"/>
              <w:left w:val="nil"/>
              <w:bottom w:val="single" w:sz="4" w:space="0" w:color="000000"/>
              <w:right w:val="single" w:sz="4" w:space="0" w:color="000000"/>
            </w:tcBorders>
            <w:noWrap/>
            <w:vAlign w:val="bottom"/>
            <w:hideMark/>
          </w:tcPr>
          <w:p w14:paraId="5007A19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4FCE5DCB"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3AF102F9"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4B0BD63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2025A199"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5EB52519"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0.812</w:t>
            </w:r>
          </w:p>
        </w:tc>
        <w:tc>
          <w:tcPr>
            <w:tcW w:w="646" w:type="dxa"/>
            <w:tcBorders>
              <w:top w:val="nil"/>
              <w:left w:val="nil"/>
              <w:bottom w:val="single" w:sz="4" w:space="0" w:color="000000"/>
              <w:right w:val="single" w:sz="4" w:space="0" w:color="000000"/>
            </w:tcBorders>
            <w:noWrap/>
            <w:vAlign w:val="bottom"/>
            <w:hideMark/>
          </w:tcPr>
          <w:p w14:paraId="665D2AF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4A84C286"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5F94FCF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Perception_of_Interest2</w:t>
            </w:r>
          </w:p>
        </w:tc>
        <w:tc>
          <w:tcPr>
            <w:tcW w:w="719" w:type="dxa"/>
            <w:tcBorders>
              <w:top w:val="nil"/>
              <w:left w:val="nil"/>
              <w:bottom w:val="single" w:sz="4" w:space="0" w:color="000000"/>
              <w:right w:val="single" w:sz="4" w:space="0" w:color="000000"/>
            </w:tcBorders>
            <w:noWrap/>
            <w:vAlign w:val="bottom"/>
            <w:hideMark/>
          </w:tcPr>
          <w:p w14:paraId="71B8F6A0"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5FDA5E1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5758B63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0153C46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05A2B4D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4E00FEB0"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0.850</w:t>
            </w:r>
          </w:p>
        </w:tc>
        <w:tc>
          <w:tcPr>
            <w:tcW w:w="646" w:type="dxa"/>
            <w:tcBorders>
              <w:top w:val="nil"/>
              <w:left w:val="nil"/>
              <w:bottom w:val="single" w:sz="4" w:space="0" w:color="000000"/>
              <w:right w:val="single" w:sz="4" w:space="0" w:color="000000"/>
            </w:tcBorders>
            <w:noWrap/>
            <w:vAlign w:val="bottom"/>
            <w:hideMark/>
          </w:tcPr>
          <w:p w14:paraId="1737961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0EC60220"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622758EF"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lastRenderedPageBreak/>
              <w:t>Perception_of_Interest3</w:t>
            </w:r>
          </w:p>
        </w:tc>
        <w:tc>
          <w:tcPr>
            <w:tcW w:w="719" w:type="dxa"/>
            <w:tcBorders>
              <w:top w:val="nil"/>
              <w:left w:val="nil"/>
              <w:bottom w:val="single" w:sz="4" w:space="0" w:color="000000"/>
              <w:right w:val="single" w:sz="4" w:space="0" w:color="000000"/>
            </w:tcBorders>
            <w:noWrap/>
            <w:vAlign w:val="bottom"/>
            <w:hideMark/>
          </w:tcPr>
          <w:p w14:paraId="1A8BA2E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79F4C50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3E38040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05FF298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28E9079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0ED52D1C"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0.901</w:t>
            </w:r>
          </w:p>
        </w:tc>
        <w:tc>
          <w:tcPr>
            <w:tcW w:w="646" w:type="dxa"/>
            <w:tcBorders>
              <w:top w:val="nil"/>
              <w:left w:val="nil"/>
              <w:bottom w:val="single" w:sz="4" w:space="0" w:color="000000"/>
              <w:right w:val="single" w:sz="4" w:space="0" w:color="000000"/>
            </w:tcBorders>
            <w:noWrap/>
            <w:vAlign w:val="bottom"/>
            <w:hideMark/>
          </w:tcPr>
          <w:p w14:paraId="23304B50"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545A50F6"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5D4C32BB"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Perception_of_Interest4</w:t>
            </w:r>
          </w:p>
        </w:tc>
        <w:tc>
          <w:tcPr>
            <w:tcW w:w="719" w:type="dxa"/>
            <w:tcBorders>
              <w:top w:val="nil"/>
              <w:left w:val="nil"/>
              <w:bottom w:val="single" w:sz="4" w:space="0" w:color="000000"/>
              <w:right w:val="single" w:sz="4" w:space="0" w:color="000000"/>
            </w:tcBorders>
            <w:noWrap/>
            <w:vAlign w:val="bottom"/>
            <w:hideMark/>
          </w:tcPr>
          <w:p w14:paraId="4F43171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5BDA6B95"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655E07DF"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6360E08F"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1693B30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3B47EEA8"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0.841</w:t>
            </w:r>
          </w:p>
        </w:tc>
        <w:tc>
          <w:tcPr>
            <w:tcW w:w="646" w:type="dxa"/>
            <w:tcBorders>
              <w:top w:val="nil"/>
              <w:left w:val="nil"/>
              <w:bottom w:val="single" w:sz="4" w:space="0" w:color="000000"/>
              <w:right w:val="single" w:sz="4" w:space="0" w:color="000000"/>
            </w:tcBorders>
            <w:noWrap/>
            <w:vAlign w:val="bottom"/>
            <w:hideMark/>
          </w:tcPr>
          <w:p w14:paraId="519B781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r>
      <w:tr w:rsidR="00582353" w:rsidRPr="000D5D7F" w14:paraId="7C81D238"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27E0C1F7"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Trends1</w:t>
            </w:r>
          </w:p>
        </w:tc>
        <w:tc>
          <w:tcPr>
            <w:tcW w:w="719" w:type="dxa"/>
            <w:tcBorders>
              <w:top w:val="nil"/>
              <w:left w:val="nil"/>
              <w:bottom w:val="single" w:sz="4" w:space="0" w:color="000000"/>
              <w:right w:val="single" w:sz="4" w:space="0" w:color="000000"/>
            </w:tcBorders>
            <w:noWrap/>
            <w:vAlign w:val="bottom"/>
            <w:hideMark/>
          </w:tcPr>
          <w:p w14:paraId="747DD6F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1AAD2225"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7F03998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48254002"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58156BA9"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48D0118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713E4249"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0.875</w:t>
            </w:r>
          </w:p>
        </w:tc>
      </w:tr>
      <w:tr w:rsidR="00582353" w:rsidRPr="000D5D7F" w14:paraId="6BEC4678"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1B6A972C"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Trends2</w:t>
            </w:r>
          </w:p>
        </w:tc>
        <w:tc>
          <w:tcPr>
            <w:tcW w:w="719" w:type="dxa"/>
            <w:tcBorders>
              <w:top w:val="nil"/>
              <w:left w:val="nil"/>
              <w:bottom w:val="single" w:sz="4" w:space="0" w:color="000000"/>
              <w:right w:val="single" w:sz="4" w:space="0" w:color="000000"/>
            </w:tcBorders>
            <w:noWrap/>
            <w:vAlign w:val="bottom"/>
            <w:hideMark/>
          </w:tcPr>
          <w:p w14:paraId="63362AF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301AC6C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0E48AEF7"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156CF81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1075A92D"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0CE7E6A3"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3787B30A"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0.907</w:t>
            </w:r>
          </w:p>
        </w:tc>
      </w:tr>
      <w:tr w:rsidR="00582353" w:rsidRPr="000D5D7F" w14:paraId="724AF1EE"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6258608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Trends3</w:t>
            </w:r>
          </w:p>
        </w:tc>
        <w:tc>
          <w:tcPr>
            <w:tcW w:w="719" w:type="dxa"/>
            <w:tcBorders>
              <w:top w:val="nil"/>
              <w:left w:val="nil"/>
              <w:bottom w:val="single" w:sz="4" w:space="0" w:color="000000"/>
              <w:right w:val="single" w:sz="4" w:space="0" w:color="000000"/>
            </w:tcBorders>
            <w:noWrap/>
            <w:vAlign w:val="bottom"/>
            <w:hideMark/>
          </w:tcPr>
          <w:p w14:paraId="737B18E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5476CF79"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6D023D7B"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09FD8070"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5D34F9C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545EAD11"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4F224F59"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0.906</w:t>
            </w:r>
          </w:p>
        </w:tc>
      </w:tr>
      <w:tr w:rsidR="00582353" w:rsidRPr="000D5D7F" w14:paraId="34EFDD21" w14:textId="77777777" w:rsidTr="00AB6F4E">
        <w:trPr>
          <w:trHeight w:val="225"/>
        </w:trPr>
        <w:tc>
          <w:tcPr>
            <w:tcW w:w="1771" w:type="dxa"/>
            <w:tcBorders>
              <w:top w:val="nil"/>
              <w:left w:val="single" w:sz="4" w:space="0" w:color="000000"/>
              <w:bottom w:val="single" w:sz="4" w:space="0" w:color="000000"/>
              <w:right w:val="single" w:sz="4" w:space="0" w:color="000000"/>
            </w:tcBorders>
            <w:noWrap/>
            <w:vAlign w:val="bottom"/>
            <w:hideMark/>
          </w:tcPr>
          <w:p w14:paraId="4030272E"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Trends4</w:t>
            </w:r>
          </w:p>
        </w:tc>
        <w:tc>
          <w:tcPr>
            <w:tcW w:w="719" w:type="dxa"/>
            <w:tcBorders>
              <w:top w:val="nil"/>
              <w:left w:val="nil"/>
              <w:bottom w:val="single" w:sz="4" w:space="0" w:color="000000"/>
              <w:right w:val="single" w:sz="4" w:space="0" w:color="000000"/>
            </w:tcBorders>
            <w:noWrap/>
            <w:vAlign w:val="bottom"/>
            <w:hideMark/>
          </w:tcPr>
          <w:p w14:paraId="125BE2F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899" w:type="dxa"/>
            <w:tcBorders>
              <w:top w:val="nil"/>
              <w:left w:val="nil"/>
              <w:bottom w:val="single" w:sz="4" w:space="0" w:color="000000"/>
              <w:right w:val="single" w:sz="4" w:space="0" w:color="000000"/>
            </w:tcBorders>
            <w:noWrap/>
            <w:vAlign w:val="bottom"/>
            <w:hideMark/>
          </w:tcPr>
          <w:p w14:paraId="6A1EA346"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587" w:type="dxa"/>
            <w:tcBorders>
              <w:top w:val="nil"/>
              <w:left w:val="nil"/>
              <w:bottom w:val="single" w:sz="4" w:space="0" w:color="000000"/>
              <w:right w:val="single" w:sz="4" w:space="0" w:color="000000"/>
            </w:tcBorders>
            <w:noWrap/>
            <w:vAlign w:val="bottom"/>
            <w:hideMark/>
          </w:tcPr>
          <w:p w14:paraId="346A9F34"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784" w:type="dxa"/>
            <w:tcBorders>
              <w:top w:val="nil"/>
              <w:left w:val="nil"/>
              <w:bottom w:val="single" w:sz="4" w:space="0" w:color="000000"/>
              <w:right w:val="single" w:sz="4" w:space="0" w:color="000000"/>
            </w:tcBorders>
            <w:noWrap/>
            <w:vAlign w:val="bottom"/>
            <w:hideMark/>
          </w:tcPr>
          <w:p w14:paraId="796A6182"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948" w:type="dxa"/>
            <w:tcBorders>
              <w:top w:val="nil"/>
              <w:left w:val="nil"/>
              <w:bottom w:val="single" w:sz="4" w:space="0" w:color="000000"/>
              <w:right w:val="single" w:sz="4" w:space="0" w:color="000000"/>
            </w:tcBorders>
            <w:noWrap/>
            <w:vAlign w:val="bottom"/>
            <w:hideMark/>
          </w:tcPr>
          <w:p w14:paraId="012BAD58"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1533" w:type="dxa"/>
            <w:tcBorders>
              <w:top w:val="nil"/>
              <w:left w:val="nil"/>
              <w:bottom w:val="single" w:sz="4" w:space="0" w:color="000000"/>
              <w:right w:val="single" w:sz="4" w:space="0" w:color="000000"/>
            </w:tcBorders>
            <w:noWrap/>
            <w:vAlign w:val="bottom"/>
            <w:hideMark/>
          </w:tcPr>
          <w:p w14:paraId="03A5B8DA" w14:textId="77777777" w:rsidR="00582353" w:rsidRPr="000D5D7F" w:rsidRDefault="00582353" w:rsidP="00582353">
            <w:pPr>
              <w:spacing w:line="240" w:lineRule="auto"/>
              <w:rPr>
                <w:rFonts w:eastAsia="Times New Roman"/>
                <w:color w:val="000000"/>
                <w:sz w:val="20"/>
                <w:szCs w:val="20"/>
              </w:rPr>
            </w:pPr>
            <w:r w:rsidRPr="000D5D7F">
              <w:rPr>
                <w:rFonts w:eastAsia="Times New Roman"/>
                <w:color w:val="000000"/>
                <w:sz w:val="20"/>
                <w:szCs w:val="20"/>
              </w:rPr>
              <w:t> </w:t>
            </w:r>
          </w:p>
        </w:tc>
        <w:tc>
          <w:tcPr>
            <w:tcW w:w="646" w:type="dxa"/>
            <w:tcBorders>
              <w:top w:val="nil"/>
              <w:left w:val="nil"/>
              <w:bottom w:val="single" w:sz="4" w:space="0" w:color="000000"/>
              <w:right w:val="single" w:sz="4" w:space="0" w:color="000000"/>
            </w:tcBorders>
            <w:noWrap/>
            <w:vAlign w:val="bottom"/>
            <w:hideMark/>
          </w:tcPr>
          <w:p w14:paraId="07B1394C" w14:textId="77777777" w:rsidR="00582353" w:rsidRPr="000D5D7F" w:rsidRDefault="00582353" w:rsidP="00582353">
            <w:pPr>
              <w:spacing w:line="240" w:lineRule="auto"/>
              <w:jc w:val="right"/>
              <w:rPr>
                <w:rFonts w:eastAsia="Times New Roman"/>
                <w:color w:val="008000"/>
                <w:sz w:val="20"/>
                <w:szCs w:val="20"/>
              </w:rPr>
            </w:pPr>
            <w:r w:rsidRPr="000D5D7F">
              <w:rPr>
                <w:rFonts w:eastAsia="Times New Roman"/>
                <w:color w:val="008000"/>
                <w:sz w:val="20"/>
                <w:szCs w:val="20"/>
              </w:rPr>
              <w:t>0.812</w:t>
            </w:r>
          </w:p>
        </w:tc>
      </w:tr>
    </w:tbl>
    <w:p w14:paraId="3E2AB321" w14:textId="77777777" w:rsidR="005B56C0" w:rsidRPr="000D5D7F" w:rsidRDefault="005B56C0" w:rsidP="005B56C0">
      <w:pPr>
        <w:spacing w:after="160"/>
        <w:ind w:firstLine="720"/>
        <w:jc w:val="both"/>
        <w:rPr>
          <w:color w:val="000000"/>
          <w:sz w:val="22"/>
        </w:rPr>
      </w:pPr>
    </w:p>
    <w:p w14:paraId="5E3F8A62" w14:textId="13DB1B3C" w:rsidR="000A4C01" w:rsidRPr="007F791F" w:rsidRDefault="004607AB" w:rsidP="007F791F">
      <w:pPr>
        <w:spacing w:after="160"/>
        <w:ind w:firstLine="720"/>
        <w:jc w:val="both"/>
        <w:rPr>
          <w:color w:val="000000"/>
          <w:szCs w:val="24"/>
        </w:rPr>
      </w:pPr>
      <w:r w:rsidRPr="007F791F">
        <w:rPr>
          <w:color w:val="000000"/>
          <w:szCs w:val="24"/>
        </w:rPr>
        <w:t xml:space="preserve">The researchers used Cronbach's alpha (CA) values to examine for internal consistency, aiming for thresholds above 0.7 as recommended. According to Table 1, every single structure managed to surpass this mark. We suggest evaluating composite reliability (CR) and Rho alpha in addition to CA because we are worried about its possible </w:t>
      </w:r>
      <w:r w:rsidR="000A4C01" w:rsidRPr="007F791F">
        <w:rPr>
          <w:color w:val="000000"/>
          <w:szCs w:val="24"/>
        </w:rPr>
        <w:t>underestimation</w:t>
      </w:r>
      <w:r w:rsidRPr="007F791F">
        <w:rPr>
          <w:color w:val="000000"/>
          <w:szCs w:val="24"/>
        </w:rPr>
        <w:t xml:space="preserve">. Both CR and Rho alpha need to be higher than 0.7 </w:t>
      </w:r>
      <w:r w:rsidR="007F791F" w:rsidRPr="007F791F">
        <w:rPr>
          <w:color w:val="000000"/>
          <w:szCs w:val="24"/>
        </w:rPr>
        <w:t>for</w:t>
      </w:r>
      <w:r w:rsidRPr="007F791F">
        <w:rPr>
          <w:color w:val="000000"/>
          <w:szCs w:val="24"/>
        </w:rPr>
        <w:t xml:space="preserve"> the validation to be considered. </w:t>
      </w:r>
      <w:r w:rsidR="000A4C01" w:rsidRPr="007F791F">
        <w:rPr>
          <w:color w:val="000000"/>
          <w:szCs w:val="24"/>
        </w:rPr>
        <w:t>All</w:t>
      </w:r>
      <w:r w:rsidRPr="007F791F">
        <w:rPr>
          <w:color w:val="000000"/>
          <w:szCs w:val="24"/>
        </w:rPr>
        <w:t xml:space="preserve"> the constructions meet the criteria, as shown in Table 1. In addition, when the average variance extracted (AVE) is bigger than 0.5, convergent validity is achieved (Hair et al., 2019). Convergent validity assesses the link between a measure and related conceptual measures</w:t>
      </w:r>
      <w:r w:rsidR="007F791F">
        <w:rPr>
          <w:color w:val="000000"/>
          <w:szCs w:val="24"/>
        </w:rPr>
        <w:t>.</w:t>
      </w:r>
    </w:p>
    <w:p w14:paraId="099BE9CF" w14:textId="77777777" w:rsidR="009120FB" w:rsidRPr="000A4C01" w:rsidRDefault="009120FB" w:rsidP="009120FB">
      <w:pPr>
        <w:spacing w:after="160" w:line="240" w:lineRule="auto"/>
        <w:rPr>
          <w:b/>
          <w:bCs/>
          <w:sz w:val="22"/>
        </w:rPr>
      </w:pPr>
      <w:r w:rsidRPr="000A4C01">
        <w:rPr>
          <w:b/>
          <w:bCs/>
          <w:sz w:val="22"/>
        </w:rPr>
        <w:t>Table 2</w:t>
      </w:r>
    </w:p>
    <w:p w14:paraId="3D656C10" w14:textId="77777777" w:rsidR="009120FB" w:rsidRPr="000A4C01" w:rsidRDefault="009120FB" w:rsidP="009120FB">
      <w:pPr>
        <w:spacing w:after="160" w:line="240" w:lineRule="auto"/>
        <w:rPr>
          <w:i/>
          <w:iCs/>
          <w:sz w:val="22"/>
        </w:rPr>
      </w:pPr>
      <w:r w:rsidRPr="000A4C01">
        <w:rPr>
          <w:i/>
          <w:iCs/>
          <w:sz w:val="22"/>
        </w:rPr>
        <w:t xml:space="preserve"> Construct reliability and validity</w:t>
      </w:r>
    </w:p>
    <w:tbl>
      <w:tblPr>
        <w:tblW w:w="8970" w:type="dxa"/>
        <w:tblLook w:val="04A0" w:firstRow="1" w:lastRow="0" w:firstColumn="1" w:lastColumn="0" w:noHBand="0" w:noVBand="1"/>
      </w:tblPr>
      <w:tblGrid>
        <w:gridCol w:w="2972"/>
        <w:gridCol w:w="1563"/>
        <w:gridCol w:w="1525"/>
        <w:gridCol w:w="1525"/>
        <w:gridCol w:w="1385"/>
      </w:tblGrid>
      <w:tr w:rsidR="009120FB" w:rsidRPr="000D5D7F" w14:paraId="60932BFF" w14:textId="77777777" w:rsidTr="00AB6F4E">
        <w:trPr>
          <w:trHeight w:val="189"/>
        </w:trPr>
        <w:tc>
          <w:tcPr>
            <w:tcW w:w="2972" w:type="dxa"/>
            <w:tcBorders>
              <w:top w:val="nil"/>
              <w:left w:val="nil"/>
              <w:bottom w:val="nil"/>
              <w:right w:val="nil"/>
            </w:tcBorders>
            <w:noWrap/>
            <w:vAlign w:val="bottom"/>
            <w:hideMark/>
          </w:tcPr>
          <w:p w14:paraId="76EF6EB0" w14:textId="77777777" w:rsidR="009120FB" w:rsidRPr="000D5D7F" w:rsidRDefault="009120FB" w:rsidP="009120FB">
            <w:pPr>
              <w:spacing w:line="240" w:lineRule="auto"/>
              <w:rPr>
                <w:rFonts w:eastAsia="Times New Roman"/>
                <w:sz w:val="20"/>
                <w:szCs w:val="20"/>
              </w:rPr>
            </w:pPr>
          </w:p>
        </w:tc>
        <w:tc>
          <w:tcPr>
            <w:tcW w:w="1563" w:type="dxa"/>
            <w:tcBorders>
              <w:top w:val="single" w:sz="4" w:space="0" w:color="000000"/>
              <w:left w:val="single" w:sz="4" w:space="0" w:color="000000"/>
              <w:bottom w:val="single" w:sz="4" w:space="0" w:color="000000"/>
              <w:right w:val="single" w:sz="4" w:space="0" w:color="000000"/>
            </w:tcBorders>
            <w:noWrap/>
            <w:vAlign w:val="bottom"/>
            <w:hideMark/>
          </w:tcPr>
          <w:p w14:paraId="5A763DB6"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Cronbach's alpha</w:t>
            </w:r>
          </w:p>
        </w:tc>
        <w:tc>
          <w:tcPr>
            <w:tcW w:w="1525" w:type="dxa"/>
            <w:tcBorders>
              <w:top w:val="single" w:sz="4" w:space="0" w:color="000000"/>
              <w:left w:val="nil"/>
              <w:bottom w:val="single" w:sz="4" w:space="0" w:color="000000"/>
              <w:right w:val="single" w:sz="4" w:space="0" w:color="000000"/>
            </w:tcBorders>
            <w:noWrap/>
            <w:vAlign w:val="bottom"/>
            <w:hideMark/>
          </w:tcPr>
          <w:p w14:paraId="052A5EFD"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Composite reliability (</w:t>
            </w:r>
            <w:proofErr w:type="spellStart"/>
            <w:r w:rsidRPr="000D5D7F">
              <w:rPr>
                <w:rFonts w:eastAsia="Times New Roman"/>
                <w:color w:val="000000"/>
                <w:sz w:val="20"/>
                <w:szCs w:val="20"/>
              </w:rPr>
              <w:t>rho_a</w:t>
            </w:r>
            <w:proofErr w:type="spellEnd"/>
            <w:r w:rsidRPr="000D5D7F">
              <w:rPr>
                <w:rFonts w:eastAsia="Times New Roman"/>
                <w:color w:val="000000"/>
                <w:sz w:val="20"/>
                <w:szCs w:val="20"/>
              </w:rPr>
              <w:t>)</w:t>
            </w:r>
          </w:p>
        </w:tc>
        <w:tc>
          <w:tcPr>
            <w:tcW w:w="1525" w:type="dxa"/>
            <w:tcBorders>
              <w:top w:val="single" w:sz="4" w:space="0" w:color="000000"/>
              <w:left w:val="nil"/>
              <w:bottom w:val="single" w:sz="4" w:space="0" w:color="000000"/>
              <w:right w:val="single" w:sz="4" w:space="0" w:color="000000"/>
            </w:tcBorders>
            <w:noWrap/>
            <w:vAlign w:val="bottom"/>
            <w:hideMark/>
          </w:tcPr>
          <w:p w14:paraId="458ACAA7"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Composite reliability (</w:t>
            </w:r>
            <w:proofErr w:type="spellStart"/>
            <w:r w:rsidRPr="000D5D7F">
              <w:rPr>
                <w:rFonts w:eastAsia="Times New Roman"/>
                <w:color w:val="000000"/>
                <w:sz w:val="20"/>
                <w:szCs w:val="20"/>
              </w:rPr>
              <w:t>rho_c</w:t>
            </w:r>
            <w:proofErr w:type="spellEnd"/>
            <w:r w:rsidRPr="000D5D7F">
              <w:rPr>
                <w:rFonts w:eastAsia="Times New Roman"/>
                <w:color w:val="000000"/>
                <w:sz w:val="20"/>
                <w:szCs w:val="20"/>
              </w:rPr>
              <w:t>)</w:t>
            </w:r>
          </w:p>
        </w:tc>
        <w:tc>
          <w:tcPr>
            <w:tcW w:w="1385" w:type="dxa"/>
            <w:tcBorders>
              <w:top w:val="single" w:sz="4" w:space="0" w:color="000000"/>
              <w:left w:val="nil"/>
              <w:bottom w:val="single" w:sz="4" w:space="0" w:color="000000"/>
              <w:right w:val="single" w:sz="4" w:space="0" w:color="000000"/>
            </w:tcBorders>
            <w:noWrap/>
            <w:vAlign w:val="bottom"/>
            <w:hideMark/>
          </w:tcPr>
          <w:p w14:paraId="788D5217"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Average variance extracted (AVE)</w:t>
            </w:r>
          </w:p>
        </w:tc>
      </w:tr>
      <w:tr w:rsidR="009120FB" w:rsidRPr="000D5D7F" w14:paraId="7595C5E3" w14:textId="77777777" w:rsidTr="00AB6F4E">
        <w:trPr>
          <w:trHeight w:val="189"/>
        </w:trPr>
        <w:tc>
          <w:tcPr>
            <w:tcW w:w="2972" w:type="dxa"/>
            <w:tcBorders>
              <w:top w:val="single" w:sz="4" w:space="0" w:color="000000"/>
              <w:left w:val="single" w:sz="4" w:space="0" w:color="000000"/>
              <w:bottom w:val="single" w:sz="4" w:space="0" w:color="000000"/>
              <w:right w:val="single" w:sz="4" w:space="0" w:color="000000"/>
            </w:tcBorders>
            <w:noWrap/>
            <w:vAlign w:val="bottom"/>
            <w:hideMark/>
          </w:tcPr>
          <w:p w14:paraId="090BC85B"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w:t>
            </w:r>
          </w:p>
        </w:tc>
        <w:tc>
          <w:tcPr>
            <w:tcW w:w="1563" w:type="dxa"/>
            <w:tcBorders>
              <w:top w:val="nil"/>
              <w:left w:val="nil"/>
              <w:bottom w:val="single" w:sz="4" w:space="0" w:color="000000"/>
              <w:right w:val="single" w:sz="4" w:space="0" w:color="000000"/>
            </w:tcBorders>
            <w:noWrap/>
            <w:vAlign w:val="bottom"/>
            <w:hideMark/>
          </w:tcPr>
          <w:p w14:paraId="2412020F"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0.627</w:t>
            </w:r>
          </w:p>
        </w:tc>
        <w:tc>
          <w:tcPr>
            <w:tcW w:w="1525" w:type="dxa"/>
            <w:tcBorders>
              <w:top w:val="nil"/>
              <w:left w:val="nil"/>
              <w:bottom w:val="single" w:sz="4" w:space="0" w:color="000000"/>
              <w:right w:val="single" w:sz="4" w:space="0" w:color="000000"/>
            </w:tcBorders>
            <w:noWrap/>
            <w:vAlign w:val="bottom"/>
            <w:hideMark/>
          </w:tcPr>
          <w:p w14:paraId="61E5B95C"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0.629</w:t>
            </w:r>
          </w:p>
        </w:tc>
        <w:tc>
          <w:tcPr>
            <w:tcW w:w="1525" w:type="dxa"/>
            <w:tcBorders>
              <w:top w:val="nil"/>
              <w:left w:val="nil"/>
              <w:bottom w:val="single" w:sz="4" w:space="0" w:color="000000"/>
              <w:right w:val="single" w:sz="4" w:space="0" w:color="000000"/>
            </w:tcBorders>
            <w:noWrap/>
            <w:vAlign w:val="bottom"/>
            <w:hideMark/>
          </w:tcPr>
          <w:p w14:paraId="4504FC4D"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0.801</w:t>
            </w:r>
          </w:p>
        </w:tc>
        <w:tc>
          <w:tcPr>
            <w:tcW w:w="1385" w:type="dxa"/>
            <w:tcBorders>
              <w:top w:val="nil"/>
              <w:left w:val="nil"/>
              <w:bottom w:val="single" w:sz="4" w:space="0" w:color="000000"/>
              <w:right w:val="single" w:sz="4" w:space="0" w:color="000000"/>
            </w:tcBorders>
            <w:noWrap/>
            <w:vAlign w:val="bottom"/>
            <w:hideMark/>
          </w:tcPr>
          <w:p w14:paraId="6B4FF5CE"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0.574</w:t>
            </w:r>
          </w:p>
        </w:tc>
      </w:tr>
      <w:tr w:rsidR="009120FB" w:rsidRPr="000D5D7F" w14:paraId="16D37080" w14:textId="77777777" w:rsidTr="00AB6F4E">
        <w:trPr>
          <w:trHeight w:val="189"/>
        </w:trPr>
        <w:tc>
          <w:tcPr>
            <w:tcW w:w="2972" w:type="dxa"/>
            <w:tcBorders>
              <w:top w:val="nil"/>
              <w:left w:val="single" w:sz="4" w:space="0" w:color="000000"/>
              <w:bottom w:val="single" w:sz="4" w:space="0" w:color="000000"/>
              <w:right w:val="single" w:sz="4" w:space="0" w:color="000000"/>
            </w:tcBorders>
            <w:noWrap/>
            <w:vAlign w:val="bottom"/>
            <w:hideMark/>
          </w:tcPr>
          <w:p w14:paraId="0DD57E98"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Ease of use</w:t>
            </w:r>
          </w:p>
        </w:tc>
        <w:tc>
          <w:tcPr>
            <w:tcW w:w="1563" w:type="dxa"/>
            <w:tcBorders>
              <w:top w:val="nil"/>
              <w:left w:val="nil"/>
              <w:bottom w:val="single" w:sz="4" w:space="0" w:color="000000"/>
              <w:right w:val="single" w:sz="4" w:space="0" w:color="000000"/>
            </w:tcBorders>
            <w:noWrap/>
            <w:vAlign w:val="bottom"/>
            <w:hideMark/>
          </w:tcPr>
          <w:p w14:paraId="52663AB3"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0.775</w:t>
            </w:r>
          </w:p>
        </w:tc>
        <w:tc>
          <w:tcPr>
            <w:tcW w:w="1525" w:type="dxa"/>
            <w:tcBorders>
              <w:top w:val="nil"/>
              <w:left w:val="nil"/>
              <w:bottom w:val="single" w:sz="4" w:space="0" w:color="000000"/>
              <w:right w:val="single" w:sz="4" w:space="0" w:color="000000"/>
            </w:tcBorders>
            <w:noWrap/>
            <w:vAlign w:val="bottom"/>
            <w:hideMark/>
          </w:tcPr>
          <w:p w14:paraId="36E6C8AF"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0.775</w:t>
            </w:r>
          </w:p>
        </w:tc>
        <w:tc>
          <w:tcPr>
            <w:tcW w:w="1525" w:type="dxa"/>
            <w:tcBorders>
              <w:top w:val="nil"/>
              <w:left w:val="nil"/>
              <w:bottom w:val="single" w:sz="4" w:space="0" w:color="000000"/>
              <w:right w:val="single" w:sz="4" w:space="0" w:color="000000"/>
            </w:tcBorders>
            <w:noWrap/>
            <w:vAlign w:val="bottom"/>
            <w:hideMark/>
          </w:tcPr>
          <w:p w14:paraId="4EADAB61"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0.871</w:t>
            </w:r>
          </w:p>
        </w:tc>
        <w:tc>
          <w:tcPr>
            <w:tcW w:w="1385" w:type="dxa"/>
            <w:tcBorders>
              <w:top w:val="nil"/>
              <w:left w:val="nil"/>
              <w:bottom w:val="single" w:sz="4" w:space="0" w:color="000000"/>
              <w:right w:val="single" w:sz="4" w:space="0" w:color="000000"/>
            </w:tcBorders>
            <w:noWrap/>
            <w:vAlign w:val="bottom"/>
            <w:hideMark/>
          </w:tcPr>
          <w:p w14:paraId="77947EDA"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0.693</w:t>
            </w:r>
          </w:p>
        </w:tc>
      </w:tr>
      <w:tr w:rsidR="009120FB" w:rsidRPr="000D5D7F" w14:paraId="68073C55" w14:textId="77777777" w:rsidTr="00AB6F4E">
        <w:trPr>
          <w:trHeight w:val="189"/>
        </w:trPr>
        <w:tc>
          <w:tcPr>
            <w:tcW w:w="2972" w:type="dxa"/>
            <w:tcBorders>
              <w:top w:val="nil"/>
              <w:left w:val="single" w:sz="4" w:space="0" w:color="000000"/>
              <w:bottom w:val="single" w:sz="4" w:space="0" w:color="000000"/>
              <w:right w:val="single" w:sz="4" w:space="0" w:color="000000"/>
            </w:tcBorders>
            <w:noWrap/>
            <w:vAlign w:val="bottom"/>
            <w:hideMark/>
          </w:tcPr>
          <w:p w14:paraId="488FA95A"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w:t>
            </w:r>
          </w:p>
        </w:tc>
        <w:tc>
          <w:tcPr>
            <w:tcW w:w="1563" w:type="dxa"/>
            <w:tcBorders>
              <w:top w:val="nil"/>
              <w:left w:val="nil"/>
              <w:bottom w:val="single" w:sz="4" w:space="0" w:color="000000"/>
              <w:right w:val="single" w:sz="4" w:space="0" w:color="000000"/>
            </w:tcBorders>
            <w:noWrap/>
            <w:vAlign w:val="bottom"/>
            <w:hideMark/>
          </w:tcPr>
          <w:p w14:paraId="4A60CD24"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0.852</w:t>
            </w:r>
          </w:p>
        </w:tc>
        <w:tc>
          <w:tcPr>
            <w:tcW w:w="1525" w:type="dxa"/>
            <w:tcBorders>
              <w:top w:val="nil"/>
              <w:left w:val="nil"/>
              <w:bottom w:val="single" w:sz="4" w:space="0" w:color="000000"/>
              <w:right w:val="single" w:sz="4" w:space="0" w:color="000000"/>
            </w:tcBorders>
            <w:noWrap/>
            <w:vAlign w:val="bottom"/>
            <w:hideMark/>
          </w:tcPr>
          <w:p w14:paraId="7EAACA0C"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0.897</w:t>
            </w:r>
          </w:p>
        </w:tc>
        <w:tc>
          <w:tcPr>
            <w:tcW w:w="1525" w:type="dxa"/>
            <w:tcBorders>
              <w:top w:val="nil"/>
              <w:left w:val="nil"/>
              <w:bottom w:val="single" w:sz="4" w:space="0" w:color="000000"/>
              <w:right w:val="single" w:sz="4" w:space="0" w:color="000000"/>
            </w:tcBorders>
            <w:noWrap/>
            <w:vAlign w:val="bottom"/>
            <w:hideMark/>
          </w:tcPr>
          <w:p w14:paraId="791624BE"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0.891</w:t>
            </w:r>
          </w:p>
        </w:tc>
        <w:tc>
          <w:tcPr>
            <w:tcW w:w="1385" w:type="dxa"/>
            <w:tcBorders>
              <w:top w:val="nil"/>
              <w:left w:val="nil"/>
              <w:bottom w:val="single" w:sz="4" w:space="0" w:color="000000"/>
              <w:right w:val="single" w:sz="4" w:space="0" w:color="000000"/>
            </w:tcBorders>
            <w:noWrap/>
            <w:vAlign w:val="bottom"/>
            <w:hideMark/>
          </w:tcPr>
          <w:p w14:paraId="618C8CED"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0.622</w:t>
            </w:r>
          </w:p>
        </w:tc>
      </w:tr>
      <w:tr w:rsidR="009120FB" w:rsidRPr="000D5D7F" w14:paraId="732F05D4" w14:textId="77777777" w:rsidTr="00AB6F4E">
        <w:trPr>
          <w:trHeight w:val="189"/>
        </w:trPr>
        <w:tc>
          <w:tcPr>
            <w:tcW w:w="2972" w:type="dxa"/>
            <w:tcBorders>
              <w:top w:val="nil"/>
              <w:left w:val="single" w:sz="4" w:space="0" w:color="000000"/>
              <w:bottom w:val="single" w:sz="4" w:space="0" w:color="000000"/>
              <w:right w:val="single" w:sz="4" w:space="0" w:color="000000"/>
            </w:tcBorders>
            <w:noWrap/>
            <w:vAlign w:val="bottom"/>
            <w:hideMark/>
          </w:tcPr>
          <w:p w14:paraId="78A279B8"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Intention</w:t>
            </w:r>
          </w:p>
        </w:tc>
        <w:tc>
          <w:tcPr>
            <w:tcW w:w="1563" w:type="dxa"/>
            <w:tcBorders>
              <w:top w:val="nil"/>
              <w:left w:val="nil"/>
              <w:bottom w:val="single" w:sz="4" w:space="0" w:color="000000"/>
              <w:right w:val="single" w:sz="4" w:space="0" w:color="000000"/>
            </w:tcBorders>
            <w:noWrap/>
            <w:vAlign w:val="bottom"/>
            <w:hideMark/>
          </w:tcPr>
          <w:p w14:paraId="0C2476D1"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0.864</w:t>
            </w:r>
          </w:p>
        </w:tc>
        <w:tc>
          <w:tcPr>
            <w:tcW w:w="1525" w:type="dxa"/>
            <w:tcBorders>
              <w:top w:val="nil"/>
              <w:left w:val="nil"/>
              <w:bottom w:val="single" w:sz="4" w:space="0" w:color="000000"/>
              <w:right w:val="single" w:sz="4" w:space="0" w:color="000000"/>
            </w:tcBorders>
            <w:noWrap/>
            <w:vAlign w:val="bottom"/>
            <w:hideMark/>
          </w:tcPr>
          <w:p w14:paraId="6DEEE3D9"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0.866</w:t>
            </w:r>
          </w:p>
        </w:tc>
        <w:tc>
          <w:tcPr>
            <w:tcW w:w="1525" w:type="dxa"/>
            <w:tcBorders>
              <w:top w:val="nil"/>
              <w:left w:val="nil"/>
              <w:bottom w:val="single" w:sz="4" w:space="0" w:color="000000"/>
              <w:right w:val="single" w:sz="4" w:space="0" w:color="000000"/>
            </w:tcBorders>
            <w:noWrap/>
            <w:vAlign w:val="bottom"/>
            <w:hideMark/>
          </w:tcPr>
          <w:p w14:paraId="00A7F751"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0.918</w:t>
            </w:r>
          </w:p>
        </w:tc>
        <w:tc>
          <w:tcPr>
            <w:tcW w:w="1385" w:type="dxa"/>
            <w:tcBorders>
              <w:top w:val="nil"/>
              <w:left w:val="nil"/>
              <w:bottom w:val="single" w:sz="4" w:space="0" w:color="000000"/>
              <w:right w:val="single" w:sz="4" w:space="0" w:color="000000"/>
            </w:tcBorders>
            <w:noWrap/>
            <w:vAlign w:val="bottom"/>
            <w:hideMark/>
          </w:tcPr>
          <w:p w14:paraId="46C79F17"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0.788</w:t>
            </w:r>
          </w:p>
        </w:tc>
      </w:tr>
      <w:tr w:rsidR="009120FB" w:rsidRPr="000D5D7F" w14:paraId="0F8EB657" w14:textId="77777777" w:rsidTr="00AB6F4E">
        <w:trPr>
          <w:trHeight w:val="189"/>
        </w:trPr>
        <w:tc>
          <w:tcPr>
            <w:tcW w:w="2972" w:type="dxa"/>
            <w:tcBorders>
              <w:top w:val="nil"/>
              <w:left w:val="single" w:sz="4" w:space="0" w:color="000000"/>
              <w:bottom w:val="single" w:sz="4" w:space="0" w:color="000000"/>
              <w:right w:val="single" w:sz="4" w:space="0" w:color="000000"/>
            </w:tcBorders>
            <w:noWrap/>
            <w:vAlign w:val="bottom"/>
            <w:hideMark/>
          </w:tcPr>
          <w:p w14:paraId="6DFF7E77"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w:t>
            </w:r>
          </w:p>
        </w:tc>
        <w:tc>
          <w:tcPr>
            <w:tcW w:w="1563" w:type="dxa"/>
            <w:tcBorders>
              <w:top w:val="nil"/>
              <w:left w:val="nil"/>
              <w:bottom w:val="single" w:sz="4" w:space="0" w:color="000000"/>
              <w:right w:val="single" w:sz="4" w:space="0" w:color="000000"/>
            </w:tcBorders>
            <w:noWrap/>
            <w:vAlign w:val="bottom"/>
            <w:hideMark/>
          </w:tcPr>
          <w:p w14:paraId="7DA37D29"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0.719</w:t>
            </w:r>
          </w:p>
        </w:tc>
        <w:tc>
          <w:tcPr>
            <w:tcW w:w="1525" w:type="dxa"/>
            <w:tcBorders>
              <w:top w:val="nil"/>
              <w:left w:val="nil"/>
              <w:bottom w:val="single" w:sz="4" w:space="0" w:color="000000"/>
              <w:right w:val="single" w:sz="4" w:space="0" w:color="000000"/>
            </w:tcBorders>
            <w:noWrap/>
            <w:vAlign w:val="bottom"/>
            <w:hideMark/>
          </w:tcPr>
          <w:p w14:paraId="04057753"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0.729</w:t>
            </w:r>
          </w:p>
        </w:tc>
        <w:tc>
          <w:tcPr>
            <w:tcW w:w="1525" w:type="dxa"/>
            <w:tcBorders>
              <w:top w:val="nil"/>
              <w:left w:val="nil"/>
              <w:bottom w:val="single" w:sz="4" w:space="0" w:color="000000"/>
              <w:right w:val="single" w:sz="4" w:space="0" w:color="000000"/>
            </w:tcBorders>
            <w:noWrap/>
            <w:vAlign w:val="bottom"/>
            <w:hideMark/>
          </w:tcPr>
          <w:p w14:paraId="60BF4E24"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0.841</w:t>
            </w:r>
          </w:p>
        </w:tc>
        <w:tc>
          <w:tcPr>
            <w:tcW w:w="1385" w:type="dxa"/>
            <w:tcBorders>
              <w:top w:val="nil"/>
              <w:left w:val="nil"/>
              <w:bottom w:val="single" w:sz="4" w:space="0" w:color="000000"/>
              <w:right w:val="single" w:sz="4" w:space="0" w:color="000000"/>
            </w:tcBorders>
            <w:noWrap/>
            <w:vAlign w:val="bottom"/>
            <w:hideMark/>
          </w:tcPr>
          <w:p w14:paraId="2625B49D"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0.640</w:t>
            </w:r>
          </w:p>
        </w:tc>
      </w:tr>
      <w:tr w:rsidR="009120FB" w:rsidRPr="000D5D7F" w14:paraId="36B2B41A" w14:textId="77777777" w:rsidTr="00AB6F4E">
        <w:trPr>
          <w:trHeight w:val="189"/>
        </w:trPr>
        <w:tc>
          <w:tcPr>
            <w:tcW w:w="2972" w:type="dxa"/>
            <w:tcBorders>
              <w:top w:val="nil"/>
              <w:left w:val="single" w:sz="4" w:space="0" w:color="000000"/>
              <w:bottom w:val="single" w:sz="4" w:space="0" w:color="000000"/>
              <w:right w:val="single" w:sz="4" w:space="0" w:color="000000"/>
            </w:tcBorders>
            <w:noWrap/>
            <w:vAlign w:val="bottom"/>
            <w:hideMark/>
          </w:tcPr>
          <w:p w14:paraId="70F5F022"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Perception of Interest</w:t>
            </w:r>
          </w:p>
        </w:tc>
        <w:tc>
          <w:tcPr>
            <w:tcW w:w="1563" w:type="dxa"/>
            <w:tcBorders>
              <w:top w:val="nil"/>
              <w:left w:val="nil"/>
              <w:bottom w:val="single" w:sz="4" w:space="0" w:color="000000"/>
              <w:right w:val="single" w:sz="4" w:space="0" w:color="000000"/>
            </w:tcBorders>
            <w:noWrap/>
            <w:vAlign w:val="bottom"/>
            <w:hideMark/>
          </w:tcPr>
          <w:p w14:paraId="260A41F6"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0.873</w:t>
            </w:r>
          </w:p>
        </w:tc>
        <w:tc>
          <w:tcPr>
            <w:tcW w:w="1525" w:type="dxa"/>
            <w:tcBorders>
              <w:top w:val="nil"/>
              <w:left w:val="nil"/>
              <w:bottom w:val="single" w:sz="4" w:space="0" w:color="000000"/>
              <w:right w:val="single" w:sz="4" w:space="0" w:color="000000"/>
            </w:tcBorders>
            <w:noWrap/>
            <w:vAlign w:val="bottom"/>
            <w:hideMark/>
          </w:tcPr>
          <w:p w14:paraId="72914CB6"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0.877</w:t>
            </w:r>
          </w:p>
        </w:tc>
        <w:tc>
          <w:tcPr>
            <w:tcW w:w="1525" w:type="dxa"/>
            <w:tcBorders>
              <w:top w:val="nil"/>
              <w:left w:val="nil"/>
              <w:bottom w:val="single" w:sz="4" w:space="0" w:color="000000"/>
              <w:right w:val="single" w:sz="4" w:space="0" w:color="000000"/>
            </w:tcBorders>
            <w:noWrap/>
            <w:vAlign w:val="bottom"/>
            <w:hideMark/>
          </w:tcPr>
          <w:p w14:paraId="4B38D3DC"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0.913</w:t>
            </w:r>
          </w:p>
        </w:tc>
        <w:tc>
          <w:tcPr>
            <w:tcW w:w="1385" w:type="dxa"/>
            <w:tcBorders>
              <w:top w:val="nil"/>
              <w:left w:val="nil"/>
              <w:bottom w:val="single" w:sz="4" w:space="0" w:color="000000"/>
              <w:right w:val="single" w:sz="4" w:space="0" w:color="000000"/>
            </w:tcBorders>
            <w:noWrap/>
            <w:vAlign w:val="bottom"/>
            <w:hideMark/>
          </w:tcPr>
          <w:p w14:paraId="5E246E92"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0.725</w:t>
            </w:r>
          </w:p>
        </w:tc>
      </w:tr>
      <w:tr w:rsidR="009120FB" w:rsidRPr="000D5D7F" w14:paraId="2F957325" w14:textId="77777777" w:rsidTr="00AB6F4E">
        <w:trPr>
          <w:trHeight w:val="189"/>
        </w:trPr>
        <w:tc>
          <w:tcPr>
            <w:tcW w:w="2972" w:type="dxa"/>
            <w:tcBorders>
              <w:top w:val="nil"/>
              <w:left w:val="single" w:sz="4" w:space="0" w:color="000000"/>
              <w:bottom w:val="single" w:sz="4" w:space="0" w:color="000000"/>
              <w:right w:val="single" w:sz="4" w:space="0" w:color="000000"/>
            </w:tcBorders>
            <w:noWrap/>
            <w:vAlign w:val="bottom"/>
            <w:hideMark/>
          </w:tcPr>
          <w:p w14:paraId="00B413DA"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Trends</w:t>
            </w:r>
          </w:p>
        </w:tc>
        <w:tc>
          <w:tcPr>
            <w:tcW w:w="1563" w:type="dxa"/>
            <w:tcBorders>
              <w:top w:val="nil"/>
              <w:left w:val="nil"/>
              <w:bottom w:val="single" w:sz="4" w:space="0" w:color="000000"/>
              <w:right w:val="single" w:sz="4" w:space="0" w:color="000000"/>
            </w:tcBorders>
            <w:noWrap/>
            <w:vAlign w:val="bottom"/>
            <w:hideMark/>
          </w:tcPr>
          <w:p w14:paraId="176A53D6"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0.898</w:t>
            </w:r>
          </w:p>
        </w:tc>
        <w:tc>
          <w:tcPr>
            <w:tcW w:w="1525" w:type="dxa"/>
            <w:tcBorders>
              <w:top w:val="nil"/>
              <w:left w:val="nil"/>
              <w:bottom w:val="single" w:sz="4" w:space="0" w:color="000000"/>
              <w:right w:val="single" w:sz="4" w:space="0" w:color="000000"/>
            </w:tcBorders>
            <w:noWrap/>
            <w:vAlign w:val="bottom"/>
            <w:hideMark/>
          </w:tcPr>
          <w:p w14:paraId="651EF0B6"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0.899</w:t>
            </w:r>
          </w:p>
        </w:tc>
        <w:tc>
          <w:tcPr>
            <w:tcW w:w="1525" w:type="dxa"/>
            <w:tcBorders>
              <w:top w:val="nil"/>
              <w:left w:val="nil"/>
              <w:bottom w:val="single" w:sz="4" w:space="0" w:color="000000"/>
              <w:right w:val="single" w:sz="4" w:space="0" w:color="000000"/>
            </w:tcBorders>
            <w:noWrap/>
            <w:vAlign w:val="bottom"/>
            <w:hideMark/>
          </w:tcPr>
          <w:p w14:paraId="6F0575C1"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0.929</w:t>
            </w:r>
          </w:p>
        </w:tc>
        <w:tc>
          <w:tcPr>
            <w:tcW w:w="1385" w:type="dxa"/>
            <w:tcBorders>
              <w:top w:val="nil"/>
              <w:left w:val="nil"/>
              <w:bottom w:val="single" w:sz="4" w:space="0" w:color="000000"/>
              <w:right w:val="single" w:sz="4" w:space="0" w:color="000000"/>
            </w:tcBorders>
            <w:noWrap/>
            <w:vAlign w:val="bottom"/>
            <w:hideMark/>
          </w:tcPr>
          <w:p w14:paraId="3F836A65"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0.767</w:t>
            </w:r>
          </w:p>
        </w:tc>
      </w:tr>
    </w:tbl>
    <w:p w14:paraId="136F0CBD" w14:textId="77777777" w:rsidR="009120FB" w:rsidRPr="000D5D7F" w:rsidRDefault="009120FB" w:rsidP="009120FB">
      <w:pPr>
        <w:spacing w:after="160" w:line="240" w:lineRule="auto"/>
        <w:jc w:val="both"/>
        <w:rPr>
          <w:sz w:val="2"/>
          <w:szCs w:val="2"/>
        </w:rPr>
      </w:pPr>
    </w:p>
    <w:p w14:paraId="26486E47" w14:textId="77777777" w:rsidR="009120FB" w:rsidRPr="002B291F" w:rsidRDefault="009120FB" w:rsidP="009120FB">
      <w:pPr>
        <w:spacing w:after="160"/>
        <w:jc w:val="both"/>
        <w:rPr>
          <w:i/>
          <w:iCs/>
          <w:szCs w:val="24"/>
        </w:rPr>
      </w:pPr>
      <w:r w:rsidRPr="002B291F">
        <w:rPr>
          <w:rFonts w:hint="cs"/>
          <w:i/>
          <w:iCs/>
          <w:szCs w:val="24"/>
          <w:rtl/>
        </w:rPr>
        <w:t>3</w:t>
      </w:r>
      <w:r w:rsidRPr="002B291F">
        <w:rPr>
          <w:i/>
          <w:iCs/>
          <w:szCs w:val="24"/>
        </w:rPr>
        <w:t xml:space="preserve">.3.2 Discriminant validity of constructs </w:t>
      </w:r>
    </w:p>
    <w:p w14:paraId="232956EB" w14:textId="367CE9BF" w:rsidR="00BD2F36" w:rsidRPr="00C767D4" w:rsidRDefault="009120FB" w:rsidP="00124A3E">
      <w:pPr>
        <w:spacing w:after="160"/>
        <w:ind w:firstLine="720"/>
        <w:jc w:val="both"/>
        <w:rPr>
          <w:color w:val="000000"/>
          <w:szCs w:val="24"/>
        </w:rPr>
      </w:pPr>
      <w:r w:rsidRPr="00C767D4">
        <w:rPr>
          <w:color w:val="000000"/>
          <w:szCs w:val="24"/>
        </w:rPr>
        <w:t xml:space="preserve">To ascertain the distinctiveness of the constructs within the model, multiple tests were performed at the completion of the measurement model evaluation. Discriminant validity (DV) denotes the extent to which a certain </w:t>
      </w:r>
      <w:r w:rsidR="001A1D3C" w:rsidRPr="00C767D4">
        <w:rPr>
          <w:color w:val="000000"/>
          <w:szCs w:val="24"/>
        </w:rPr>
        <w:t>construction</w:t>
      </w:r>
      <w:r w:rsidRPr="00C767D4">
        <w:rPr>
          <w:color w:val="000000"/>
          <w:szCs w:val="24"/>
        </w:rPr>
        <w:t xml:space="preserve"> is distinct from other constructs (Duarte &amp; </w:t>
      </w:r>
      <w:r w:rsidRPr="00C767D4">
        <w:rPr>
          <w:color w:val="000000"/>
          <w:szCs w:val="24"/>
        </w:rPr>
        <w:lastRenderedPageBreak/>
        <w:t>Raposo, 2012). Multiple techniques can be utilised to verify discriminant validity, one of which is the Heterotrait-Monotrait (HTMT) ratio.</w:t>
      </w:r>
    </w:p>
    <w:p w14:paraId="04C973A5" w14:textId="77777777" w:rsidR="009120FB" w:rsidRPr="00C767D4" w:rsidRDefault="009120FB" w:rsidP="009120FB">
      <w:pPr>
        <w:spacing w:after="160" w:line="240" w:lineRule="auto"/>
        <w:jc w:val="both"/>
        <w:rPr>
          <w:b/>
          <w:bCs/>
          <w:szCs w:val="24"/>
        </w:rPr>
      </w:pPr>
      <w:r w:rsidRPr="00C767D4">
        <w:rPr>
          <w:b/>
          <w:bCs/>
          <w:szCs w:val="24"/>
        </w:rPr>
        <w:t>Table 3</w:t>
      </w:r>
    </w:p>
    <w:p w14:paraId="3F663F22" w14:textId="77777777" w:rsidR="009120FB" w:rsidRPr="00C767D4" w:rsidRDefault="009120FB" w:rsidP="009120FB">
      <w:pPr>
        <w:spacing w:after="160" w:line="240" w:lineRule="auto"/>
        <w:jc w:val="both"/>
        <w:rPr>
          <w:i/>
          <w:iCs/>
          <w:szCs w:val="24"/>
        </w:rPr>
      </w:pPr>
      <w:r w:rsidRPr="00C767D4">
        <w:rPr>
          <w:i/>
          <w:iCs/>
          <w:szCs w:val="24"/>
        </w:rPr>
        <w:t xml:space="preserve"> </w:t>
      </w:r>
      <w:proofErr w:type="gramStart"/>
      <w:r w:rsidRPr="00C767D4">
        <w:rPr>
          <w:i/>
          <w:iCs/>
          <w:szCs w:val="24"/>
        </w:rPr>
        <w:t>Discriminant</w:t>
      </w:r>
      <w:proofErr w:type="gramEnd"/>
      <w:r w:rsidRPr="00C767D4">
        <w:rPr>
          <w:i/>
          <w:iCs/>
          <w:szCs w:val="24"/>
        </w:rPr>
        <w:t xml:space="preserve"> validity using the Heterotrait-Monotrait ratio (HTMT).</w:t>
      </w:r>
    </w:p>
    <w:tbl>
      <w:tblPr>
        <w:tblW w:w="9196" w:type="dxa"/>
        <w:tblLook w:val="04A0" w:firstRow="1" w:lastRow="0" w:firstColumn="1" w:lastColumn="0" w:noHBand="0" w:noVBand="1"/>
      </w:tblPr>
      <w:tblGrid>
        <w:gridCol w:w="1968"/>
        <w:gridCol w:w="898"/>
        <w:gridCol w:w="910"/>
        <w:gridCol w:w="760"/>
        <w:gridCol w:w="1017"/>
        <w:gridCol w:w="1179"/>
        <w:gridCol w:w="1654"/>
        <w:gridCol w:w="810"/>
      </w:tblGrid>
      <w:tr w:rsidR="009120FB" w:rsidRPr="000D5D7F" w14:paraId="331CA4EB" w14:textId="77777777" w:rsidTr="00AB6F4E">
        <w:trPr>
          <w:trHeight w:val="208"/>
        </w:trPr>
        <w:tc>
          <w:tcPr>
            <w:tcW w:w="1968" w:type="dxa"/>
            <w:tcBorders>
              <w:top w:val="nil"/>
              <w:left w:val="nil"/>
              <w:bottom w:val="nil"/>
              <w:right w:val="nil"/>
            </w:tcBorders>
            <w:noWrap/>
            <w:vAlign w:val="bottom"/>
            <w:hideMark/>
          </w:tcPr>
          <w:p w14:paraId="5090CC0C" w14:textId="77777777" w:rsidR="009120FB" w:rsidRPr="000D5D7F" w:rsidRDefault="009120FB" w:rsidP="009120FB">
            <w:pPr>
              <w:spacing w:line="240" w:lineRule="auto"/>
              <w:rPr>
                <w:rFonts w:eastAsia="Times New Roman"/>
                <w:sz w:val="20"/>
                <w:szCs w:val="20"/>
              </w:rPr>
            </w:pPr>
          </w:p>
        </w:tc>
        <w:tc>
          <w:tcPr>
            <w:tcW w:w="898" w:type="dxa"/>
            <w:tcBorders>
              <w:top w:val="single" w:sz="4" w:space="0" w:color="000000"/>
              <w:left w:val="single" w:sz="4" w:space="0" w:color="000000"/>
              <w:bottom w:val="single" w:sz="4" w:space="0" w:color="000000"/>
              <w:right w:val="single" w:sz="4" w:space="0" w:color="000000"/>
            </w:tcBorders>
            <w:noWrap/>
            <w:vAlign w:val="bottom"/>
            <w:hideMark/>
          </w:tcPr>
          <w:p w14:paraId="5DF0DA40"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Barriers</w:t>
            </w:r>
          </w:p>
        </w:tc>
        <w:tc>
          <w:tcPr>
            <w:tcW w:w="910" w:type="dxa"/>
            <w:tcBorders>
              <w:top w:val="single" w:sz="4" w:space="0" w:color="000000"/>
              <w:left w:val="nil"/>
              <w:bottom w:val="single" w:sz="4" w:space="0" w:color="000000"/>
              <w:right w:val="single" w:sz="4" w:space="0" w:color="000000"/>
            </w:tcBorders>
            <w:noWrap/>
            <w:vAlign w:val="bottom"/>
            <w:hideMark/>
          </w:tcPr>
          <w:p w14:paraId="7BF1A6AF"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Ease of use</w:t>
            </w:r>
          </w:p>
        </w:tc>
        <w:tc>
          <w:tcPr>
            <w:tcW w:w="760" w:type="dxa"/>
            <w:tcBorders>
              <w:top w:val="single" w:sz="4" w:space="0" w:color="000000"/>
              <w:left w:val="nil"/>
              <w:bottom w:val="single" w:sz="4" w:space="0" w:color="000000"/>
              <w:right w:val="single" w:sz="4" w:space="0" w:color="000000"/>
            </w:tcBorders>
            <w:noWrap/>
            <w:vAlign w:val="bottom"/>
            <w:hideMark/>
          </w:tcPr>
          <w:p w14:paraId="009474D3"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ITF</w:t>
            </w:r>
          </w:p>
        </w:tc>
        <w:tc>
          <w:tcPr>
            <w:tcW w:w="1017" w:type="dxa"/>
            <w:tcBorders>
              <w:top w:val="single" w:sz="4" w:space="0" w:color="000000"/>
              <w:left w:val="nil"/>
              <w:bottom w:val="single" w:sz="4" w:space="0" w:color="000000"/>
              <w:right w:val="single" w:sz="4" w:space="0" w:color="000000"/>
            </w:tcBorders>
            <w:noWrap/>
            <w:vAlign w:val="bottom"/>
            <w:hideMark/>
          </w:tcPr>
          <w:p w14:paraId="5A526FD5"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Intention</w:t>
            </w:r>
          </w:p>
        </w:tc>
        <w:tc>
          <w:tcPr>
            <w:tcW w:w="1179" w:type="dxa"/>
            <w:tcBorders>
              <w:top w:val="single" w:sz="4" w:space="0" w:color="000000"/>
              <w:left w:val="nil"/>
              <w:bottom w:val="single" w:sz="4" w:space="0" w:color="000000"/>
              <w:right w:val="single" w:sz="4" w:space="0" w:color="000000"/>
            </w:tcBorders>
            <w:noWrap/>
            <w:vAlign w:val="bottom"/>
            <w:hideMark/>
          </w:tcPr>
          <w:p w14:paraId="27992C87"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Knowledge</w:t>
            </w:r>
          </w:p>
        </w:tc>
        <w:tc>
          <w:tcPr>
            <w:tcW w:w="1654" w:type="dxa"/>
            <w:tcBorders>
              <w:top w:val="single" w:sz="4" w:space="0" w:color="000000"/>
              <w:left w:val="nil"/>
              <w:bottom w:val="single" w:sz="4" w:space="0" w:color="000000"/>
              <w:right w:val="single" w:sz="4" w:space="0" w:color="000000"/>
            </w:tcBorders>
            <w:noWrap/>
            <w:vAlign w:val="bottom"/>
            <w:hideMark/>
          </w:tcPr>
          <w:p w14:paraId="3A4DF66F"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Perception of Interest</w:t>
            </w:r>
          </w:p>
        </w:tc>
        <w:tc>
          <w:tcPr>
            <w:tcW w:w="810" w:type="dxa"/>
            <w:tcBorders>
              <w:top w:val="single" w:sz="4" w:space="0" w:color="000000"/>
              <w:left w:val="nil"/>
              <w:bottom w:val="single" w:sz="4" w:space="0" w:color="000000"/>
              <w:right w:val="single" w:sz="4" w:space="0" w:color="000000"/>
            </w:tcBorders>
            <w:noWrap/>
            <w:vAlign w:val="bottom"/>
            <w:hideMark/>
          </w:tcPr>
          <w:p w14:paraId="5BF3CD6D"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Trends</w:t>
            </w:r>
          </w:p>
        </w:tc>
      </w:tr>
      <w:tr w:rsidR="009120FB" w:rsidRPr="000D5D7F" w14:paraId="0C0A5989" w14:textId="77777777" w:rsidTr="00AB6F4E">
        <w:trPr>
          <w:trHeight w:val="208"/>
        </w:trPr>
        <w:tc>
          <w:tcPr>
            <w:tcW w:w="1968" w:type="dxa"/>
            <w:tcBorders>
              <w:top w:val="single" w:sz="4" w:space="0" w:color="000000"/>
              <w:left w:val="single" w:sz="4" w:space="0" w:color="000000"/>
              <w:bottom w:val="single" w:sz="4" w:space="0" w:color="000000"/>
              <w:right w:val="single" w:sz="4" w:space="0" w:color="000000"/>
            </w:tcBorders>
            <w:noWrap/>
            <w:vAlign w:val="bottom"/>
            <w:hideMark/>
          </w:tcPr>
          <w:p w14:paraId="6CEF886F"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w:t>
            </w:r>
          </w:p>
        </w:tc>
        <w:tc>
          <w:tcPr>
            <w:tcW w:w="898" w:type="dxa"/>
            <w:tcBorders>
              <w:top w:val="nil"/>
              <w:left w:val="nil"/>
              <w:bottom w:val="single" w:sz="4" w:space="0" w:color="000000"/>
              <w:right w:val="single" w:sz="4" w:space="0" w:color="000000"/>
            </w:tcBorders>
            <w:noWrap/>
            <w:vAlign w:val="bottom"/>
            <w:hideMark/>
          </w:tcPr>
          <w:p w14:paraId="3C520BF3"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910" w:type="dxa"/>
            <w:tcBorders>
              <w:top w:val="nil"/>
              <w:left w:val="nil"/>
              <w:bottom w:val="single" w:sz="4" w:space="0" w:color="000000"/>
              <w:right w:val="single" w:sz="4" w:space="0" w:color="000000"/>
            </w:tcBorders>
            <w:noWrap/>
            <w:vAlign w:val="bottom"/>
            <w:hideMark/>
          </w:tcPr>
          <w:p w14:paraId="32A14C69"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760" w:type="dxa"/>
            <w:tcBorders>
              <w:top w:val="nil"/>
              <w:left w:val="nil"/>
              <w:bottom w:val="single" w:sz="4" w:space="0" w:color="000000"/>
              <w:right w:val="single" w:sz="4" w:space="0" w:color="000000"/>
            </w:tcBorders>
            <w:noWrap/>
            <w:vAlign w:val="bottom"/>
            <w:hideMark/>
          </w:tcPr>
          <w:p w14:paraId="70FD1788"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017" w:type="dxa"/>
            <w:tcBorders>
              <w:top w:val="nil"/>
              <w:left w:val="nil"/>
              <w:bottom w:val="single" w:sz="4" w:space="0" w:color="000000"/>
              <w:right w:val="single" w:sz="4" w:space="0" w:color="000000"/>
            </w:tcBorders>
            <w:noWrap/>
            <w:vAlign w:val="bottom"/>
            <w:hideMark/>
          </w:tcPr>
          <w:p w14:paraId="387CAFDF"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179" w:type="dxa"/>
            <w:tcBorders>
              <w:top w:val="nil"/>
              <w:left w:val="nil"/>
              <w:bottom w:val="single" w:sz="4" w:space="0" w:color="000000"/>
              <w:right w:val="single" w:sz="4" w:space="0" w:color="000000"/>
            </w:tcBorders>
            <w:noWrap/>
            <w:vAlign w:val="bottom"/>
            <w:hideMark/>
          </w:tcPr>
          <w:p w14:paraId="2273D468"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654" w:type="dxa"/>
            <w:tcBorders>
              <w:top w:val="nil"/>
              <w:left w:val="nil"/>
              <w:bottom w:val="single" w:sz="4" w:space="0" w:color="000000"/>
              <w:right w:val="single" w:sz="4" w:space="0" w:color="000000"/>
            </w:tcBorders>
            <w:noWrap/>
            <w:vAlign w:val="bottom"/>
            <w:hideMark/>
          </w:tcPr>
          <w:p w14:paraId="50A85DD1"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810" w:type="dxa"/>
            <w:tcBorders>
              <w:top w:val="nil"/>
              <w:left w:val="nil"/>
              <w:bottom w:val="single" w:sz="4" w:space="0" w:color="000000"/>
              <w:right w:val="single" w:sz="4" w:space="0" w:color="000000"/>
            </w:tcBorders>
            <w:noWrap/>
            <w:vAlign w:val="bottom"/>
            <w:hideMark/>
          </w:tcPr>
          <w:p w14:paraId="6623F211"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r>
      <w:tr w:rsidR="009120FB" w:rsidRPr="000D5D7F" w14:paraId="4FE03701" w14:textId="77777777" w:rsidTr="00AB6F4E">
        <w:trPr>
          <w:trHeight w:val="208"/>
        </w:trPr>
        <w:tc>
          <w:tcPr>
            <w:tcW w:w="1968" w:type="dxa"/>
            <w:tcBorders>
              <w:top w:val="nil"/>
              <w:left w:val="single" w:sz="4" w:space="0" w:color="000000"/>
              <w:bottom w:val="single" w:sz="4" w:space="0" w:color="000000"/>
              <w:right w:val="single" w:sz="4" w:space="0" w:color="000000"/>
            </w:tcBorders>
            <w:noWrap/>
            <w:vAlign w:val="bottom"/>
            <w:hideMark/>
          </w:tcPr>
          <w:p w14:paraId="04198AB4"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Ease of use</w:t>
            </w:r>
          </w:p>
        </w:tc>
        <w:tc>
          <w:tcPr>
            <w:tcW w:w="898" w:type="dxa"/>
            <w:tcBorders>
              <w:top w:val="nil"/>
              <w:left w:val="nil"/>
              <w:bottom w:val="single" w:sz="4" w:space="0" w:color="000000"/>
              <w:right w:val="single" w:sz="4" w:space="0" w:color="000000"/>
            </w:tcBorders>
            <w:noWrap/>
            <w:vAlign w:val="bottom"/>
            <w:hideMark/>
          </w:tcPr>
          <w:p w14:paraId="62EADC20"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0.716</w:t>
            </w:r>
          </w:p>
        </w:tc>
        <w:tc>
          <w:tcPr>
            <w:tcW w:w="910" w:type="dxa"/>
            <w:tcBorders>
              <w:top w:val="nil"/>
              <w:left w:val="nil"/>
              <w:bottom w:val="single" w:sz="4" w:space="0" w:color="000000"/>
              <w:right w:val="single" w:sz="4" w:space="0" w:color="000000"/>
            </w:tcBorders>
            <w:noWrap/>
            <w:vAlign w:val="bottom"/>
            <w:hideMark/>
          </w:tcPr>
          <w:p w14:paraId="670BB56D"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760" w:type="dxa"/>
            <w:tcBorders>
              <w:top w:val="nil"/>
              <w:left w:val="nil"/>
              <w:bottom w:val="single" w:sz="4" w:space="0" w:color="000000"/>
              <w:right w:val="single" w:sz="4" w:space="0" w:color="000000"/>
            </w:tcBorders>
            <w:noWrap/>
            <w:vAlign w:val="bottom"/>
            <w:hideMark/>
          </w:tcPr>
          <w:p w14:paraId="473C15D3"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017" w:type="dxa"/>
            <w:tcBorders>
              <w:top w:val="nil"/>
              <w:left w:val="nil"/>
              <w:bottom w:val="single" w:sz="4" w:space="0" w:color="000000"/>
              <w:right w:val="single" w:sz="4" w:space="0" w:color="000000"/>
            </w:tcBorders>
            <w:noWrap/>
            <w:vAlign w:val="bottom"/>
            <w:hideMark/>
          </w:tcPr>
          <w:p w14:paraId="671E29D3"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179" w:type="dxa"/>
            <w:tcBorders>
              <w:top w:val="nil"/>
              <w:left w:val="nil"/>
              <w:bottom w:val="single" w:sz="4" w:space="0" w:color="000000"/>
              <w:right w:val="single" w:sz="4" w:space="0" w:color="000000"/>
            </w:tcBorders>
            <w:noWrap/>
            <w:vAlign w:val="bottom"/>
            <w:hideMark/>
          </w:tcPr>
          <w:p w14:paraId="0B376C41"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654" w:type="dxa"/>
            <w:tcBorders>
              <w:top w:val="nil"/>
              <w:left w:val="nil"/>
              <w:bottom w:val="single" w:sz="4" w:space="0" w:color="000000"/>
              <w:right w:val="single" w:sz="4" w:space="0" w:color="000000"/>
            </w:tcBorders>
            <w:noWrap/>
            <w:vAlign w:val="bottom"/>
            <w:hideMark/>
          </w:tcPr>
          <w:p w14:paraId="6840C2F7"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810" w:type="dxa"/>
            <w:tcBorders>
              <w:top w:val="nil"/>
              <w:left w:val="nil"/>
              <w:bottom w:val="single" w:sz="4" w:space="0" w:color="000000"/>
              <w:right w:val="single" w:sz="4" w:space="0" w:color="000000"/>
            </w:tcBorders>
            <w:noWrap/>
            <w:vAlign w:val="bottom"/>
            <w:hideMark/>
          </w:tcPr>
          <w:p w14:paraId="17847744"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r>
      <w:tr w:rsidR="009120FB" w:rsidRPr="000D5D7F" w14:paraId="4A33B4B0" w14:textId="77777777" w:rsidTr="00AB6F4E">
        <w:trPr>
          <w:trHeight w:val="208"/>
        </w:trPr>
        <w:tc>
          <w:tcPr>
            <w:tcW w:w="1968" w:type="dxa"/>
            <w:tcBorders>
              <w:top w:val="nil"/>
              <w:left w:val="single" w:sz="4" w:space="0" w:color="000000"/>
              <w:bottom w:val="single" w:sz="4" w:space="0" w:color="000000"/>
              <w:right w:val="single" w:sz="4" w:space="0" w:color="000000"/>
            </w:tcBorders>
            <w:noWrap/>
            <w:vAlign w:val="bottom"/>
            <w:hideMark/>
          </w:tcPr>
          <w:p w14:paraId="67AB1041"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w:t>
            </w:r>
          </w:p>
        </w:tc>
        <w:tc>
          <w:tcPr>
            <w:tcW w:w="898" w:type="dxa"/>
            <w:tcBorders>
              <w:top w:val="nil"/>
              <w:left w:val="nil"/>
              <w:bottom w:val="single" w:sz="4" w:space="0" w:color="000000"/>
              <w:right w:val="single" w:sz="4" w:space="0" w:color="000000"/>
            </w:tcBorders>
            <w:noWrap/>
            <w:vAlign w:val="bottom"/>
            <w:hideMark/>
          </w:tcPr>
          <w:p w14:paraId="289B8739"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0.540</w:t>
            </w:r>
          </w:p>
        </w:tc>
        <w:tc>
          <w:tcPr>
            <w:tcW w:w="910" w:type="dxa"/>
            <w:tcBorders>
              <w:top w:val="nil"/>
              <w:left w:val="nil"/>
              <w:bottom w:val="single" w:sz="4" w:space="0" w:color="000000"/>
              <w:right w:val="single" w:sz="4" w:space="0" w:color="000000"/>
            </w:tcBorders>
            <w:noWrap/>
            <w:vAlign w:val="bottom"/>
            <w:hideMark/>
          </w:tcPr>
          <w:p w14:paraId="719F67FA"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0.516</w:t>
            </w:r>
          </w:p>
        </w:tc>
        <w:tc>
          <w:tcPr>
            <w:tcW w:w="760" w:type="dxa"/>
            <w:tcBorders>
              <w:top w:val="nil"/>
              <w:left w:val="nil"/>
              <w:bottom w:val="single" w:sz="4" w:space="0" w:color="000000"/>
              <w:right w:val="single" w:sz="4" w:space="0" w:color="000000"/>
            </w:tcBorders>
            <w:noWrap/>
            <w:vAlign w:val="bottom"/>
            <w:hideMark/>
          </w:tcPr>
          <w:p w14:paraId="0B64CC99"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017" w:type="dxa"/>
            <w:tcBorders>
              <w:top w:val="nil"/>
              <w:left w:val="nil"/>
              <w:bottom w:val="single" w:sz="4" w:space="0" w:color="000000"/>
              <w:right w:val="single" w:sz="4" w:space="0" w:color="000000"/>
            </w:tcBorders>
            <w:noWrap/>
            <w:vAlign w:val="bottom"/>
            <w:hideMark/>
          </w:tcPr>
          <w:p w14:paraId="3509B6EA"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179" w:type="dxa"/>
            <w:tcBorders>
              <w:top w:val="nil"/>
              <w:left w:val="nil"/>
              <w:bottom w:val="single" w:sz="4" w:space="0" w:color="000000"/>
              <w:right w:val="single" w:sz="4" w:space="0" w:color="000000"/>
            </w:tcBorders>
            <w:noWrap/>
            <w:vAlign w:val="bottom"/>
            <w:hideMark/>
          </w:tcPr>
          <w:p w14:paraId="50BB04BA"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654" w:type="dxa"/>
            <w:tcBorders>
              <w:top w:val="nil"/>
              <w:left w:val="nil"/>
              <w:bottom w:val="single" w:sz="4" w:space="0" w:color="000000"/>
              <w:right w:val="single" w:sz="4" w:space="0" w:color="000000"/>
            </w:tcBorders>
            <w:noWrap/>
            <w:vAlign w:val="bottom"/>
            <w:hideMark/>
          </w:tcPr>
          <w:p w14:paraId="31B1259E"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810" w:type="dxa"/>
            <w:tcBorders>
              <w:top w:val="nil"/>
              <w:left w:val="nil"/>
              <w:bottom w:val="single" w:sz="4" w:space="0" w:color="000000"/>
              <w:right w:val="single" w:sz="4" w:space="0" w:color="000000"/>
            </w:tcBorders>
            <w:noWrap/>
            <w:vAlign w:val="bottom"/>
            <w:hideMark/>
          </w:tcPr>
          <w:p w14:paraId="73FCF443"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r>
      <w:tr w:rsidR="009120FB" w:rsidRPr="000D5D7F" w14:paraId="08FA7B7B" w14:textId="77777777" w:rsidTr="00AB6F4E">
        <w:trPr>
          <w:trHeight w:val="208"/>
        </w:trPr>
        <w:tc>
          <w:tcPr>
            <w:tcW w:w="1968" w:type="dxa"/>
            <w:tcBorders>
              <w:top w:val="nil"/>
              <w:left w:val="single" w:sz="4" w:space="0" w:color="000000"/>
              <w:bottom w:val="single" w:sz="4" w:space="0" w:color="000000"/>
              <w:right w:val="single" w:sz="4" w:space="0" w:color="000000"/>
            </w:tcBorders>
            <w:noWrap/>
            <w:vAlign w:val="bottom"/>
            <w:hideMark/>
          </w:tcPr>
          <w:p w14:paraId="3CA791A3"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Intention</w:t>
            </w:r>
          </w:p>
        </w:tc>
        <w:tc>
          <w:tcPr>
            <w:tcW w:w="898" w:type="dxa"/>
            <w:tcBorders>
              <w:top w:val="nil"/>
              <w:left w:val="nil"/>
              <w:bottom w:val="single" w:sz="4" w:space="0" w:color="000000"/>
              <w:right w:val="single" w:sz="4" w:space="0" w:color="000000"/>
            </w:tcBorders>
            <w:noWrap/>
            <w:vAlign w:val="bottom"/>
            <w:hideMark/>
          </w:tcPr>
          <w:p w14:paraId="038B01EB"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0.774</w:t>
            </w:r>
          </w:p>
        </w:tc>
        <w:tc>
          <w:tcPr>
            <w:tcW w:w="910" w:type="dxa"/>
            <w:tcBorders>
              <w:top w:val="nil"/>
              <w:left w:val="nil"/>
              <w:bottom w:val="single" w:sz="4" w:space="0" w:color="000000"/>
              <w:right w:val="single" w:sz="4" w:space="0" w:color="000000"/>
            </w:tcBorders>
            <w:noWrap/>
            <w:vAlign w:val="bottom"/>
            <w:hideMark/>
          </w:tcPr>
          <w:p w14:paraId="06D556D6"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0.640</w:t>
            </w:r>
          </w:p>
        </w:tc>
        <w:tc>
          <w:tcPr>
            <w:tcW w:w="760" w:type="dxa"/>
            <w:tcBorders>
              <w:top w:val="nil"/>
              <w:left w:val="nil"/>
              <w:bottom w:val="single" w:sz="4" w:space="0" w:color="000000"/>
              <w:right w:val="single" w:sz="4" w:space="0" w:color="000000"/>
            </w:tcBorders>
            <w:noWrap/>
            <w:vAlign w:val="bottom"/>
            <w:hideMark/>
          </w:tcPr>
          <w:p w14:paraId="417107A4"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0.261</w:t>
            </w:r>
          </w:p>
        </w:tc>
        <w:tc>
          <w:tcPr>
            <w:tcW w:w="1017" w:type="dxa"/>
            <w:tcBorders>
              <w:top w:val="nil"/>
              <w:left w:val="nil"/>
              <w:bottom w:val="single" w:sz="4" w:space="0" w:color="000000"/>
              <w:right w:val="single" w:sz="4" w:space="0" w:color="000000"/>
            </w:tcBorders>
            <w:noWrap/>
            <w:vAlign w:val="bottom"/>
            <w:hideMark/>
          </w:tcPr>
          <w:p w14:paraId="283EE563"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179" w:type="dxa"/>
            <w:tcBorders>
              <w:top w:val="nil"/>
              <w:left w:val="nil"/>
              <w:bottom w:val="single" w:sz="4" w:space="0" w:color="000000"/>
              <w:right w:val="single" w:sz="4" w:space="0" w:color="000000"/>
            </w:tcBorders>
            <w:noWrap/>
            <w:vAlign w:val="bottom"/>
            <w:hideMark/>
          </w:tcPr>
          <w:p w14:paraId="0FF2D365"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654" w:type="dxa"/>
            <w:tcBorders>
              <w:top w:val="nil"/>
              <w:left w:val="nil"/>
              <w:bottom w:val="single" w:sz="4" w:space="0" w:color="000000"/>
              <w:right w:val="single" w:sz="4" w:space="0" w:color="000000"/>
            </w:tcBorders>
            <w:noWrap/>
            <w:vAlign w:val="bottom"/>
            <w:hideMark/>
          </w:tcPr>
          <w:p w14:paraId="71A487A8"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810" w:type="dxa"/>
            <w:tcBorders>
              <w:top w:val="nil"/>
              <w:left w:val="nil"/>
              <w:bottom w:val="single" w:sz="4" w:space="0" w:color="000000"/>
              <w:right w:val="single" w:sz="4" w:space="0" w:color="000000"/>
            </w:tcBorders>
            <w:noWrap/>
            <w:vAlign w:val="bottom"/>
            <w:hideMark/>
          </w:tcPr>
          <w:p w14:paraId="4FF51A30"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r>
      <w:tr w:rsidR="009120FB" w:rsidRPr="000D5D7F" w14:paraId="1B22544E" w14:textId="77777777" w:rsidTr="00AB6F4E">
        <w:trPr>
          <w:trHeight w:val="208"/>
        </w:trPr>
        <w:tc>
          <w:tcPr>
            <w:tcW w:w="1968" w:type="dxa"/>
            <w:tcBorders>
              <w:top w:val="nil"/>
              <w:left w:val="single" w:sz="4" w:space="0" w:color="000000"/>
              <w:bottom w:val="single" w:sz="4" w:space="0" w:color="000000"/>
              <w:right w:val="single" w:sz="4" w:space="0" w:color="000000"/>
            </w:tcBorders>
            <w:noWrap/>
            <w:vAlign w:val="bottom"/>
            <w:hideMark/>
          </w:tcPr>
          <w:p w14:paraId="0C5FE192"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w:t>
            </w:r>
          </w:p>
        </w:tc>
        <w:tc>
          <w:tcPr>
            <w:tcW w:w="898" w:type="dxa"/>
            <w:tcBorders>
              <w:top w:val="nil"/>
              <w:left w:val="nil"/>
              <w:bottom w:val="single" w:sz="4" w:space="0" w:color="000000"/>
              <w:right w:val="single" w:sz="4" w:space="0" w:color="000000"/>
            </w:tcBorders>
            <w:noWrap/>
            <w:vAlign w:val="bottom"/>
            <w:hideMark/>
          </w:tcPr>
          <w:p w14:paraId="555D673E"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0.669</w:t>
            </w:r>
          </w:p>
        </w:tc>
        <w:tc>
          <w:tcPr>
            <w:tcW w:w="910" w:type="dxa"/>
            <w:tcBorders>
              <w:top w:val="nil"/>
              <w:left w:val="nil"/>
              <w:bottom w:val="single" w:sz="4" w:space="0" w:color="000000"/>
              <w:right w:val="single" w:sz="4" w:space="0" w:color="000000"/>
            </w:tcBorders>
            <w:noWrap/>
            <w:vAlign w:val="bottom"/>
            <w:hideMark/>
          </w:tcPr>
          <w:p w14:paraId="7B4EA11E"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0.477</w:t>
            </w:r>
          </w:p>
        </w:tc>
        <w:tc>
          <w:tcPr>
            <w:tcW w:w="760" w:type="dxa"/>
            <w:tcBorders>
              <w:top w:val="nil"/>
              <w:left w:val="nil"/>
              <w:bottom w:val="single" w:sz="4" w:space="0" w:color="000000"/>
              <w:right w:val="single" w:sz="4" w:space="0" w:color="000000"/>
            </w:tcBorders>
            <w:noWrap/>
            <w:vAlign w:val="bottom"/>
            <w:hideMark/>
          </w:tcPr>
          <w:p w14:paraId="1287F5CF"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0.840</w:t>
            </w:r>
          </w:p>
        </w:tc>
        <w:tc>
          <w:tcPr>
            <w:tcW w:w="1017" w:type="dxa"/>
            <w:tcBorders>
              <w:top w:val="nil"/>
              <w:left w:val="nil"/>
              <w:bottom w:val="single" w:sz="4" w:space="0" w:color="000000"/>
              <w:right w:val="single" w:sz="4" w:space="0" w:color="000000"/>
            </w:tcBorders>
            <w:noWrap/>
            <w:vAlign w:val="bottom"/>
            <w:hideMark/>
          </w:tcPr>
          <w:p w14:paraId="04EDCE0F"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0.420</w:t>
            </w:r>
          </w:p>
        </w:tc>
        <w:tc>
          <w:tcPr>
            <w:tcW w:w="1179" w:type="dxa"/>
            <w:tcBorders>
              <w:top w:val="nil"/>
              <w:left w:val="nil"/>
              <w:bottom w:val="single" w:sz="4" w:space="0" w:color="000000"/>
              <w:right w:val="single" w:sz="4" w:space="0" w:color="000000"/>
            </w:tcBorders>
            <w:noWrap/>
            <w:vAlign w:val="bottom"/>
            <w:hideMark/>
          </w:tcPr>
          <w:p w14:paraId="3206D058"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1654" w:type="dxa"/>
            <w:tcBorders>
              <w:top w:val="nil"/>
              <w:left w:val="nil"/>
              <w:bottom w:val="single" w:sz="4" w:space="0" w:color="000000"/>
              <w:right w:val="single" w:sz="4" w:space="0" w:color="000000"/>
            </w:tcBorders>
            <w:noWrap/>
            <w:vAlign w:val="bottom"/>
            <w:hideMark/>
          </w:tcPr>
          <w:p w14:paraId="4A7390F7"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810" w:type="dxa"/>
            <w:tcBorders>
              <w:top w:val="nil"/>
              <w:left w:val="nil"/>
              <w:bottom w:val="single" w:sz="4" w:space="0" w:color="000000"/>
              <w:right w:val="single" w:sz="4" w:space="0" w:color="000000"/>
            </w:tcBorders>
            <w:noWrap/>
            <w:vAlign w:val="bottom"/>
            <w:hideMark/>
          </w:tcPr>
          <w:p w14:paraId="4E8D3B22"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r>
      <w:tr w:rsidR="009120FB" w:rsidRPr="000D5D7F" w14:paraId="4163203D" w14:textId="77777777" w:rsidTr="00AB6F4E">
        <w:trPr>
          <w:trHeight w:val="208"/>
        </w:trPr>
        <w:tc>
          <w:tcPr>
            <w:tcW w:w="1968" w:type="dxa"/>
            <w:tcBorders>
              <w:top w:val="nil"/>
              <w:left w:val="single" w:sz="4" w:space="0" w:color="000000"/>
              <w:bottom w:val="single" w:sz="4" w:space="0" w:color="000000"/>
              <w:right w:val="single" w:sz="4" w:space="0" w:color="000000"/>
            </w:tcBorders>
            <w:noWrap/>
            <w:vAlign w:val="bottom"/>
            <w:hideMark/>
          </w:tcPr>
          <w:p w14:paraId="0F08FCB8"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Perception of Interest</w:t>
            </w:r>
          </w:p>
        </w:tc>
        <w:tc>
          <w:tcPr>
            <w:tcW w:w="898" w:type="dxa"/>
            <w:tcBorders>
              <w:top w:val="nil"/>
              <w:left w:val="nil"/>
              <w:bottom w:val="single" w:sz="4" w:space="0" w:color="000000"/>
              <w:right w:val="single" w:sz="4" w:space="0" w:color="000000"/>
            </w:tcBorders>
            <w:noWrap/>
            <w:vAlign w:val="bottom"/>
            <w:hideMark/>
          </w:tcPr>
          <w:p w14:paraId="66D3E426"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0.808</w:t>
            </w:r>
          </w:p>
        </w:tc>
        <w:tc>
          <w:tcPr>
            <w:tcW w:w="910" w:type="dxa"/>
            <w:tcBorders>
              <w:top w:val="nil"/>
              <w:left w:val="nil"/>
              <w:bottom w:val="single" w:sz="4" w:space="0" w:color="000000"/>
              <w:right w:val="single" w:sz="4" w:space="0" w:color="000000"/>
            </w:tcBorders>
            <w:noWrap/>
            <w:vAlign w:val="bottom"/>
            <w:hideMark/>
          </w:tcPr>
          <w:p w14:paraId="69E486AE"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0.549</w:t>
            </w:r>
          </w:p>
        </w:tc>
        <w:tc>
          <w:tcPr>
            <w:tcW w:w="760" w:type="dxa"/>
            <w:tcBorders>
              <w:top w:val="nil"/>
              <w:left w:val="nil"/>
              <w:bottom w:val="single" w:sz="4" w:space="0" w:color="000000"/>
              <w:right w:val="single" w:sz="4" w:space="0" w:color="000000"/>
            </w:tcBorders>
            <w:noWrap/>
            <w:vAlign w:val="bottom"/>
            <w:hideMark/>
          </w:tcPr>
          <w:p w14:paraId="7F0FAB3B"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0.223</w:t>
            </w:r>
          </w:p>
        </w:tc>
        <w:tc>
          <w:tcPr>
            <w:tcW w:w="1017" w:type="dxa"/>
            <w:tcBorders>
              <w:top w:val="nil"/>
              <w:left w:val="nil"/>
              <w:bottom w:val="single" w:sz="4" w:space="0" w:color="000000"/>
              <w:right w:val="single" w:sz="4" w:space="0" w:color="000000"/>
            </w:tcBorders>
            <w:noWrap/>
            <w:vAlign w:val="bottom"/>
            <w:hideMark/>
          </w:tcPr>
          <w:p w14:paraId="1728F777"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0.874</w:t>
            </w:r>
          </w:p>
        </w:tc>
        <w:tc>
          <w:tcPr>
            <w:tcW w:w="1179" w:type="dxa"/>
            <w:tcBorders>
              <w:top w:val="nil"/>
              <w:left w:val="nil"/>
              <w:bottom w:val="single" w:sz="4" w:space="0" w:color="000000"/>
              <w:right w:val="single" w:sz="4" w:space="0" w:color="000000"/>
            </w:tcBorders>
            <w:noWrap/>
            <w:vAlign w:val="bottom"/>
            <w:hideMark/>
          </w:tcPr>
          <w:p w14:paraId="19AA3B9E"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0.276</w:t>
            </w:r>
          </w:p>
        </w:tc>
        <w:tc>
          <w:tcPr>
            <w:tcW w:w="1654" w:type="dxa"/>
            <w:tcBorders>
              <w:top w:val="nil"/>
              <w:left w:val="nil"/>
              <w:bottom w:val="single" w:sz="4" w:space="0" w:color="000000"/>
              <w:right w:val="single" w:sz="4" w:space="0" w:color="000000"/>
            </w:tcBorders>
            <w:noWrap/>
            <w:vAlign w:val="bottom"/>
            <w:hideMark/>
          </w:tcPr>
          <w:p w14:paraId="32BDD665"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c>
          <w:tcPr>
            <w:tcW w:w="810" w:type="dxa"/>
            <w:tcBorders>
              <w:top w:val="nil"/>
              <w:left w:val="nil"/>
              <w:bottom w:val="single" w:sz="4" w:space="0" w:color="000000"/>
              <w:right w:val="single" w:sz="4" w:space="0" w:color="000000"/>
            </w:tcBorders>
            <w:noWrap/>
            <w:vAlign w:val="bottom"/>
            <w:hideMark/>
          </w:tcPr>
          <w:p w14:paraId="37D6AACC"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r>
      <w:tr w:rsidR="009120FB" w:rsidRPr="000D5D7F" w14:paraId="6A84C381" w14:textId="77777777" w:rsidTr="00AB6F4E">
        <w:trPr>
          <w:trHeight w:val="208"/>
        </w:trPr>
        <w:tc>
          <w:tcPr>
            <w:tcW w:w="1968" w:type="dxa"/>
            <w:tcBorders>
              <w:top w:val="nil"/>
              <w:left w:val="single" w:sz="4" w:space="0" w:color="000000"/>
              <w:bottom w:val="single" w:sz="4" w:space="0" w:color="000000"/>
              <w:right w:val="single" w:sz="4" w:space="0" w:color="000000"/>
            </w:tcBorders>
            <w:noWrap/>
            <w:vAlign w:val="bottom"/>
            <w:hideMark/>
          </w:tcPr>
          <w:p w14:paraId="12D88C9E"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Trends</w:t>
            </w:r>
          </w:p>
        </w:tc>
        <w:tc>
          <w:tcPr>
            <w:tcW w:w="898" w:type="dxa"/>
            <w:tcBorders>
              <w:top w:val="nil"/>
              <w:left w:val="nil"/>
              <w:bottom w:val="single" w:sz="4" w:space="0" w:color="000000"/>
              <w:right w:val="single" w:sz="4" w:space="0" w:color="000000"/>
            </w:tcBorders>
            <w:noWrap/>
            <w:vAlign w:val="bottom"/>
            <w:hideMark/>
          </w:tcPr>
          <w:p w14:paraId="189755AE"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0.642</w:t>
            </w:r>
          </w:p>
        </w:tc>
        <w:tc>
          <w:tcPr>
            <w:tcW w:w="910" w:type="dxa"/>
            <w:tcBorders>
              <w:top w:val="nil"/>
              <w:left w:val="nil"/>
              <w:bottom w:val="single" w:sz="4" w:space="0" w:color="000000"/>
              <w:right w:val="single" w:sz="4" w:space="0" w:color="000000"/>
            </w:tcBorders>
            <w:noWrap/>
            <w:vAlign w:val="bottom"/>
            <w:hideMark/>
          </w:tcPr>
          <w:p w14:paraId="00BEA43F"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0.550</w:t>
            </w:r>
          </w:p>
        </w:tc>
        <w:tc>
          <w:tcPr>
            <w:tcW w:w="760" w:type="dxa"/>
            <w:tcBorders>
              <w:top w:val="nil"/>
              <w:left w:val="nil"/>
              <w:bottom w:val="single" w:sz="4" w:space="0" w:color="000000"/>
              <w:right w:val="single" w:sz="4" w:space="0" w:color="000000"/>
            </w:tcBorders>
            <w:noWrap/>
            <w:vAlign w:val="bottom"/>
            <w:hideMark/>
          </w:tcPr>
          <w:p w14:paraId="2CAFA28F"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0.290</w:t>
            </w:r>
          </w:p>
        </w:tc>
        <w:tc>
          <w:tcPr>
            <w:tcW w:w="1017" w:type="dxa"/>
            <w:tcBorders>
              <w:top w:val="nil"/>
              <w:left w:val="nil"/>
              <w:bottom w:val="single" w:sz="4" w:space="0" w:color="000000"/>
              <w:right w:val="single" w:sz="4" w:space="0" w:color="000000"/>
            </w:tcBorders>
            <w:noWrap/>
            <w:vAlign w:val="bottom"/>
            <w:hideMark/>
          </w:tcPr>
          <w:p w14:paraId="68FC1F17"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0.836</w:t>
            </w:r>
          </w:p>
        </w:tc>
        <w:tc>
          <w:tcPr>
            <w:tcW w:w="1179" w:type="dxa"/>
            <w:tcBorders>
              <w:top w:val="nil"/>
              <w:left w:val="nil"/>
              <w:bottom w:val="single" w:sz="4" w:space="0" w:color="000000"/>
              <w:right w:val="single" w:sz="4" w:space="0" w:color="000000"/>
            </w:tcBorders>
            <w:noWrap/>
            <w:vAlign w:val="bottom"/>
            <w:hideMark/>
          </w:tcPr>
          <w:p w14:paraId="2B41A437"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0.372</w:t>
            </w:r>
          </w:p>
        </w:tc>
        <w:tc>
          <w:tcPr>
            <w:tcW w:w="1654" w:type="dxa"/>
            <w:tcBorders>
              <w:top w:val="nil"/>
              <w:left w:val="nil"/>
              <w:bottom w:val="single" w:sz="4" w:space="0" w:color="000000"/>
              <w:right w:val="single" w:sz="4" w:space="0" w:color="000000"/>
            </w:tcBorders>
            <w:noWrap/>
            <w:vAlign w:val="bottom"/>
            <w:hideMark/>
          </w:tcPr>
          <w:p w14:paraId="10458E87"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0.811</w:t>
            </w:r>
          </w:p>
        </w:tc>
        <w:tc>
          <w:tcPr>
            <w:tcW w:w="810" w:type="dxa"/>
            <w:tcBorders>
              <w:top w:val="nil"/>
              <w:left w:val="nil"/>
              <w:bottom w:val="single" w:sz="4" w:space="0" w:color="000000"/>
              <w:right w:val="single" w:sz="4" w:space="0" w:color="000000"/>
            </w:tcBorders>
            <w:noWrap/>
            <w:vAlign w:val="bottom"/>
            <w:hideMark/>
          </w:tcPr>
          <w:p w14:paraId="57797B87"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 </w:t>
            </w:r>
          </w:p>
        </w:tc>
      </w:tr>
    </w:tbl>
    <w:p w14:paraId="024D276D" w14:textId="77777777" w:rsidR="009120FB" w:rsidRPr="000D5D7F" w:rsidRDefault="009120FB" w:rsidP="009120FB">
      <w:pPr>
        <w:spacing w:after="160" w:line="240" w:lineRule="auto"/>
        <w:jc w:val="both"/>
        <w:rPr>
          <w:b/>
          <w:bCs/>
          <w:sz w:val="2"/>
          <w:szCs w:val="2"/>
        </w:rPr>
      </w:pPr>
    </w:p>
    <w:p w14:paraId="64EE21DD" w14:textId="77777777" w:rsidR="009120FB" w:rsidRPr="002B291F" w:rsidRDefault="009120FB" w:rsidP="009120FB">
      <w:pPr>
        <w:spacing w:after="160" w:line="240" w:lineRule="auto"/>
        <w:jc w:val="both"/>
        <w:rPr>
          <w:i/>
          <w:iCs/>
          <w:szCs w:val="24"/>
        </w:rPr>
      </w:pPr>
      <w:r w:rsidRPr="002B291F">
        <w:rPr>
          <w:i/>
          <w:iCs/>
          <w:szCs w:val="24"/>
        </w:rPr>
        <w:t>3.3.3 Coefficient of determination</w:t>
      </w:r>
    </w:p>
    <w:p w14:paraId="1E960E01" w14:textId="77777777" w:rsidR="009120FB" w:rsidRPr="002B291F" w:rsidRDefault="009120FB" w:rsidP="009120FB">
      <w:pPr>
        <w:spacing w:after="160"/>
        <w:ind w:firstLine="720"/>
        <w:jc w:val="both"/>
        <w:rPr>
          <w:szCs w:val="24"/>
        </w:rPr>
      </w:pPr>
      <w:r w:rsidRPr="002B291F">
        <w:rPr>
          <w:szCs w:val="24"/>
        </w:rPr>
        <w:t>A statistic known as the coefficient of determination (R²) assesses the predictive potential of a model by quantifying the proportion of variance in the outcome variables that is accounted for by the predictors.(Towbes &amp; Cohen, 1996) categorised R² values into three categories: small (R² = 0.20), medium (R² = 0.50), and large (R² = 0.80). The R² values from our investigation are presented in the subsequent table (see Table 10).</w:t>
      </w:r>
    </w:p>
    <w:tbl>
      <w:tblPr>
        <w:tblW w:w="9009" w:type="dxa"/>
        <w:tblLook w:val="04A0" w:firstRow="1" w:lastRow="0" w:firstColumn="1" w:lastColumn="0" w:noHBand="0" w:noVBand="1"/>
      </w:tblPr>
      <w:tblGrid>
        <w:gridCol w:w="3840"/>
        <w:gridCol w:w="2851"/>
        <w:gridCol w:w="2318"/>
      </w:tblGrid>
      <w:tr w:rsidR="009120FB" w:rsidRPr="000D5D7F" w14:paraId="2F7CCA94" w14:textId="77777777" w:rsidTr="00AB6F4E">
        <w:trPr>
          <w:trHeight w:val="251"/>
        </w:trPr>
        <w:tc>
          <w:tcPr>
            <w:tcW w:w="3840" w:type="dxa"/>
            <w:tcBorders>
              <w:top w:val="nil"/>
              <w:left w:val="nil"/>
              <w:bottom w:val="nil"/>
              <w:right w:val="nil"/>
            </w:tcBorders>
            <w:noWrap/>
            <w:vAlign w:val="bottom"/>
            <w:hideMark/>
          </w:tcPr>
          <w:p w14:paraId="7DA40A5C" w14:textId="77777777" w:rsidR="009120FB" w:rsidRPr="000D5D7F" w:rsidRDefault="009120FB" w:rsidP="009120FB">
            <w:pPr>
              <w:spacing w:line="240" w:lineRule="auto"/>
              <w:rPr>
                <w:rFonts w:eastAsia="Times New Roman"/>
                <w:sz w:val="20"/>
                <w:szCs w:val="20"/>
              </w:rPr>
            </w:pPr>
          </w:p>
        </w:tc>
        <w:tc>
          <w:tcPr>
            <w:tcW w:w="2851" w:type="dxa"/>
            <w:tcBorders>
              <w:top w:val="single" w:sz="4" w:space="0" w:color="000000"/>
              <w:left w:val="single" w:sz="4" w:space="0" w:color="000000"/>
              <w:bottom w:val="single" w:sz="4" w:space="0" w:color="000000"/>
              <w:right w:val="single" w:sz="4" w:space="0" w:color="000000"/>
            </w:tcBorders>
            <w:noWrap/>
            <w:vAlign w:val="bottom"/>
            <w:hideMark/>
          </w:tcPr>
          <w:p w14:paraId="192E6F00"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R-square</w:t>
            </w:r>
          </w:p>
        </w:tc>
        <w:tc>
          <w:tcPr>
            <w:tcW w:w="2318" w:type="dxa"/>
            <w:tcBorders>
              <w:top w:val="single" w:sz="4" w:space="0" w:color="000000"/>
              <w:left w:val="single" w:sz="4" w:space="0" w:color="000000"/>
              <w:bottom w:val="single" w:sz="4" w:space="0" w:color="000000"/>
              <w:right w:val="single" w:sz="4" w:space="0" w:color="000000"/>
            </w:tcBorders>
            <w:noWrap/>
            <w:vAlign w:val="bottom"/>
            <w:hideMark/>
          </w:tcPr>
          <w:p w14:paraId="256504FB"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R-square adjusted</w:t>
            </w:r>
          </w:p>
        </w:tc>
      </w:tr>
      <w:tr w:rsidR="009120FB" w:rsidRPr="000D5D7F" w14:paraId="659351D2" w14:textId="77777777" w:rsidTr="00AB6F4E">
        <w:trPr>
          <w:trHeight w:val="251"/>
        </w:trPr>
        <w:tc>
          <w:tcPr>
            <w:tcW w:w="3840" w:type="dxa"/>
            <w:tcBorders>
              <w:top w:val="single" w:sz="4" w:space="0" w:color="000000"/>
              <w:left w:val="single" w:sz="4" w:space="0" w:color="000000"/>
              <w:bottom w:val="single" w:sz="4" w:space="0" w:color="000000"/>
              <w:right w:val="single" w:sz="4" w:space="0" w:color="000000"/>
            </w:tcBorders>
            <w:noWrap/>
            <w:vAlign w:val="bottom"/>
            <w:hideMark/>
          </w:tcPr>
          <w:p w14:paraId="61746ED9"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Intention</w:t>
            </w:r>
          </w:p>
        </w:tc>
        <w:tc>
          <w:tcPr>
            <w:tcW w:w="2851" w:type="dxa"/>
            <w:tcBorders>
              <w:top w:val="single" w:sz="4" w:space="0" w:color="000000"/>
              <w:left w:val="single" w:sz="4" w:space="0" w:color="000000"/>
              <w:bottom w:val="single" w:sz="4" w:space="0" w:color="000000"/>
              <w:right w:val="single" w:sz="4" w:space="0" w:color="000000"/>
            </w:tcBorders>
            <w:noWrap/>
            <w:vAlign w:val="bottom"/>
            <w:hideMark/>
          </w:tcPr>
          <w:p w14:paraId="4ACD67ED"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0.640</w:t>
            </w:r>
          </w:p>
        </w:tc>
        <w:tc>
          <w:tcPr>
            <w:tcW w:w="2318" w:type="dxa"/>
            <w:tcBorders>
              <w:top w:val="single" w:sz="4" w:space="0" w:color="000000"/>
              <w:left w:val="single" w:sz="4" w:space="0" w:color="000000"/>
              <w:bottom w:val="single" w:sz="4" w:space="0" w:color="000000"/>
              <w:right w:val="single" w:sz="4" w:space="0" w:color="000000"/>
            </w:tcBorders>
            <w:noWrap/>
            <w:vAlign w:val="bottom"/>
            <w:hideMark/>
          </w:tcPr>
          <w:p w14:paraId="4518DAEB"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0.618</w:t>
            </w:r>
          </w:p>
        </w:tc>
      </w:tr>
      <w:tr w:rsidR="009120FB" w:rsidRPr="000D5D7F" w14:paraId="6BDCF4BD" w14:textId="77777777" w:rsidTr="00AB6F4E">
        <w:trPr>
          <w:trHeight w:val="251"/>
        </w:trPr>
        <w:tc>
          <w:tcPr>
            <w:tcW w:w="3840" w:type="dxa"/>
            <w:tcBorders>
              <w:top w:val="single" w:sz="4" w:space="0" w:color="000000"/>
              <w:left w:val="single" w:sz="4" w:space="0" w:color="000000"/>
              <w:bottom w:val="single" w:sz="4" w:space="0" w:color="000000"/>
              <w:right w:val="single" w:sz="4" w:space="0" w:color="000000"/>
            </w:tcBorders>
            <w:noWrap/>
            <w:vAlign w:val="bottom"/>
            <w:hideMark/>
          </w:tcPr>
          <w:p w14:paraId="5FB6C712"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Trends</w:t>
            </w:r>
          </w:p>
        </w:tc>
        <w:tc>
          <w:tcPr>
            <w:tcW w:w="2851" w:type="dxa"/>
            <w:tcBorders>
              <w:top w:val="single" w:sz="4" w:space="0" w:color="000000"/>
              <w:left w:val="single" w:sz="4" w:space="0" w:color="000000"/>
              <w:bottom w:val="single" w:sz="4" w:space="0" w:color="000000"/>
              <w:right w:val="single" w:sz="4" w:space="0" w:color="000000"/>
            </w:tcBorders>
            <w:noWrap/>
            <w:vAlign w:val="bottom"/>
            <w:hideMark/>
          </w:tcPr>
          <w:p w14:paraId="01FFD8F5"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0.559</w:t>
            </w:r>
          </w:p>
        </w:tc>
        <w:tc>
          <w:tcPr>
            <w:tcW w:w="2318" w:type="dxa"/>
            <w:tcBorders>
              <w:top w:val="single" w:sz="4" w:space="0" w:color="000000"/>
              <w:left w:val="single" w:sz="4" w:space="0" w:color="000000"/>
              <w:bottom w:val="single" w:sz="4" w:space="0" w:color="000000"/>
              <w:right w:val="single" w:sz="4" w:space="0" w:color="000000"/>
            </w:tcBorders>
            <w:noWrap/>
            <w:vAlign w:val="bottom"/>
            <w:hideMark/>
          </w:tcPr>
          <w:p w14:paraId="4F32D332"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0.532</w:t>
            </w:r>
          </w:p>
        </w:tc>
      </w:tr>
    </w:tbl>
    <w:p w14:paraId="16A5E3C2" w14:textId="77777777" w:rsidR="009120FB" w:rsidRPr="000D5D7F" w:rsidRDefault="009120FB" w:rsidP="009120FB">
      <w:pPr>
        <w:spacing w:after="160" w:line="240" w:lineRule="auto"/>
        <w:jc w:val="both"/>
        <w:rPr>
          <w:sz w:val="20"/>
          <w:szCs w:val="20"/>
        </w:rPr>
      </w:pPr>
    </w:p>
    <w:p w14:paraId="751F4EEF" w14:textId="77777777" w:rsidR="009120FB" w:rsidRPr="00487AA8" w:rsidRDefault="009120FB" w:rsidP="009120FB">
      <w:pPr>
        <w:spacing w:after="160"/>
        <w:jc w:val="both"/>
        <w:rPr>
          <w:i/>
          <w:iCs/>
          <w:szCs w:val="24"/>
        </w:rPr>
      </w:pPr>
      <w:r w:rsidRPr="00487AA8">
        <w:rPr>
          <w:i/>
          <w:iCs/>
          <w:szCs w:val="24"/>
        </w:rPr>
        <w:t>3.4 Effect size</w:t>
      </w:r>
    </w:p>
    <w:p w14:paraId="4D240F46" w14:textId="744BE764" w:rsidR="009120FB" w:rsidRPr="00487AA8" w:rsidRDefault="009120FB" w:rsidP="009120FB">
      <w:pPr>
        <w:ind w:firstLine="720"/>
        <w:jc w:val="both"/>
        <w:rPr>
          <w:rFonts w:eastAsia="Times New Roman"/>
          <w:szCs w:val="24"/>
        </w:rPr>
      </w:pPr>
      <w:r w:rsidRPr="00487AA8">
        <w:rPr>
          <w:rFonts w:eastAsia="Times New Roman"/>
          <w:szCs w:val="24"/>
        </w:rPr>
        <w:t xml:space="preserve">The F2 statistics clarify the unique contributions of each predictor to the variance explained in the outcome </w:t>
      </w:r>
      <w:r w:rsidR="00487AA8" w:rsidRPr="00487AA8">
        <w:rPr>
          <w:rFonts w:eastAsia="Times New Roman"/>
          <w:szCs w:val="24"/>
        </w:rPr>
        <w:t>variables (</w:t>
      </w:r>
      <w:r w:rsidRPr="00487AA8">
        <w:rPr>
          <w:rFonts w:eastAsia="Times New Roman"/>
          <w:szCs w:val="24"/>
        </w:rPr>
        <w:t xml:space="preserve">Towbes &amp; Cohen, 1996) classification categories F2 values into three distinct levels: weak (F2 = 0.02), moderate (F2 = 0.15), and large (F2 = 0.35). The analysis of the results in Table 5 indicates that this study encompasses a range of effect sizes. Consequently, </w:t>
      </w:r>
      <w:proofErr w:type="gramStart"/>
      <w:r w:rsidRPr="00487AA8">
        <w:rPr>
          <w:rFonts w:eastAsia="Times New Roman"/>
          <w:szCs w:val="24"/>
        </w:rPr>
        <w:t>It</w:t>
      </w:r>
      <w:proofErr w:type="gramEnd"/>
      <w:r w:rsidRPr="00487AA8">
        <w:rPr>
          <w:rFonts w:eastAsia="Times New Roman"/>
          <w:szCs w:val="24"/>
        </w:rPr>
        <w:t xml:space="preserve"> </w:t>
      </w:r>
      <w:r w:rsidR="00487AA8" w:rsidRPr="00487AA8">
        <w:rPr>
          <w:rFonts w:eastAsia="Times New Roman"/>
          <w:szCs w:val="24"/>
        </w:rPr>
        <w:t>is concluded</w:t>
      </w:r>
      <w:r w:rsidRPr="00487AA8">
        <w:rPr>
          <w:rFonts w:eastAsia="Times New Roman"/>
          <w:szCs w:val="24"/>
        </w:rPr>
        <w:t xml:space="preserve"> that the impact of individual predictors on the variance explained in the outcome variables is diverse and intricate.</w:t>
      </w:r>
    </w:p>
    <w:p w14:paraId="7B6AD25C" w14:textId="77777777" w:rsidR="009120FB" w:rsidRPr="000D5D7F" w:rsidRDefault="009120FB" w:rsidP="009120FB">
      <w:pPr>
        <w:spacing w:after="160" w:line="240" w:lineRule="auto"/>
        <w:jc w:val="both"/>
        <w:rPr>
          <w:b/>
          <w:bCs/>
          <w:sz w:val="22"/>
        </w:rPr>
      </w:pPr>
      <w:r w:rsidRPr="000D5D7F">
        <w:rPr>
          <w:b/>
          <w:bCs/>
          <w:sz w:val="22"/>
        </w:rPr>
        <w:lastRenderedPageBreak/>
        <w:t>Table 6</w:t>
      </w:r>
    </w:p>
    <w:p w14:paraId="4C14FCC5" w14:textId="77777777" w:rsidR="009120FB" w:rsidRPr="000D5D7F" w:rsidRDefault="009120FB" w:rsidP="009120FB">
      <w:pPr>
        <w:spacing w:after="160" w:line="240" w:lineRule="auto"/>
        <w:jc w:val="both"/>
        <w:rPr>
          <w:i/>
          <w:iCs/>
          <w:sz w:val="22"/>
        </w:rPr>
      </w:pPr>
      <w:r w:rsidRPr="000D5D7F">
        <w:rPr>
          <w:i/>
          <w:iCs/>
          <w:sz w:val="22"/>
        </w:rPr>
        <w:t>Effect sizes of the latent variables.</w:t>
      </w:r>
    </w:p>
    <w:tbl>
      <w:tblPr>
        <w:tblW w:w="9006" w:type="dxa"/>
        <w:tblLook w:val="04A0" w:firstRow="1" w:lastRow="0" w:firstColumn="1" w:lastColumn="0" w:noHBand="0" w:noVBand="1"/>
      </w:tblPr>
      <w:tblGrid>
        <w:gridCol w:w="4901"/>
        <w:gridCol w:w="2227"/>
        <w:gridCol w:w="1878"/>
      </w:tblGrid>
      <w:tr w:rsidR="009120FB" w:rsidRPr="000D5D7F" w14:paraId="1D66BD30" w14:textId="77777777" w:rsidTr="00AB6F4E">
        <w:trPr>
          <w:trHeight w:val="251"/>
        </w:trPr>
        <w:tc>
          <w:tcPr>
            <w:tcW w:w="4901" w:type="dxa"/>
            <w:tcBorders>
              <w:top w:val="nil"/>
              <w:left w:val="nil"/>
              <w:bottom w:val="nil"/>
              <w:right w:val="nil"/>
            </w:tcBorders>
            <w:noWrap/>
            <w:vAlign w:val="bottom"/>
            <w:hideMark/>
          </w:tcPr>
          <w:p w14:paraId="5C31FA64" w14:textId="77777777" w:rsidR="009120FB" w:rsidRPr="000D5D7F" w:rsidRDefault="009120FB" w:rsidP="009120FB">
            <w:pPr>
              <w:spacing w:line="240" w:lineRule="auto"/>
              <w:rPr>
                <w:rFonts w:eastAsia="Times New Roman"/>
                <w:sz w:val="20"/>
                <w:szCs w:val="20"/>
              </w:rPr>
            </w:pPr>
          </w:p>
        </w:tc>
        <w:tc>
          <w:tcPr>
            <w:tcW w:w="2227" w:type="dxa"/>
            <w:tcBorders>
              <w:top w:val="single" w:sz="4" w:space="0" w:color="000000"/>
              <w:left w:val="nil"/>
              <w:bottom w:val="single" w:sz="4" w:space="0" w:color="000000"/>
              <w:right w:val="single" w:sz="4" w:space="0" w:color="000000"/>
            </w:tcBorders>
            <w:noWrap/>
            <w:vAlign w:val="bottom"/>
            <w:hideMark/>
          </w:tcPr>
          <w:p w14:paraId="045FAC98"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Intention</w:t>
            </w:r>
          </w:p>
        </w:tc>
        <w:tc>
          <w:tcPr>
            <w:tcW w:w="1878" w:type="dxa"/>
            <w:tcBorders>
              <w:top w:val="single" w:sz="4" w:space="0" w:color="000000"/>
              <w:left w:val="nil"/>
              <w:bottom w:val="single" w:sz="4" w:space="0" w:color="000000"/>
              <w:right w:val="single" w:sz="4" w:space="0" w:color="000000"/>
            </w:tcBorders>
            <w:noWrap/>
            <w:vAlign w:val="bottom"/>
            <w:hideMark/>
          </w:tcPr>
          <w:p w14:paraId="656CE3A9"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Trends</w:t>
            </w:r>
          </w:p>
        </w:tc>
      </w:tr>
      <w:tr w:rsidR="009120FB" w:rsidRPr="000D5D7F" w14:paraId="51ECAD8F" w14:textId="77777777" w:rsidTr="00AB6F4E">
        <w:trPr>
          <w:trHeight w:val="251"/>
        </w:trPr>
        <w:tc>
          <w:tcPr>
            <w:tcW w:w="4901" w:type="dxa"/>
            <w:tcBorders>
              <w:top w:val="single" w:sz="4" w:space="0" w:color="000000"/>
              <w:left w:val="single" w:sz="4" w:space="0" w:color="000000"/>
              <w:bottom w:val="single" w:sz="4" w:space="0" w:color="000000"/>
              <w:right w:val="single" w:sz="4" w:space="0" w:color="000000"/>
            </w:tcBorders>
            <w:noWrap/>
            <w:vAlign w:val="bottom"/>
            <w:hideMark/>
          </w:tcPr>
          <w:p w14:paraId="09749868"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w:t>
            </w:r>
          </w:p>
        </w:tc>
        <w:tc>
          <w:tcPr>
            <w:tcW w:w="2227" w:type="dxa"/>
            <w:tcBorders>
              <w:top w:val="nil"/>
              <w:left w:val="nil"/>
              <w:bottom w:val="single" w:sz="4" w:space="0" w:color="000000"/>
              <w:right w:val="single" w:sz="4" w:space="0" w:color="000000"/>
            </w:tcBorders>
            <w:noWrap/>
            <w:vAlign w:val="bottom"/>
            <w:hideMark/>
          </w:tcPr>
          <w:p w14:paraId="59078993"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0.008</w:t>
            </w:r>
          </w:p>
        </w:tc>
        <w:tc>
          <w:tcPr>
            <w:tcW w:w="1878" w:type="dxa"/>
            <w:tcBorders>
              <w:top w:val="nil"/>
              <w:left w:val="nil"/>
              <w:bottom w:val="single" w:sz="4" w:space="0" w:color="000000"/>
              <w:right w:val="single" w:sz="4" w:space="0" w:color="000000"/>
            </w:tcBorders>
            <w:noWrap/>
            <w:vAlign w:val="bottom"/>
            <w:hideMark/>
          </w:tcPr>
          <w:p w14:paraId="1135A44C"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0.001</w:t>
            </w:r>
          </w:p>
        </w:tc>
      </w:tr>
      <w:tr w:rsidR="009120FB" w:rsidRPr="000D5D7F" w14:paraId="13E35894" w14:textId="77777777" w:rsidTr="00AB6F4E">
        <w:trPr>
          <w:trHeight w:val="251"/>
        </w:trPr>
        <w:tc>
          <w:tcPr>
            <w:tcW w:w="4901" w:type="dxa"/>
            <w:tcBorders>
              <w:top w:val="nil"/>
              <w:left w:val="single" w:sz="4" w:space="0" w:color="000000"/>
              <w:bottom w:val="single" w:sz="4" w:space="0" w:color="000000"/>
              <w:right w:val="single" w:sz="4" w:space="0" w:color="000000"/>
            </w:tcBorders>
            <w:noWrap/>
            <w:vAlign w:val="bottom"/>
            <w:hideMark/>
          </w:tcPr>
          <w:p w14:paraId="7FCB1865"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Ease of use</w:t>
            </w:r>
          </w:p>
        </w:tc>
        <w:tc>
          <w:tcPr>
            <w:tcW w:w="2227" w:type="dxa"/>
            <w:tcBorders>
              <w:top w:val="nil"/>
              <w:left w:val="nil"/>
              <w:bottom w:val="single" w:sz="4" w:space="0" w:color="000000"/>
              <w:right w:val="single" w:sz="4" w:space="0" w:color="000000"/>
            </w:tcBorders>
            <w:noWrap/>
            <w:vAlign w:val="bottom"/>
            <w:hideMark/>
          </w:tcPr>
          <w:p w14:paraId="2D73C58A"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0.071</w:t>
            </w:r>
          </w:p>
        </w:tc>
        <w:tc>
          <w:tcPr>
            <w:tcW w:w="1878" w:type="dxa"/>
            <w:tcBorders>
              <w:top w:val="nil"/>
              <w:left w:val="nil"/>
              <w:bottom w:val="single" w:sz="4" w:space="0" w:color="000000"/>
              <w:right w:val="single" w:sz="4" w:space="0" w:color="000000"/>
            </w:tcBorders>
            <w:noWrap/>
            <w:vAlign w:val="bottom"/>
            <w:hideMark/>
          </w:tcPr>
          <w:p w14:paraId="4D6E19DF"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0.029</w:t>
            </w:r>
          </w:p>
        </w:tc>
      </w:tr>
      <w:tr w:rsidR="009120FB" w:rsidRPr="000D5D7F" w14:paraId="7DA91266" w14:textId="77777777" w:rsidTr="00AB6F4E">
        <w:trPr>
          <w:trHeight w:val="251"/>
        </w:trPr>
        <w:tc>
          <w:tcPr>
            <w:tcW w:w="4901" w:type="dxa"/>
            <w:tcBorders>
              <w:top w:val="nil"/>
              <w:left w:val="single" w:sz="4" w:space="0" w:color="000000"/>
              <w:bottom w:val="single" w:sz="4" w:space="0" w:color="000000"/>
              <w:right w:val="single" w:sz="4" w:space="0" w:color="000000"/>
            </w:tcBorders>
            <w:noWrap/>
            <w:vAlign w:val="bottom"/>
            <w:hideMark/>
          </w:tcPr>
          <w:p w14:paraId="13C9F412"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w:t>
            </w:r>
          </w:p>
        </w:tc>
        <w:tc>
          <w:tcPr>
            <w:tcW w:w="2227" w:type="dxa"/>
            <w:tcBorders>
              <w:top w:val="nil"/>
              <w:left w:val="nil"/>
              <w:bottom w:val="single" w:sz="4" w:space="0" w:color="000000"/>
              <w:right w:val="single" w:sz="4" w:space="0" w:color="000000"/>
            </w:tcBorders>
            <w:noWrap/>
            <w:vAlign w:val="bottom"/>
            <w:hideMark/>
          </w:tcPr>
          <w:p w14:paraId="45A502E6"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0.016</w:t>
            </w:r>
          </w:p>
        </w:tc>
        <w:tc>
          <w:tcPr>
            <w:tcW w:w="1878" w:type="dxa"/>
            <w:tcBorders>
              <w:top w:val="nil"/>
              <w:left w:val="nil"/>
              <w:bottom w:val="single" w:sz="4" w:space="0" w:color="000000"/>
              <w:right w:val="single" w:sz="4" w:space="0" w:color="000000"/>
            </w:tcBorders>
            <w:noWrap/>
            <w:vAlign w:val="bottom"/>
            <w:hideMark/>
          </w:tcPr>
          <w:p w14:paraId="666CF969"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0.000</w:t>
            </w:r>
          </w:p>
        </w:tc>
      </w:tr>
      <w:tr w:rsidR="009120FB" w:rsidRPr="000D5D7F" w14:paraId="36BB5DDB" w14:textId="77777777" w:rsidTr="00AB6F4E">
        <w:trPr>
          <w:trHeight w:val="251"/>
        </w:trPr>
        <w:tc>
          <w:tcPr>
            <w:tcW w:w="4901" w:type="dxa"/>
            <w:tcBorders>
              <w:top w:val="nil"/>
              <w:left w:val="single" w:sz="4" w:space="0" w:color="000000"/>
              <w:bottom w:val="single" w:sz="4" w:space="0" w:color="000000"/>
              <w:right w:val="single" w:sz="4" w:space="0" w:color="000000"/>
            </w:tcBorders>
            <w:noWrap/>
            <w:vAlign w:val="bottom"/>
            <w:hideMark/>
          </w:tcPr>
          <w:p w14:paraId="5A33CA6A"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w:t>
            </w:r>
          </w:p>
        </w:tc>
        <w:tc>
          <w:tcPr>
            <w:tcW w:w="2227" w:type="dxa"/>
            <w:tcBorders>
              <w:top w:val="nil"/>
              <w:left w:val="nil"/>
              <w:bottom w:val="single" w:sz="4" w:space="0" w:color="000000"/>
              <w:right w:val="single" w:sz="4" w:space="0" w:color="000000"/>
            </w:tcBorders>
            <w:noWrap/>
            <w:vAlign w:val="bottom"/>
            <w:hideMark/>
          </w:tcPr>
          <w:p w14:paraId="0FE92BFD"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0.039</w:t>
            </w:r>
          </w:p>
        </w:tc>
        <w:tc>
          <w:tcPr>
            <w:tcW w:w="1878" w:type="dxa"/>
            <w:tcBorders>
              <w:top w:val="nil"/>
              <w:left w:val="nil"/>
              <w:bottom w:val="single" w:sz="4" w:space="0" w:color="000000"/>
              <w:right w:val="single" w:sz="4" w:space="0" w:color="000000"/>
            </w:tcBorders>
            <w:noWrap/>
            <w:vAlign w:val="bottom"/>
            <w:hideMark/>
          </w:tcPr>
          <w:p w14:paraId="7F493677"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0.022</w:t>
            </w:r>
          </w:p>
        </w:tc>
      </w:tr>
      <w:tr w:rsidR="009120FB" w:rsidRPr="000D5D7F" w14:paraId="56893B53" w14:textId="77777777" w:rsidTr="00AB6F4E">
        <w:trPr>
          <w:trHeight w:val="251"/>
        </w:trPr>
        <w:tc>
          <w:tcPr>
            <w:tcW w:w="4901" w:type="dxa"/>
            <w:tcBorders>
              <w:top w:val="nil"/>
              <w:left w:val="single" w:sz="4" w:space="0" w:color="000000"/>
              <w:bottom w:val="single" w:sz="4" w:space="0" w:color="000000"/>
              <w:right w:val="single" w:sz="4" w:space="0" w:color="000000"/>
            </w:tcBorders>
            <w:noWrap/>
            <w:vAlign w:val="bottom"/>
            <w:hideMark/>
          </w:tcPr>
          <w:p w14:paraId="4D0C6051"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Perception of Interest</w:t>
            </w:r>
          </w:p>
        </w:tc>
        <w:tc>
          <w:tcPr>
            <w:tcW w:w="2227" w:type="dxa"/>
            <w:tcBorders>
              <w:top w:val="nil"/>
              <w:left w:val="nil"/>
              <w:bottom w:val="single" w:sz="4" w:space="0" w:color="000000"/>
              <w:right w:val="single" w:sz="4" w:space="0" w:color="000000"/>
            </w:tcBorders>
            <w:noWrap/>
            <w:vAlign w:val="bottom"/>
            <w:hideMark/>
          </w:tcPr>
          <w:p w14:paraId="6ED7E162"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0.626</w:t>
            </w:r>
          </w:p>
        </w:tc>
        <w:tc>
          <w:tcPr>
            <w:tcW w:w="1878" w:type="dxa"/>
            <w:tcBorders>
              <w:top w:val="nil"/>
              <w:left w:val="nil"/>
              <w:bottom w:val="single" w:sz="4" w:space="0" w:color="000000"/>
              <w:right w:val="single" w:sz="4" w:space="0" w:color="000000"/>
            </w:tcBorders>
            <w:noWrap/>
            <w:vAlign w:val="bottom"/>
            <w:hideMark/>
          </w:tcPr>
          <w:p w14:paraId="6AEE6442"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0.580</w:t>
            </w:r>
          </w:p>
        </w:tc>
      </w:tr>
    </w:tbl>
    <w:p w14:paraId="69B5C906" w14:textId="77777777" w:rsidR="009120FB" w:rsidRPr="000D5D7F" w:rsidRDefault="009120FB" w:rsidP="009120FB">
      <w:pPr>
        <w:spacing w:after="160" w:line="240" w:lineRule="auto"/>
        <w:jc w:val="both"/>
        <w:rPr>
          <w:b/>
          <w:bCs/>
          <w:sz w:val="2"/>
          <w:szCs w:val="2"/>
        </w:rPr>
      </w:pPr>
    </w:p>
    <w:p w14:paraId="7DEDDE44" w14:textId="77777777" w:rsidR="009120FB" w:rsidRPr="000D5D7F" w:rsidRDefault="009120FB" w:rsidP="009120FB">
      <w:pPr>
        <w:spacing w:after="160"/>
        <w:jc w:val="both"/>
        <w:rPr>
          <w:i/>
          <w:iCs/>
          <w:sz w:val="22"/>
        </w:rPr>
      </w:pPr>
      <w:r w:rsidRPr="000D5D7F">
        <w:rPr>
          <w:i/>
          <w:iCs/>
          <w:sz w:val="22"/>
        </w:rPr>
        <w:t>3.5 Path collinearity</w:t>
      </w:r>
    </w:p>
    <w:p w14:paraId="58FF6C19" w14:textId="77777777" w:rsidR="00CA509D" w:rsidRPr="007C4AAB" w:rsidRDefault="00CA509D" w:rsidP="00CA509D">
      <w:pPr>
        <w:spacing w:after="160"/>
        <w:ind w:firstLine="720"/>
        <w:jc w:val="both"/>
        <w:rPr>
          <w:szCs w:val="24"/>
        </w:rPr>
      </w:pPr>
      <w:r w:rsidRPr="007C4AAB">
        <w:rPr>
          <w:szCs w:val="24"/>
        </w:rPr>
        <w:t>Common Method Bias, or Variance Inflation Factor (VIF) values, were checked to confirm that they were less than 3.3 in the study. Uneven collinearity and common method bias can be the causes of elevated VIF values. According to Table 6, the VIF values that were assessed were within the permitted range, which means that the study model was free from pathological contamination and common procedural bias. This conclusion proves that the structural models and measurements are accurate (Kock, 2015).</w:t>
      </w:r>
    </w:p>
    <w:p w14:paraId="02655408" w14:textId="77777777" w:rsidR="009120FB" w:rsidRPr="000D5D7F" w:rsidRDefault="009120FB" w:rsidP="009120FB">
      <w:pPr>
        <w:spacing w:after="160" w:line="240" w:lineRule="auto"/>
        <w:jc w:val="both"/>
        <w:rPr>
          <w:b/>
          <w:bCs/>
          <w:sz w:val="22"/>
        </w:rPr>
      </w:pPr>
      <w:r w:rsidRPr="000D5D7F">
        <w:rPr>
          <w:b/>
          <w:bCs/>
          <w:sz w:val="22"/>
        </w:rPr>
        <w:t>Table 7</w:t>
      </w:r>
    </w:p>
    <w:p w14:paraId="045570E8" w14:textId="77777777" w:rsidR="009120FB" w:rsidRPr="000D5D7F" w:rsidRDefault="009120FB" w:rsidP="009120FB">
      <w:pPr>
        <w:spacing w:after="160" w:line="240" w:lineRule="auto"/>
        <w:jc w:val="both"/>
        <w:rPr>
          <w:i/>
          <w:iCs/>
          <w:sz w:val="22"/>
        </w:rPr>
      </w:pPr>
      <w:r w:rsidRPr="000D5D7F">
        <w:rPr>
          <w:i/>
          <w:iCs/>
          <w:sz w:val="22"/>
        </w:rPr>
        <w:t>Variance Inflation Factor (VIF)</w:t>
      </w:r>
    </w:p>
    <w:tbl>
      <w:tblPr>
        <w:tblW w:w="9015" w:type="dxa"/>
        <w:tblLook w:val="04A0" w:firstRow="1" w:lastRow="0" w:firstColumn="1" w:lastColumn="0" w:noHBand="0" w:noVBand="1"/>
      </w:tblPr>
      <w:tblGrid>
        <w:gridCol w:w="4906"/>
        <w:gridCol w:w="2229"/>
        <w:gridCol w:w="1880"/>
      </w:tblGrid>
      <w:tr w:rsidR="009120FB" w:rsidRPr="000D5D7F" w14:paraId="266DE30E" w14:textId="77777777" w:rsidTr="00AB6F4E">
        <w:trPr>
          <w:trHeight w:val="251"/>
        </w:trPr>
        <w:tc>
          <w:tcPr>
            <w:tcW w:w="4906" w:type="dxa"/>
            <w:tcBorders>
              <w:top w:val="nil"/>
              <w:left w:val="nil"/>
              <w:bottom w:val="nil"/>
              <w:right w:val="nil"/>
            </w:tcBorders>
            <w:noWrap/>
            <w:vAlign w:val="bottom"/>
            <w:hideMark/>
          </w:tcPr>
          <w:p w14:paraId="5CD91806" w14:textId="77777777" w:rsidR="009120FB" w:rsidRPr="000D5D7F" w:rsidRDefault="009120FB" w:rsidP="009120FB">
            <w:pPr>
              <w:spacing w:line="240" w:lineRule="auto"/>
              <w:rPr>
                <w:rFonts w:eastAsia="Times New Roman"/>
                <w:sz w:val="2"/>
                <w:szCs w:val="2"/>
              </w:rPr>
            </w:pPr>
          </w:p>
        </w:tc>
        <w:tc>
          <w:tcPr>
            <w:tcW w:w="2229" w:type="dxa"/>
            <w:tcBorders>
              <w:top w:val="single" w:sz="4" w:space="0" w:color="000000"/>
              <w:left w:val="nil"/>
              <w:bottom w:val="single" w:sz="4" w:space="0" w:color="000000"/>
              <w:right w:val="single" w:sz="4" w:space="0" w:color="000000"/>
            </w:tcBorders>
            <w:noWrap/>
            <w:vAlign w:val="bottom"/>
            <w:hideMark/>
          </w:tcPr>
          <w:p w14:paraId="0F7B814E"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Intention</w:t>
            </w:r>
          </w:p>
        </w:tc>
        <w:tc>
          <w:tcPr>
            <w:tcW w:w="1880" w:type="dxa"/>
            <w:tcBorders>
              <w:top w:val="single" w:sz="4" w:space="0" w:color="000000"/>
              <w:left w:val="nil"/>
              <w:bottom w:val="single" w:sz="4" w:space="0" w:color="000000"/>
              <w:right w:val="single" w:sz="4" w:space="0" w:color="000000"/>
            </w:tcBorders>
            <w:noWrap/>
            <w:vAlign w:val="bottom"/>
            <w:hideMark/>
          </w:tcPr>
          <w:p w14:paraId="101C3D71"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Trends</w:t>
            </w:r>
          </w:p>
        </w:tc>
      </w:tr>
      <w:tr w:rsidR="009120FB" w:rsidRPr="000D5D7F" w14:paraId="2A82F2C7" w14:textId="77777777" w:rsidTr="00AB6F4E">
        <w:trPr>
          <w:trHeight w:val="251"/>
        </w:trPr>
        <w:tc>
          <w:tcPr>
            <w:tcW w:w="4906" w:type="dxa"/>
            <w:tcBorders>
              <w:top w:val="single" w:sz="4" w:space="0" w:color="000000"/>
              <w:left w:val="single" w:sz="4" w:space="0" w:color="000000"/>
              <w:bottom w:val="single" w:sz="4" w:space="0" w:color="000000"/>
              <w:right w:val="single" w:sz="4" w:space="0" w:color="000000"/>
            </w:tcBorders>
            <w:noWrap/>
            <w:vAlign w:val="bottom"/>
            <w:hideMark/>
          </w:tcPr>
          <w:p w14:paraId="60AC631B"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w:t>
            </w:r>
          </w:p>
        </w:tc>
        <w:tc>
          <w:tcPr>
            <w:tcW w:w="2229" w:type="dxa"/>
            <w:tcBorders>
              <w:top w:val="nil"/>
              <w:left w:val="nil"/>
              <w:bottom w:val="single" w:sz="4" w:space="0" w:color="000000"/>
              <w:right w:val="single" w:sz="4" w:space="0" w:color="000000"/>
            </w:tcBorders>
            <w:noWrap/>
            <w:vAlign w:val="bottom"/>
            <w:hideMark/>
          </w:tcPr>
          <w:p w14:paraId="5062E68A"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1.956</w:t>
            </w:r>
          </w:p>
        </w:tc>
        <w:tc>
          <w:tcPr>
            <w:tcW w:w="1880" w:type="dxa"/>
            <w:tcBorders>
              <w:top w:val="nil"/>
              <w:left w:val="nil"/>
              <w:bottom w:val="single" w:sz="4" w:space="0" w:color="000000"/>
              <w:right w:val="single" w:sz="4" w:space="0" w:color="000000"/>
            </w:tcBorders>
            <w:noWrap/>
            <w:vAlign w:val="bottom"/>
            <w:hideMark/>
          </w:tcPr>
          <w:p w14:paraId="7D330CE7"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1.956</w:t>
            </w:r>
          </w:p>
        </w:tc>
      </w:tr>
      <w:tr w:rsidR="009120FB" w:rsidRPr="000D5D7F" w14:paraId="3CFED90C" w14:textId="77777777" w:rsidTr="00AB6F4E">
        <w:trPr>
          <w:trHeight w:val="251"/>
        </w:trPr>
        <w:tc>
          <w:tcPr>
            <w:tcW w:w="4906" w:type="dxa"/>
            <w:tcBorders>
              <w:top w:val="nil"/>
              <w:left w:val="single" w:sz="4" w:space="0" w:color="000000"/>
              <w:bottom w:val="single" w:sz="4" w:space="0" w:color="000000"/>
              <w:right w:val="single" w:sz="4" w:space="0" w:color="000000"/>
            </w:tcBorders>
            <w:noWrap/>
            <w:vAlign w:val="bottom"/>
            <w:hideMark/>
          </w:tcPr>
          <w:p w14:paraId="7CA895AE"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Ease of use</w:t>
            </w:r>
          </w:p>
        </w:tc>
        <w:tc>
          <w:tcPr>
            <w:tcW w:w="2229" w:type="dxa"/>
            <w:tcBorders>
              <w:top w:val="nil"/>
              <w:left w:val="nil"/>
              <w:bottom w:val="single" w:sz="4" w:space="0" w:color="000000"/>
              <w:right w:val="single" w:sz="4" w:space="0" w:color="000000"/>
            </w:tcBorders>
            <w:noWrap/>
            <w:vAlign w:val="bottom"/>
            <w:hideMark/>
          </w:tcPr>
          <w:p w14:paraId="6A8328CC"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1.546</w:t>
            </w:r>
          </w:p>
        </w:tc>
        <w:tc>
          <w:tcPr>
            <w:tcW w:w="1880" w:type="dxa"/>
            <w:tcBorders>
              <w:top w:val="nil"/>
              <w:left w:val="nil"/>
              <w:bottom w:val="single" w:sz="4" w:space="0" w:color="000000"/>
              <w:right w:val="single" w:sz="4" w:space="0" w:color="000000"/>
            </w:tcBorders>
            <w:noWrap/>
            <w:vAlign w:val="bottom"/>
            <w:hideMark/>
          </w:tcPr>
          <w:p w14:paraId="44C10C3A"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1.546</w:t>
            </w:r>
          </w:p>
        </w:tc>
      </w:tr>
      <w:tr w:rsidR="009120FB" w:rsidRPr="000D5D7F" w14:paraId="5ABAEEA8" w14:textId="77777777" w:rsidTr="00AB6F4E">
        <w:trPr>
          <w:trHeight w:val="251"/>
        </w:trPr>
        <w:tc>
          <w:tcPr>
            <w:tcW w:w="4906" w:type="dxa"/>
            <w:tcBorders>
              <w:top w:val="nil"/>
              <w:left w:val="single" w:sz="4" w:space="0" w:color="000000"/>
              <w:bottom w:val="single" w:sz="4" w:space="0" w:color="000000"/>
              <w:right w:val="single" w:sz="4" w:space="0" w:color="000000"/>
            </w:tcBorders>
            <w:noWrap/>
            <w:vAlign w:val="bottom"/>
            <w:hideMark/>
          </w:tcPr>
          <w:p w14:paraId="17D9823F"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w:t>
            </w:r>
          </w:p>
        </w:tc>
        <w:tc>
          <w:tcPr>
            <w:tcW w:w="2229" w:type="dxa"/>
            <w:tcBorders>
              <w:top w:val="nil"/>
              <w:left w:val="nil"/>
              <w:bottom w:val="single" w:sz="4" w:space="0" w:color="000000"/>
              <w:right w:val="single" w:sz="4" w:space="0" w:color="000000"/>
            </w:tcBorders>
            <w:noWrap/>
            <w:vAlign w:val="bottom"/>
            <w:hideMark/>
          </w:tcPr>
          <w:p w14:paraId="0E66590C"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1.959</w:t>
            </w:r>
          </w:p>
        </w:tc>
        <w:tc>
          <w:tcPr>
            <w:tcW w:w="1880" w:type="dxa"/>
            <w:tcBorders>
              <w:top w:val="nil"/>
              <w:left w:val="nil"/>
              <w:bottom w:val="single" w:sz="4" w:space="0" w:color="000000"/>
              <w:right w:val="single" w:sz="4" w:space="0" w:color="000000"/>
            </w:tcBorders>
            <w:noWrap/>
            <w:vAlign w:val="bottom"/>
            <w:hideMark/>
          </w:tcPr>
          <w:p w14:paraId="0772D0A5"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1.959</w:t>
            </w:r>
          </w:p>
        </w:tc>
      </w:tr>
      <w:tr w:rsidR="009120FB" w:rsidRPr="000D5D7F" w14:paraId="400D8470" w14:textId="77777777" w:rsidTr="00AB6F4E">
        <w:trPr>
          <w:trHeight w:val="251"/>
        </w:trPr>
        <w:tc>
          <w:tcPr>
            <w:tcW w:w="4906" w:type="dxa"/>
            <w:tcBorders>
              <w:top w:val="nil"/>
              <w:left w:val="single" w:sz="4" w:space="0" w:color="000000"/>
              <w:bottom w:val="single" w:sz="4" w:space="0" w:color="000000"/>
              <w:right w:val="single" w:sz="4" w:space="0" w:color="000000"/>
            </w:tcBorders>
            <w:noWrap/>
            <w:vAlign w:val="bottom"/>
            <w:hideMark/>
          </w:tcPr>
          <w:p w14:paraId="50627D05"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w:t>
            </w:r>
          </w:p>
        </w:tc>
        <w:tc>
          <w:tcPr>
            <w:tcW w:w="2229" w:type="dxa"/>
            <w:tcBorders>
              <w:top w:val="nil"/>
              <w:left w:val="nil"/>
              <w:bottom w:val="single" w:sz="4" w:space="0" w:color="000000"/>
              <w:right w:val="single" w:sz="4" w:space="0" w:color="000000"/>
            </w:tcBorders>
            <w:noWrap/>
            <w:vAlign w:val="bottom"/>
            <w:hideMark/>
          </w:tcPr>
          <w:p w14:paraId="6D63086C"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1.936</w:t>
            </w:r>
          </w:p>
        </w:tc>
        <w:tc>
          <w:tcPr>
            <w:tcW w:w="1880" w:type="dxa"/>
            <w:tcBorders>
              <w:top w:val="nil"/>
              <w:left w:val="nil"/>
              <w:bottom w:val="single" w:sz="4" w:space="0" w:color="000000"/>
              <w:right w:val="single" w:sz="4" w:space="0" w:color="000000"/>
            </w:tcBorders>
            <w:noWrap/>
            <w:vAlign w:val="bottom"/>
            <w:hideMark/>
          </w:tcPr>
          <w:p w14:paraId="0B470EC0"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1.936</w:t>
            </w:r>
          </w:p>
        </w:tc>
      </w:tr>
      <w:tr w:rsidR="009120FB" w:rsidRPr="000D5D7F" w14:paraId="19CD6DEB" w14:textId="77777777" w:rsidTr="00AB6F4E">
        <w:trPr>
          <w:trHeight w:val="251"/>
        </w:trPr>
        <w:tc>
          <w:tcPr>
            <w:tcW w:w="4906" w:type="dxa"/>
            <w:tcBorders>
              <w:top w:val="nil"/>
              <w:left w:val="single" w:sz="4" w:space="0" w:color="000000"/>
              <w:bottom w:val="single" w:sz="4" w:space="0" w:color="000000"/>
              <w:right w:val="single" w:sz="4" w:space="0" w:color="000000"/>
            </w:tcBorders>
            <w:noWrap/>
            <w:vAlign w:val="bottom"/>
            <w:hideMark/>
          </w:tcPr>
          <w:p w14:paraId="619E885D"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Perception of Interest</w:t>
            </w:r>
          </w:p>
        </w:tc>
        <w:tc>
          <w:tcPr>
            <w:tcW w:w="2229" w:type="dxa"/>
            <w:tcBorders>
              <w:top w:val="nil"/>
              <w:left w:val="nil"/>
              <w:bottom w:val="single" w:sz="4" w:space="0" w:color="000000"/>
              <w:right w:val="single" w:sz="4" w:space="0" w:color="000000"/>
            </w:tcBorders>
            <w:noWrap/>
            <w:vAlign w:val="bottom"/>
            <w:hideMark/>
          </w:tcPr>
          <w:p w14:paraId="19E24329"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1.650</w:t>
            </w:r>
          </w:p>
        </w:tc>
        <w:tc>
          <w:tcPr>
            <w:tcW w:w="1880" w:type="dxa"/>
            <w:tcBorders>
              <w:top w:val="nil"/>
              <w:left w:val="nil"/>
              <w:bottom w:val="single" w:sz="4" w:space="0" w:color="000000"/>
              <w:right w:val="single" w:sz="4" w:space="0" w:color="000000"/>
            </w:tcBorders>
            <w:noWrap/>
            <w:vAlign w:val="bottom"/>
            <w:hideMark/>
          </w:tcPr>
          <w:p w14:paraId="18373A8A"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1.650</w:t>
            </w:r>
          </w:p>
        </w:tc>
      </w:tr>
    </w:tbl>
    <w:p w14:paraId="78FE832B" w14:textId="77777777" w:rsidR="009120FB" w:rsidRPr="000D5D7F" w:rsidRDefault="009120FB" w:rsidP="009120FB">
      <w:pPr>
        <w:spacing w:after="160" w:line="240" w:lineRule="auto"/>
        <w:ind w:left="720"/>
        <w:jc w:val="both"/>
        <w:rPr>
          <w:sz w:val="6"/>
          <w:szCs w:val="6"/>
        </w:rPr>
      </w:pPr>
    </w:p>
    <w:p w14:paraId="221508DA" w14:textId="77777777" w:rsidR="009120FB" w:rsidRPr="000D5D7F" w:rsidRDefault="009120FB" w:rsidP="009120FB">
      <w:pPr>
        <w:spacing w:after="160" w:line="240" w:lineRule="auto"/>
        <w:jc w:val="both"/>
        <w:rPr>
          <w:i/>
          <w:iCs/>
          <w:sz w:val="2"/>
          <w:szCs w:val="2"/>
        </w:rPr>
      </w:pPr>
    </w:p>
    <w:p w14:paraId="56FB0EAB" w14:textId="559A78B1" w:rsidR="009120FB" w:rsidRPr="007C4AAB" w:rsidRDefault="009120FB" w:rsidP="009120FB">
      <w:pPr>
        <w:spacing w:after="160"/>
        <w:jc w:val="both"/>
        <w:rPr>
          <w:i/>
          <w:iCs/>
          <w:szCs w:val="24"/>
        </w:rPr>
      </w:pPr>
      <w:r w:rsidRPr="007C4AAB">
        <w:rPr>
          <w:i/>
          <w:iCs/>
          <w:szCs w:val="24"/>
        </w:rPr>
        <w:t>3.6 Structural model assessment</w:t>
      </w:r>
    </w:p>
    <w:p w14:paraId="1A8F3B62" w14:textId="1C2FB9AE" w:rsidR="00BD2F36" w:rsidRPr="007C4AAB" w:rsidRDefault="009120FB" w:rsidP="000345F0">
      <w:pPr>
        <w:spacing w:after="160"/>
        <w:ind w:firstLine="720"/>
        <w:jc w:val="both"/>
        <w:rPr>
          <w:noProof/>
          <w:szCs w:val="24"/>
        </w:rPr>
      </w:pPr>
      <w:r w:rsidRPr="007C4AAB">
        <w:rPr>
          <w:noProof/>
          <w:szCs w:val="24"/>
        </w:rPr>
        <w:t>The evaluation of the structural model entailed analysing the interrelations across conceptions, using established literature (Hair etal.,2019). In the study's model, direct impacts are specifically conceptualised. To evaluate these direct effect hypotheses,5000 subsamples are utilised with bias-corrected bootstrapping, yielding 95% confidence intervals. For additional information (Table 3 and Figure 1)</w:t>
      </w:r>
    </w:p>
    <w:p w14:paraId="21E4501D" w14:textId="77777777" w:rsidR="000345F0" w:rsidRPr="000345F0" w:rsidRDefault="000345F0" w:rsidP="000345F0">
      <w:pPr>
        <w:spacing w:after="160"/>
        <w:ind w:firstLine="720"/>
        <w:jc w:val="both"/>
        <w:rPr>
          <w:noProof/>
          <w:sz w:val="22"/>
        </w:rPr>
      </w:pPr>
    </w:p>
    <w:p w14:paraId="445664E2" w14:textId="77777777" w:rsidR="009120FB" w:rsidRPr="007C4AAB" w:rsidRDefault="009120FB" w:rsidP="009120FB">
      <w:pPr>
        <w:spacing w:after="160" w:line="240" w:lineRule="auto"/>
        <w:ind w:firstLine="720"/>
        <w:jc w:val="both"/>
        <w:rPr>
          <w:szCs w:val="24"/>
        </w:rPr>
      </w:pPr>
      <w:r w:rsidRPr="007C4AAB">
        <w:rPr>
          <w:b/>
          <w:bCs/>
          <w:szCs w:val="24"/>
        </w:rPr>
        <w:t>Figure 1</w:t>
      </w:r>
    </w:p>
    <w:p w14:paraId="4169196E" w14:textId="77777777" w:rsidR="009120FB" w:rsidRPr="007C4AAB" w:rsidRDefault="009120FB" w:rsidP="00BD2F36">
      <w:pPr>
        <w:tabs>
          <w:tab w:val="left" w:pos="1020"/>
        </w:tabs>
        <w:spacing w:after="160"/>
        <w:rPr>
          <w:i/>
          <w:iCs/>
          <w:szCs w:val="24"/>
        </w:rPr>
      </w:pPr>
      <w:r w:rsidRPr="007C4AAB">
        <w:rPr>
          <w:i/>
          <w:iCs/>
          <w:szCs w:val="24"/>
        </w:rPr>
        <w:t>3.6.1 Assessment of the Structural Model</w:t>
      </w:r>
    </w:p>
    <w:p w14:paraId="780156F1" w14:textId="59516329" w:rsidR="009120FB" w:rsidRPr="000D5D7F" w:rsidRDefault="00BD2F36" w:rsidP="00BD2F36">
      <w:pPr>
        <w:tabs>
          <w:tab w:val="left" w:pos="1020"/>
        </w:tabs>
        <w:spacing w:after="160"/>
        <w:ind w:firstLine="720"/>
        <w:rPr>
          <w:sz w:val="22"/>
        </w:rPr>
      </w:pPr>
      <w:r w:rsidRPr="007C4AAB">
        <w:rPr>
          <w:noProof/>
          <w:sz w:val="28"/>
          <w:szCs w:val="28"/>
        </w:rPr>
        <w:drawing>
          <wp:anchor distT="0" distB="0" distL="114300" distR="114300" simplePos="0" relativeHeight="251659264" behindDoc="0" locked="0" layoutInCell="1" allowOverlap="1" wp14:anchorId="6E4DEB5F" wp14:editId="2255F357">
            <wp:simplePos x="0" y="0"/>
            <wp:positionH relativeFrom="margin">
              <wp:align>left</wp:align>
            </wp:positionH>
            <wp:positionV relativeFrom="paragraph">
              <wp:posOffset>549910</wp:posOffset>
            </wp:positionV>
            <wp:extent cx="5731510" cy="3474720"/>
            <wp:effectExtent l="0" t="0" r="2540" b="0"/>
            <wp:wrapSquare wrapText="bothSides"/>
            <wp:docPr id="634804107"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04107" name="Picture 1" descr="A diagram of a network&#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3474720"/>
                    </a:xfrm>
                    <a:prstGeom prst="rect">
                      <a:avLst/>
                    </a:prstGeom>
                  </pic:spPr>
                </pic:pic>
              </a:graphicData>
            </a:graphic>
            <wp14:sizeRelH relativeFrom="page">
              <wp14:pctWidth>0</wp14:pctWidth>
            </wp14:sizeRelH>
            <wp14:sizeRelV relativeFrom="page">
              <wp14:pctHeight>0</wp14:pctHeight>
            </wp14:sizeRelV>
          </wp:anchor>
        </w:drawing>
      </w:r>
      <w:r w:rsidR="009120FB" w:rsidRPr="007C4AAB">
        <w:rPr>
          <w:szCs w:val="24"/>
        </w:rPr>
        <w:t>The structural model was evaluated to test the hypotheses. The results, as illustrated in Figure 1 and detailed in tables, pertain to the testing of the direct effects.</w:t>
      </w:r>
    </w:p>
    <w:p w14:paraId="7C350CFB" w14:textId="77777777" w:rsidR="00BD2F36" w:rsidRPr="000D5D7F" w:rsidRDefault="00BD2F36" w:rsidP="009120FB">
      <w:pPr>
        <w:tabs>
          <w:tab w:val="left" w:pos="1020"/>
        </w:tabs>
        <w:spacing w:after="160" w:line="240" w:lineRule="auto"/>
        <w:rPr>
          <w:b/>
          <w:bCs/>
          <w:sz w:val="2"/>
          <w:szCs w:val="2"/>
        </w:rPr>
      </w:pPr>
    </w:p>
    <w:p w14:paraId="66714E6A" w14:textId="5665031B" w:rsidR="009120FB" w:rsidRPr="000D5D7F" w:rsidRDefault="009120FB" w:rsidP="009120FB">
      <w:pPr>
        <w:tabs>
          <w:tab w:val="left" w:pos="1020"/>
        </w:tabs>
        <w:spacing w:after="160" w:line="240" w:lineRule="auto"/>
        <w:rPr>
          <w:b/>
          <w:bCs/>
          <w:sz w:val="22"/>
        </w:rPr>
      </w:pPr>
      <w:r w:rsidRPr="000D5D7F">
        <w:rPr>
          <w:b/>
          <w:bCs/>
          <w:sz w:val="22"/>
        </w:rPr>
        <w:t xml:space="preserve">Table 4 </w:t>
      </w:r>
    </w:p>
    <w:p w14:paraId="23DA23E2" w14:textId="77777777" w:rsidR="009120FB" w:rsidRPr="000D5D7F" w:rsidRDefault="009120FB" w:rsidP="009120FB">
      <w:pPr>
        <w:tabs>
          <w:tab w:val="left" w:pos="1020"/>
        </w:tabs>
        <w:spacing w:after="160" w:line="240" w:lineRule="auto"/>
        <w:rPr>
          <w:i/>
          <w:iCs/>
          <w:sz w:val="22"/>
        </w:rPr>
      </w:pPr>
      <w:r w:rsidRPr="000D5D7F">
        <w:rPr>
          <w:i/>
          <w:iCs/>
          <w:sz w:val="22"/>
        </w:rPr>
        <w:t>Path coefficients</w:t>
      </w:r>
      <w:r w:rsidRPr="000D5D7F">
        <w:rPr>
          <w:i/>
          <w:iCs/>
          <w:sz w:val="22"/>
        </w:rPr>
        <w:tab/>
      </w:r>
    </w:p>
    <w:tbl>
      <w:tblPr>
        <w:tblW w:w="8931" w:type="dxa"/>
        <w:tblLook w:val="04A0" w:firstRow="1" w:lastRow="0" w:firstColumn="1" w:lastColumn="0" w:noHBand="0" w:noVBand="1"/>
      </w:tblPr>
      <w:tblGrid>
        <w:gridCol w:w="4471"/>
        <w:gridCol w:w="1271"/>
        <w:gridCol w:w="1800"/>
        <w:gridCol w:w="1389"/>
      </w:tblGrid>
      <w:tr w:rsidR="009120FB" w:rsidRPr="000D5D7F" w14:paraId="7621EDCD" w14:textId="77777777" w:rsidTr="00AB6F4E">
        <w:trPr>
          <w:trHeight w:val="237"/>
        </w:trPr>
        <w:tc>
          <w:tcPr>
            <w:tcW w:w="4471" w:type="dxa"/>
            <w:tcBorders>
              <w:top w:val="nil"/>
              <w:left w:val="nil"/>
              <w:bottom w:val="nil"/>
              <w:right w:val="nil"/>
            </w:tcBorders>
            <w:noWrap/>
            <w:vAlign w:val="bottom"/>
            <w:hideMark/>
          </w:tcPr>
          <w:p w14:paraId="029F53BF" w14:textId="77777777" w:rsidR="009120FB" w:rsidRPr="000D5D7F" w:rsidRDefault="009120FB" w:rsidP="009120FB">
            <w:pPr>
              <w:spacing w:line="240" w:lineRule="auto"/>
              <w:rPr>
                <w:rFonts w:eastAsia="Times New Roman"/>
                <w:sz w:val="20"/>
                <w:szCs w:val="20"/>
              </w:rPr>
            </w:pPr>
            <w:bookmarkStart w:id="3" w:name="_Hlk202442927"/>
          </w:p>
        </w:tc>
        <w:tc>
          <w:tcPr>
            <w:tcW w:w="1271" w:type="dxa"/>
            <w:tcBorders>
              <w:top w:val="single" w:sz="4" w:space="0" w:color="000000"/>
              <w:left w:val="single" w:sz="4" w:space="0" w:color="000000"/>
              <w:bottom w:val="single" w:sz="4" w:space="0" w:color="000000"/>
              <w:right w:val="single" w:sz="4" w:space="0" w:color="000000"/>
            </w:tcBorders>
            <w:noWrap/>
            <w:vAlign w:val="bottom"/>
            <w:hideMark/>
          </w:tcPr>
          <w:p w14:paraId="355C742B"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Original sample (O)</w:t>
            </w:r>
          </w:p>
        </w:tc>
        <w:tc>
          <w:tcPr>
            <w:tcW w:w="1800" w:type="dxa"/>
            <w:tcBorders>
              <w:top w:val="single" w:sz="4" w:space="0" w:color="000000"/>
              <w:left w:val="nil"/>
              <w:bottom w:val="single" w:sz="4" w:space="0" w:color="000000"/>
              <w:right w:val="single" w:sz="4" w:space="0" w:color="000000"/>
            </w:tcBorders>
            <w:noWrap/>
            <w:vAlign w:val="bottom"/>
            <w:hideMark/>
          </w:tcPr>
          <w:p w14:paraId="36E16ECA"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T statistics (|O/STDEV|)</w:t>
            </w:r>
          </w:p>
        </w:tc>
        <w:tc>
          <w:tcPr>
            <w:tcW w:w="1389" w:type="dxa"/>
            <w:tcBorders>
              <w:top w:val="single" w:sz="4" w:space="0" w:color="000000"/>
              <w:left w:val="nil"/>
              <w:bottom w:val="single" w:sz="4" w:space="0" w:color="000000"/>
              <w:right w:val="single" w:sz="4" w:space="0" w:color="000000"/>
            </w:tcBorders>
            <w:noWrap/>
            <w:vAlign w:val="bottom"/>
            <w:hideMark/>
          </w:tcPr>
          <w:p w14:paraId="01640BB6"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P values</w:t>
            </w:r>
          </w:p>
        </w:tc>
      </w:tr>
      <w:tr w:rsidR="009120FB" w:rsidRPr="000D5D7F" w14:paraId="7F11566B" w14:textId="77777777" w:rsidTr="00AB6F4E">
        <w:trPr>
          <w:trHeight w:val="237"/>
        </w:trPr>
        <w:tc>
          <w:tcPr>
            <w:tcW w:w="4471" w:type="dxa"/>
            <w:tcBorders>
              <w:top w:val="single" w:sz="4" w:space="0" w:color="000000"/>
              <w:left w:val="single" w:sz="4" w:space="0" w:color="000000"/>
              <w:bottom w:val="single" w:sz="4" w:space="0" w:color="000000"/>
              <w:right w:val="single" w:sz="4" w:space="0" w:color="000000"/>
            </w:tcBorders>
            <w:noWrap/>
            <w:vAlign w:val="bottom"/>
            <w:hideMark/>
          </w:tcPr>
          <w:p w14:paraId="0EACC385"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Barriers -&gt; Ease_of_use</w:t>
            </w:r>
          </w:p>
        </w:tc>
        <w:tc>
          <w:tcPr>
            <w:tcW w:w="1271" w:type="dxa"/>
            <w:tcBorders>
              <w:top w:val="nil"/>
              <w:left w:val="nil"/>
              <w:bottom w:val="single" w:sz="4" w:space="0" w:color="000000"/>
              <w:right w:val="single" w:sz="4" w:space="0" w:color="000000"/>
            </w:tcBorders>
            <w:noWrap/>
            <w:vAlign w:val="bottom"/>
            <w:hideMark/>
          </w:tcPr>
          <w:p w14:paraId="14D56F81"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0.398</w:t>
            </w:r>
          </w:p>
        </w:tc>
        <w:tc>
          <w:tcPr>
            <w:tcW w:w="1800" w:type="dxa"/>
            <w:tcBorders>
              <w:top w:val="nil"/>
              <w:left w:val="nil"/>
              <w:bottom w:val="single" w:sz="4" w:space="0" w:color="000000"/>
              <w:right w:val="single" w:sz="4" w:space="0" w:color="000000"/>
            </w:tcBorders>
            <w:noWrap/>
            <w:vAlign w:val="bottom"/>
            <w:hideMark/>
          </w:tcPr>
          <w:p w14:paraId="5B236574"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4.161</w:t>
            </w:r>
          </w:p>
        </w:tc>
        <w:tc>
          <w:tcPr>
            <w:tcW w:w="1389" w:type="dxa"/>
            <w:tcBorders>
              <w:top w:val="nil"/>
              <w:left w:val="nil"/>
              <w:bottom w:val="single" w:sz="4" w:space="0" w:color="000000"/>
              <w:right w:val="single" w:sz="4" w:space="0" w:color="000000"/>
            </w:tcBorders>
            <w:noWrap/>
            <w:vAlign w:val="bottom"/>
            <w:hideMark/>
          </w:tcPr>
          <w:p w14:paraId="77F7F8D1" w14:textId="77777777" w:rsidR="009120FB" w:rsidRPr="00006DD9" w:rsidRDefault="009120FB" w:rsidP="009120FB">
            <w:pPr>
              <w:spacing w:line="240" w:lineRule="auto"/>
              <w:jc w:val="right"/>
              <w:rPr>
                <w:rFonts w:eastAsia="Times New Roman"/>
                <w:color w:val="008000"/>
                <w:sz w:val="20"/>
                <w:szCs w:val="20"/>
              </w:rPr>
            </w:pPr>
            <w:r w:rsidRPr="00006DD9">
              <w:rPr>
                <w:rFonts w:eastAsia="Times New Roman"/>
                <w:color w:val="008000"/>
                <w:sz w:val="20"/>
                <w:szCs w:val="20"/>
              </w:rPr>
              <w:t>0.000</w:t>
            </w:r>
          </w:p>
        </w:tc>
      </w:tr>
      <w:tr w:rsidR="009120FB" w:rsidRPr="000D5D7F" w14:paraId="701CC51A"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572D47AC"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Barriers -&gt; Intention</w:t>
            </w:r>
          </w:p>
        </w:tc>
        <w:tc>
          <w:tcPr>
            <w:tcW w:w="1271" w:type="dxa"/>
            <w:tcBorders>
              <w:top w:val="nil"/>
              <w:left w:val="nil"/>
              <w:bottom w:val="single" w:sz="4" w:space="0" w:color="000000"/>
              <w:right w:val="single" w:sz="4" w:space="0" w:color="000000"/>
            </w:tcBorders>
            <w:noWrap/>
            <w:vAlign w:val="bottom"/>
            <w:hideMark/>
          </w:tcPr>
          <w:p w14:paraId="7F23749C"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0.078</w:t>
            </w:r>
          </w:p>
        </w:tc>
        <w:tc>
          <w:tcPr>
            <w:tcW w:w="1800" w:type="dxa"/>
            <w:tcBorders>
              <w:top w:val="nil"/>
              <w:left w:val="nil"/>
              <w:bottom w:val="single" w:sz="4" w:space="0" w:color="000000"/>
              <w:right w:val="single" w:sz="4" w:space="0" w:color="000000"/>
            </w:tcBorders>
            <w:noWrap/>
            <w:vAlign w:val="bottom"/>
            <w:hideMark/>
          </w:tcPr>
          <w:p w14:paraId="0E3D90CB"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0.766</w:t>
            </w:r>
          </w:p>
        </w:tc>
        <w:tc>
          <w:tcPr>
            <w:tcW w:w="1389" w:type="dxa"/>
            <w:tcBorders>
              <w:top w:val="nil"/>
              <w:left w:val="nil"/>
              <w:bottom w:val="single" w:sz="4" w:space="0" w:color="000000"/>
              <w:right w:val="single" w:sz="4" w:space="0" w:color="000000"/>
            </w:tcBorders>
            <w:noWrap/>
            <w:vAlign w:val="bottom"/>
            <w:hideMark/>
          </w:tcPr>
          <w:p w14:paraId="6AE862A2" w14:textId="77777777" w:rsidR="009120FB" w:rsidRPr="00006DD9" w:rsidRDefault="009120FB" w:rsidP="009120FB">
            <w:pPr>
              <w:spacing w:line="240" w:lineRule="auto"/>
              <w:jc w:val="right"/>
              <w:rPr>
                <w:rFonts w:eastAsia="Times New Roman"/>
                <w:color w:val="800000"/>
                <w:sz w:val="20"/>
                <w:szCs w:val="20"/>
              </w:rPr>
            </w:pPr>
            <w:r w:rsidRPr="00006DD9">
              <w:rPr>
                <w:rFonts w:eastAsia="Times New Roman"/>
                <w:color w:val="800000"/>
                <w:sz w:val="20"/>
                <w:szCs w:val="20"/>
              </w:rPr>
              <w:t>0.444</w:t>
            </w:r>
          </w:p>
        </w:tc>
      </w:tr>
      <w:tr w:rsidR="009120FB" w:rsidRPr="000D5D7F" w14:paraId="767119CD"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1AC27826"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Barriers -&gt; Perception_of_Interest</w:t>
            </w:r>
          </w:p>
        </w:tc>
        <w:tc>
          <w:tcPr>
            <w:tcW w:w="1271" w:type="dxa"/>
            <w:tcBorders>
              <w:top w:val="nil"/>
              <w:left w:val="nil"/>
              <w:bottom w:val="single" w:sz="4" w:space="0" w:color="000000"/>
              <w:right w:val="single" w:sz="4" w:space="0" w:color="000000"/>
            </w:tcBorders>
            <w:noWrap/>
            <w:vAlign w:val="bottom"/>
            <w:hideMark/>
          </w:tcPr>
          <w:p w14:paraId="31880D77"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0.626</w:t>
            </w:r>
          </w:p>
        </w:tc>
        <w:tc>
          <w:tcPr>
            <w:tcW w:w="1800" w:type="dxa"/>
            <w:tcBorders>
              <w:top w:val="nil"/>
              <w:left w:val="nil"/>
              <w:bottom w:val="single" w:sz="4" w:space="0" w:color="000000"/>
              <w:right w:val="single" w:sz="4" w:space="0" w:color="000000"/>
            </w:tcBorders>
            <w:noWrap/>
            <w:vAlign w:val="bottom"/>
            <w:hideMark/>
          </w:tcPr>
          <w:p w14:paraId="4B7968E5"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6.848</w:t>
            </w:r>
          </w:p>
        </w:tc>
        <w:tc>
          <w:tcPr>
            <w:tcW w:w="1389" w:type="dxa"/>
            <w:tcBorders>
              <w:top w:val="nil"/>
              <w:left w:val="nil"/>
              <w:bottom w:val="single" w:sz="4" w:space="0" w:color="000000"/>
              <w:right w:val="single" w:sz="4" w:space="0" w:color="000000"/>
            </w:tcBorders>
            <w:noWrap/>
            <w:vAlign w:val="bottom"/>
            <w:hideMark/>
          </w:tcPr>
          <w:p w14:paraId="0BB9EACB" w14:textId="77777777" w:rsidR="009120FB" w:rsidRPr="00006DD9" w:rsidRDefault="009120FB" w:rsidP="009120FB">
            <w:pPr>
              <w:spacing w:line="240" w:lineRule="auto"/>
              <w:jc w:val="right"/>
              <w:rPr>
                <w:rFonts w:eastAsia="Times New Roman"/>
                <w:color w:val="008000"/>
                <w:sz w:val="20"/>
                <w:szCs w:val="20"/>
              </w:rPr>
            </w:pPr>
            <w:r w:rsidRPr="00006DD9">
              <w:rPr>
                <w:rFonts w:eastAsia="Times New Roman"/>
                <w:color w:val="008000"/>
                <w:sz w:val="20"/>
                <w:szCs w:val="20"/>
              </w:rPr>
              <w:t>0.000</w:t>
            </w:r>
          </w:p>
        </w:tc>
      </w:tr>
      <w:tr w:rsidR="009120FB" w:rsidRPr="000D5D7F" w14:paraId="18426D22"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6BF7C62E"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Barriers -&gt; Trends</w:t>
            </w:r>
          </w:p>
        </w:tc>
        <w:tc>
          <w:tcPr>
            <w:tcW w:w="1271" w:type="dxa"/>
            <w:tcBorders>
              <w:top w:val="nil"/>
              <w:left w:val="nil"/>
              <w:bottom w:val="single" w:sz="4" w:space="0" w:color="000000"/>
              <w:right w:val="single" w:sz="4" w:space="0" w:color="000000"/>
            </w:tcBorders>
            <w:noWrap/>
            <w:vAlign w:val="bottom"/>
            <w:hideMark/>
          </w:tcPr>
          <w:p w14:paraId="1B7AC488"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-0.034</w:t>
            </w:r>
          </w:p>
        </w:tc>
        <w:tc>
          <w:tcPr>
            <w:tcW w:w="1800" w:type="dxa"/>
            <w:tcBorders>
              <w:top w:val="nil"/>
              <w:left w:val="nil"/>
              <w:bottom w:val="single" w:sz="4" w:space="0" w:color="000000"/>
              <w:right w:val="single" w:sz="4" w:space="0" w:color="000000"/>
            </w:tcBorders>
            <w:noWrap/>
            <w:vAlign w:val="bottom"/>
            <w:hideMark/>
          </w:tcPr>
          <w:p w14:paraId="4FD24596"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0.352</w:t>
            </w:r>
          </w:p>
        </w:tc>
        <w:tc>
          <w:tcPr>
            <w:tcW w:w="1389" w:type="dxa"/>
            <w:tcBorders>
              <w:top w:val="nil"/>
              <w:left w:val="nil"/>
              <w:bottom w:val="single" w:sz="4" w:space="0" w:color="000000"/>
              <w:right w:val="single" w:sz="4" w:space="0" w:color="000000"/>
            </w:tcBorders>
            <w:noWrap/>
            <w:vAlign w:val="bottom"/>
            <w:hideMark/>
          </w:tcPr>
          <w:p w14:paraId="50C45D77" w14:textId="77777777" w:rsidR="009120FB" w:rsidRPr="00006DD9" w:rsidRDefault="009120FB" w:rsidP="009120FB">
            <w:pPr>
              <w:spacing w:line="240" w:lineRule="auto"/>
              <w:jc w:val="right"/>
              <w:rPr>
                <w:rFonts w:eastAsia="Times New Roman"/>
                <w:color w:val="800000"/>
                <w:sz w:val="20"/>
                <w:szCs w:val="20"/>
              </w:rPr>
            </w:pPr>
            <w:r w:rsidRPr="00006DD9">
              <w:rPr>
                <w:rFonts w:eastAsia="Times New Roman"/>
                <w:color w:val="800000"/>
                <w:sz w:val="20"/>
                <w:szCs w:val="20"/>
              </w:rPr>
              <w:t>0.725</w:t>
            </w:r>
          </w:p>
        </w:tc>
      </w:tr>
      <w:tr w:rsidR="009120FB" w:rsidRPr="000D5D7F" w14:paraId="0701ED13"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47616F18"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Ease_of_use -&gt; Intention</w:t>
            </w:r>
          </w:p>
        </w:tc>
        <w:tc>
          <w:tcPr>
            <w:tcW w:w="1271" w:type="dxa"/>
            <w:tcBorders>
              <w:top w:val="nil"/>
              <w:left w:val="nil"/>
              <w:bottom w:val="single" w:sz="4" w:space="0" w:color="000000"/>
              <w:right w:val="single" w:sz="4" w:space="0" w:color="000000"/>
            </w:tcBorders>
            <w:noWrap/>
            <w:vAlign w:val="bottom"/>
            <w:hideMark/>
          </w:tcPr>
          <w:p w14:paraId="7FEFB8F7"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0.200</w:t>
            </w:r>
          </w:p>
        </w:tc>
        <w:tc>
          <w:tcPr>
            <w:tcW w:w="1800" w:type="dxa"/>
            <w:tcBorders>
              <w:top w:val="nil"/>
              <w:left w:val="nil"/>
              <w:bottom w:val="single" w:sz="4" w:space="0" w:color="000000"/>
              <w:right w:val="single" w:sz="4" w:space="0" w:color="000000"/>
            </w:tcBorders>
            <w:noWrap/>
            <w:vAlign w:val="bottom"/>
            <w:hideMark/>
          </w:tcPr>
          <w:p w14:paraId="2A97E659"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2.270</w:t>
            </w:r>
          </w:p>
        </w:tc>
        <w:tc>
          <w:tcPr>
            <w:tcW w:w="1389" w:type="dxa"/>
            <w:tcBorders>
              <w:top w:val="nil"/>
              <w:left w:val="nil"/>
              <w:bottom w:val="single" w:sz="4" w:space="0" w:color="000000"/>
              <w:right w:val="single" w:sz="4" w:space="0" w:color="000000"/>
            </w:tcBorders>
            <w:noWrap/>
            <w:vAlign w:val="bottom"/>
            <w:hideMark/>
          </w:tcPr>
          <w:p w14:paraId="206CBFAC" w14:textId="77777777" w:rsidR="009120FB" w:rsidRPr="00006DD9" w:rsidRDefault="009120FB" w:rsidP="009120FB">
            <w:pPr>
              <w:spacing w:line="240" w:lineRule="auto"/>
              <w:jc w:val="right"/>
              <w:rPr>
                <w:rFonts w:eastAsia="Times New Roman"/>
                <w:color w:val="008000"/>
                <w:sz w:val="20"/>
                <w:szCs w:val="20"/>
              </w:rPr>
            </w:pPr>
            <w:r w:rsidRPr="00006DD9">
              <w:rPr>
                <w:rFonts w:eastAsia="Times New Roman"/>
                <w:color w:val="008000"/>
                <w:sz w:val="20"/>
                <w:szCs w:val="20"/>
              </w:rPr>
              <w:t>0.023</w:t>
            </w:r>
          </w:p>
        </w:tc>
      </w:tr>
      <w:tr w:rsidR="009120FB" w:rsidRPr="000D5D7F" w14:paraId="2B733D81"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6FF09F3B"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Ease_of_use -&gt; Trends</w:t>
            </w:r>
          </w:p>
        </w:tc>
        <w:tc>
          <w:tcPr>
            <w:tcW w:w="1271" w:type="dxa"/>
            <w:tcBorders>
              <w:top w:val="nil"/>
              <w:left w:val="nil"/>
              <w:bottom w:val="single" w:sz="4" w:space="0" w:color="000000"/>
              <w:right w:val="single" w:sz="4" w:space="0" w:color="000000"/>
            </w:tcBorders>
            <w:noWrap/>
            <w:vAlign w:val="bottom"/>
            <w:hideMark/>
          </w:tcPr>
          <w:p w14:paraId="7D199683"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0.142</w:t>
            </w:r>
          </w:p>
        </w:tc>
        <w:tc>
          <w:tcPr>
            <w:tcW w:w="1800" w:type="dxa"/>
            <w:tcBorders>
              <w:top w:val="nil"/>
              <w:left w:val="nil"/>
              <w:bottom w:val="single" w:sz="4" w:space="0" w:color="000000"/>
              <w:right w:val="single" w:sz="4" w:space="0" w:color="000000"/>
            </w:tcBorders>
            <w:noWrap/>
            <w:vAlign w:val="bottom"/>
            <w:hideMark/>
          </w:tcPr>
          <w:p w14:paraId="59B01800"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1.895</w:t>
            </w:r>
          </w:p>
        </w:tc>
        <w:tc>
          <w:tcPr>
            <w:tcW w:w="1389" w:type="dxa"/>
            <w:tcBorders>
              <w:top w:val="nil"/>
              <w:left w:val="nil"/>
              <w:bottom w:val="single" w:sz="4" w:space="0" w:color="000000"/>
              <w:right w:val="single" w:sz="4" w:space="0" w:color="000000"/>
            </w:tcBorders>
            <w:noWrap/>
            <w:vAlign w:val="bottom"/>
            <w:hideMark/>
          </w:tcPr>
          <w:p w14:paraId="53958DF1" w14:textId="77777777" w:rsidR="009120FB" w:rsidRPr="00006DD9" w:rsidRDefault="009120FB" w:rsidP="009120FB">
            <w:pPr>
              <w:spacing w:line="240" w:lineRule="auto"/>
              <w:jc w:val="right"/>
              <w:rPr>
                <w:rFonts w:eastAsia="Times New Roman"/>
                <w:color w:val="800000"/>
                <w:sz w:val="20"/>
                <w:szCs w:val="20"/>
              </w:rPr>
            </w:pPr>
            <w:r w:rsidRPr="00006DD9">
              <w:rPr>
                <w:rFonts w:eastAsia="Times New Roman"/>
                <w:color w:val="800000"/>
                <w:sz w:val="20"/>
                <w:szCs w:val="20"/>
              </w:rPr>
              <w:t>0.058</w:t>
            </w:r>
          </w:p>
        </w:tc>
      </w:tr>
      <w:tr w:rsidR="009120FB" w:rsidRPr="000D5D7F" w14:paraId="746BCE14"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7F0B475D"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ITF -&gt; Ease_of_use</w:t>
            </w:r>
          </w:p>
        </w:tc>
        <w:tc>
          <w:tcPr>
            <w:tcW w:w="1271" w:type="dxa"/>
            <w:tcBorders>
              <w:top w:val="nil"/>
              <w:left w:val="nil"/>
              <w:bottom w:val="single" w:sz="4" w:space="0" w:color="000000"/>
              <w:right w:val="single" w:sz="4" w:space="0" w:color="000000"/>
            </w:tcBorders>
            <w:noWrap/>
            <w:vAlign w:val="bottom"/>
            <w:hideMark/>
          </w:tcPr>
          <w:p w14:paraId="6EBDC241"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0.260</w:t>
            </w:r>
          </w:p>
        </w:tc>
        <w:tc>
          <w:tcPr>
            <w:tcW w:w="1800" w:type="dxa"/>
            <w:tcBorders>
              <w:top w:val="nil"/>
              <w:left w:val="nil"/>
              <w:bottom w:val="single" w:sz="4" w:space="0" w:color="000000"/>
              <w:right w:val="single" w:sz="4" w:space="0" w:color="000000"/>
            </w:tcBorders>
            <w:noWrap/>
            <w:vAlign w:val="bottom"/>
            <w:hideMark/>
          </w:tcPr>
          <w:p w14:paraId="00D2210B"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2.212</w:t>
            </w:r>
          </w:p>
        </w:tc>
        <w:tc>
          <w:tcPr>
            <w:tcW w:w="1389" w:type="dxa"/>
            <w:tcBorders>
              <w:top w:val="nil"/>
              <w:left w:val="nil"/>
              <w:bottom w:val="single" w:sz="4" w:space="0" w:color="000000"/>
              <w:right w:val="single" w:sz="4" w:space="0" w:color="000000"/>
            </w:tcBorders>
            <w:noWrap/>
            <w:vAlign w:val="bottom"/>
            <w:hideMark/>
          </w:tcPr>
          <w:p w14:paraId="184A45FE" w14:textId="77777777" w:rsidR="009120FB" w:rsidRPr="00006DD9" w:rsidRDefault="009120FB" w:rsidP="009120FB">
            <w:pPr>
              <w:spacing w:line="240" w:lineRule="auto"/>
              <w:jc w:val="right"/>
              <w:rPr>
                <w:rFonts w:eastAsia="Times New Roman"/>
                <w:color w:val="008000"/>
                <w:sz w:val="20"/>
                <w:szCs w:val="20"/>
              </w:rPr>
            </w:pPr>
            <w:r w:rsidRPr="00006DD9">
              <w:rPr>
                <w:rFonts w:eastAsia="Times New Roman"/>
                <w:color w:val="008000"/>
                <w:sz w:val="20"/>
                <w:szCs w:val="20"/>
              </w:rPr>
              <w:t>0.027</w:t>
            </w:r>
          </w:p>
        </w:tc>
      </w:tr>
      <w:tr w:rsidR="009120FB" w:rsidRPr="000D5D7F" w14:paraId="42C34F07"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66CDD26E"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ITF -&gt; Intention</w:t>
            </w:r>
          </w:p>
        </w:tc>
        <w:tc>
          <w:tcPr>
            <w:tcW w:w="1271" w:type="dxa"/>
            <w:tcBorders>
              <w:top w:val="nil"/>
              <w:left w:val="nil"/>
              <w:bottom w:val="single" w:sz="4" w:space="0" w:color="000000"/>
              <w:right w:val="single" w:sz="4" w:space="0" w:color="000000"/>
            </w:tcBorders>
            <w:noWrap/>
            <w:vAlign w:val="bottom"/>
            <w:hideMark/>
          </w:tcPr>
          <w:p w14:paraId="010EC39F"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-0.102</w:t>
            </w:r>
          </w:p>
        </w:tc>
        <w:tc>
          <w:tcPr>
            <w:tcW w:w="1800" w:type="dxa"/>
            <w:tcBorders>
              <w:top w:val="nil"/>
              <w:left w:val="nil"/>
              <w:bottom w:val="single" w:sz="4" w:space="0" w:color="000000"/>
              <w:right w:val="single" w:sz="4" w:space="0" w:color="000000"/>
            </w:tcBorders>
            <w:noWrap/>
            <w:vAlign w:val="bottom"/>
            <w:hideMark/>
          </w:tcPr>
          <w:p w14:paraId="2E734F54"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1.289</w:t>
            </w:r>
          </w:p>
        </w:tc>
        <w:tc>
          <w:tcPr>
            <w:tcW w:w="1389" w:type="dxa"/>
            <w:tcBorders>
              <w:top w:val="nil"/>
              <w:left w:val="nil"/>
              <w:bottom w:val="single" w:sz="4" w:space="0" w:color="000000"/>
              <w:right w:val="single" w:sz="4" w:space="0" w:color="000000"/>
            </w:tcBorders>
            <w:noWrap/>
            <w:vAlign w:val="bottom"/>
            <w:hideMark/>
          </w:tcPr>
          <w:p w14:paraId="18B71592" w14:textId="77777777" w:rsidR="009120FB" w:rsidRPr="00006DD9" w:rsidRDefault="009120FB" w:rsidP="009120FB">
            <w:pPr>
              <w:spacing w:line="240" w:lineRule="auto"/>
              <w:jc w:val="right"/>
              <w:rPr>
                <w:rFonts w:eastAsia="Times New Roman"/>
                <w:color w:val="800000"/>
                <w:sz w:val="20"/>
                <w:szCs w:val="20"/>
              </w:rPr>
            </w:pPr>
            <w:r w:rsidRPr="00006DD9">
              <w:rPr>
                <w:rFonts w:eastAsia="Times New Roman"/>
                <w:color w:val="800000"/>
                <w:sz w:val="20"/>
                <w:szCs w:val="20"/>
              </w:rPr>
              <w:t>0.197</w:t>
            </w:r>
          </w:p>
        </w:tc>
      </w:tr>
      <w:tr w:rsidR="009120FB" w:rsidRPr="000D5D7F" w14:paraId="78C395F3"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59BB9E97"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ITF -&gt; Perception_of_Interest</w:t>
            </w:r>
          </w:p>
        </w:tc>
        <w:tc>
          <w:tcPr>
            <w:tcW w:w="1271" w:type="dxa"/>
            <w:tcBorders>
              <w:top w:val="nil"/>
              <w:left w:val="nil"/>
              <w:bottom w:val="single" w:sz="4" w:space="0" w:color="000000"/>
              <w:right w:val="single" w:sz="4" w:space="0" w:color="000000"/>
            </w:tcBorders>
            <w:noWrap/>
            <w:vAlign w:val="bottom"/>
            <w:hideMark/>
          </w:tcPr>
          <w:p w14:paraId="0DBFDD53"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-0.017</w:t>
            </w:r>
          </w:p>
        </w:tc>
        <w:tc>
          <w:tcPr>
            <w:tcW w:w="1800" w:type="dxa"/>
            <w:tcBorders>
              <w:top w:val="nil"/>
              <w:left w:val="nil"/>
              <w:bottom w:val="single" w:sz="4" w:space="0" w:color="000000"/>
              <w:right w:val="single" w:sz="4" w:space="0" w:color="000000"/>
            </w:tcBorders>
            <w:noWrap/>
            <w:vAlign w:val="bottom"/>
            <w:hideMark/>
          </w:tcPr>
          <w:p w14:paraId="149A8429"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0.151</w:t>
            </w:r>
          </w:p>
        </w:tc>
        <w:tc>
          <w:tcPr>
            <w:tcW w:w="1389" w:type="dxa"/>
            <w:tcBorders>
              <w:top w:val="nil"/>
              <w:left w:val="nil"/>
              <w:bottom w:val="single" w:sz="4" w:space="0" w:color="000000"/>
              <w:right w:val="single" w:sz="4" w:space="0" w:color="000000"/>
            </w:tcBorders>
            <w:noWrap/>
            <w:vAlign w:val="bottom"/>
            <w:hideMark/>
          </w:tcPr>
          <w:p w14:paraId="06CCC58E" w14:textId="77777777" w:rsidR="009120FB" w:rsidRPr="00006DD9" w:rsidRDefault="009120FB" w:rsidP="009120FB">
            <w:pPr>
              <w:spacing w:line="240" w:lineRule="auto"/>
              <w:jc w:val="right"/>
              <w:rPr>
                <w:rFonts w:eastAsia="Times New Roman"/>
                <w:color w:val="800000"/>
                <w:sz w:val="20"/>
                <w:szCs w:val="20"/>
              </w:rPr>
            </w:pPr>
            <w:r w:rsidRPr="00006DD9">
              <w:rPr>
                <w:rFonts w:eastAsia="Times New Roman"/>
                <w:color w:val="800000"/>
                <w:sz w:val="20"/>
                <w:szCs w:val="20"/>
              </w:rPr>
              <w:t>0.880</w:t>
            </w:r>
          </w:p>
        </w:tc>
      </w:tr>
      <w:tr w:rsidR="009120FB" w:rsidRPr="000D5D7F" w14:paraId="66E5F82B"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025C826B"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ITF -&gt; Trends</w:t>
            </w:r>
          </w:p>
        </w:tc>
        <w:tc>
          <w:tcPr>
            <w:tcW w:w="1271" w:type="dxa"/>
            <w:tcBorders>
              <w:top w:val="nil"/>
              <w:left w:val="nil"/>
              <w:bottom w:val="single" w:sz="4" w:space="0" w:color="000000"/>
              <w:right w:val="single" w:sz="4" w:space="0" w:color="000000"/>
            </w:tcBorders>
            <w:noWrap/>
            <w:vAlign w:val="bottom"/>
            <w:hideMark/>
          </w:tcPr>
          <w:p w14:paraId="3203EF28"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-0.003</w:t>
            </w:r>
          </w:p>
        </w:tc>
        <w:tc>
          <w:tcPr>
            <w:tcW w:w="1800" w:type="dxa"/>
            <w:tcBorders>
              <w:top w:val="nil"/>
              <w:left w:val="nil"/>
              <w:bottom w:val="single" w:sz="4" w:space="0" w:color="000000"/>
              <w:right w:val="single" w:sz="4" w:space="0" w:color="000000"/>
            </w:tcBorders>
            <w:noWrap/>
            <w:vAlign w:val="bottom"/>
            <w:hideMark/>
          </w:tcPr>
          <w:p w14:paraId="5BFA926C"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0.025</w:t>
            </w:r>
          </w:p>
        </w:tc>
        <w:tc>
          <w:tcPr>
            <w:tcW w:w="1389" w:type="dxa"/>
            <w:tcBorders>
              <w:top w:val="nil"/>
              <w:left w:val="nil"/>
              <w:bottom w:val="single" w:sz="4" w:space="0" w:color="000000"/>
              <w:right w:val="single" w:sz="4" w:space="0" w:color="000000"/>
            </w:tcBorders>
            <w:noWrap/>
            <w:vAlign w:val="bottom"/>
            <w:hideMark/>
          </w:tcPr>
          <w:p w14:paraId="36D00F41" w14:textId="77777777" w:rsidR="009120FB" w:rsidRPr="00006DD9" w:rsidRDefault="009120FB" w:rsidP="009120FB">
            <w:pPr>
              <w:spacing w:line="240" w:lineRule="auto"/>
              <w:jc w:val="right"/>
              <w:rPr>
                <w:rFonts w:eastAsia="Times New Roman"/>
                <w:color w:val="800000"/>
                <w:sz w:val="20"/>
                <w:szCs w:val="20"/>
              </w:rPr>
            </w:pPr>
            <w:r w:rsidRPr="00006DD9">
              <w:rPr>
                <w:rFonts w:eastAsia="Times New Roman"/>
                <w:color w:val="800000"/>
                <w:sz w:val="20"/>
                <w:szCs w:val="20"/>
              </w:rPr>
              <w:t>0.980</w:t>
            </w:r>
          </w:p>
        </w:tc>
      </w:tr>
      <w:tr w:rsidR="009120FB" w:rsidRPr="000D5D7F" w14:paraId="1D610D4D"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1F6E755F"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Knowledge -&gt; Ease_of_use</w:t>
            </w:r>
          </w:p>
        </w:tc>
        <w:tc>
          <w:tcPr>
            <w:tcW w:w="1271" w:type="dxa"/>
            <w:tcBorders>
              <w:top w:val="nil"/>
              <w:left w:val="nil"/>
              <w:bottom w:val="single" w:sz="4" w:space="0" w:color="000000"/>
              <w:right w:val="single" w:sz="4" w:space="0" w:color="000000"/>
            </w:tcBorders>
            <w:noWrap/>
            <w:vAlign w:val="bottom"/>
            <w:hideMark/>
          </w:tcPr>
          <w:p w14:paraId="6B9978A1"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0.013</w:t>
            </w:r>
          </w:p>
        </w:tc>
        <w:tc>
          <w:tcPr>
            <w:tcW w:w="1800" w:type="dxa"/>
            <w:tcBorders>
              <w:top w:val="nil"/>
              <w:left w:val="nil"/>
              <w:bottom w:val="single" w:sz="4" w:space="0" w:color="000000"/>
              <w:right w:val="single" w:sz="4" w:space="0" w:color="000000"/>
            </w:tcBorders>
            <w:noWrap/>
            <w:vAlign w:val="bottom"/>
            <w:hideMark/>
          </w:tcPr>
          <w:p w14:paraId="79B59E63"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0.100</w:t>
            </w:r>
          </w:p>
        </w:tc>
        <w:tc>
          <w:tcPr>
            <w:tcW w:w="1389" w:type="dxa"/>
            <w:tcBorders>
              <w:top w:val="nil"/>
              <w:left w:val="nil"/>
              <w:bottom w:val="single" w:sz="4" w:space="0" w:color="000000"/>
              <w:right w:val="single" w:sz="4" w:space="0" w:color="000000"/>
            </w:tcBorders>
            <w:noWrap/>
            <w:vAlign w:val="bottom"/>
            <w:hideMark/>
          </w:tcPr>
          <w:p w14:paraId="478A3D5E" w14:textId="77777777" w:rsidR="009120FB" w:rsidRPr="00006DD9" w:rsidRDefault="009120FB" w:rsidP="009120FB">
            <w:pPr>
              <w:spacing w:line="240" w:lineRule="auto"/>
              <w:jc w:val="right"/>
              <w:rPr>
                <w:rFonts w:eastAsia="Times New Roman"/>
                <w:color w:val="800000"/>
                <w:sz w:val="20"/>
                <w:szCs w:val="20"/>
              </w:rPr>
            </w:pPr>
            <w:r w:rsidRPr="00006DD9">
              <w:rPr>
                <w:rFonts w:eastAsia="Times New Roman"/>
                <w:color w:val="800000"/>
                <w:sz w:val="20"/>
                <w:szCs w:val="20"/>
              </w:rPr>
              <w:t>0.921</w:t>
            </w:r>
          </w:p>
        </w:tc>
      </w:tr>
      <w:tr w:rsidR="009120FB" w:rsidRPr="000D5D7F" w14:paraId="793F1DD2"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2F4807C2"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Knowledge -&gt; Intention</w:t>
            </w:r>
          </w:p>
        </w:tc>
        <w:tc>
          <w:tcPr>
            <w:tcW w:w="1271" w:type="dxa"/>
            <w:tcBorders>
              <w:top w:val="nil"/>
              <w:left w:val="nil"/>
              <w:bottom w:val="single" w:sz="4" w:space="0" w:color="000000"/>
              <w:right w:val="single" w:sz="4" w:space="0" w:color="000000"/>
            </w:tcBorders>
            <w:noWrap/>
            <w:vAlign w:val="bottom"/>
            <w:hideMark/>
          </w:tcPr>
          <w:p w14:paraId="795E6D92"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0.148</w:t>
            </w:r>
          </w:p>
        </w:tc>
        <w:tc>
          <w:tcPr>
            <w:tcW w:w="1800" w:type="dxa"/>
            <w:tcBorders>
              <w:top w:val="nil"/>
              <w:left w:val="nil"/>
              <w:bottom w:val="single" w:sz="4" w:space="0" w:color="000000"/>
              <w:right w:val="single" w:sz="4" w:space="0" w:color="000000"/>
            </w:tcBorders>
            <w:noWrap/>
            <w:vAlign w:val="bottom"/>
            <w:hideMark/>
          </w:tcPr>
          <w:p w14:paraId="369E80E9"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1.575</w:t>
            </w:r>
          </w:p>
        </w:tc>
        <w:tc>
          <w:tcPr>
            <w:tcW w:w="1389" w:type="dxa"/>
            <w:tcBorders>
              <w:top w:val="nil"/>
              <w:left w:val="nil"/>
              <w:bottom w:val="single" w:sz="4" w:space="0" w:color="000000"/>
              <w:right w:val="single" w:sz="4" w:space="0" w:color="000000"/>
            </w:tcBorders>
            <w:noWrap/>
            <w:vAlign w:val="bottom"/>
            <w:hideMark/>
          </w:tcPr>
          <w:p w14:paraId="79C442AF" w14:textId="77777777" w:rsidR="009120FB" w:rsidRPr="00006DD9" w:rsidRDefault="009120FB" w:rsidP="009120FB">
            <w:pPr>
              <w:spacing w:line="240" w:lineRule="auto"/>
              <w:jc w:val="right"/>
              <w:rPr>
                <w:rFonts w:eastAsia="Times New Roman"/>
                <w:color w:val="800000"/>
                <w:sz w:val="20"/>
                <w:szCs w:val="20"/>
              </w:rPr>
            </w:pPr>
            <w:r w:rsidRPr="00006DD9">
              <w:rPr>
                <w:rFonts w:eastAsia="Times New Roman"/>
                <w:color w:val="800000"/>
                <w:sz w:val="20"/>
                <w:szCs w:val="20"/>
              </w:rPr>
              <w:t>0.115</w:t>
            </w:r>
          </w:p>
        </w:tc>
      </w:tr>
      <w:tr w:rsidR="009120FB" w:rsidRPr="000D5D7F" w14:paraId="72B03354"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0567F103" w14:textId="77777777" w:rsidR="009120FB" w:rsidRPr="00006DD9" w:rsidRDefault="009120FB" w:rsidP="009120FB">
            <w:pPr>
              <w:spacing w:line="240" w:lineRule="auto"/>
              <w:rPr>
                <w:rFonts w:eastAsia="Times New Roman"/>
                <w:color w:val="000000"/>
                <w:sz w:val="20"/>
                <w:szCs w:val="20"/>
              </w:rPr>
            </w:pPr>
            <w:r w:rsidRPr="00006DD9">
              <w:rPr>
                <w:rFonts w:eastAsia="Times New Roman"/>
                <w:color w:val="000000"/>
                <w:sz w:val="20"/>
                <w:szCs w:val="20"/>
              </w:rPr>
              <w:t>Knowledge -&gt; Perception_of_Interest</w:t>
            </w:r>
          </w:p>
        </w:tc>
        <w:tc>
          <w:tcPr>
            <w:tcW w:w="1271" w:type="dxa"/>
            <w:tcBorders>
              <w:top w:val="nil"/>
              <w:left w:val="nil"/>
              <w:bottom w:val="single" w:sz="4" w:space="0" w:color="000000"/>
              <w:right w:val="single" w:sz="4" w:space="0" w:color="000000"/>
            </w:tcBorders>
            <w:noWrap/>
            <w:vAlign w:val="bottom"/>
            <w:hideMark/>
          </w:tcPr>
          <w:p w14:paraId="7F95ACF8"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-0.049</w:t>
            </w:r>
          </w:p>
        </w:tc>
        <w:tc>
          <w:tcPr>
            <w:tcW w:w="1800" w:type="dxa"/>
            <w:tcBorders>
              <w:top w:val="nil"/>
              <w:left w:val="nil"/>
              <w:bottom w:val="single" w:sz="4" w:space="0" w:color="000000"/>
              <w:right w:val="single" w:sz="4" w:space="0" w:color="000000"/>
            </w:tcBorders>
            <w:noWrap/>
            <w:vAlign w:val="bottom"/>
            <w:hideMark/>
          </w:tcPr>
          <w:p w14:paraId="2C199EBB" w14:textId="77777777" w:rsidR="009120FB" w:rsidRPr="00006DD9" w:rsidRDefault="009120FB" w:rsidP="009120FB">
            <w:pPr>
              <w:spacing w:line="240" w:lineRule="auto"/>
              <w:jc w:val="right"/>
              <w:rPr>
                <w:rFonts w:eastAsia="Times New Roman"/>
                <w:color w:val="000000"/>
                <w:sz w:val="20"/>
                <w:szCs w:val="20"/>
              </w:rPr>
            </w:pPr>
            <w:r w:rsidRPr="00006DD9">
              <w:rPr>
                <w:rFonts w:eastAsia="Times New Roman"/>
                <w:color w:val="000000"/>
                <w:sz w:val="20"/>
                <w:szCs w:val="20"/>
              </w:rPr>
              <w:t>0.392</w:t>
            </w:r>
          </w:p>
        </w:tc>
        <w:tc>
          <w:tcPr>
            <w:tcW w:w="1389" w:type="dxa"/>
            <w:tcBorders>
              <w:top w:val="nil"/>
              <w:left w:val="nil"/>
              <w:bottom w:val="single" w:sz="4" w:space="0" w:color="000000"/>
              <w:right w:val="single" w:sz="4" w:space="0" w:color="000000"/>
            </w:tcBorders>
            <w:noWrap/>
            <w:vAlign w:val="bottom"/>
            <w:hideMark/>
          </w:tcPr>
          <w:p w14:paraId="6DEB307E" w14:textId="77777777" w:rsidR="009120FB" w:rsidRPr="00006DD9" w:rsidRDefault="009120FB" w:rsidP="009120FB">
            <w:pPr>
              <w:spacing w:line="240" w:lineRule="auto"/>
              <w:jc w:val="right"/>
              <w:rPr>
                <w:rFonts w:eastAsia="Times New Roman"/>
                <w:color w:val="800000"/>
                <w:sz w:val="20"/>
                <w:szCs w:val="20"/>
              </w:rPr>
            </w:pPr>
            <w:r w:rsidRPr="00006DD9">
              <w:rPr>
                <w:rFonts w:eastAsia="Times New Roman"/>
                <w:color w:val="800000"/>
                <w:sz w:val="20"/>
                <w:szCs w:val="20"/>
              </w:rPr>
              <w:t>0.695</w:t>
            </w:r>
          </w:p>
        </w:tc>
      </w:tr>
      <w:tr w:rsidR="009120FB" w:rsidRPr="000D5D7F" w14:paraId="0C2DD56C"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6CAE0A89"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lastRenderedPageBreak/>
              <w:t>Knowledge -&gt; Trends</w:t>
            </w:r>
          </w:p>
        </w:tc>
        <w:tc>
          <w:tcPr>
            <w:tcW w:w="1271" w:type="dxa"/>
            <w:tcBorders>
              <w:top w:val="nil"/>
              <w:left w:val="nil"/>
              <w:bottom w:val="single" w:sz="4" w:space="0" w:color="000000"/>
              <w:right w:val="single" w:sz="4" w:space="0" w:color="000000"/>
            </w:tcBorders>
            <w:noWrap/>
            <w:vAlign w:val="bottom"/>
            <w:hideMark/>
          </w:tcPr>
          <w:p w14:paraId="6BD70EB2"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0.127</w:t>
            </w:r>
          </w:p>
        </w:tc>
        <w:tc>
          <w:tcPr>
            <w:tcW w:w="1800" w:type="dxa"/>
            <w:tcBorders>
              <w:top w:val="nil"/>
              <w:left w:val="nil"/>
              <w:bottom w:val="single" w:sz="4" w:space="0" w:color="000000"/>
              <w:right w:val="single" w:sz="4" w:space="0" w:color="000000"/>
            </w:tcBorders>
            <w:noWrap/>
            <w:vAlign w:val="bottom"/>
            <w:hideMark/>
          </w:tcPr>
          <w:p w14:paraId="345BB648"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1.074</w:t>
            </w:r>
          </w:p>
        </w:tc>
        <w:tc>
          <w:tcPr>
            <w:tcW w:w="1389" w:type="dxa"/>
            <w:tcBorders>
              <w:top w:val="nil"/>
              <w:left w:val="nil"/>
              <w:bottom w:val="single" w:sz="4" w:space="0" w:color="000000"/>
              <w:right w:val="single" w:sz="4" w:space="0" w:color="000000"/>
            </w:tcBorders>
            <w:noWrap/>
            <w:vAlign w:val="bottom"/>
            <w:hideMark/>
          </w:tcPr>
          <w:p w14:paraId="3D6CA61F"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0.283</w:t>
            </w:r>
          </w:p>
        </w:tc>
      </w:tr>
      <w:tr w:rsidR="009120FB" w:rsidRPr="000D5D7F" w14:paraId="2C64F0B1"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556141C3"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Perception_of_Interest -&gt; Intention</w:t>
            </w:r>
          </w:p>
        </w:tc>
        <w:tc>
          <w:tcPr>
            <w:tcW w:w="1271" w:type="dxa"/>
            <w:tcBorders>
              <w:top w:val="nil"/>
              <w:left w:val="nil"/>
              <w:bottom w:val="single" w:sz="4" w:space="0" w:color="000000"/>
              <w:right w:val="single" w:sz="4" w:space="0" w:color="000000"/>
            </w:tcBorders>
            <w:noWrap/>
            <w:vAlign w:val="bottom"/>
            <w:hideMark/>
          </w:tcPr>
          <w:p w14:paraId="0F24B228"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0.610</w:t>
            </w:r>
          </w:p>
        </w:tc>
        <w:tc>
          <w:tcPr>
            <w:tcW w:w="1800" w:type="dxa"/>
            <w:tcBorders>
              <w:top w:val="nil"/>
              <w:left w:val="nil"/>
              <w:bottom w:val="single" w:sz="4" w:space="0" w:color="000000"/>
              <w:right w:val="single" w:sz="4" w:space="0" w:color="000000"/>
            </w:tcBorders>
            <w:noWrap/>
            <w:vAlign w:val="bottom"/>
            <w:hideMark/>
          </w:tcPr>
          <w:p w14:paraId="0DD3539E"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5.721</w:t>
            </w:r>
          </w:p>
        </w:tc>
        <w:tc>
          <w:tcPr>
            <w:tcW w:w="1389" w:type="dxa"/>
            <w:tcBorders>
              <w:top w:val="nil"/>
              <w:left w:val="nil"/>
              <w:bottom w:val="single" w:sz="4" w:space="0" w:color="000000"/>
              <w:right w:val="single" w:sz="4" w:space="0" w:color="000000"/>
            </w:tcBorders>
            <w:noWrap/>
            <w:vAlign w:val="bottom"/>
            <w:hideMark/>
          </w:tcPr>
          <w:p w14:paraId="7F3B98E1"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0.000</w:t>
            </w:r>
          </w:p>
        </w:tc>
      </w:tr>
      <w:tr w:rsidR="009120FB" w:rsidRPr="000D5D7F" w14:paraId="3870878D" w14:textId="77777777" w:rsidTr="00AB6F4E">
        <w:trPr>
          <w:trHeight w:val="237"/>
        </w:trPr>
        <w:tc>
          <w:tcPr>
            <w:tcW w:w="4471" w:type="dxa"/>
            <w:tcBorders>
              <w:top w:val="nil"/>
              <w:left w:val="single" w:sz="4" w:space="0" w:color="000000"/>
              <w:bottom w:val="single" w:sz="4" w:space="0" w:color="000000"/>
              <w:right w:val="single" w:sz="4" w:space="0" w:color="000000"/>
            </w:tcBorders>
            <w:noWrap/>
            <w:vAlign w:val="bottom"/>
            <w:hideMark/>
          </w:tcPr>
          <w:p w14:paraId="37728101"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Perception_of_Interest -&gt; Trends</w:t>
            </w:r>
          </w:p>
        </w:tc>
        <w:tc>
          <w:tcPr>
            <w:tcW w:w="1271" w:type="dxa"/>
            <w:tcBorders>
              <w:top w:val="nil"/>
              <w:left w:val="nil"/>
              <w:bottom w:val="single" w:sz="4" w:space="0" w:color="000000"/>
              <w:right w:val="single" w:sz="4" w:space="0" w:color="000000"/>
            </w:tcBorders>
            <w:noWrap/>
            <w:vAlign w:val="bottom"/>
            <w:hideMark/>
          </w:tcPr>
          <w:p w14:paraId="3ECBE0E0"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0.650</w:t>
            </w:r>
          </w:p>
        </w:tc>
        <w:tc>
          <w:tcPr>
            <w:tcW w:w="1800" w:type="dxa"/>
            <w:tcBorders>
              <w:top w:val="nil"/>
              <w:left w:val="nil"/>
              <w:bottom w:val="single" w:sz="4" w:space="0" w:color="000000"/>
              <w:right w:val="single" w:sz="4" w:space="0" w:color="000000"/>
            </w:tcBorders>
            <w:noWrap/>
            <w:vAlign w:val="bottom"/>
            <w:hideMark/>
          </w:tcPr>
          <w:p w14:paraId="2E7EBF3A"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8.210</w:t>
            </w:r>
          </w:p>
        </w:tc>
        <w:tc>
          <w:tcPr>
            <w:tcW w:w="1389" w:type="dxa"/>
            <w:tcBorders>
              <w:top w:val="nil"/>
              <w:left w:val="nil"/>
              <w:bottom w:val="single" w:sz="4" w:space="0" w:color="000000"/>
              <w:right w:val="single" w:sz="4" w:space="0" w:color="000000"/>
            </w:tcBorders>
            <w:noWrap/>
            <w:vAlign w:val="bottom"/>
            <w:hideMark/>
          </w:tcPr>
          <w:p w14:paraId="4F7AE358"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0.000</w:t>
            </w:r>
          </w:p>
        </w:tc>
      </w:tr>
      <w:bookmarkEnd w:id="3"/>
    </w:tbl>
    <w:p w14:paraId="500D0B3B" w14:textId="77777777" w:rsidR="009120FB" w:rsidRPr="000D5D7F" w:rsidRDefault="009120FB" w:rsidP="009120FB">
      <w:pPr>
        <w:tabs>
          <w:tab w:val="left" w:pos="1890"/>
        </w:tabs>
        <w:spacing w:after="160" w:line="240" w:lineRule="auto"/>
        <w:ind w:left="270"/>
        <w:jc w:val="both"/>
        <w:rPr>
          <w:sz w:val="20"/>
          <w:szCs w:val="20"/>
        </w:rPr>
      </w:pPr>
    </w:p>
    <w:p w14:paraId="1F74BC90" w14:textId="77777777" w:rsidR="009120FB" w:rsidRPr="00D11CA1" w:rsidRDefault="009120FB" w:rsidP="009120FB">
      <w:pPr>
        <w:tabs>
          <w:tab w:val="left" w:pos="1890"/>
        </w:tabs>
        <w:spacing w:after="160"/>
        <w:ind w:left="274" w:firstLine="626"/>
        <w:jc w:val="both"/>
        <w:rPr>
          <w:szCs w:val="24"/>
        </w:rPr>
      </w:pPr>
      <w:r w:rsidRPr="00D11CA1">
        <w:rPr>
          <w:szCs w:val="24"/>
        </w:rPr>
        <w:t>Table 4's path coefficients illustrate the hypotheses in detail. The hypothesis about barriers to ease of use is supported by the results, which show that barriers do make it easier to use (estimate = 0.398, p &lt; 0.001). However, the estimated influence of the hypothesis on barriers to intention is insignificant, at 0.078 (p = 0.444). Therefore, the hypothesis lacks support. In reference to the hypothesis on barriers to the perception of interest, the results imply a positive impact of barriers on the perception of interest (estimate = 0.626, p &lt; 0.001). We support the hypothesis. The study focuses on the perception of interest. The results address a positive impact of barriers on the perception of interest with roughly 0.626 (p &lt; 0.001).</w:t>
      </w:r>
    </w:p>
    <w:p w14:paraId="5C72A9E4" w14:textId="0090923F" w:rsidR="009120FB" w:rsidRPr="000D5D7F" w:rsidRDefault="009120FB" w:rsidP="009120FB">
      <w:pPr>
        <w:tabs>
          <w:tab w:val="left" w:pos="1890"/>
        </w:tabs>
        <w:spacing w:after="160"/>
        <w:ind w:left="274" w:firstLine="536"/>
        <w:jc w:val="both"/>
        <w:rPr>
          <w:sz w:val="22"/>
          <w:rtl/>
        </w:rPr>
      </w:pPr>
      <w:r w:rsidRPr="00AB1125">
        <w:rPr>
          <w:szCs w:val="24"/>
        </w:rPr>
        <w:t xml:space="preserve">The results of the hypotheses have displayed a positive impact on the hypotheses that support them. Regarding the hypothesis on perception of </w:t>
      </w:r>
      <w:r w:rsidR="00AB1125" w:rsidRPr="00AB1125">
        <w:rPr>
          <w:szCs w:val="24"/>
        </w:rPr>
        <w:t>interest is</w:t>
      </w:r>
      <w:r w:rsidRPr="00AB1125">
        <w:rPr>
          <w:szCs w:val="24"/>
        </w:rPr>
        <w:t xml:space="preserve"> estimated </w:t>
      </w:r>
      <w:r w:rsidR="00191122" w:rsidRPr="00AB1125">
        <w:rPr>
          <w:szCs w:val="24"/>
        </w:rPr>
        <w:t>to 0.626</w:t>
      </w:r>
      <w:r w:rsidRPr="00AB1125">
        <w:rPr>
          <w:szCs w:val="24"/>
        </w:rPr>
        <w:t xml:space="preserve">, p &lt; 0.001), while the hypothesis on ITF to ease of use is estimated to 0.260, p = 0.027). Regarding the hypothesis on ease of use to </w:t>
      </w:r>
      <w:r w:rsidR="00AB1125" w:rsidRPr="00AB1125">
        <w:rPr>
          <w:szCs w:val="24"/>
        </w:rPr>
        <w:t>intention is</w:t>
      </w:r>
      <w:r w:rsidRPr="00AB1125">
        <w:rPr>
          <w:szCs w:val="24"/>
        </w:rPr>
        <w:t xml:space="preserve"> estimated to 0.200, p = 0.023). Conversely, the results of all the following hypotheses not only indicate a non-significant impact on them but also lack support. Hypothesis on barriers to trends is estimated to -0.034, p = </w:t>
      </w:r>
      <w:r w:rsidR="00191122" w:rsidRPr="00AB1125">
        <w:rPr>
          <w:szCs w:val="24"/>
        </w:rPr>
        <w:t>0.725.)</w:t>
      </w:r>
      <w:r w:rsidR="00AB1125" w:rsidRPr="00AB1125">
        <w:rPr>
          <w:szCs w:val="24"/>
        </w:rPr>
        <w:t xml:space="preserve"> when</w:t>
      </w:r>
      <w:r w:rsidRPr="00AB1125">
        <w:rPr>
          <w:szCs w:val="24"/>
        </w:rPr>
        <w:t xml:space="preserve"> hypothesis on ease of use to trends is estimated to 0.142, p = 0.058). Regarding hypothesis on ITF to intention is estimated to -0.102, p = 0.197</w:t>
      </w:r>
      <w:r w:rsidR="00191122" w:rsidRPr="00AB1125">
        <w:rPr>
          <w:szCs w:val="24"/>
        </w:rPr>
        <w:t>). Moreover, hypothesis</w:t>
      </w:r>
      <w:r w:rsidRPr="00AB1125">
        <w:rPr>
          <w:szCs w:val="24"/>
        </w:rPr>
        <w:t xml:space="preserve"> on ITF to intention, which is estimated </w:t>
      </w:r>
      <w:r w:rsidR="00A0275C" w:rsidRPr="00AB1125">
        <w:rPr>
          <w:szCs w:val="24"/>
        </w:rPr>
        <w:t>to -</w:t>
      </w:r>
      <w:r w:rsidRPr="00AB1125">
        <w:rPr>
          <w:szCs w:val="24"/>
        </w:rPr>
        <w:t xml:space="preserve">0.102, p = 0.197). </w:t>
      </w:r>
      <w:r w:rsidR="00191122" w:rsidRPr="00AB1125">
        <w:rPr>
          <w:szCs w:val="24"/>
        </w:rPr>
        <w:t>adding,</w:t>
      </w:r>
      <w:r w:rsidRPr="00AB1125">
        <w:rPr>
          <w:szCs w:val="24"/>
        </w:rPr>
        <w:t xml:space="preserve"> hypothesis on ITF to perception of interest that is estimated to -0.017, p = 0.880). In addition to hypothesis on ITF to trends is estimated to -0.003, p = 0.980). </w:t>
      </w:r>
      <w:r w:rsidR="00191122" w:rsidRPr="00AB1125">
        <w:rPr>
          <w:szCs w:val="24"/>
        </w:rPr>
        <w:t>Further,</w:t>
      </w:r>
      <w:r w:rsidRPr="00AB1125">
        <w:rPr>
          <w:szCs w:val="24"/>
        </w:rPr>
        <w:t xml:space="preserve"> the hypothesis on ITF to trends is estimated to -0.003, p = 0.980) and the hypothesis on Knowledge to ease of use is estimated to 0.013, p = 0.921are also included. The estimation for the Knowledge to ease-of use hypothesis is 0.013, with a p-value </w:t>
      </w:r>
      <w:r w:rsidRPr="00AB1125">
        <w:rPr>
          <w:szCs w:val="24"/>
        </w:rPr>
        <w:lastRenderedPageBreak/>
        <w:t xml:space="preserve">of 0.921. The estimation for the hypothesis on knowledge to intention is 0.148, with a p-value of 0.115. and hypothesis on Knowledge to Perception of Interest is estimated to -0.049, p = </w:t>
      </w:r>
      <w:r w:rsidRPr="000D5D7F">
        <w:rPr>
          <w:sz w:val="22"/>
        </w:rPr>
        <w:t>0.695). Lastly, the hypothesis on Knowledge to perception of interest is estimated to -0.049, p = 0.695) and the hypothesis on Knowledge to trends is estimated = 0.127, p = 0.283).</w:t>
      </w:r>
    </w:p>
    <w:p w14:paraId="35EC77E8" w14:textId="77777777" w:rsidR="009120FB" w:rsidRPr="000D5D7F" w:rsidRDefault="009120FB" w:rsidP="009120FB">
      <w:pPr>
        <w:tabs>
          <w:tab w:val="left" w:pos="1890"/>
        </w:tabs>
        <w:spacing w:after="160" w:line="240" w:lineRule="auto"/>
        <w:ind w:left="274" w:firstLine="986"/>
        <w:jc w:val="both"/>
        <w:rPr>
          <w:sz w:val="2"/>
          <w:szCs w:val="2"/>
        </w:rPr>
      </w:pPr>
    </w:p>
    <w:p w14:paraId="4BC0BE38" w14:textId="77777777" w:rsidR="009120FB" w:rsidRPr="000D5D7F" w:rsidRDefault="009120FB" w:rsidP="009120FB">
      <w:pPr>
        <w:tabs>
          <w:tab w:val="left" w:pos="1890"/>
        </w:tabs>
        <w:spacing w:after="160" w:line="240" w:lineRule="auto"/>
        <w:jc w:val="both"/>
        <w:rPr>
          <w:b/>
          <w:bCs/>
          <w:sz w:val="22"/>
        </w:rPr>
      </w:pPr>
      <w:bookmarkStart w:id="4" w:name="_Hlk190467669"/>
      <w:r w:rsidRPr="000D5D7F">
        <w:rPr>
          <w:b/>
          <w:bCs/>
          <w:sz w:val="22"/>
        </w:rPr>
        <w:t xml:space="preserve">Table 4 </w:t>
      </w:r>
    </w:p>
    <w:p w14:paraId="3C4E5A5D" w14:textId="77777777" w:rsidR="009120FB" w:rsidRPr="000D5D7F" w:rsidRDefault="009120FB" w:rsidP="009120FB">
      <w:pPr>
        <w:tabs>
          <w:tab w:val="left" w:pos="1890"/>
        </w:tabs>
        <w:spacing w:after="160" w:line="240" w:lineRule="auto"/>
        <w:jc w:val="both"/>
        <w:rPr>
          <w:i/>
          <w:iCs/>
          <w:sz w:val="22"/>
        </w:rPr>
      </w:pPr>
      <w:r w:rsidRPr="000D5D7F">
        <w:rPr>
          <w:i/>
          <w:iCs/>
          <w:sz w:val="22"/>
        </w:rPr>
        <w:t>indirect Path coefficients</w:t>
      </w:r>
      <w:bookmarkEnd w:id="4"/>
      <w:r w:rsidRPr="000D5D7F">
        <w:rPr>
          <w:i/>
          <w:iCs/>
          <w:sz w:val="22"/>
        </w:rPr>
        <w:tab/>
      </w:r>
    </w:p>
    <w:tbl>
      <w:tblPr>
        <w:tblW w:w="9092" w:type="dxa"/>
        <w:tblLook w:val="04A0" w:firstRow="1" w:lastRow="0" w:firstColumn="1" w:lastColumn="0" w:noHBand="0" w:noVBand="1"/>
      </w:tblPr>
      <w:tblGrid>
        <w:gridCol w:w="5235"/>
        <w:gridCol w:w="1122"/>
        <w:gridCol w:w="1612"/>
        <w:gridCol w:w="1123"/>
      </w:tblGrid>
      <w:tr w:rsidR="009120FB" w:rsidRPr="000D5D7F" w14:paraId="2912F4D3" w14:textId="77777777" w:rsidTr="00AB6F4E">
        <w:trPr>
          <w:trHeight w:val="199"/>
        </w:trPr>
        <w:tc>
          <w:tcPr>
            <w:tcW w:w="5235" w:type="dxa"/>
            <w:tcBorders>
              <w:top w:val="nil"/>
              <w:left w:val="nil"/>
              <w:bottom w:val="nil"/>
              <w:right w:val="nil"/>
            </w:tcBorders>
            <w:noWrap/>
            <w:vAlign w:val="bottom"/>
            <w:hideMark/>
          </w:tcPr>
          <w:p w14:paraId="24ED6A78" w14:textId="77777777" w:rsidR="009120FB" w:rsidRPr="000D5D7F" w:rsidRDefault="009120FB" w:rsidP="009120FB">
            <w:pPr>
              <w:spacing w:line="240" w:lineRule="auto"/>
              <w:rPr>
                <w:rFonts w:eastAsia="Times New Roman"/>
                <w:sz w:val="20"/>
                <w:szCs w:val="20"/>
              </w:rPr>
            </w:pPr>
          </w:p>
        </w:tc>
        <w:tc>
          <w:tcPr>
            <w:tcW w:w="1122" w:type="dxa"/>
            <w:tcBorders>
              <w:top w:val="single" w:sz="4" w:space="0" w:color="000000"/>
              <w:left w:val="single" w:sz="4" w:space="0" w:color="000000"/>
              <w:bottom w:val="single" w:sz="4" w:space="0" w:color="000000"/>
              <w:right w:val="single" w:sz="4" w:space="0" w:color="000000"/>
            </w:tcBorders>
            <w:noWrap/>
            <w:vAlign w:val="bottom"/>
            <w:hideMark/>
          </w:tcPr>
          <w:p w14:paraId="431A386A"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Original sample (O)</w:t>
            </w:r>
          </w:p>
        </w:tc>
        <w:tc>
          <w:tcPr>
            <w:tcW w:w="1612" w:type="dxa"/>
            <w:tcBorders>
              <w:top w:val="single" w:sz="4" w:space="0" w:color="000000"/>
              <w:left w:val="nil"/>
              <w:bottom w:val="single" w:sz="4" w:space="0" w:color="000000"/>
              <w:right w:val="single" w:sz="4" w:space="0" w:color="000000"/>
            </w:tcBorders>
            <w:noWrap/>
            <w:vAlign w:val="bottom"/>
            <w:hideMark/>
          </w:tcPr>
          <w:p w14:paraId="5FF30489"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T statistics (|O/STDEV|)</w:t>
            </w:r>
          </w:p>
        </w:tc>
        <w:tc>
          <w:tcPr>
            <w:tcW w:w="1123" w:type="dxa"/>
            <w:tcBorders>
              <w:top w:val="single" w:sz="4" w:space="0" w:color="000000"/>
              <w:left w:val="nil"/>
              <w:bottom w:val="single" w:sz="4" w:space="0" w:color="000000"/>
              <w:right w:val="single" w:sz="4" w:space="0" w:color="000000"/>
            </w:tcBorders>
            <w:noWrap/>
            <w:vAlign w:val="bottom"/>
            <w:hideMark/>
          </w:tcPr>
          <w:p w14:paraId="0901E74C"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P values</w:t>
            </w:r>
          </w:p>
        </w:tc>
      </w:tr>
      <w:tr w:rsidR="009120FB" w:rsidRPr="000D5D7F" w14:paraId="4BBCC915" w14:textId="77777777" w:rsidTr="00AB6F4E">
        <w:trPr>
          <w:trHeight w:val="199"/>
        </w:trPr>
        <w:tc>
          <w:tcPr>
            <w:tcW w:w="5235" w:type="dxa"/>
            <w:tcBorders>
              <w:top w:val="single" w:sz="4" w:space="0" w:color="000000"/>
              <w:left w:val="single" w:sz="4" w:space="0" w:color="000000"/>
              <w:bottom w:val="single" w:sz="4" w:space="0" w:color="000000"/>
              <w:right w:val="single" w:sz="4" w:space="0" w:color="000000"/>
            </w:tcBorders>
            <w:noWrap/>
            <w:vAlign w:val="bottom"/>
            <w:hideMark/>
          </w:tcPr>
          <w:p w14:paraId="57470E8E"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 -&gt; Perception_of_Interest -&gt; Trends</w:t>
            </w:r>
          </w:p>
        </w:tc>
        <w:tc>
          <w:tcPr>
            <w:tcW w:w="1122" w:type="dxa"/>
            <w:tcBorders>
              <w:top w:val="nil"/>
              <w:left w:val="nil"/>
              <w:bottom w:val="single" w:sz="4" w:space="0" w:color="000000"/>
              <w:right w:val="single" w:sz="4" w:space="0" w:color="000000"/>
            </w:tcBorders>
            <w:noWrap/>
            <w:vAlign w:val="bottom"/>
            <w:hideMark/>
          </w:tcPr>
          <w:p w14:paraId="5C063780"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0.407</w:t>
            </w:r>
          </w:p>
        </w:tc>
        <w:tc>
          <w:tcPr>
            <w:tcW w:w="1612" w:type="dxa"/>
            <w:tcBorders>
              <w:top w:val="nil"/>
              <w:left w:val="nil"/>
              <w:bottom w:val="single" w:sz="4" w:space="0" w:color="000000"/>
              <w:right w:val="single" w:sz="4" w:space="0" w:color="000000"/>
            </w:tcBorders>
            <w:noWrap/>
            <w:vAlign w:val="bottom"/>
            <w:hideMark/>
          </w:tcPr>
          <w:p w14:paraId="758C0223"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4.674</w:t>
            </w:r>
          </w:p>
        </w:tc>
        <w:tc>
          <w:tcPr>
            <w:tcW w:w="1123" w:type="dxa"/>
            <w:tcBorders>
              <w:top w:val="nil"/>
              <w:left w:val="nil"/>
              <w:bottom w:val="single" w:sz="4" w:space="0" w:color="000000"/>
              <w:right w:val="single" w:sz="4" w:space="0" w:color="000000"/>
            </w:tcBorders>
            <w:noWrap/>
            <w:vAlign w:val="bottom"/>
            <w:hideMark/>
          </w:tcPr>
          <w:p w14:paraId="173AF459"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0.000</w:t>
            </w:r>
          </w:p>
        </w:tc>
      </w:tr>
      <w:tr w:rsidR="009120FB" w:rsidRPr="000D5D7F" w14:paraId="2DC60396"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247B00CC"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 -&gt; Ease_of_use -&gt; Intention</w:t>
            </w:r>
          </w:p>
        </w:tc>
        <w:tc>
          <w:tcPr>
            <w:tcW w:w="1122" w:type="dxa"/>
            <w:tcBorders>
              <w:top w:val="nil"/>
              <w:left w:val="nil"/>
              <w:bottom w:val="single" w:sz="4" w:space="0" w:color="000000"/>
              <w:right w:val="single" w:sz="4" w:space="0" w:color="000000"/>
            </w:tcBorders>
            <w:noWrap/>
            <w:vAlign w:val="bottom"/>
            <w:hideMark/>
          </w:tcPr>
          <w:p w14:paraId="1DDA679B"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0.080</w:t>
            </w:r>
          </w:p>
        </w:tc>
        <w:tc>
          <w:tcPr>
            <w:tcW w:w="1612" w:type="dxa"/>
            <w:tcBorders>
              <w:top w:val="nil"/>
              <w:left w:val="nil"/>
              <w:bottom w:val="single" w:sz="4" w:space="0" w:color="000000"/>
              <w:right w:val="single" w:sz="4" w:space="0" w:color="000000"/>
            </w:tcBorders>
            <w:noWrap/>
            <w:vAlign w:val="bottom"/>
            <w:hideMark/>
          </w:tcPr>
          <w:p w14:paraId="5EC56273"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1.755</w:t>
            </w:r>
          </w:p>
        </w:tc>
        <w:tc>
          <w:tcPr>
            <w:tcW w:w="1123" w:type="dxa"/>
            <w:tcBorders>
              <w:top w:val="nil"/>
              <w:left w:val="nil"/>
              <w:bottom w:val="single" w:sz="4" w:space="0" w:color="000000"/>
              <w:right w:val="single" w:sz="4" w:space="0" w:color="000000"/>
            </w:tcBorders>
            <w:noWrap/>
            <w:vAlign w:val="bottom"/>
            <w:hideMark/>
          </w:tcPr>
          <w:p w14:paraId="555EB802"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0.079</w:t>
            </w:r>
          </w:p>
        </w:tc>
      </w:tr>
      <w:tr w:rsidR="009120FB" w:rsidRPr="000D5D7F" w14:paraId="6EEC9FF9"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208469AF"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 -&gt; Perception_of_Interest -&gt; Intention</w:t>
            </w:r>
          </w:p>
        </w:tc>
        <w:tc>
          <w:tcPr>
            <w:tcW w:w="1122" w:type="dxa"/>
            <w:tcBorders>
              <w:top w:val="nil"/>
              <w:left w:val="nil"/>
              <w:bottom w:val="single" w:sz="4" w:space="0" w:color="000000"/>
              <w:right w:val="single" w:sz="4" w:space="0" w:color="000000"/>
            </w:tcBorders>
            <w:noWrap/>
            <w:vAlign w:val="bottom"/>
            <w:hideMark/>
          </w:tcPr>
          <w:p w14:paraId="12D73066"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-0.030</w:t>
            </w:r>
          </w:p>
        </w:tc>
        <w:tc>
          <w:tcPr>
            <w:tcW w:w="1612" w:type="dxa"/>
            <w:tcBorders>
              <w:top w:val="nil"/>
              <w:left w:val="nil"/>
              <w:bottom w:val="single" w:sz="4" w:space="0" w:color="000000"/>
              <w:right w:val="single" w:sz="4" w:space="0" w:color="000000"/>
            </w:tcBorders>
            <w:noWrap/>
            <w:vAlign w:val="bottom"/>
            <w:hideMark/>
          </w:tcPr>
          <w:p w14:paraId="64687A04"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0.399</w:t>
            </w:r>
          </w:p>
        </w:tc>
        <w:tc>
          <w:tcPr>
            <w:tcW w:w="1123" w:type="dxa"/>
            <w:tcBorders>
              <w:top w:val="nil"/>
              <w:left w:val="nil"/>
              <w:bottom w:val="single" w:sz="4" w:space="0" w:color="000000"/>
              <w:right w:val="single" w:sz="4" w:space="0" w:color="000000"/>
            </w:tcBorders>
            <w:noWrap/>
            <w:vAlign w:val="bottom"/>
            <w:hideMark/>
          </w:tcPr>
          <w:p w14:paraId="171DD7CD"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0.690</w:t>
            </w:r>
          </w:p>
        </w:tc>
      </w:tr>
      <w:tr w:rsidR="009120FB" w:rsidRPr="000D5D7F" w14:paraId="2304A2B9"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06C1FEC2"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 -&gt; Perception_of_Interest -&gt; Trends</w:t>
            </w:r>
          </w:p>
        </w:tc>
        <w:tc>
          <w:tcPr>
            <w:tcW w:w="1122" w:type="dxa"/>
            <w:tcBorders>
              <w:top w:val="nil"/>
              <w:left w:val="nil"/>
              <w:bottom w:val="single" w:sz="4" w:space="0" w:color="000000"/>
              <w:right w:val="single" w:sz="4" w:space="0" w:color="000000"/>
            </w:tcBorders>
            <w:noWrap/>
            <w:vAlign w:val="bottom"/>
            <w:hideMark/>
          </w:tcPr>
          <w:p w14:paraId="5B571026"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-0.011</w:t>
            </w:r>
          </w:p>
        </w:tc>
        <w:tc>
          <w:tcPr>
            <w:tcW w:w="1612" w:type="dxa"/>
            <w:tcBorders>
              <w:top w:val="nil"/>
              <w:left w:val="nil"/>
              <w:bottom w:val="single" w:sz="4" w:space="0" w:color="000000"/>
              <w:right w:val="single" w:sz="4" w:space="0" w:color="000000"/>
            </w:tcBorders>
            <w:noWrap/>
            <w:vAlign w:val="bottom"/>
            <w:hideMark/>
          </w:tcPr>
          <w:p w14:paraId="36135A12"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0.146</w:t>
            </w:r>
          </w:p>
        </w:tc>
        <w:tc>
          <w:tcPr>
            <w:tcW w:w="1123" w:type="dxa"/>
            <w:tcBorders>
              <w:top w:val="nil"/>
              <w:left w:val="nil"/>
              <w:bottom w:val="single" w:sz="4" w:space="0" w:color="000000"/>
              <w:right w:val="single" w:sz="4" w:space="0" w:color="000000"/>
            </w:tcBorders>
            <w:noWrap/>
            <w:vAlign w:val="bottom"/>
            <w:hideMark/>
          </w:tcPr>
          <w:p w14:paraId="1F733D55"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0.884</w:t>
            </w:r>
          </w:p>
        </w:tc>
      </w:tr>
      <w:tr w:rsidR="009120FB" w:rsidRPr="000D5D7F" w14:paraId="5A056D8E"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03E35992"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 -&gt; Ease_of_use -&gt; Intention</w:t>
            </w:r>
          </w:p>
        </w:tc>
        <w:tc>
          <w:tcPr>
            <w:tcW w:w="1122" w:type="dxa"/>
            <w:tcBorders>
              <w:top w:val="nil"/>
              <w:left w:val="nil"/>
              <w:bottom w:val="single" w:sz="4" w:space="0" w:color="000000"/>
              <w:right w:val="single" w:sz="4" w:space="0" w:color="000000"/>
            </w:tcBorders>
            <w:noWrap/>
            <w:vAlign w:val="bottom"/>
            <w:hideMark/>
          </w:tcPr>
          <w:p w14:paraId="43EFD8A8"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0.052</w:t>
            </w:r>
          </w:p>
        </w:tc>
        <w:tc>
          <w:tcPr>
            <w:tcW w:w="1612" w:type="dxa"/>
            <w:tcBorders>
              <w:top w:val="nil"/>
              <w:left w:val="nil"/>
              <w:bottom w:val="single" w:sz="4" w:space="0" w:color="000000"/>
              <w:right w:val="single" w:sz="4" w:space="0" w:color="000000"/>
            </w:tcBorders>
            <w:noWrap/>
            <w:vAlign w:val="bottom"/>
            <w:hideMark/>
          </w:tcPr>
          <w:p w14:paraId="63577BB9"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1.583</w:t>
            </w:r>
          </w:p>
        </w:tc>
        <w:tc>
          <w:tcPr>
            <w:tcW w:w="1123" w:type="dxa"/>
            <w:tcBorders>
              <w:top w:val="nil"/>
              <w:left w:val="nil"/>
              <w:bottom w:val="single" w:sz="4" w:space="0" w:color="000000"/>
              <w:right w:val="single" w:sz="4" w:space="0" w:color="000000"/>
            </w:tcBorders>
            <w:noWrap/>
            <w:vAlign w:val="bottom"/>
            <w:hideMark/>
          </w:tcPr>
          <w:p w14:paraId="2E32481E"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0.114</w:t>
            </w:r>
          </w:p>
        </w:tc>
      </w:tr>
      <w:tr w:rsidR="009120FB" w:rsidRPr="000D5D7F" w14:paraId="563207ED"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1D48C571"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 -&gt; Ease_of_use -&gt; Trends</w:t>
            </w:r>
          </w:p>
        </w:tc>
        <w:tc>
          <w:tcPr>
            <w:tcW w:w="1122" w:type="dxa"/>
            <w:tcBorders>
              <w:top w:val="nil"/>
              <w:left w:val="nil"/>
              <w:bottom w:val="single" w:sz="4" w:space="0" w:color="000000"/>
              <w:right w:val="single" w:sz="4" w:space="0" w:color="000000"/>
            </w:tcBorders>
            <w:noWrap/>
            <w:vAlign w:val="bottom"/>
            <w:hideMark/>
          </w:tcPr>
          <w:p w14:paraId="0BCB4643"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0.056</w:t>
            </w:r>
          </w:p>
        </w:tc>
        <w:tc>
          <w:tcPr>
            <w:tcW w:w="1612" w:type="dxa"/>
            <w:tcBorders>
              <w:top w:val="nil"/>
              <w:left w:val="nil"/>
              <w:bottom w:val="single" w:sz="4" w:space="0" w:color="000000"/>
              <w:right w:val="single" w:sz="4" w:space="0" w:color="000000"/>
            </w:tcBorders>
            <w:noWrap/>
            <w:vAlign w:val="bottom"/>
            <w:hideMark/>
          </w:tcPr>
          <w:p w14:paraId="10533363"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1.589</w:t>
            </w:r>
          </w:p>
        </w:tc>
        <w:tc>
          <w:tcPr>
            <w:tcW w:w="1123" w:type="dxa"/>
            <w:tcBorders>
              <w:top w:val="nil"/>
              <w:left w:val="nil"/>
              <w:bottom w:val="single" w:sz="4" w:space="0" w:color="000000"/>
              <w:right w:val="single" w:sz="4" w:space="0" w:color="000000"/>
            </w:tcBorders>
            <w:noWrap/>
            <w:vAlign w:val="bottom"/>
            <w:hideMark/>
          </w:tcPr>
          <w:p w14:paraId="62E71589"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0.112</w:t>
            </w:r>
          </w:p>
        </w:tc>
      </w:tr>
      <w:tr w:rsidR="009120FB" w:rsidRPr="000D5D7F" w14:paraId="59F794DC"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58670329"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 -&gt; Perception_of_Interest -&gt; Trends</w:t>
            </w:r>
          </w:p>
        </w:tc>
        <w:tc>
          <w:tcPr>
            <w:tcW w:w="1122" w:type="dxa"/>
            <w:tcBorders>
              <w:top w:val="nil"/>
              <w:left w:val="nil"/>
              <w:bottom w:val="single" w:sz="4" w:space="0" w:color="000000"/>
              <w:right w:val="single" w:sz="4" w:space="0" w:color="000000"/>
            </w:tcBorders>
            <w:noWrap/>
            <w:vAlign w:val="bottom"/>
            <w:hideMark/>
          </w:tcPr>
          <w:p w14:paraId="02F12399"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-0.032</w:t>
            </w:r>
          </w:p>
        </w:tc>
        <w:tc>
          <w:tcPr>
            <w:tcW w:w="1612" w:type="dxa"/>
            <w:tcBorders>
              <w:top w:val="nil"/>
              <w:left w:val="nil"/>
              <w:bottom w:val="single" w:sz="4" w:space="0" w:color="000000"/>
              <w:right w:val="single" w:sz="4" w:space="0" w:color="000000"/>
            </w:tcBorders>
            <w:noWrap/>
            <w:vAlign w:val="bottom"/>
            <w:hideMark/>
          </w:tcPr>
          <w:p w14:paraId="77EF670A"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0.383</w:t>
            </w:r>
          </w:p>
        </w:tc>
        <w:tc>
          <w:tcPr>
            <w:tcW w:w="1123" w:type="dxa"/>
            <w:tcBorders>
              <w:top w:val="nil"/>
              <w:left w:val="nil"/>
              <w:bottom w:val="single" w:sz="4" w:space="0" w:color="000000"/>
              <w:right w:val="single" w:sz="4" w:space="0" w:color="000000"/>
            </w:tcBorders>
            <w:noWrap/>
            <w:vAlign w:val="bottom"/>
            <w:hideMark/>
          </w:tcPr>
          <w:p w14:paraId="3650EF42"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0.701</w:t>
            </w:r>
          </w:p>
        </w:tc>
      </w:tr>
      <w:tr w:rsidR="009120FB" w:rsidRPr="000D5D7F" w14:paraId="3A869F71"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0A16AC9E"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 -&gt; Ease_of_use -&gt; Intention</w:t>
            </w:r>
          </w:p>
        </w:tc>
        <w:tc>
          <w:tcPr>
            <w:tcW w:w="1122" w:type="dxa"/>
            <w:tcBorders>
              <w:top w:val="nil"/>
              <w:left w:val="nil"/>
              <w:bottom w:val="single" w:sz="4" w:space="0" w:color="000000"/>
              <w:right w:val="single" w:sz="4" w:space="0" w:color="000000"/>
            </w:tcBorders>
            <w:noWrap/>
            <w:vAlign w:val="bottom"/>
            <w:hideMark/>
          </w:tcPr>
          <w:p w14:paraId="22E8E412"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0.003</w:t>
            </w:r>
          </w:p>
        </w:tc>
        <w:tc>
          <w:tcPr>
            <w:tcW w:w="1612" w:type="dxa"/>
            <w:tcBorders>
              <w:top w:val="nil"/>
              <w:left w:val="nil"/>
              <w:bottom w:val="single" w:sz="4" w:space="0" w:color="000000"/>
              <w:right w:val="single" w:sz="4" w:space="0" w:color="000000"/>
            </w:tcBorders>
            <w:noWrap/>
            <w:vAlign w:val="bottom"/>
            <w:hideMark/>
          </w:tcPr>
          <w:p w14:paraId="5B8242A1"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0.091</w:t>
            </w:r>
          </w:p>
        </w:tc>
        <w:tc>
          <w:tcPr>
            <w:tcW w:w="1123" w:type="dxa"/>
            <w:tcBorders>
              <w:top w:val="nil"/>
              <w:left w:val="nil"/>
              <w:bottom w:val="single" w:sz="4" w:space="0" w:color="000000"/>
              <w:right w:val="single" w:sz="4" w:space="0" w:color="000000"/>
            </w:tcBorders>
            <w:noWrap/>
            <w:vAlign w:val="bottom"/>
            <w:hideMark/>
          </w:tcPr>
          <w:p w14:paraId="2F430E41"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0.928</w:t>
            </w:r>
          </w:p>
        </w:tc>
      </w:tr>
      <w:tr w:rsidR="009120FB" w:rsidRPr="000D5D7F" w14:paraId="6990D9E3"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599F84FF"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 -&gt; Ease_of_use -&gt; Trends</w:t>
            </w:r>
          </w:p>
        </w:tc>
        <w:tc>
          <w:tcPr>
            <w:tcW w:w="1122" w:type="dxa"/>
            <w:tcBorders>
              <w:top w:val="nil"/>
              <w:left w:val="nil"/>
              <w:bottom w:val="single" w:sz="4" w:space="0" w:color="000000"/>
              <w:right w:val="single" w:sz="4" w:space="0" w:color="000000"/>
            </w:tcBorders>
            <w:noWrap/>
            <w:vAlign w:val="bottom"/>
            <w:hideMark/>
          </w:tcPr>
          <w:p w14:paraId="57BE0766"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0.037</w:t>
            </w:r>
          </w:p>
        </w:tc>
        <w:tc>
          <w:tcPr>
            <w:tcW w:w="1612" w:type="dxa"/>
            <w:tcBorders>
              <w:top w:val="nil"/>
              <w:left w:val="nil"/>
              <w:bottom w:val="single" w:sz="4" w:space="0" w:color="000000"/>
              <w:right w:val="single" w:sz="4" w:space="0" w:color="000000"/>
            </w:tcBorders>
            <w:noWrap/>
            <w:vAlign w:val="bottom"/>
            <w:hideMark/>
          </w:tcPr>
          <w:p w14:paraId="302EA8F3"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1.363</w:t>
            </w:r>
          </w:p>
        </w:tc>
        <w:tc>
          <w:tcPr>
            <w:tcW w:w="1123" w:type="dxa"/>
            <w:tcBorders>
              <w:top w:val="nil"/>
              <w:left w:val="nil"/>
              <w:bottom w:val="single" w:sz="4" w:space="0" w:color="000000"/>
              <w:right w:val="single" w:sz="4" w:space="0" w:color="000000"/>
            </w:tcBorders>
            <w:noWrap/>
            <w:vAlign w:val="bottom"/>
            <w:hideMark/>
          </w:tcPr>
          <w:p w14:paraId="09144467"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0.173</w:t>
            </w:r>
          </w:p>
        </w:tc>
      </w:tr>
      <w:tr w:rsidR="009120FB" w:rsidRPr="000D5D7F" w14:paraId="6929F128"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7503DBB0"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 -&gt; Ease_of_use -&gt; Trends</w:t>
            </w:r>
          </w:p>
        </w:tc>
        <w:tc>
          <w:tcPr>
            <w:tcW w:w="1122" w:type="dxa"/>
            <w:tcBorders>
              <w:top w:val="nil"/>
              <w:left w:val="nil"/>
              <w:bottom w:val="single" w:sz="4" w:space="0" w:color="000000"/>
              <w:right w:val="single" w:sz="4" w:space="0" w:color="000000"/>
            </w:tcBorders>
            <w:noWrap/>
            <w:vAlign w:val="bottom"/>
            <w:hideMark/>
          </w:tcPr>
          <w:p w14:paraId="300FE34D"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0.002</w:t>
            </w:r>
          </w:p>
        </w:tc>
        <w:tc>
          <w:tcPr>
            <w:tcW w:w="1612" w:type="dxa"/>
            <w:tcBorders>
              <w:top w:val="nil"/>
              <w:left w:val="nil"/>
              <w:bottom w:val="single" w:sz="4" w:space="0" w:color="000000"/>
              <w:right w:val="single" w:sz="4" w:space="0" w:color="000000"/>
            </w:tcBorders>
            <w:noWrap/>
            <w:vAlign w:val="bottom"/>
            <w:hideMark/>
          </w:tcPr>
          <w:p w14:paraId="6C8FDE42"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0.094</w:t>
            </w:r>
          </w:p>
        </w:tc>
        <w:tc>
          <w:tcPr>
            <w:tcW w:w="1123" w:type="dxa"/>
            <w:tcBorders>
              <w:top w:val="nil"/>
              <w:left w:val="nil"/>
              <w:bottom w:val="single" w:sz="4" w:space="0" w:color="000000"/>
              <w:right w:val="single" w:sz="4" w:space="0" w:color="000000"/>
            </w:tcBorders>
            <w:noWrap/>
            <w:vAlign w:val="bottom"/>
            <w:hideMark/>
          </w:tcPr>
          <w:p w14:paraId="664E6949"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0.925</w:t>
            </w:r>
          </w:p>
        </w:tc>
      </w:tr>
      <w:tr w:rsidR="009120FB" w:rsidRPr="000D5D7F" w14:paraId="5B1462EE"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09156AFE"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 -&gt; Perception_of_Interest -&gt; Intention</w:t>
            </w:r>
          </w:p>
        </w:tc>
        <w:tc>
          <w:tcPr>
            <w:tcW w:w="1122" w:type="dxa"/>
            <w:tcBorders>
              <w:top w:val="nil"/>
              <w:left w:val="nil"/>
              <w:bottom w:val="single" w:sz="4" w:space="0" w:color="000000"/>
              <w:right w:val="single" w:sz="4" w:space="0" w:color="000000"/>
            </w:tcBorders>
            <w:noWrap/>
            <w:vAlign w:val="bottom"/>
            <w:hideMark/>
          </w:tcPr>
          <w:p w14:paraId="15B6557D"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0.382</w:t>
            </w:r>
          </w:p>
        </w:tc>
        <w:tc>
          <w:tcPr>
            <w:tcW w:w="1612" w:type="dxa"/>
            <w:tcBorders>
              <w:top w:val="nil"/>
              <w:left w:val="nil"/>
              <w:bottom w:val="single" w:sz="4" w:space="0" w:color="000000"/>
              <w:right w:val="single" w:sz="4" w:space="0" w:color="000000"/>
            </w:tcBorders>
            <w:noWrap/>
            <w:vAlign w:val="bottom"/>
            <w:hideMark/>
          </w:tcPr>
          <w:p w14:paraId="0EFA4D44"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4.305</w:t>
            </w:r>
          </w:p>
        </w:tc>
        <w:tc>
          <w:tcPr>
            <w:tcW w:w="1123" w:type="dxa"/>
            <w:tcBorders>
              <w:top w:val="nil"/>
              <w:left w:val="nil"/>
              <w:bottom w:val="single" w:sz="4" w:space="0" w:color="000000"/>
              <w:right w:val="single" w:sz="4" w:space="0" w:color="000000"/>
            </w:tcBorders>
            <w:noWrap/>
            <w:vAlign w:val="bottom"/>
            <w:hideMark/>
          </w:tcPr>
          <w:p w14:paraId="3372EDAA"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0.000</w:t>
            </w:r>
          </w:p>
        </w:tc>
      </w:tr>
      <w:tr w:rsidR="009120FB" w:rsidRPr="000D5D7F" w14:paraId="5C7B23B8" w14:textId="77777777" w:rsidTr="00AB6F4E">
        <w:trPr>
          <w:trHeight w:val="199"/>
        </w:trPr>
        <w:tc>
          <w:tcPr>
            <w:tcW w:w="5235" w:type="dxa"/>
            <w:tcBorders>
              <w:top w:val="nil"/>
              <w:left w:val="single" w:sz="4" w:space="0" w:color="000000"/>
              <w:bottom w:val="single" w:sz="4" w:space="0" w:color="000000"/>
              <w:right w:val="single" w:sz="4" w:space="0" w:color="000000"/>
            </w:tcBorders>
            <w:noWrap/>
            <w:vAlign w:val="bottom"/>
            <w:hideMark/>
          </w:tcPr>
          <w:p w14:paraId="38242BF0"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 -&gt; Perception_of_Interest -&gt; Intention</w:t>
            </w:r>
          </w:p>
        </w:tc>
        <w:tc>
          <w:tcPr>
            <w:tcW w:w="1122" w:type="dxa"/>
            <w:tcBorders>
              <w:top w:val="nil"/>
              <w:left w:val="nil"/>
              <w:bottom w:val="single" w:sz="4" w:space="0" w:color="000000"/>
              <w:right w:val="single" w:sz="4" w:space="0" w:color="000000"/>
            </w:tcBorders>
            <w:noWrap/>
            <w:vAlign w:val="bottom"/>
            <w:hideMark/>
          </w:tcPr>
          <w:p w14:paraId="5EB66A1B"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-0.010</w:t>
            </w:r>
          </w:p>
        </w:tc>
        <w:tc>
          <w:tcPr>
            <w:tcW w:w="1612" w:type="dxa"/>
            <w:tcBorders>
              <w:top w:val="nil"/>
              <w:left w:val="nil"/>
              <w:bottom w:val="single" w:sz="4" w:space="0" w:color="000000"/>
              <w:right w:val="single" w:sz="4" w:space="0" w:color="000000"/>
            </w:tcBorders>
            <w:noWrap/>
            <w:vAlign w:val="bottom"/>
            <w:hideMark/>
          </w:tcPr>
          <w:p w14:paraId="1711786F"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0.152</w:t>
            </w:r>
          </w:p>
        </w:tc>
        <w:tc>
          <w:tcPr>
            <w:tcW w:w="1123" w:type="dxa"/>
            <w:tcBorders>
              <w:top w:val="nil"/>
              <w:left w:val="nil"/>
              <w:bottom w:val="single" w:sz="4" w:space="0" w:color="000000"/>
              <w:right w:val="single" w:sz="4" w:space="0" w:color="000000"/>
            </w:tcBorders>
            <w:noWrap/>
            <w:vAlign w:val="bottom"/>
            <w:hideMark/>
          </w:tcPr>
          <w:p w14:paraId="14460003"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0.879</w:t>
            </w:r>
          </w:p>
        </w:tc>
      </w:tr>
    </w:tbl>
    <w:p w14:paraId="7B161F42" w14:textId="77777777" w:rsidR="009120FB" w:rsidRPr="000D5D7F" w:rsidRDefault="009120FB" w:rsidP="009120FB">
      <w:pPr>
        <w:tabs>
          <w:tab w:val="left" w:pos="1890"/>
        </w:tabs>
        <w:spacing w:line="240" w:lineRule="auto"/>
        <w:jc w:val="both"/>
        <w:rPr>
          <w:color w:val="000000"/>
          <w:sz w:val="16"/>
          <w:szCs w:val="16"/>
          <w:rtl/>
        </w:rPr>
      </w:pPr>
    </w:p>
    <w:p w14:paraId="4CAA651A" w14:textId="705DB7F5" w:rsidR="00BD2F36" w:rsidRPr="002C217E" w:rsidRDefault="002C217E" w:rsidP="002C217E">
      <w:pPr>
        <w:spacing w:after="160"/>
        <w:ind w:firstLine="720"/>
        <w:jc w:val="both"/>
        <w:rPr>
          <w:sz w:val="22"/>
        </w:rPr>
      </w:pPr>
      <w:r w:rsidRPr="002C217E">
        <w:rPr>
          <w:sz w:val="22"/>
        </w:rPr>
        <w:t xml:space="preserve">Table 4 in direct path coefficients demonstrates the hypotheses in full. Regarding the outcomes of all the following hypotheses, note that the indirect effect is not significantly distinct from zero. Therefore, support for the possibilities could not be established. Barriers to the intention hypothesis mediated by ease of </w:t>
      </w:r>
      <w:r w:rsidR="00E31082" w:rsidRPr="002C217E">
        <w:rPr>
          <w:sz w:val="22"/>
        </w:rPr>
        <w:t>use is</w:t>
      </w:r>
      <w:r w:rsidRPr="002C217E">
        <w:rPr>
          <w:sz w:val="22"/>
        </w:rPr>
        <w:t xml:space="preserve"> estimated to be 0.080, p = 0.079. The hypothesis that knowledge influences intention is mediated by the perception of interest in that intention, which has an estimated value of -0.030 and a p-value of 0.690. The hypothesis that ITF influences trends is mediated by the perception of interest, which has an estimated value of -0.011 and a p-value of 0.884. The hypothesis concerning the correlation between ITF and intention, mediated by ease of use, yields an estimate of 0.052 with a p-value of 0.114. Barriers to the trends hypothesis, mediated by ease of use, are estimated to be 0.056, p = 0.112). Thus, the hypothesis regarding Knowledge trends is mediated by the perception of interest, which is evaluated at -0.032, p = 0.701. The hypothesis that Knowledge influences Intention is mediated by ease of use, with an estimate of 0.003 and p = 0.928. The hypothesis of ITF about trends is mediated by ease of use, evaluated at 0.037, p </w:t>
      </w:r>
      <w:r w:rsidRPr="002C217E">
        <w:rPr>
          <w:sz w:val="22"/>
        </w:rPr>
        <w:lastRenderedPageBreak/>
        <w:t>= 0.173. Furthermore, the hypothesis regarding Knowledge trends is mediated by ease of use, which is evaluated at 0.002, p = 0.925. Moreover, the hypothesis regarding barriers to intention is mediated by the sense of interest, which is assessed at 0.382, p &lt; 0.001. The hypothesis of the ITF posits that Intention is mediated by Perception of Interest, with a calculated value of -0.010 and p = 0.879.</w:t>
      </w:r>
    </w:p>
    <w:p w14:paraId="72E55CCD" w14:textId="77777777" w:rsidR="009120FB" w:rsidRPr="000D5D7F" w:rsidRDefault="009120FB" w:rsidP="009120FB">
      <w:pPr>
        <w:spacing w:after="160" w:line="240" w:lineRule="auto"/>
        <w:ind w:firstLine="720"/>
        <w:jc w:val="center"/>
        <w:rPr>
          <w:b/>
          <w:bCs/>
          <w:sz w:val="22"/>
        </w:rPr>
      </w:pPr>
      <w:r w:rsidRPr="000D5D7F">
        <w:rPr>
          <w:b/>
          <w:bCs/>
          <w:sz w:val="22"/>
        </w:rPr>
        <w:t>Discussion</w:t>
      </w:r>
    </w:p>
    <w:p w14:paraId="642609EC" w14:textId="2AF4A2C6" w:rsidR="009120FB" w:rsidRPr="000D5D7F" w:rsidRDefault="009120FB" w:rsidP="009120FB">
      <w:pPr>
        <w:spacing w:after="160"/>
        <w:ind w:firstLine="720"/>
        <w:jc w:val="both"/>
        <w:rPr>
          <w:sz w:val="22"/>
        </w:rPr>
      </w:pPr>
      <w:r w:rsidRPr="000D5D7F">
        <w:rPr>
          <w:sz w:val="22"/>
        </w:rPr>
        <w:t xml:space="preserve">Subsequently, the questions and the hypotheses were attempted to investigate the alignment </w:t>
      </w:r>
      <w:r w:rsidR="00660403" w:rsidRPr="000D5D7F">
        <w:rPr>
          <w:sz w:val="22"/>
        </w:rPr>
        <w:t>of the</w:t>
      </w:r>
      <w:r w:rsidRPr="000D5D7F">
        <w:rPr>
          <w:sz w:val="22"/>
        </w:rPr>
        <w:t xml:space="preserve"> study with the analysis of data. Table 4 is inserted below </w:t>
      </w:r>
      <w:r w:rsidR="00660403" w:rsidRPr="000D5D7F">
        <w:rPr>
          <w:sz w:val="22"/>
        </w:rPr>
        <w:t>to present</w:t>
      </w:r>
      <w:r w:rsidRPr="000D5D7F">
        <w:rPr>
          <w:sz w:val="22"/>
        </w:rPr>
        <w:t xml:space="preserve"> clear results that are made from the hypotheses and responded questions of the study.</w:t>
      </w:r>
    </w:p>
    <w:p w14:paraId="2257A0D7" w14:textId="77777777" w:rsidR="009120FB" w:rsidRPr="000D5D7F" w:rsidRDefault="009120FB" w:rsidP="009120FB">
      <w:pPr>
        <w:spacing w:after="160" w:line="240" w:lineRule="auto"/>
        <w:ind w:firstLine="720"/>
        <w:jc w:val="both"/>
        <w:rPr>
          <w:szCs w:val="24"/>
        </w:rPr>
      </w:pPr>
    </w:p>
    <w:tbl>
      <w:tblPr>
        <w:tblW w:w="7200" w:type="dxa"/>
        <w:tblInd w:w="990" w:type="dxa"/>
        <w:tblLook w:val="04A0" w:firstRow="1" w:lastRow="0" w:firstColumn="1" w:lastColumn="0" w:noHBand="0" w:noVBand="1"/>
      </w:tblPr>
      <w:tblGrid>
        <w:gridCol w:w="3240"/>
        <w:gridCol w:w="1512"/>
        <w:gridCol w:w="1278"/>
        <w:gridCol w:w="1170"/>
      </w:tblGrid>
      <w:tr w:rsidR="009120FB" w:rsidRPr="000D5D7F" w14:paraId="4816BBD0" w14:textId="77777777" w:rsidTr="00AB6F4E">
        <w:trPr>
          <w:trHeight w:val="237"/>
        </w:trPr>
        <w:tc>
          <w:tcPr>
            <w:tcW w:w="3240" w:type="dxa"/>
            <w:tcBorders>
              <w:top w:val="nil"/>
              <w:left w:val="nil"/>
              <w:bottom w:val="nil"/>
              <w:right w:val="nil"/>
            </w:tcBorders>
            <w:noWrap/>
            <w:vAlign w:val="bottom"/>
            <w:hideMark/>
          </w:tcPr>
          <w:p w14:paraId="16C2267C" w14:textId="77777777" w:rsidR="009120FB" w:rsidRPr="000D5D7F" w:rsidRDefault="009120FB" w:rsidP="009120FB">
            <w:pPr>
              <w:spacing w:line="240" w:lineRule="auto"/>
              <w:rPr>
                <w:rFonts w:eastAsia="Times New Roman"/>
                <w:sz w:val="20"/>
                <w:szCs w:val="20"/>
              </w:rPr>
            </w:pPr>
          </w:p>
        </w:tc>
        <w:tc>
          <w:tcPr>
            <w:tcW w:w="1512" w:type="dxa"/>
            <w:tcBorders>
              <w:top w:val="single" w:sz="4" w:space="0" w:color="000000"/>
              <w:left w:val="single" w:sz="4" w:space="0" w:color="000000"/>
              <w:bottom w:val="single" w:sz="4" w:space="0" w:color="000000"/>
              <w:right w:val="single" w:sz="4" w:space="0" w:color="000000"/>
            </w:tcBorders>
            <w:noWrap/>
            <w:vAlign w:val="bottom"/>
            <w:hideMark/>
          </w:tcPr>
          <w:p w14:paraId="314B1660"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Original sample (O)</w:t>
            </w:r>
          </w:p>
        </w:tc>
        <w:tc>
          <w:tcPr>
            <w:tcW w:w="1278" w:type="dxa"/>
            <w:tcBorders>
              <w:top w:val="single" w:sz="4" w:space="0" w:color="000000"/>
              <w:left w:val="nil"/>
              <w:bottom w:val="single" w:sz="4" w:space="0" w:color="000000"/>
              <w:right w:val="single" w:sz="4" w:space="0" w:color="000000"/>
            </w:tcBorders>
            <w:noWrap/>
            <w:vAlign w:val="bottom"/>
            <w:hideMark/>
          </w:tcPr>
          <w:p w14:paraId="28A6249D"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T statistics (|O/STDEV|)</w:t>
            </w:r>
          </w:p>
        </w:tc>
        <w:tc>
          <w:tcPr>
            <w:tcW w:w="1170" w:type="dxa"/>
            <w:tcBorders>
              <w:top w:val="single" w:sz="4" w:space="0" w:color="000000"/>
              <w:left w:val="nil"/>
              <w:bottom w:val="single" w:sz="4" w:space="0" w:color="000000"/>
              <w:right w:val="single" w:sz="4" w:space="0" w:color="000000"/>
            </w:tcBorders>
            <w:noWrap/>
            <w:vAlign w:val="bottom"/>
            <w:hideMark/>
          </w:tcPr>
          <w:p w14:paraId="08D7564F"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P values</w:t>
            </w:r>
          </w:p>
        </w:tc>
      </w:tr>
      <w:tr w:rsidR="009120FB" w:rsidRPr="000D5D7F" w14:paraId="2721331B" w14:textId="77777777" w:rsidTr="00AB6F4E">
        <w:trPr>
          <w:trHeight w:val="237"/>
        </w:trPr>
        <w:tc>
          <w:tcPr>
            <w:tcW w:w="3240" w:type="dxa"/>
            <w:tcBorders>
              <w:top w:val="single" w:sz="4" w:space="0" w:color="000000"/>
              <w:left w:val="single" w:sz="4" w:space="0" w:color="000000"/>
              <w:bottom w:val="single" w:sz="4" w:space="0" w:color="000000"/>
              <w:right w:val="single" w:sz="4" w:space="0" w:color="000000"/>
            </w:tcBorders>
            <w:noWrap/>
            <w:vAlign w:val="bottom"/>
            <w:hideMark/>
          </w:tcPr>
          <w:p w14:paraId="2B2FED5C"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 -&gt; Ease_of_use</w:t>
            </w:r>
          </w:p>
        </w:tc>
        <w:tc>
          <w:tcPr>
            <w:tcW w:w="1512" w:type="dxa"/>
            <w:tcBorders>
              <w:top w:val="nil"/>
              <w:left w:val="nil"/>
              <w:bottom w:val="single" w:sz="4" w:space="0" w:color="000000"/>
              <w:right w:val="single" w:sz="4" w:space="0" w:color="000000"/>
            </w:tcBorders>
            <w:noWrap/>
            <w:vAlign w:val="bottom"/>
            <w:hideMark/>
          </w:tcPr>
          <w:p w14:paraId="68B1B13F"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0.398</w:t>
            </w:r>
          </w:p>
        </w:tc>
        <w:tc>
          <w:tcPr>
            <w:tcW w:w="1278" w:type="dxa"/>
            <w:tcBorders>
              <w:top w:val="nil"/>
              <w:left w:val="nil"/>
              <w:bottom w:val="single" w:sz="4" w:space="0" w:color="000000"/>
              <w:right w:val="single" w:sz="4" w:space="0" w:color="000000"/>
            </w:tcBorders>
            <w:noWrap/>
            <w:vAlign w:val="bottom"/>
            <w:hideMark/>
          </w:tcPr>
          <w:p w14:paraId="03E99B07"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4.161</w:t>
            </w:r>
          </w:p>
        </w:tc>
        <w:tc>
          <w:tcPr>
            <w:tcW w:w="1170" w:type="dxa"/>
            <w:tcBorders>
              <w:top w:val="nil"/>
              <w:left w:val="nil"/>
              <w:bottom w:val="single" w:sz="4" w:space="0" w:color="000000"/>
              <w:right w:val="single" w:sz="4" w:space="0" w:color="000000"/>
            </w:tcBorders>
            <w:noWrap/>
            <w:vAlign w:val="bottom"/>
            <w:hideMark/>
          </w:tcPr>
          <w:p w14:paraId="33ED068E" w14:textId="77777777" w:rsidR="009120FB" w:rsidRPr="000D5D7F" w:rsidRDefault="009120FB" w:rsidP="009120FB">
            <w:pPr>
              <w:spacing w:line="240" w:lineRule="auto"/>
              <w:jc w:val="right"/>
              <w:rPr>
                <w:rFonts w:eastAsia="Times New Roman"/>
                <w:color w:val="008000"/>
                <w:sz w:val="20"/>
                <w:szCs w:val="20"/>
              </w:rPr>
            </w:pPr>
            <w:bookmarkStart w:id="5" w:name="_Hlk202777140"/>
            <w:r w:rsidRPr="000D5D7F">
              <w:rPr>
                <w:rFonts w:eastAsia="Times New Roman"/>
                <w:color w:val="008000"/>
                <w:sz w:val="20"/>
                <w:szCs w:val="20"/>
              </w:rPr>
              <w:t>0.000</w:t>
            </w:r>
            <w:bookmarkEnd w:id="5"/>
          </w:p>
        </w:tc>
      </w:tr>
      <w:tr w:rsidR="009120FB" w:rsidRPr="000D5D7F" w14:paraId="4F9DBE48"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3FB24B28"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 -&gt; Intention</w:t>
            </w:r>
          </w:p>
        </w:tc>
        <w:tc>
          <w:tcPr>
            <w:tcW w:w="1512" w:type="dxa"/>
            <w:tcBorders>
              <w:top w:val="nil"/>
              <w:left w:val="nil"/>
              <w:bottom w:val="single" w:sz="4" w:space="0" w:color="000000"/>
              <w:right w:val="single" w:sz="4" w:space="0" w:color="000000"/>
            </w:tcBorders>
            <w:noWrap/>
            <w:vAlign w:val="bottom"/>
            <w:hideMark/>
          </w:tcPr>
          <w:p w14:paraId="35FA07C9"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0.078</w:t>
            </w:r>
          </w:p>
        </w:tc>
        <w:tc>
          <w:tcPr>
            <w:tcW w:w="1278" w:type="dxa"/>
            <w:tcBorders>
              <w:top w:val="nil"/>
              <w:left w:val="nil"/>
              <w:bottom w:val="single" w:sz="4" w:space="0" w:color="000000"/>
              <w:right w:val="single" w:sz="4" w:space="0" w:color="000000"/>
            </w:tcBorders>
            <w:noWrap/>
            <w:vAlign w:val="bottom"/>
            <w:hideMark/>
          </w:tcPr>
          <w:p w14:paraId="54098415"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0.766</w:t>
            </w:r>
          </w:p>
        </w:tc>
        <w:tc>
          <w:tcPr>
            <w:tcW w:w="1170" w:type="dxa"/>
            <w:tcBorders>
              <w:top w:val="nil"/>
              <w:left w:val="nil"/>
              <w:bottom w:val="single" w:sz="4" w:space="0" w:color="000000"/>
              <w:right w:val="single" w:sz="4" w:space="0" w:color="000000"/>
            </w:tcBorders>
            <w:noWrap/>
            <w:vAlign w:val="bottom"/>
            <w:hideMark/>
          </w:tcPr>
          <w:p w14:paraId="0C1D0036"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0.444</w:t>
            </w:r>
          </w:p>
        </w:tc>
      </w:tr>
      <w:tr w:rsidR="009120FB" w:rsidRPr="000D5D7F" w14:paraId="1624BD28"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71999F81"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 -&gt; Perception_of_Interest</w:t>
            </w:r>
          </w:p>
        </w:tc>
        <w:tc>
          <w:tcPr>
            <w:tcW w:w="1512" w:type="dxa"/>
            <w:tcBorders>
              <w:top w:val="nil"/>
              <w:left w:val="nil"/>
              <w:bottom w:val="single" w:sz="4" w:space="0" w:color="000000"/>
              <w:right w:val="single" w:sz="4" w:space="0" w:color="000000"/>
            </w:tcBorders>
            <w:noWrap/>
            <w:vAlign w:val="bottom"/>
            <w:hideMark/>
          </w:tcPr>
          <w:p w14:paraId="2D88FF6A"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0.626</w:t>
            </w:r>
          </w:p>
        </w:tc>
        <w:tc>
          <w:tcPr>
            <w:tcW w:w="1278" w:type="dxa"/>
            <w:tcBorders>
              <w:top w:val="nil"/>
              <w:left w:val="nil"/>
              <w:bottom w:val="single" w:sz="4" w:space="0" w:color="000000"/>
              <w:right w:val="single" w:sz="4" w:space="0" w:color="000000"/>
            </w:tcBorders>
            <w:noWrap/>
            <w:vAlign w:val="bottom"/>
            <w:hideMark/>
          </w:tcPr>
          <w:p w14:paraId="7BBB608B"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6.848</w:t>
            </w:r>
          </w:p>
        </w:tc>
        <w:tc>
          <w:tcPr>
            <w:tcW w:w="1170" w:type="dxa"/>
            <w:tcBorders>
              <w:top w:val="nil"/>
              <w:left w:val="nil"/>
              <w:bottom w:val="single" w:sz="4" w:space="0" w:color="000000"/>
              <w:right w:val="single" w:sz="4" w:space="0" w:color="000000"/>
            </w:tcBorders>
            <w:noWrap/>
            <w:vAlign w:val="bottom"/>
            <w:hideMark/>
          </w:tcPr>
          <w:p w14:paraId="5E73A8EF"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0.000</w:t>
            </w:r>
          </w:p>
        </w:tc>
      </w:tr>
      <w:tr w:rsidR="009120FB" w:rsidRPr="000D5D7F" w14:paraId="0202CB5E"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1A796354"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Barriers -&gt; Trends</w:t>
            </w:r>
          </w:p>
        </w:tc>
        <w:tc>
          <w:tcPr>
            <w:tcW w:w="1512" w:type="dxa"/>
            <w:tcBorders>
              <w:top w:val="nil"/>
              <w:left w:val="nil"/>
              <w:bottom w:val="single" w:sz="4" w:space="0" w:color="000000"/>
              <w:right w:val="single" w:sz="4" w:space="0" w:color="000000"/>
            </w:tcBorders>
            <w:noWrap/>
            <w:vAlign w:val="bottom"/>
            <w:hideMark/>
          </w:tcPr>
          <w:p w14:paraId="3DE43F0B"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-0.034</w:t>
            </w:r>
          </w:p>
        </w:tc>
        <w:tc>
          <w:tcPr>
            <w:tcW w:w="1278" w:type="dxa"/>
            <w:tcBorders>
              <w:top w:val="nil"/>
              <w:left w:val="nil"/>
              <w:bottom w:val="single" w:sz="4" w:space="0" w:color="000000"/>
              <w:right w:val="single" w:sz="4" w:space="0" w:color="000000"/>
            </w:tcBorders>
            <w:noWrap/>
            <w:vAlign w:val="bottom"/>
            <w:hideMark/>
          </w:tcPr>
          <w:p w14:paraId="7853654E"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0.352</w:t>
            </w:r>
          </w:p>
        </w:tc>
        <w:tc>
          <w:tcPr>
            <w:tcW w:w="1170" w:type="dxa"/>
            <w:tcBorders>
              <w:top w:val="nil"/>
              <w:left w:val="nil"/>
              <w:bottom w:val="single" w:sz="4" w:space="0" w:color="000000"/>
              <w:right w:val="single" w:sz="4" w:space="0" w:color="000000"/>
            </w:tcBorders>
            <w:noWrap/>
            <w:vAlign w:val="bottom"/>
            <w:hideMark/>
          </w:tcPr>
          <w:p w14:paraId="32625926" w14:textId="77777777" w:rsidR="009120FB" w:rsidRPr="000D5D7F" w:rsidRDefault="009120FB" w:rsidP="009120FB">
            <w:pPr>
              <w:spacing w:line="240" w:lineRule="auto"/>
              <w:jc w:val="right"/>
              <w:rPr>
                <w:rFonts w:eastAsia="Times New Roman"/>
                <w:color w:val="800000"/>
                <w:sz w:val="20"/>
                <w:szCs w:val="20"/>
              </w:rPr>
            </w:pPr>
            <w:bookmarkStart w:id="6" w:name="_Hlk202779100"/>
            <w:r w:rsidRPr="000D5D7F">
              <w:rPr>
                <w:rFonts w:eastAsia="Times New Roman"/>
                <w:color w:val="800000"/>
                <w:sz w:val="20"/>
                <w:szCs w:val="20"/>
              </w:rPr>
              <w:t>0.725</w:t>
            </w:r>
            <w:bookmarkEnd w:id="6"/>
          </w:p>
        </w:tc>
      </w:tr>
      <w:tr w:rsidR="009120FB" w:rsidRPr="000D5D7F" w14:paraId="5923DCC3"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40409058"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Ease_of_use -&gt; Intention</w:t>
            </w:r>
          </w:p>
        </w:tc>
        <w:tc>
          <w:tcPr>
            <w:tcW w:w="1512" w:type="dxa"/>
            <w:tcBorders>
              <w:top w:val="nil"/>
              <w:left w:val="nil"/>
              <w:bottom w:val="single" w:sz="4" w:space="0" w:color="000000"/>
              <w:right w:val="single" w:sz="4" w:space="0" w:color="000000"/>
            </w:tcBorders>
            <w:noWrap/>
            <w:vAlign w:val="bottom"/>
            <w:hideMark/>
          </w:tcPr>
          <w:p w14:paraId="07EE467B"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0.200</w:t>
            </w:r>
          </w:p>
        </w:tc>
        <w:tc>
          <w:tcPr>
            <w:tcW w:w="1278" w:type="dxa"/>
            <w:tcBorders>
              <w:top w:val="nil"/>
              <w:left w:val="nil"/>
              <w:bottom w:val="single" w:sz="4" w:space="0" w:color="000000"/>
              <w:right w:val="single" w:sz="4" w:space="0" w:color="000000"/>
            </w:tcBorders>
            <w:noWrap/>
            <w:vAlign w:val="bottom"/>
            <w:hideMark/>
          </w:tcPr>
          <w:p w14:paraId="5B12A43D"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2.270</w:t>
            </w:r>
          </w:p>
        </w:tc>
        <w:tc>
          <w:tcPr>
            <w:tcW w:w="1170" w:type="dxa"/>
            <w:tcBorders>
              <w:top w:val="nil"/>
              <w:left w:val="nil"/>
              <w:bottom w:val="single" w:sz="4" w:space="0" w:color="000000"/>
              <w:right w:val="single" w:sz="4" w:space="0" w:color="000000"/>
            </w:tcBorders>
            <w:noWrap/>
            <w:vAlign w:val="bottom"/>
            <w:hideMark/>
          </w:tcPr>
          <w:p w14:paraId="7533A3E7"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0.023</w:t>
            </w:r>
          </w:p>
        </w:tc>
      </w:tr>
      <w:tr w:rsidR="009120FB" w:rsidRPr="000D5D7F" w14:paraId="4D7C86AE"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4FD90AD1"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Ease_of_use -&gt; Trends</w:t>
            </w:r>
          </w:p>
        </w:tc>
        <w:tc>
          <w:tcPr>
            <w:tcW w:w="1512" w:type="dxa"/>
            <w:tcBorders>
              <w:top w:val="nil"/>
              <w:left w:val="nil"/>
              <w:bottom w:val="single" w:sz="4" w:space="0" w:color="000000"/>
              <w:right w:val="single" w:sz="4" w:space="0" w:color="000000"/>
            </w:tcBorders>
            <w:noWrap/>
            <w:vAlign w:val="bottom"/>
            <w:hideMark/>
          </w:tcPr>
          <w:p w14:paraId="5480D5EE"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0.142</w:t>
            </w:r>
          </w:p>
        </w:tc>
        <w:tc>
          <w:tcPr>
            <w:tcW w:w="1278" w:type="dxa"/>
            <w:tcBorders>
              <w:top w:val="nil"/>
              <w:left w:val="nil"/>
              <w:bottom w:val="single" w:sz="4" w:space="0" w:color="000000"/>
              <w:right w:val="single" w:sz="4" w:space="0" w:color="000000"/>
            </w:tcBorders>
            <w:noWrap/>
            <w:vAlign w:val="bottom"/>
            <w:hideMark/>
          </w:tcPr>
          <w:p w14:paraId="6D9BFBC7"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1.895</w:t>
            </w:r>
          </w:p>
        </w:tc>
        <w:tc>
          <w:tcPr>
            <w:tcW w:w="1170" w:type="dxa"/>
            <w:tcBorders>
              <w:top w:val="nil"/>
              <w:left w:val="nil"/>
              <w:bottom w:val="single" w:sz="4" w:space="0" w:color="000000"/>
              <w:right w:val="single" w:sz="4" w:space="0" w:color="000000"/>
            </w:tcBorders>
            <w:noWrap/>
            <w:vAlign w:val="bottom"/>
            <w:hideMark/>
          </w:tcPr>
          <w:p w14:paraId="1416E5DA"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0.058</w:t>
            </w:r>
          </w:p>
        </w:tc>
      </w:tr>
      <w:tr w:rsidR="009120FB" w:rsidRPr="000D5D7F" w14:paraId="7627EA77"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3D479AAD"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 -&gt; Ease_of_use</w:t>
            </w:r>
          </w:p>
        </w:tc>
        <w:tc>
          <w:tcPr>
            <w:tcW w:w="1512" w:type="dxa"/>
            <w:tcBorders>
              <w:top w:val="nil"/>
              <w:left w:val="nil"/>
              <w:bottom w:val="single" w:sz="4" w:space="0" w:color="000000"/>
              <w:right w:val="single" w:sz="4" w:space="0" w:color="000000"/>
            </w:tcBorders>
            <w:noWrap/>
            <w:vAlign w:val="bottom"/>
            <w:hideMark/>
          </w:tcPr>
          <w:p w14:paraId="7F05B40A"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0.260</w:t>
            </w:r>
          </w:p>
        </w:tc>
        <w:tc>
          <w:tcPr>
            <w:tcW w:w="1278" w:type="dxa"/>
            <w:tcBorders>
              <w:top w:val="nil"/>
              <w:left w:val="nil"/>
              <w:bottom w:val="single" w:sz="4" w:space="0" w:color="000000"/>
              <w:right w:val="single" w:sz="4" w:space="0" w:color="000000"/>
            </w:tcBorders>
            <w:noWrap/>
            <w:vAlign w:val="bottom"/>
            <w:hideMark/>
          </w:tcPr>
          <w:p w14:paraId="18D8D1A1"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2.212</w:t>
            </w:r>
          </w:p>
        </w:tc>
        <w:tc>
          <w:tcPr>
            <w:tcW w:w="1170" w:type="dxa"/>
            <w:tcBorders>
              <w:top w:val="nil"/>
              <w:left w:val="nil"/>
              <w:bottom w:val="single" w:sz="4" w:space="0" w:color="000000"/>
              <w:right w:val="single" w:sz="4" w:space="0" w:color="000000"/>
            </w:tcBorders>
            <w:noWrap/>
            <w:vAlign w:val="bottom"/>
            <w:hideMark/>
          </w:tcPr>
          <w:p w14:paraId="50EED9D7"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0.027</w:t>
            </w:r>
          </w:p>
        </w:tc>
      </w:tr>
      <w:tr w:rsidR="009120FB" w:rsidRPr="000D5D7F" w14:paraId="34BB7DBE"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745ABD81"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 -&gt; Intention</w:t>
            </w:r>
          </w:p>
        </w:tc>
        <w:tc>
          <w:tcPr>
            <w:tcW w:w="1512" w:type="dxa"/>
            <w:tcBorders>
              <w:top w:val="nil"/>
              <w:left w:val="nil"/>
              <w:bottom w:val="single" w:sz="4" w:space="0" w:color="000000"/>
              <w:right w:val="single" w:sz="4" w:space="0" w:color="000000"/>
            </w:tcBorders>
            <w:noWrap/>
            <w:vAlign w:val="bottom"/>
            <w:hideMark/>
          </w:tcPr>
          <w:p w14:paraId="5824FBD1"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-0.102</w:t>
            </w:r>
          </w:p>
        </w:tc>
        <w:tc>
          <w:tcPr>
            <w:tcW w:w="1278" w:type="dxa"/>
            <w:tcBorders>
              <w:top w:val="nil"/>
              <w:left w:val="nil"/>
              <w:bottom w:val="single" w:sz="4" w:space="0" w:color="000000"/>
              <w:right w:val="single" w:sz="4" w:space="0" w:color="000000"/>
            </w:tcBorders>
            <w:noWrap/>
            <w:vAlign w:val="bottom"/>
            <w:hideMark/>
          </w:tcPr>
          <w:p w14:paraId="1DDD67CE"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1.289</w:t>
            </w:r>
          </w:p>
        </w:tc>
        <w:tc>
          <w:tcPr>
            <w:tcW w:w="1170" w:type="dxa"/>
            <w:tcBorders>
              <w:top w:val="nil"/>
              <w:left w:val="nil"/>
              <w:bottom w:val="single" w:sz="4" w:space="0" w:color="000000"/>
              <w:right w:val="single" w:sz="4" w:space="0" w:color="000000"/>
            </w:tcBorders>
            <w:noWrap/>
            <w:vAlign w:val="bottom"/>
            <w:hideMark/>
          </w:tcPr>
          <w:p w14:paraId="51E40C5F"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0.197</w:t>
            </w:r>
          </w:p>
        </w:tc>
      </w:tr>
      <w:tr w:rsidR="009120FB" w:rsidRPr="000D5D7F" w14:paraId="66C2A41A"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17D3A4B6"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 -&gt; Perception_of_Interest</w:t>
            </w:r>
          </w:p>
        </w:tc>
        <w:tc>
          <w:tcPr>
            <w:tcW w:w="1512" w:type="dxa"/>
            <w:tcBorders>
              <w:top w:val="nil"/>
              <w:left w:val="nil"/>
              <w:bottom w:val="single" w:sz="4" w:space="0" w:color="000000"/>
              <w:right w:val="single" w:sz="4" w:space="0" w:color="000000"/>
            </w:tcBorders>
            <w:noWrap/>
            <w:vAlign w:val="bottom"/>
            <w:hideMark/>
          </w:tcPr>
          <w:p w14:paraId="2D62A6EC"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-0.017</w:t>
            </w:r>
          </w:p>
        </w:tc>
        <w:tc>
          <w:tcPr>
            <w:tcW w:w="1278" w:type="dxa"/>
            <w:tcBorders>
              <w:top w:val="nil"/>
              <w:left w:val="nil"/>
              <w:bottom w:val="single" w:sz="4" w:space="0" w:color="000000"/>
              <w:right w:val="single" w:sz="4" w:space="0" w:color="000000"/>
            </w:tcBorders>
            <w:noWrap/>
            <w:vAlign w:val="bottom"/>
            <w:hideMark/>
          </w:tcPr>
          <w:p w14:paraId="3CAA662E"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0.151</w:t>
            </w:r>
          </w:p>
        </w:tc>
        <w:tc>
          <w:tcPr>
            <w:tcW w:w="1170" w:type="dxa"/>
            <w:tcBorders>
              <w:top w:val="nil"/>
              <w:left w:val="nil"/>
              <w:bottom w:val="single" w:sz="4" w:space="0" w:color="000000"/>
              <w:right w:val="single" w:sz="4" w:space="0" w:color="000000"/>
            </w:tcBorders>
            <w:noWrap/>
            <w:vAlign w:val="bottom"/>
            <w:hideMark/>
          </w:tcPr>
          <w:p w14:paraId="701EC042"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0.880</w:t>
            </w:r>
          </w:p>
        </w:tc>
      </w:tr>
      <w:tr w:rsidR="009120FB" w:rsidRPr="000D5D7F" w14:paraId="7A3F276B"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541E6AA9"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ITF -&gt; Trends</w:t>
            </w:r>
          </w:p>
        </w:tc>
        <w:tc>
          <w:tcPr>
            <w:tcW w:w="1512" w:type="dxa"/>
            <w:tcBorders>
              <w:top w:val="nil"/>
              <w:left w:val="nil"/>
              <w:bottom w:val="single" w:sz="4" w:space="0" w:color="000000"/>
              <w:right w:val="single" w:sz="4" w:space="0" w:color="000000"/>
            </w:tcBorders>
            <w:noWrap/>
            <w:vAlign w:val="bottom"/>
            <w:hideMark/>
          </w:tcPr>
          <w:p w14:paraId="2DEEC0D8"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-0.003</w:t>
            </w:r>
          </w:p>
        </w:tc>
        <w:tc>
          <w:tcPr>
            <w:tcW w:w="1278" w:type="dxa"/>
            <w:tcBorders>
              <w:top w:val="nil"/>
              <w:left w:val="nil"/>
              <w:bottom w:val="single" w:sz="4" w:space="0" w:color="000000"/>
              <w:right w:val="single" w:sz="4" w:space="0" w:color="000000"/>
            </w:tcBorders>
            <w:noWrap/>
            <w:vAlign w:val="bottom"/>
            <w:hideMark/>
          </w:tcPr>
          <w:p w14:paraId="3B68E414"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0.025</w:t>
            </w:r>
          </w:p>
        </w:tc>
        <w:tc>
          <w:tcPr>
            <w:tcW w:w="1170" w:type="dxa"/>
            <w:tcBorders>
              <w:top w:val="nil"/>
              <w:left w:val="nil"/>
              <w:bottom w:val="single" w:sz="4" w:space="0" w:color="000000"/>
              <w:right w:val="single" w:sz="4" w:space="0" w:color="000000"/>
            </w:tcBorders>
            <w:noWrap/>
            <w:vAlign w:val="bottom"/>
            <w:hideMark/>
          </w:tcPr>
          <w:p w14:paraId="4202A34A" w14:textId="77777777" w:rsidR="009120FB" w:rsidRPr="000D5D7F" w:rsidRDefault="009120FB" w:rsidP="009120FB">
            <w:pPr>
              <w:spacing w:line="240" w:lineRule="auto"/>
              <w:jc w:val="right"/>
              <w:rPr>
                <w:rFonts w:eastAsia="Times New Roman"/>
                <w:color w:val="800000"/>
                <w:sz w:val="20"/>
                <w:szCs w:val="20"/>
              </w:rPr>
            </w:pPr>
            <w:bookmarkStart w:id="7" w:name="_Hlk202778589"/>
            <w:r w:rsidRPr="000D5D7F">
              <w:rPr>
                <w:rFonts w:eastAsia="Times New Roman"/>
                <w:color w:val="800000"/>
                <w:sz w:val="20"/>
                <w:szCs w:val="20"/>
              </w:rPr>
              <w:t>0.980</w:t>
            </w:r>
            <w:bookmarkEnd w:id="7"/>
          </w:p>
        </w:tc>
      </w:tr>
      <w:tr w:rsidR="009120FB" w:rsidRPr="000D5D7F" w14:paraId="48C2EBDF"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63D83665"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 -&gt; Ease_of_use</w:t>
            </w:r>
          </w:p>
        </w:tc>
        <w:tc>
          <w:tcPr>
            <w:tcW w:w="1512" w:type="dxa"/>
            <w:tcBorders>
              <w:top w:val="nil"/>
              <w:left w:val="nil"/>
              <w:bottom w:val="single" w:sz="4" w:space="0" w:color="000000"/>
              <w:right w:val="single" w:sz="4" w:space="0" w:color="000000"/>
            </w:tcBorders>
            <w:noWrap/>
            <w:vAlign w:val="bottom"/>
            <w:hideMark/>
          </w:tcPr>
          <w:p w14:paraId="78ABAAB6"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0.013</w:t>
            </w:r>
          </w:p>
        </w:tc>
        <w:tc>
          <w:tcPr>
            <w:tcW w:w="1278" w:type="dxa"/>
            <w:tcBorders>
              <w:top w:val="nil"/>
              <w:left w:val="nil"/>
              <w:bottom w:val="single" w:sz="4" w:space="0" w:color="000000"/>
              <w:right w:val="single" w:sz="4" w:space="0" w:color="000000"/>
            </w:tcBorders>
            <w:noWrap/>
            <w:vAlign w:val="bottom"/>
            <w:hideMark/>
          </w:tcPr>
          <w:p w14:paraId="6CC10924"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0.100</w:t>
            </w:r>
          </w:p>
        </w:tc>
        <w:tc>
          <w:tcPr>
            <w:tcW w:w="1170" w:type="dxa"/>
            <w:tcBorders>
              <w:top w:val="nil"/>
              <w:left w:val="nil"/>
              <w:bottom w:val="single" w:sz="4" w:space="0" w:color="000000"/>
              <w:right w:val="single" w:sz="4" w:space="0" w:color="000000"/>
            </w:tcBorders>
            <w:noWrap/>
            <w:vAlign w:val="bottom"/>
            <w:hideMark/>
          </w:tcPr>
          <w:p w14:paraId="4488A230"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0.921</w:t>
            </w:r>
          </w:p>
        </w:tc>
      </w:tr>
      <w:tr w:rsidR="009120FB" w:rsidRPr="000D5D7F" w14:paraId="08D9C565"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78DF9B15"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 -&gt; Intention</w:t>
            </w:r>
          </w:p>
        </w:tc>
        <w:tc>
          <w:tcPr>
            <w:tcW w:w="1512" w:type="dxa"/>
            <w:tcBorders>
              <w:top w:val="nil"/>
              <w:left w:val="nil"/>
              <w:bottom w:val="single" w:sz="4" w:space="0" w:color="000000"/>
              <w:right w:val="single" w:sz="4" w:space="0" w:color="000000"/>
            </w:tcBorders>
            <w:noWrap/>
            <w:vAlign w:val="bottom"/>
            <w:hideMark/>
          </w:tcPr>
          <w:p w14:paraId="354D6300"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0.148</w:t>
            </w:r>
          </w:p>
        </w:tc>
        <w:tc>
          <w:tcPr>
            <w:tcW w:w="1278" w:type="dxa"/>
            <w:tcBorders>
              <w:top w:val="nil"/>
              <w:left w:val="nil"/>
              <w:bottom w:val="single" w:sz="4" w:space="0" w:color="000000"/>
              <w:right w:val="single" w:sz="4" w:space="0" w:color="000000"/>
            </w:tcBorders>
            <w:noWrap/>
            <w:vAlign w:val="bottom"/>
            <w:hideMark/>
          </w:tcPr>
          <w:p w14:paraId="74DBBFE7"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1.575</w:t>
            </w:r>
          </w:p>
        </w:tc>
        <w:tc>
          <w:tcPr>
            <w:tcW w:w="1170" w:type="dxa"/>
            <w:tcBorders>
              <w:top w:val="nil"/>
              <w:left w:val="nil"/>
              <w:bottom w:val="single" w:sz="4" w:space="0" w:color="000000"/>
              <w:right w:val="single" w:sz="4" w:space="0" w:color="000000"/>
            </w:tcBorders>
            <w:noWrap/>
            <w:vAlign w:val="bottom"/>
            <w:hideMark/>
          </w:tcPr>
          <w:p w14:paraId="2D5DF702"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0.115</w:t>
            </w:r>
          </w:p>
        </w:tc>
      </w:tr>
      <w:tr w:rsidR="009120FB" w:rsidRPr="000D5D7F" w14:paraId="5C13FF6B"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257679FA"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 -&gt; Perception_of_Interest</w:t>
            </w:r>
          </w:p>
        </w:tc>
        <w:tc>
          <w:tcPr>
            <w:tcW w:w="1512" w:type="dxa"/>
            <w:tcBorders>
              <w:top w:val="nil"/>
              <w:left w:val="nil"/>
              <w:bottom w:val="single" w:sz="4" w:space="0" w:color="000000"/>
              <w:right w:val="single" w:sz="4" w:space="0" w:color="000000"/>
            </w:tcBorders>
            <w:noWrap/>
            <w:vAlign w:val="bottom"/>
            <w:hideMark/>
          </w:tcPr>
          <w:p w14:paraId="4D322DD5"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-0.049</w:t>
            </w:r>
          </w:p>
        </w:tc>
        <w:tc>
          <w:tcPr>
            <w:tcW w:w="1278" w:type="dxa"/>
            <w:tcBorders>
              <w:top w:val="nil"/>
              <w:left w:val="nil"/>
              <w:bottom w:val="single" w:sz="4" w:space="0" w:color="000000"/>
              <w:right w:val="single" w:sz="4" w:space="0" w:color="000000"/>
            </w:tcBorders>
            <w:noWrap/>
            <w:vAlign w:val="bottom"/>
            <w:hideMark/>
          </w:tcPr>
          <w:p w14:paraId="19151F32"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0.392</w:t>
            </w:r>
          </w:p>
        </w:tc>
        <w:tc>
          <w:tcPr>
            <w:tcW w:w="1170" w:type="dxa"/>
            <w:tcBorders>
              <w:top w:val="nil"/>
              <w:left w:val="nil"/>
              <w:bottom w:val="single" w:sz="4" w:space="0" w:color="000000"/>
              <w:right w:val="single" w:sz="4" w:space="0" w:color="000000"/>
            </w:tcBorders>
            <w:noWrap/>
            <w:vAlign w:val="bottom"/>
            <w:hideMark/>
          </w:tcPr>
          <w:p w14:paraId="5A5A7A55"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0.695</w:t>
            </w:r>
          </w:p>
        </w:tc>
      </w:tr>
      <w:tr w:rsidR="009120FB" w:rsidRPr="000D5D7F" w14:paraId="50CAB800"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063AA555"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Knowledge -&gt; Trends</w:t>
            </w:r>
          </w:p>
        </w:tc>
        <w:tc>
          <w:tcPr>
            <w:tcW w:w="1512" w:type="dxa"/>
            <w:tcBorders>
              <w:top w:val="nil"/>
              <w:left w:val="nil"/>
              <w:bottom w:val="single" w:sz="4" w:space="0" w:color="000000"/>
              <w:right w:val="single" w:sz="4" w:space="0" w:color="000000"/>
            </w:tcBorders>
            <w:noWrap/>
            <w:vAlign w:val="bottom"/>
            <w:hideMark/>
          </w:tcPr>
          <w:p w14:paraId="12E57237"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0.127</w:t>
            </w:r>
          </w:p>
        </w:tc>
        <w:tc>
          <w:tcPr>
            <w:tcW w:w="1278" w:type="dxa"/>
            <w:tcBorders>
              <w:top w:val="nil"/>
              <w:left w:val="nil"/>
              <w:bottom w:val="single" w:sz="4" w:space="0" w:color="000000"/>
              <w:right w:val="single" w:sz="4" w:space="0" w:color="000000"/>
            </w:tcBorders>
            <w:noWrap/>
            <w:vAlign w:val="bottom"/>
            <w:hideMark/>
          </w:tcPr>
          <w:p w14:paraId="075B74A3"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1.074</w:t>
            </w:r>
          </w:p>
        </w:tc>
        <w:tc>
          <w:tcPr>
            <w:tcW w:w="1170" w:type="dxa"/>
            <w:tcBorders>
              <w:top w:val="nil"/>
              <w:left w:val="nil"/>
              <w:bottom w:val="single" w:sz="4" w:space="0" w:color="000000"/>
              <w:right w:val="single" w:sz="4" w:space="0" w:color="000000"/>
            </w:tcBorders>
            <w:noWrap/>
            <w:vAlign w:val="bottom"/>
            <w:hideMark/>
          </w:tcPr>
          <w:p w14:paraId="5A963DB9" w14:textId="77777777" w:rsidR="009120FB" w:rsidRPr="000D5D7F" w:rsidRDefault="009120FB" w:rsidP="009120FB">
            <w:pPr>
              <w:spacing w:line="240" w:lineRule="auto"/>
              <w:jc w:val="right"/>
              <w:rPr>
                <w:rFonts w:eastAsia="Times New Roman"/>
                <w:color w:val="800000"/>
                <w:sz w:val="20"/>
                <w:szCs w:val="20"/>
              </w:rPr>
            </w:pPr>
            <w:r w:rsidRPr="000D5D7F">
              <w:rPr>
                <w:rFonts w:eastAsia="Times New Roman"/>
                <w:color w:val="800000"/>
                <w:sz w:val="20"/>
                <w:szCs w:val="20"/>
              </w:rPr>
              <w:t>0.283</w:t>
            </w:r>
          </w:p>
        </w:tc>
      </w:tr>
      <w:tr w:rsidR="009120FB" w:rsidRPr="000D5D7F" w14:paraId="21BABF2B"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0C01B105"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Perception_of_Interest -&gt; Intention</w:t>
            </w:r>
          </w:p>
        </w:tc>
        <w:tc>
          <w:tcPr>
            <w:tcW w:w="1512" w:type="dxa"/>
            <w:tcBorders>
              <w:top w:val="nil"/>
              <w:left w:val="nil"/>
              <w:bottom w:val="single" w:sz="4" w:space="0" w:color="000000"/>
              <w:right w:val="single" w:sz="4" w:space="0" w:color="000000"/>
            </w:tcBorders>
            <w:noWrap/>
            <w:vAlign w:val="bottom"/>
            <w:hideMark/>
          </w:tcPr>
          <w:p w14:paraId="37F0B833"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0.610</w:t>
            </w:r>
          </w:p>
        </w:tc>
        <w:tc>
          <w:tcPr>
            <w:tcW w:w="1278" w:type="dxa"/>
            <w:tcBorders>
              <w:top w:val="nil"/>
              <w:left w:val="nil"/>
              <w:bottom w:val="single" w:sz="4" w:space="0" w:color="000000"/>
              <w:right w:val="single" w:sz="4" w:space="0" w:color="000000"/>
            </w:tcBorders>
            <w:noWrap/>
            <w:vAlign w:val="bottom"/>
            <w:hideMark/>
          </w:tcPr>
          <w:p w14:paraId="28D75CE3"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5.721</w:t>
            </w:r>
          </w:p>
        </w:tc>
        <w:tc>
          <w:tcPr>
            <w:tcW w:w="1170" w:type="dxa"/>
            <w:tcBorders>
              <w:top w:val="nil"/>
              <w:left w:val="nil"/>
              <w:bottom w:val="single" w:sz="4" w:space="0" w:color="000000"/>
              <w:right w:val="single" w:sz="4" w:space="0" w:color="000000"/>
            </w:tcBorders>
            <w:noWrap/>
            <w:vAlign w:val="bottom"/>
            <w:hideMark/>
          </w:tcPr>
          <w:p w14:paraId="69133A91"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0.000</w:t>
            </w:r>
          </w:p>
        </w:tc>
      </w:tr>
      <w:tr w:rsidR="009120FB" w:rsidRPr="000D5D7F" w14:paraId="6695096D" w14:textId="77777777" w:rsidTr="00AB6F4E">
        <w:trPr>
          <w:trHeight w:val="237"/>
        </w:trPr>
        <w:tc>
          <w:tcPr>
            <w:tcW w:w="3240" w:type="dxa"/>
            <w:tcBorders>
              <w:top w:val="nil"/>
              <w:left w:val="single" w:sz="4" w:space="0" w:color="000000"/>
              <w:bottom w:val="single" w:sz="4" w:space="0" w:color="000000"/>
              <w:right w:val="single" w:sz="4" w:space="0" w:color="000000"/>
            </w:tcBorders>
            <w:noWrap/>
            <w:vAlign w:val="bottom"/>
            <w:hideMark/>
          </w:tcPr>
          <w:p w14:paraId="14449D14" w14:textId="77777777" w:rsidR="009120FB" w:rsidRPr="000D5D7F" w:rsidRDefault="009120FB" w:rsidP="009120FB">
            <w:pPr>
              <w:spacing w:line="240" w:lineRule="auto"/>
              <w:rPr>
                <w:rFonts w:eastAsia="Times New Roman"/>
                <w:color w:val="000000"/>
                <w:sz w:val="20"/>
                <w:szCs w:val="20"/>
              </w:rPr>
            </w:pPr>
            <w:r w:rsidRPr="000D5D7F">
              <w:rPr>
                <w:rFonts w:eastAsia="Times New Roman"/>
                <w:color w:val="000000"/>
                <w:sz w:val="20"/>
                <w:szCs w:val="20"/>
              </w:rPr>
              <w:t>Perception_of_Interest -&gt; Trends</w:t>
            </w:r>
          </w:p>
        </w:tc>
        <w:tc>
          <w:tcPr>
            <w:tcW w:w="1512" w:type="dxa"/>
            <w:tcBorders>
              <w:top w:val="nil"/>
              <w:left w:val="nil"/>
              <w:bottom w:val="single" w:sz="4" w:space="0" w:color="000000"/>
              <w:right w:val="single" w:sz="4" w:space="0" w:color="000000"/>
            </w:tcBorders>
            <w:noWrap/>
            <w:vAlign w:val="bottom"/>
            <w:hideMark/>
          </w:tcPr>
          <w:p w14:paraId="274AD48B"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0.650</w:t>
            </w:r>
          </w:p>
        </w:tc>
        <w:tc>
          <w:tcPr>
            <w:tcW w:w="1278" w:type="dxa"/>
            <w:tcBorders>
              <w:top w:val="nil"/>
              <w:left w:val="nil"/>
              <w:bottom w:val="single" w:sz="4" w:space="0" w:color="000000"/>
              <w:right w:val="single" w:sz="4" w:space="0" w:color="000000"/>
            </w:tcBorders>
            <w:noWrap/>
            <w:vAlign w:val="bottom"/>
            <w:hideMark/>
          </w:tcPr>
          <w:p w14:paraId="7CC8AEE3" w14:textId="77777777" w:rsidR="009120FB" w:rsidRPr="000D5D7F" w:rsidRDefault="009120FB" w:rsidP="009120FB">
            <w:pPr>
              <w:spacing w:line="240" w:lineRule="auto"/>
              <w:jc w:val="right"/>
              <w:rPr>
                <w:rFonts w:eastAsia="Times New Roman"/>
                <w:color w:val="000000"/>
                <w:sz w:val="20"/>
                <w:szCs w:val="20"/>
              </w:rPr>
            </w:pPr>
            <w:r w:rsidRPr="000D5D7F">
              <w:rPr>
                <w:rFonts w:eastAsia="Times New Roman"/>
                <w:color w:val="000000"/>
                <w:sz w:val="20"/>
                <w:szCs w:val="20"/>
              </w:rPr>
              <w:t>8.210</w:t>
            </w:r>
          </w:p>
        </w:tc>
        <w:tc>
          <w:tcPr>
            <w:tcW w:w="1170" w:type="dxa"/>
            <w:tcBorders>
              <w:top w:val="nil"/>
              <w:left w:val="nil"/>
              <w:bottom w:val="single" w:sz="4" w:space="0" w:color="000000"/>
              <w:right w:val="single" w:sz="4" w:space="0" w:color="000000"/>
            </w:tcBorders>
            <w:noWrap/>
            <w:vAlign w:val="bottom"/>
            <w:hideMark/>
          </w:tcPr>
          <w:p w14:paraId="39EA24DD" w14:textId="77777777" w:rsidR="009120FB" w:rsidRPr="000D5D7F" w:rsidRDefault="009120FB" w:rsidP="009120FB">
            <w:pPr>
              <w:spacing w:line="240" w:lineRule="auto"/>
              <w:jc w:val="right"/>
              <w:rPr>
                <w:rFonts w:eastAsia="Times New Roman"/>
                <w:color w:val="008000"/>
                <w:sz w:val="20"/>
                <w:szCs w:val="20"/>
              </w:rPr>
            </w:pPr>
            <w:r w:rsidRPr="000D5D7F">
              <w:rPr>
                <w:rFonts w:eastAsia="Times New Roman"/>
                <w:color w:val="008000"/>
                <w:sz w:val="20"/>
                <w:szCs w:val="20"/>
              </w:rPr>
              <w:t>0.000</w:t>
            </w:r>
          </w:p>
        </w:tc>
      </w:tr>
    </w:tbl>
    <w:p w14:paraId="7E977DF3" w14:textId="77777777" w:rsidR="009120FB" w:rsidRPr="00E31082" w:rsidRDefault="009120FB" w:rsidP="009120FB">
      <w:pPr>
        <w:spacing w:after="160" w:line="240" w:lineRule="auto"/>
        <w:jc w:val="both"/>
        <w:rPr>
          <w:i/>
          <w:iCs/>
          <w:sz w:val="20"/>
          <w:szCs w:val="20"/>
        </w:rPr>
      </w:pPr>
      <w:proofErr w:type="gramStart"/>
      <w:r w:rsidRPr="00E31082">
        <w:rPr>
          <w:i/>
          <w:iCs/>
          <w:sz w:val="20"/>
          <w:szCs w:val="20"/>
        </w:rPr>
        <w:t>Note :</w:t>
      </w:r>
      <w:proofErr w:type="gramEnd"/>
      <w:r w:rsidRPr="00E31082">
        <w:rPr>
          <w:i/>
          <w:iCs/>
          <w:sz w:val="20"/>
          <w:szCs w:val="20"/>
        </w:rPr>
        <w:t xml:space="preserve"> if p values below 0.05 hypotheses are accepted otherwise it is rejected.</w:t>
      </w:r>
    </w:p>
    <w:p w14:paraId="14C7CDF0" w14:textId="4D51CBC8" w:rsidR="009120FB" w:rsidRPr="000D5D7F" w:rsidRDefault="009120FB" w:rsidP="009120FB">
      <w:pPr>
        <w:spacing w:after="160"/>
        <w:ind w:firstLine="720"/>
        <w:jc w:val="both"/>
        <w:rPr>
          <w:b/>
          <w:bCs/>
          <w:sz w:val="22"/>
        </w:rPr>
      </w:pPr>
      <w:r w:rsidRPr="000D5D7F">
        <w:rPr>
          <w:b/>
          <w:bCs/>
          <w:sz w:val="22"/>
        </w:rPr>
        <w:t>Q1</w:t>
      </w:r>
      <w:r w:rsidR="00660403" w:rsidRPr="000D5D7F">
        <w:rPr>
          <w:b/>
          <w:bCs/>
          <w:sz w:val="22"/>
        </w:rPr>
        <w:t>: What</w:t>
      </w:r>
      <w:r w:rsidRPr="000D5D7F">
        <w:rPr>
          <w:b/>
          <w:bCs/>
          <w:sz w:val="22"/>
        </w:rPr>
        <w:t xml:space="preserve"> is the ease of use and perceived usefulness possessed by the lecturers in </w:t>
      </w:r>
      <w:proofErr w:type="gramStart"/>
      <w:r w:rsidRPr="000D5D7F">
        <w:rPr>
          <w:b/>
          <w:bCs/>
          <w:sz w:val="22"/>
        </w:rPr>
        <w:t>teaching  at</w:t>
      </w:r>
      <w:proofErr w:type="gramEnd"/>
      <w:r w:rsidRPr="000D5D7F">
        <w:rPr>
          <w:b/>
          <w:bCs/>
          <w:sz w:val="22"/>
        </w:rPr>
        <w:t xml:space="preserve">  King Khalid </w:t>
      </w:r>
      <w:r w:rsidR="00E31082" w:rsidRPr="000D5D7F">
        <w:rPr>
          <w:b/>
          <w:bCs/>
          <w:sz w:val="22"/>
        </w:rPr>
        <w:t>University?</w:t>
      </w:r>
    </w:p>
    <w:p w14:paraId="0702CE11" w14:textId="5EF593E0" w:rsidR="00326E5F" w:rsidRPr="00326E5F" w:rsidRDefault="00326E5F" w:rsidP="00326E5F">
      <w:pPr>
        <w:spacing w:after="160"/>
        <w:ind w:firstLine="720"/>
        <w:jc w:val="both"/>
        <w:rPr>
          <w:sz w:val="22"/>
        </w:rPr>
      </w:pPr>
      <w:r w:rsidRPr="00326E5F">
        <w:rPr>
          <w:sz w:val="22"/>
        </w:rPr>
        <w:t xml:space="preserve">To ascertain whether university lecturers possess sufficient competence to integrate technology into their lessons, the results of the questionnaire that were addressed in Table 4 above were considered. These factors are known as ease of use and perceived usefulness. The hypothesis's dependent and independent variables, which relate to obstacles and usability, have a statistically significant relationship. The result with </w:t>
      </w:r>
      <w:r w:rsidRPr="00326E5F">
        <w:rPr>
          <w:sz w:val="22"/>
        </w:rPr>
        <w:lastRenderedPageBreak/>
        <w:t>a p-value of 0.000 proves it. This issue was supported by the review of literature. There is a discrepancy between EFL instructors' perceived competency and their actual ability when it comes to implementing technology, according to Elstad &amp; Christophersen (2017) and Nugroho &amp; Mutiaraningrum (2020). This suggests a disparity between EFL instructors' actual technological ability and their self-perceived competency. In addition, students criticize EFL instructors to address the critical thought. He insisted that they should do away with more traditional methods of instruction. He went on to say that professors in Saudi Arabian universities must be technologically savvy to cater to their students' demands and assist them in achieving their learning goals.</w:t>
      </w:r>
    </w:p>
    <w:p w14:paraId="67E4AFE3" w14:textId="314CAD87" w:rsidR="009120FB" w:rsidRPr="000D5D7F" w:rsidRDefault="009120FB" w:rsidP="009120FB">
      <w:pPr>
        <w:spacing w:after="160"/>
        <w:ind w:firstLine="720"/>
        <w:jc w:val="both"/>
        <w:rPr>
          <w:b/>
          <w:bCs/>
          <w:sz w:val="22"/>
        </w:rPr>
      </w:pPr>
      <w:r w:rsidRPr="000D5D7F">
        <w:rPr>
          <w:b/>
          <w:bCs/>
          <w:sz w:val="22"/>
        </w:rPr>
        <w:t xml:space="preserve">Q2: </w:t>
      </w:r>
      <w:bookmarkStart w:id="8" w:name="_Hlk202778205"/>
      <w:r w:rsidRPr="000D5D7F">
        <w:rPr>
          <w:b/>
          <w:bCs/>
          <w:sz w:val="22"/>
        </w:rPr>
        <w:t xml:space="preserve">Do EFL University </w:t>
      </w:r>
      <w:r w:rsidR="00AC7355" w:rsidRPr="000D5D7F">
        <w:rPr>
          <w:b/>
          <w:bCs/>
          <w:sz w:val="22"/>
        </w:rPr>
        <w:t>lecturers</w:t>
      </w:r>
      <w:r w:rsidRPr="000D5D7F">
        <w:rPr>
          <w:b/>
          <w:bCs/>
          <w:sz w:val="22"/>
        </w:rPr>
        <w:t xml:space="preserve"> </w:t>
      </w:r>
      <w:r w:rsidR="00BD2F36" w:rsidRPr="000D5D7F">
        <w:rPr>
          <w:b/>
          <w:bCs/>
          <w:sz w:val="22"/>
        </w:rPr>
        <w:t>be mo</w:t>
      </w:r>
      <w:r w:rsidR="00A77F2B" w:rsidRPr="000D5D7F">
        <w:rPr>
          <w:b/>
          <w:bCs/>
          <w:sz w:val="22"/>
        </w:rPr>
        <w:t>tivated</w:t>
      </w:r>
      <w:r w:rsidRPr="000D5D7F">
        <w:rPr>
          <w:b/>
          <w:bCs/>
          <w:sz w:val="22"/>
        </w:rPr>
        <w:t xml:space="preserve"> to implement changes in their teaching habits based on information technology?</w:t>
      </w:r>
      <w:bookmarkEnd w:id="8"/>
    </w:p>
    <w:p w14:paraId="1B35A838" w14:textId="4ACD36B6" w:rsidR="00551AA4" w:rsidRPr="000D5D7F" w:rsidRDefault="009120FB" w:rsidP="00A0275C">
      <w:pPr>
        <w:spacing w:after="160"/>
        <w:ind w:firstLine="720"/>
        <w:jc w:val="both"/>
        <w:rPr>
          <w:sz w:val="22"/>
        </w:rPr>
      </w:pPr>
      <w:r w:rsidRPr="000D5D7F">
        <w:rPr>
          <w:sz w:val="22"/>
        </w:rPr>
        <w:t xml:space="preserve">The third dimension of the questionnaire presents trends towards technology in teaching and learning. There is </w:t>
      </w:r>
      <w:r w:rsidR="00932812" w:rsidRPr="000D5D7F">
        <w:rPr>
          <w:sz w:val="22"/>
        </w:rPr>
        <w:t>not a</w:t>
      </w:r>
      <w:r w:rsidRPr="000D5D7F">
        <w:rPr>
          <w:sz w:val="22"/>
        </w:rPr>
        <w:t xml:space="preserve"> statistically significant relationship between the dependent and independent variable of the hypothesis which relates between ITF and trends towards implementing using technology in </w:t>
      </w:r>
      <w:r w:rsidR="00EB26E3" w:rsidRPr="000D5D7F">
        <w:rPr>
          <w:sz w:val="22"/>
        </w:rPr>
        <w:t>teaching. Lecturers</w:t>
      </w:r>
      <w:r w:rsidRPr="000D5D7F">
        <w:rPr>
          <w:sz w:val="22"/>
        </w:rPr>
        <w:t xml:space="preserve"> have awful attitudes towards implementing the technology in their lecture halls and the students have struggled to connect with their lecturers. </w:t>
      </w:r>
      <w:r w:rsidR="00551AA4" w:rsidRPr="000D5D7F">
        <w:rPr>
          <w:sz w:val="22"/>
        </w:rPr>
        <w:t xml:space="preserve">As </w:t>
      </w:r>
      <w:proofErr w:type="gramStart"/>
      <w:r w:rsidRPr="000D5D7F">
        <w:rPr>
          <w:sz w:val="22"/>
        </w:rPr>
        <w:t>Dudeney&amp;</w:t>
      </w:r>
      <w:proofErr w:type="gramEnd"/>
      <w:r w:rsidRPr="000D5D7F">
        <w:rPr>
          <w:sz w:val="22"/>
        </w:rPr>
        <w:t xml:space="preserve"> </w:t>
      </w:r>
      <w:proofErr w:type="gramStart"/>
      <w:r w:rsidR="00551AA4" w:rsidRPr="000D5D7F">
        <w:rPr>
          <w:sz w:val="22"/>
        </w:rPr>
        <w:t>Hockly</w:t>
      </w:r>
      <w:r w:rsidR="00551AA4">
        <w:rPr>
          <w:sz w:val="22"/>
        </w:rPr>
        <w:t>(</w:t>
      </w:r>
      <w:proofErr w:type="gramEnd"/>
      <w:r w:rsidR="00551AA4">
        <w:rPr>
          <w:sz w:val="22"/>
        </w:rPr>
        <w:t>2007</w:t>
      </w:r>
      <w:r w:rsidRPr="000D5D7F">
        <w:rPr>
          <w:sz w:val="22"/>
        </w:rPr>
        <w:t xml:space="preserve">) claimed that issue which consequently demotivated lecturers to change their teaching habits either for the lack of </w:t>
      </w:r>
      <w:proofErr w:type="gramStart"/>
      <w:r w:rsidRPr="000D5D7F">
        <w:rPr>
          <w:sz w:val="22"/>
        </w:rPr>
        <w:t>confidence ,</w:t>
      </w:r>
      <w:proofErr w:type="gramEnd"/>
      <w:r w:rsidRPr="000D5D7F">
        <w:rPr>
          <w:sz w:val="22"/>
        </w:rPr>
        <w:t xml:space="preserve"> attitude or </w:t>
      </w:r>
      <w:r w:rsidR="00551AA4" w:rsidRPr="000D5D7F">
        <w:rPr>
          <w:sz w:val="22"/>
        </w:rPr>
        <w:t>training.</w:t>
      </w:r>
      <w:r w:rsidRPr="000D5D7F">
        <w:rPr>
          <w:sz w:val="22"/>
        </w:rPr>
        <w:t xml:space="preserve"> </w:t>
      </w:r>
      <w:r w:rsidR="00551AA4" w:rsidRPr="000D5D7F">
        <w:rPr>
          <w:sz w:val="22"/>
        </w:rPr>
        <w:t>However,</w:t>
      </w:r>
      <w:r w:rsidRPr="000D5D7F">
        <w:rPr>
          <w:sz w:val="22"/>
        </w:rPr>
        <w:t xml:space="preserve"> results </w:t>
      </w:r>
      <w:r w:rsidR="00551AA4" w:rsidRPr="000D5D7F">
        <w:rPr>
          <w:sz w:val="22"/>
        </w:rPr>
        <w:t>indicated that</w:t>
      </w:r>
      <w:r w:rsidRPr="000D5D7F">
        <w:rPr>
          <w:sz w:val="22"/>
        </w:rPr>
        <w:t xml:space="preserve"> a non-significant impact of Information Technology Facilities (ITF) on Intention to integrate technology in teaching. </w:t>
      </w:r>
    </w:p>
    <w:p w14:paraId="6B577209" w14:textId="57B6BFDD" w:rsidR="009120FB" w:rsidRPr="000D5D7F" w:rsidRDefault="009120FB" w:rsidP="009120FB">
      <w:pPr>
        <w:spacing w:after="160"/>
        <w:ind w:firstLine="720"/>
        <w:jc w:val="both"/>
        <w:rPr>
          <w:b/>
          <w:bCs/>
          <w:sz w:val="22"/>
        </w:rPr>
      </w:pPr>
      <w:r w:rsidRPr="000D5D7F">
        <w:rPr>
          <w:b/>
          <w:bCs/>
          <w:sz w:val="22"/>
        </w:rPr>
        <w:t xml:space="preserve">Q3: What hinders the acquisition of EFL lecturers’ technology competence at King Khalid </w:t>
      </w:r>
      <w:r w:rsidR="00551AA4" w:rsidRPr="000D5D7F">
        <w:rPr>
          <w:b/>
          <w:bCs/>
          <w:sz w:val="22"/>
        </w:rPr>
        <w:t>University?</w:t>
      </w:r>
    </w:p>
    <w:p w14:paraId="74F08F9E" w14:textId="08657463" w:rsidR="009120FB" w:rsidRPr="00A0275C" w:rsidRDefault="009120FB" w:rsidP="00A0275C">
      <w:pPr>
        <w:spacing w:after="160"/>
        <w:ind w:firstLine="720"/>
        <w:jc w:val="both"/>
        <w:rPr>
          <w:sz w:val="22"/>
        </w:rPr>
      </w:pPr>
      <w:r w:rsidRPr="000D5D7F">
        <w:rPr>
          <w:sz w:val="22"/>
        </w:rPr>
        <w:t xml:space="preserve">The questionnaire has taken the first-dimensional barriers to </w:t>
      </w:r>
      <w:r w:rsidR="007A1377" w:rsidRPr="000D5D7F">
        <w:rPr>
          <w:sz w:val="22"/>
        </w:rPr>
        <w:t>use. Viewing</w:t>
      </w:r>
      <w:r w:rsidRPr="000D5D7F">
        <w:rPr>
          <w:sz w:val="22"/>
        </w:rPr>
        <w:t xml:space="preserve"> the hinders through the barriers to ease of </w:t>
      </w:r>
      <w:r w:rsidR="005761D8" w:rsidRPr="000D5D7F">
        <w:rPr>
          <w:sz w:val="22"/>
        </w:rPr>
        <w:t>use,</w:t>
      </w:r>
      <w:r w:rsidRPr="000D5D7F">
        <w:rPr>
          <w:sz w:val="22"/>
        </w:rPr>
        <w:t xml:space="preserve"> barriers to intention and barriers to trends. Table 4 clarifies that there is a statistically significant relationship between the dependent and independent variable of the hypothesis of the study through the same p values for barriers to use and trends while is controversial with barriers to intention with </w:t>
      </w:r>
      <w:r w:rsidRPr="000D5D7F">
        <w:rPr>
          <w:sz w:val="22"/>
        </w:rPr>
        <w:lastRenderedPageBreak/>
        <w:t xml:space="preserve">(p </w:t>
      </w:r>
      <w:r w:rsidR="007A1377" w:rsidRPr="000D5D7F">
        <w:rPr>
          <w:sz w:val="22"/>
        </w:rPr>
        <w:t>value 0.725</w:t>
      </w:r>
      <w:r w:rsidRPr="000D5D7F">
        <w:rPr>
          <w:sz w:val="22"/>
        </w:rPr>
        <w:t xml:space="preserve">). Colbert et al. </w:t>
      </w:r>
      <w:r w:rsidR="00A63FA2">
        <w:rPr>
          <w:sz w:val="22"/>
        </w:rPr>
        <w:t>(</w:t>
      </w:r>
      <w:r w:rsidRPr="000D5D7F">
        <w:rPr>
          <w:sz w:val="22"/>
        </w:rPr>
        <w:t xml:space="preserve">2008) cited the challenges for lecturers from acquiring technology and using it effectively in their teaching classroom. The above </w:t>
      </w:r>
      <w:r w:rsidR="007A1377" w:rsidRPr="000D5D7F">
        <w:rPr>
          <w:sz w:val="22"/>
        </w:rPr>
        <w:t>challenges were interpreted by</w:t>
      </w:r>
      <w:r w:rsidRPr="000D5D7F">
        <w:rPr>
          <w:sz w:val="22"/>
        </w:rPr>
        <w:t xml:space="preserve"> Alturise</w:t>
      </w:r>
      <w:r w:rsidR="00A63FA2">
        <w:rPr>
          <w:sz w:val="22"/>
        </w:rPr>
        <w:t xml:space="preserve"> (</w:t>
      </w:r>
      <w:r w:rsidRPr="000D5D7F">
        <w:rPr>
          <w:sz w:val="22"/>
        </w:rPr>
        <w:t xml:space="preserve">2024) claimed that ICT support is not supported though it is available in many universities. </w:t>
      </w:r>
    </w:p>
    <w:p w14:paraId="4BC283E7" w14:textId="77777777" w:rsidR="009120FB" w:rsidRPr="000D5D7F" w:rsidRDefault="009120FB" w:rsidP="009120FB">
      <w:pPr>
        <w:spacing w:after="160" w:line="240" w:lineRule="auto"/>
        <w:ind w:firstLine="720"/>
        <w:jc w:val="center"/>
        <w:rPr>
          <w:b/>
          <w:bCs/>
          <w:szCs w:val="24"/>
        </w:rPr>
      </w:pPr>
      <w:r w:rsidRPr="000D5D7F">
        <w:rPr>
          <w:b/>
          <w:bCs/>
          <w:szCs w:val="24"/>
        </w:rPr>
        <w:t>Conclusion</w:t>
      </w:r>
    </w:p>
    <w:p w14:paraId="51805368" w14:textId="0DB90E2D" w:rsidR="009B2F0A" w:rsidRPr="009B2F0A" w:rsidRDefault="009120FB" w:rsidP="009B2F0A">
      <w:pPr>
        <w:spacing w:after="160"/>
        <w:ind w:firstLine="720"/>
        <w:jc w:val="both"/>
        <w:rPr>
          <w:sz w:val="22"/>
        </w:rPr>
      </w:pPr>
      <w:r w:rsidRPr="000D5D7F">
        <w:rPr>
          <w:sz w:val="22"/>
        </w:rPr>
        <w:t xml:space="preserve">The instrument effectively addressed </w:t>
      </w:r>
      <w:r w:rsidR="009B2F0A" w:rsidRPr="000D5D7F">
        <w:rPr>
          <w:sz w:val="22"/>
        </w:rPr>
        <w:t>all</w:t>
      </w:r>
      <w:r w:rsidRPr="000D5D7F">
        <w:rPr>
          <w:sz w:val="22"/>
        </w:rPr>
        <w:t xml:space="preserve"> the research questions; the literature review and data analysis of the questionnaire provided by the researchers with compelling evidence to support the study's hypotheses. </w:t>
      </w:r>
      <w:r w:rsidR="009B2F0A" w:rsidRPr="009B2F0A">
        <w:rPr>
          <w:sz w:val="22"/>
        </w:rPr>
        <w:t>The purpose of this inquiry was to ascertain the lecturer's perceived usefulness and ease of use in utilizing information technology, as well as to determine whether lecturers have positive attitudes and confidence in incorporating technology into their teaching at universities.</w:t>
      </w:r>
    </w:p>
    <w:p w14:paraId="004B1727" w14:textId="1A6D5BA5" w:rsidR="009120FB" w:rsidRPr="000D5D7F" w:rsidRDefault="009120FB" w:rsidP="009120FB">
      <w:pPr>
        <w:spacing w:after="160"/>
        <w:ind w:firstLine="720"/>
        <w:jc w:val="both"/>
        <w:rPr>
          <w:sz w:val="22"/>
        </w:rPr>
      </w:pPr>
      <w:r w:rsidRPr="000D5D7F">
        <w:rPr>
          <w:sz w:val="22"/>
        </w:rPr>
        <w:t xml:space="preserve"> The results of the hypothesis have shown that positive impact of barriers on ease of use for ITF (information technology </w:t>
      </w:r>
      <w:r w:rsidR="009F1B55" w:rsidRPr="000D5D7F">
        <w:rPr>
          <w:sz w:val="22"/>
        </w:rPr>
        <w:t>facilities)</w:t>
      </w:r>
      <w:r w:rsidRPr="000D5D7F">
        <w:rPr>
          <w:sz w:val="22"/>
        </w:rPr>
        <w:t xml:space="preserve"> at universities with an estimated figure 0.398. </w:t>
      </w:r>
      <w:r w:rsidR="009F1B55" w:rsidRPr="000D5D7F">
        <w:rPr>
          <w:sz w:val="22"/>
        </w:rPr>
        <w:t>Further,</w:t>
      </w:r>
      <w:r w:rsidRPr="000D5D7F">
        <w:rPr>
          <w:sz w:val="22"/>
        </w:rPr>
        <w:t xml:space="preserve"> it has been emphasized by the Q</w:t>
      </w:r>
      <w:r w:rsidR="00CB411C" w:rsidRPr="000D5D7F">
        <w:rPr>
          <w:sz w:val="22"/>
        </w:rPr>
        <w:t xml:space="preserve"> </w:t>
      </w:r>
      <w:r w:rsidRPr="000D5D7F">
        <w:rPr>
          <w:sz w:val="22"/>
        </w:rPr>
        <w:t xml:space="preserve">(3) of the study regarding the hinders the acquisition of </w:t>
      </w:r>
      <w:r w:rsidR="009F1B55" w:rsidRPr="000D5D7F">
        <w:rPr>
          <w:sz w:val="22"/>
        </w:rPr>
        <w:t>EFL lecturers</w:t>
      </w:r>
      <w:r w:rsidRPr="000D5D7F">
        <w:rPr>
          <w:sz w:val="22"/>
        </w:rPr>
        <w:t>’ technology at King Khalid University. Hinders are illustrated such as</w:t>
      </w:r>
      <w:r w:rsidRPr="000D5D7F">
        <w:rPr>
          <w:rFonts w:eastAsia="Times New Roman"/>
          <w:sz w:val="18"/>
          <w:szCs w:val="18"/>
          <w:lang w:val="en-GB" w:eastAsia="de-DE"/>
        </w:rPr>
        <w:t xml:space="preserve"> </w:t>
      </w:r>
      <w:bookmarkStart w:id="9" w:name="_Hlk202970001"/>
      <w:r w:rsidRPr="000D5D7F">
        <w:rPr>
          <w:sz w:val="22"/>
        </w:rPr>
        <w:t>managerial personnel deficiency skills to deal with technological matters and a lack of training</w:t>
      </w:r>
      <w:bookmarkEnd w:id="9"/>
      <w:r w:rsidRPr="000D5D7F">
        <w:rPr>
          <w:sz w:val="22"/>
        </w:rPr>
        <w:t xml:space="preserve">, resulting in an inability to see the benefit of using technologies in the lecture halls. Regarding EFL lecturers’ motivation and intention to incorporate technology in their teaching </w:t>
      </w:r>
      <w:r w:rsidR="009F1B55" w:rsidRPr="000D5D7F">
        <w:rPr>
          <w:sz w:val="22"/>
        </w:rPr>
        <w:t>habits,</w:t>
      </w:r>
      <w:r w:rsidRPr="000D5D7F">
        <w:rPr>
          <w:sz w:val="22"/>
        </w:rPr>
        <w:t xml:space="preserve"> this issue has been assured by the hypotheses on ease of use to intention which indicated a considerable discrepancy between ease of use and perceived usefulness. However, information technology facilities are available at </w:t>
      </w:r>
      <w:r w:rsidR="00433B3A" w:rsidRPr="000D5D7F">
        <w:rPr>
          <w:sz w:val="22"/>
        </w:rPr>
        <w:t>universities.</w:t>
      </w:r>
      <w:r w:rsidRPr="000D5D7F">
        <w:rPr>
          <w:sz w:val="22"/>
        </w:rPr>
        <w:t xml:space="preserve"> In reference to Q2 of the study which has taken thorough intention </w:t>
      </w:r>
      <w:r w:rsidR="00433B3A" w:rsidRPr="000D5D7F">
        <w:rPr>
          <w:sz w:val="22"/>
        </w:rPr>
        <w:t>and motivation</w:t>
      </w:r>
      <w:r w:rsidRPr="000D5D7F">
        <w:rPr>
          <w:sz w:val="22"/>
        </w:rPr>
        <w:t xml:space="preserve"> factor to implement the ICTs in teaching and learning. The trends of the questionnaire` tracks the positive impact of the lecturers </w:t>
      </w:r>
      <w:r w:rsidR="00433B3A" w:rsidRPr="000D5D7F">
        <w:rPr>
          <w:sz w:val="22"/>
        </w:rPr>
        <w:t>adopting</w:t>
      </w:r>
      <w:r w:rsidRPr="000D5D7F">
        <w:rPr>
          <w:sz w:val="22"/>
        </w:rPr>
        <w:t xml:space="preserve"> information technology in their teaching and students’ learning. Another </w:t>
      </w:r>
      <w:r w:rsidR="00433B3A" w:rsidRPr="000D5D7F">
        <w:rPr>
          <w:sz w:val="22"/>
        </w:rPr>
        <w:t>factor,</w:t>
      </w:r>
      <w:r w:rsidRPr="000D5D7F">
        <w:rPr>
          <w:sz w:val="22"/>
        </w:rPr>
        <w:t xml:space="preserve"> most Saudi universities adopt less traditional methods in </w:t>
      </w:r>
      <w:r w:rsidR="00433B3A" w:rsidRPr="000D5D7F">
        <w:rPr>
          <w:sz w:val="22"/>
        </w:rPr>
        <w:t>lecturing,</w:t>
      </w:r>
      <w:r w:rsidRPr="000D5D7F">
        <w:rPr>
          <w:sz w:val="22"/>
        </w:rPr>
        <w:t xml:space="preserve"> marking and the time wasted to deliver feedback for the students. </w:t>
      </w:r>
    </w:p>
    <w:p w14:paraId="0B848611" w14:textId="262FAC41" w:rsidR="00A77F2B" w:rsidRPr="000D5D7F" w:rsidRDefault="009120FB" w:rsidP="00A0275C">
      <w:pPr>
        <w:spacing w:after="160"/>
        <w:ind w:firstLine="720"/>
        <w:jc w:val="both"/>
        <w:rPr>
          <w:sz w:val="22"/>
        </w:rPr>
      </w:pPr>
      <w:r w:rsidRPr="000D5D7F">
        <w:rPr>
          <w:sz w:val="22"/>
        </w:rPr>
        <w:t xml:space="preserve">It is evident from all trends that researchers have </w:t>
      </w:r>
      <w:r w:rsidR="00433B3A" w:rsidRPr="000D5D7F">
        <w:rPr>
          <w:sz w:val="22"/>
        </w:rPr>
        <w:t>drawn recommendations</w:t>
      </w:r>
      <w:r w:rsidRPr="000D5D7F">
        <w:rPr>
          <w:sz w:val="22"/>
        </w:rPr>
        <w:t xml:space="preserve"> for further studies. To start </w:t>
      </w:r>
      <w:r w:rsidR="00433B3A" w:rsidRPr="000D5D7F">
        <w:rPr>
          <w:sz w:val="22"/>
        </w:rPr>
        <w:t>with,</w:t>
      </w:r>
      <w:r w:rsidRPr="000D5D7F">
        <w:rPr>
          <w:sz w:val="22"/>
        </w:rPr>
        <w:t xml:space="preserve"> EFL lecturers should be updated with the rapid changes of ICT to deliver high standards of tuition. In </w:t>
      </w:r>
      <w:r w:rsidR="00433B3A" w:rsidRPr="000D5D7F">
        <w:rPr>
          <w:sz w:val="22"/>
        </w:rPr>
        <w:t>addition,</w:t>
      </w:r>
      <w:r w:rsidRPr="000D5D7F">
        <w:rPr>
          <w:sz w:val="22"/>
        </w:rPr>
        <w:t xml:space="preserve"> the ease of use and perceived usefulness should be assessed by ICT dept. at universities </w:t>
      </w:r>
      <w:r w:rsidRPr="000D5D7F">
        <w:rPr>
          <w:sz w:val="22"/>
        </w:rPr>
        <w:lastRenderedPageBreak/>
        <w:t xml:space="preserve">to train and evaluate EFL lecturers’ ICT competencies for facing challenges. Lastly, lecturers’ motivation should have priority to incorporate technology into their teaching habits. </w:t>
      </w:r>
    </w:p>
    <w:p w14:paraId="0634B0F4" w14:textId="77777777" w:rsidR="009120FB" w:rsidRPr="000D5D7F" w:rsidRDefault="009120FB" w:rsidP="009120FB">
      <w:pPr>
        <w:spacing w:after="160"/>
        <w:ind w:firstLine="720"/>
        <w:jc w:val="center"/>
        <w:rPr>
          <w:b/>
          <w:bCs/>
          <w:sz w:val="22"/>
        </w:rPr>
      </w:pPr>
      <w:r w:rsidRPr="000D5D7F">
        <w:rPr>
          <w:b/>
          <w:bCs/>
          <w:sz w:val="22"/>
        </w:rPr>
        <w:t>Acknowledgment</w:t>
      </w:r>
    </w:p>
    <w:p w14:paraId="2E753A7D" w14:textId="77777777" w:rsidR="009120FB" w:rsidRPr="000D5D7F" w:rsidRDefault="009120FB" w:rsidP="009120FB">
      <w:pPr>
        <w:spacing w:after="160"/>
        <w:ind w:firstLine="720"/>
        <w:jc w:val="both"/>
        <w:rPr>
          <w:sz w:val="22"/>
        </w:rPr>
      </w:pPr>
      <w:r w:rsidRPr="000D5D7F">
        <w:rPr>
          <w:sz w:val="22"/>
        </w:rPr>
        <w:t>The authors extend their appreciation to the management of King Khalid University, especially the Deanship of the Dhahran al-Janoub College of Sciences and Arts. They are also indebted to the English Department of the college staff and students for affording them the opportunity to compose a research paper on this vital issue.</w:t>
      </w:r>
    </w:p>
    <w:p w14:paraId="62518993" w14:textId="77777777" w:rsidR="009120FB" w:rsidRPr="000D5D7F" w:rsidRDefault="009120FB" w:rsidP="009120FB">
      <w:pPr>
        <w:spacing w:after="160"/>
        <w:ind w:firstLine="720"/>
        <w:jc w:val="center"/>
        <w:rPr>
          <w:b/>
          <w:bCs/>
          <w:sz w:val="22"/>
        </w:rPr>
      </w:pPr>
      <w:r w:rsidRPr="000D5D7F">
        <w:rPr>
          <w:b/>
          <w:bCs/>
          <w:sz w:val="22"/>
        </w:rPr>
        <w:t>Disclosure Statement</w:t>
      </w:r>
    </w:p>
    <w:p w14:paraId="6D17C722" w14:textId="77777777" w:rsidR="009120FB" w:rsidRPr="000D5D7F" w:rsidRDefault="009120FB" w:rsidP="009120FB">
      <w:pPr>
        <w:spacing w:after="160"/>
        <w:ind w:firstLine="720"/>
        <w:jc w:val="both"/>
        <w:rPr>
          <w:sz w:val="22"/>
        </w:rPr>
      </w:pPr>
      <w:r w:rsidRPr="000D5D7F">
        <w:rPr>
          <w:sz w:val="22"/>
        </w:rPr>
        <w:t>The authors reported no potential conflicts of interest.</w:t>
      </w:r>
    </w:p>
    <w:p w14:paraId="443F516C" w14:textId="77777777" w:rsidR="009120FB" w:rsidRPr="000D5D7F" w:rsidRDefault="009120FB" w:rsidP="009120FB">
      <w:pPr>
        <w:spacing w:after="160"/>
        <w:ind w:firstLine="720"/>
        <w:jc w:val="center"/>
        <w:rPr>
          <w:b/>
          <w:bCs/>
          <w:sz w:val="22"/>
        </w:rPr>
      </w:pPr>
      <w:r w:rsidRPr="000D5D7F">
        <w:rPr>
          <w:b/>
          <w:bCs/>
          <w:sz w:val="22"/>
        </w:rPr>
        <w:t>Declaration</w:t>
      </w:r>
    </w:p>
    <w:p w14:paraId="39E07DBF" w14:textId="77777777" w:rsidR="00667321" w:rsidRDefault="009120FB" w:rsidP="00226E17">
      <w:pPr>
        <w:spacing w:after="160"/>
        <w:ind w:firstLine="720"/>
        <w:rPr>
          <w:sz w:val="22"/>
        </w:rPr>
      </w:pPr>
      <w:r w:rsidRPr="000D5D7F">
        <w:rPr>
          <w:sz w:val="22"/>
        </w:rPr>
        <w:t>The work in question is completely unique and has neither been published nor is it being considered for publication elsewhere</w:t>
      </w:r>
      <w:r w:rsidR="00226E17">
        <w:rPr>
          <w:sz w:val="22"/>
        </w:rPr>
        <w:t>.</w:t>
      </w:r>
    </w:p>
    <w:p w14:paraId="666A9F01" w14:textId="77777777" w:rsidR="00667321" w:rsidRPr="00667321" w:rsidRDefault="00226E17" w:rsidP="00667321">
      <w:pPr>
        <w:spacing w:after="160"/>
        <w:jc w:val="center"/>
        <w:rPr>
          <w:b/>
          <w:bCs/>
          <w:szCs w:val="24"/>
        </w:rPr>
      </w:pPr>
      <w:r>
        <w:rPr>
          <w:sz w:val="22"/>
        </w:rPr>
        <w:t xml:space="preserve"> </w:t>
      </w:r>
      <w:r w:rsidR="009120FB" w:rsidRPr="009120FB">
        <w:rPr>
          <w:sz w:val="22"/>
        </w:rPr>
        <w:t xml:space="preserve"> </w:t>
      </w:r>
      <w:bookmarkEnd w:id="2"/>
      <w:r w:rsidR="00667321" w:rsidRPr="00667321">
        <w:rPr>
          <w:b/>
          <w:bCs/>
          <w:szCs w:val="24"/>
        </w:rPr>
        <w:t>References</w:t>
      </w:r>
    </w:p>
    <w:p w14:paraId="2362DDCE" w14:textId="77777777" w:rsidR="00667321" w:rsidRPr="00667321" w:rsidRDefault="00667321" w:rsidP="00667321">
      <w:pPr>
        <w:spacing w:line="240" w:lineRule="auto"/>
        <w:ind w:left="540" w:hanging="630"/>
        <w:rPr>
          <w:rFonts w:eastAsia="Times New Roman"/>
          <w:szCs w:val="24"/>
        </w:rPr>
      </w:pPr>
    </w:p>
    <w:p w14:paraId="22E3E5A7" w14:textId="77777777" w:rsidR="00667321" w:rsidRPr="00667321" w:rsidRDefault="00667321" w:rsidP="00667321">
      <w:pPr>
        <w:ind w:left="720" w:hanging="720"/>
        <w:rPr>
          <w:rFonts w:eastAsia="Times New Roman"/>
          <w:szCs w:val="24"/>
        </w:rPr>
      </w:pPr>
      <w:r w:rsidRPr="00667321">
        <w:rPr>
          <w:rFonts w:eastAsia="Times New Roman"/>
          <w:szCs w:val="24"/>
        </w:rPr>
        <w:t>Al-</w:t>
      </w:r>
      <w:proofErr w:type="gramStart"/>
      <w:r w:rsidRPr="00667321">
        <w:rPr>
          <w:rFonts w:eastAsia="Times New Roman"/>
          <w:szCs w:val="24"/>
        </w:rPr>
        <w:t>Ahdal ,</w:t>
      </w:r>
      <w:proofErr w:type="gramEnd"/>
      <w:r w:rsidRPr="00667321">
        <w:rPr>
          <w:rFonts w:eastAsia="Times New Roman"/>
          <w:szCs w:val="24"/>
        </w:rPr>
        <w:t xml:space="preserve"> A. A. M. H., &amp; Shariq, M. (2019). MALL: Resorting to Mobiles in the EFL Classroom. </w:t>
      </w:r>
      <w:r w:rsidRPr="00667321">
        <w:rPr>
          <w:rFonts w:eastAsia="Times New Roman"/>
          <w:i/>
          <w:iCs/>
          <w:szCs w:val="24"/>
        </w:rPr>
        <w:t>The Journal of Social Sciences Research</w:t>
      </w:r>
      <w:r w:rsidRPr="00667321">
        <w:rPr>
          <w:rFonts w:eastAsia="Times New Roman"/>
          <w:szCs w:val="24"/>
        </w:rPr>
        <w:t xml:space="preserve">, 90-96. </w:t>
      </w:r>
      <w:hyperlink r:id="rId9" w:history="1">
        <w:r w:rsidRPr="00667321">
          <w:rPr>
            <w:rFonts w:eastAsia="Times New Roman"/>
            <w:color w:val="0000FF"/>
            <w:szCs w:val="24"/>
            <w:u w:val="single"/>
          </w:rPr>
          <w:t>https://doi.org/10.1177/2158244021999062</w:t>
        </w:r>
      </w:hyperlink>
      <w:r w:rsidRPr="00667321">
        <w:rPr>
          <w:rFonts w:eastAsia="Times New Roman"/>
          <w:szCs w:val="24"/>
        </w:rPr>
        <w:t xml:space="preserve"> </w:t>
      </w:r>
    </w:p>
    <w:p w14:paraId="1BEE0BE4" w14:textId="77777777" w:rsidR="00667321" w:rsidRPr="00667321" w:rsidRDefault="00667321" w:rsidP="00667321">
      <w:pPr>
        <w:spacing w:after="160"/>
        <w:ind w:left="720" w:hanging="720"/>
        <w:jc w:val="both"/>
        <w:rPr>
          <w:szCs w:val="24"/>
          <w:lang w:val="en-GB"/>
        </w:rPr>
      </w:pPr>
      <w:r w:rsidRPr="00667321">
        <w:rPr>
          <w:szCs w:val="24"/>
          <w:lang w:val="en-GB"/>
        </w:rPr>
        <w:t>Al-Ahdal, A. A. M. H., &amp; Alharbi, M. A. (2021). MALL in Collaborative Learning as a Vocabulary-Enhancing Tool for EFL Learners: A Study Across Two Universities in Saudi Arabia. </w:t>
      </w:r>
      <w:r w:rsidRPr="00667321">
        <w:rPr>
          <w:i/>
          <w:iCs/>
          <w:szCs w:val="24"/>
          <w:lang w:val="en-GB"/>
        </w:rPr>
        <w:t>SAGEOpen</w:t>
      </w:r>
      <w:r w:rsidRPr="00667321">
        <w:rPr>
          <w:szCs w:val="24"/>
          <w:lang w:val="en-GB"/>
        </w:rPr>
        <w:t>, </w:t>
      </w:r>
      <w:r w:rsidRPr="00667321">
        <w:rPr>
          <w:i/>
          <w:iCs/>
          <w:szCs w:val="24"/>
          <w:lang w:val="en-GB"/>
        </w:rPr>
        <w:t>11</w:t>
      </w:r>
      <w:r w:rsidRPr="00667321">
        <w:rPr>
          <w:szCs w:val="24"/>
          <w:lang w:val="en-GB"/>
        </w:rPr>
        <w:t>(1). </w:t>
      </w:r>
      <w:hyperlink r:id="rId10" w:history="1">
        <w:r w:rsidRPr="00667321">
          <w:rPr>
            <w:color w:val="0000FF"/>
            <w:szCs w:val="24"/>
            <w:u w:val="single"/>
            <w:lang w:val="en-GB"/>
          </w:rPr>
          <w:t>https://doi.org/10.1177/2158244021999062</w:t>
        </w:r>
      </w:hyperlink>
      <w:r w:rsidRPr="00667321">
        <w:rPr>
          <w:szCs w:val="24"/>
          <w:lang w:val="en-GB"/>
        </w:rPr>
        <w:t> (Original work published 2021)</w:t>
      </w:r>
    </w:p>
    <w:p w14:paraId="164AE39A" w14:textId="77777777" w:rsidR="00667321" w:rsidRPr="00667321" w:rsidRDefault="00667321" w:rsidP="00667321">
      <w:pPr>
        <w:spacing w:after="160"/>
        <w:ind w:left="720" w:hanging="720"/>
        <w:rPr>
          <w:szCs w:val="24"/>
        </w:rPr>
      </w:pPr>
      <w:r w:rsidRPr="00667321">
        <w:rPr>
          <w:szCs w:val="24"/>
        </w:rPr>
        <w:lastRenderedPageBreak/>
        <w:t xml:space="preserve">Ali, J., &amp; Bin-Hady, W. (2019). A Study of EFL Students' Attitudes, Motivation and Anxiety towards WhatsApp as a Language Learning Tool. </w:t>
      </w:r>
      <w:r w:rsidRPr="00667321">
        <w:rPr>
          <w:i/>
          <w:iCs/>
          <w:szCs w:val="24"/>
        </w:rPr>
        <w:t>Arab World English Journal (AWEJ)</w:t>
      </w:r>
      <w:r w:rsidRPr="00667321">
        <w:rPr>
          <w:szCs w:val="24"/>
        </w:rPr>
        <w:t xml:space="preserve">, 10pages. </w:t>
      </w:r>
      <w:hyperlink r:id="rId11" w:history="1">
        <w:r w:rsidRPr="00667321">
          <w:rPr>
            <w:color w:val="0000FF"/>
            <w:szCs w:val="24"/>
            <w:u w:val="single"/>
          </w:rPr>
          <w:t>https://doi.org/http://dx.doi.org/10.2139/ssrn.3431782</w:t>
        </w:r>
      </w:hyperlink>
      <w:r w:rsidRPr="00667321">
        <w:rPr>
          <w:szCs w:val="24"/>
        </w:rPr>
        <w:t xml:space="preserve">   </w:t>
      </w:r>
    </w:p>
    <w:p w14:paraId="520A4025" w14:textId="77777777" w:rsidR="00667321" w:rsidRPr="00667321" w:rsidRDefault="00667321" w:rsidP="00667321">
      <w:pPr>
        <w:spacing w:after="160"/>
        <w:ind w:left="720" w:hanging="720"/>
        <w:jc w:val="both"/>
        <w:rPr>
          <w:szCs w:val="24"/>
        </w:rPr>
      </w:pPr>
      <w:r w:rsidRPr="00667321">
        <w:rPr>
          <w:szCs w:val="24"/>
          <w:lang w:val="en-GB"/>
        </w:rPr>
        <w:t xml:space="preserve">Allam, M., &amp; Elyas, T. (2016). Perceptions of Using Social Media as an ELT Tool among EFL Teachers in the Saudi </w:t>
      </w:r>
      <w:proofErr w:type="spellStart"/>
      <w:r w:rsidRPr="00667321">
        <w:rPr>
          <w:szCs w:val="24"/>
          <w:lang w:val="en-GB"/>
        </w:rPr>
        <w:t>Contex</w:t>
      </w:r>
      <w:proofErr w:type="spellEnd"/>
      <w:r w:rsidRPr="00667321">
        <w:rPr>
          <w:szCs w:val="24"/>
          <w:lang w:val="en-GB"/>
        </w:rPr>
        <w:t>. </w:t>
      </w:r>
      <w:r w:rsidRPr="00667321">
        <w:rPr>
          <w:i/>
          <w:iCs/>
          <w:szCs w:val="24"/>
          <w:lang w:val="en-GB"/>
        </w:rPr>
        <w:t>English Language Teaching</w:t>
      </w:r>
      <w:r w:rsidRPr="00667321">
        <w:rPr>
          <w:szCs w:val="24"/>
          <w:lang w:val="en-GB"/>
        </w:rPr>
        <w:t>, </w:t>
      </w:r>
      <w:r w:rsidRPr="00667321">
        <w:rPr>
          <w:i/>
          <w:iCs/>
          <w:szCs w:val="24"/>
          <w:lang w:val="en-GB"/>
        </w:rPr>
        <w:t>Vol. 9, No. 7 (2016)</w:t>
      </w:r>
      <w:r w:rsidRPr="00667321">
        <w:rPr>
          <w:szCs w:val="24"/>
          <w:lang w:val="en-GB"/>
        </w:rPr>
        <w:t xml:space="preserve">, 1-9. </w:t>
      </w:r>
      <w:hyperlink r:id="rId12" w:history="1">
        <w:r w:rsidRPr="00667321">
          <w:rPr>
            <w:color w:val="0000FF"/>
            <w:szCs w:val="24"/>
            <w:u w:val="single"/>
            <w:lang w:val="en-GB"/>
          </w:rPr>
          <w:t>https://doi.org/10.1177/2158244021999062</w:t>
        </w:r>
      </w:hyperlink>
      <w:r w:rsidRPr="00667321">
        <w:rPr>
          <w:szCs w:val="24"/>
          <w:lang w:val="en-GB"/>
        </w:rPr>
        <w:t xml:space="preserve">        </w:t>
      </w:r>
      <w:proofErr w:type="gramStart"/>
      <w:r w:rsidRPr="00667321">
        <w:rPr>
          <w:szCs w:val="24"/>
          <w:lang w:val="en-GB"/>
        </w:rPr>
        <w:t xml:space="preserve">   (</w:t>
      </w:r>
      <w:proofErr w:type="gramEnd"/>
      <w:r w:rsidRPr="00667321">
        <w:rPr>
          <w:szCs w:val="24"/>
          <w:lang w:val="en-GB"/>
        </w:rPr>
        <w:t>Allam &amp; Elyas, 2016)</w:t>
      </w:r>
    </w:p>
    <w:p w14:paraId="6E4BA3EE" w14:textId="77777777" w:rsidR="00667321" w:rsidRPr="00667321" w:rsidRDefault="00667321" w:rsidP="00667321">
      <w:pPr>
        <w:spacing w:after="160"/>
        <w:ind w:left="720" w:hanging="720"/>
        <w:jc w:val="both"/>
        <w:rPr>
          <w:szCs w:val="24"/>
        </w:rPr>
      </w:pPr>
      <w:r w:rsidRPr="00667321">
        <w:rPr>
          <w:szCs w:val="24"/>
          <w:lang w:val="en-GB"/>
        </w:rPr>
        <w:t>Alturise, F. (2024). ICT Strategies in Saudi Universities: Problems and Solutions for Effective Use. </w:t>
      </w:r>
      <w:r w:rsidRPr="00667321">
        <w:rPr>
          <w:i/>
          <w:iCs/>
          <w:szCs w:val="24"/>
          <w:lang w:val="en-GB"/>
        </w:rPr>
        <w:t>International Journal of Learning and Teaching</w:t>
      </w:r>
      <w:r w:rsidRPr="00667321">
        <w:rPr>
          <w:szCs w:val="24"/>
          <w:lang w:val="en-GB"/>
        </w:rPr>
        <w:t>, </w:t>
      </w:r>
      <w:r w:rsidRPr="00667321">
        <w:rPr>
          <w:i/>
          <w:iCs/>
          <w:szCs w:val="24"/>
          <w:lang w:val="en-GB"/>
        </w:rPr>
        <w:t>10, No. 3, 2024</w:t>
      </w:r>
      <w:r w:rsidRPr="00667321">
        <w:rPr>
          <w:szCs w:val="24"/>
          <w:lang w:val="en-GB"/>
        </w:rPr>
        <w:t xml:space="preserve">, 1-9. </w:t>
      </w:r>
      <w:hyperlink r:id="rId13" w:history="1">
        <w:r w:rsidRPr="00667321">
          <w:rPr>
            <w:color w:val="0000FF"/>
            <w:szCs w:val="24"/>
            <w:u w:val="single"/>
            <w:lang w:val="en-GB"/>
          </w:rPr>
          <w:t>https://doi.org/10.18178/ijlt.10.3.389-397</w:t>
        </w:r>
      </w:hyperlink>
      <w:r w:rsidRPr="00667321">
        <w:rPr>
          <w:szCs w:val="24"/>
          <w:lang w:val="en-GB"/>
        </w:rPr>
        <w:t xml:space="preserve"> </w:t>
      </w:r>
    </w:p>
    <w:p w14:paraId="66DCCF27" w14:textId="77777777" w:rsidR="00667321" w:rsidRPr="00667321" w:rsidRDefault="00667321" w:rsidP="00667321">
      <w:pPr>
        <w:spacing w:after="160"/>
        <w:ind w:left="720" w:hanging="720"/>
        <w:jc w:val="both"/>
        <w:rPr>
          <w:szCs w:val="24"/>
        </w:rPr>
      </w:pPr>
      <w:r w:rsidRPr="00667321">
        <w:rPr>
          <w:szCs w:val="24"/>
        </w:rPr>
        <w:t xml:space="preserve">Baartman, </w:t>
      </w:r>
      <w:proofErr w:type="gramStart"/>
      <w:r w:rsidRPr="00667321">
        <w:rPr>
          <w:szCs w:val="24"/>
        </w:rPr>
        <w:t>Liesbeth ,</w:t>
      </w:r>
      <w:proofErr w:type="gramEnd"/>
      <w:r w:rsidRPr="00667321">
        <w:rPr>
          <w:szCs w:val="24"/>
        </w:rPr>
        <w:t xml:space="preserve"> K. J., &amp; De Bruijn, E. (2011). Integrating Knowledge, Skills and Attitudes: Conceptualising Learning Processes towards Vocational Competence. Educational Research Review, v6 n2 P125-134 2011. </w:t>
      </w:r>
      <w:hyperlink r:id="rId14" w:history="1">
        <w:r w:rsidRPr="00667321">
          <w:rPr>
            <w:color w:val="0000FF"/>
            <w:szCs w:val="24"/>
            <w:u w:val="single"/>
          </w:rPr>
          <w:t>https://eric.ed.gov/?id=EJ927338</w:t>
        </w:r>
      </w:hyperlink>
      <w:r w:rsidRPr="00667321">
        <w:rPr>
          <w:szCs w:val="24"/>
        </w:rPr>
        <w:t xml:space="preserve"> </w:t>
      </w:r>
    </w:p>
    <w:p w14:paraId="40040860" w14:textId="77777777" w:rsidR="00667321" w:rsidRPr="00667321" w:rsidRDefault="00667321" w:rsidP="00667321">
      <w:pPr>
        <w:spacing w:after="160"/>
        <w:ind w:left="720" w:hanging="720"/>
        <w:jc w:val="both"/>
        <w:rPr>
          <w:szCs w:val="24"/>
        </w:rPr>
      </w:pPr>
      <w:r w:rsidRPr="00667321">
        <w:rPr>
          <w:szCs w:val="24"/>
        </w:rPr>
        <w:t xml:space="preserve">Billett, S., Harteis, C., &amp; Gruber, H. (2018). Developing occupational expertise through everyday work activities and interactions. In K. A. Ericsson, R. R. Hoffman, A. Kozbelt, &amp; A. </w:t>
      </w:r>
    </w:p>
    <w:p w14:paraId="75C2125B" w14:textId="77777777" w:rsidR="00667321" w:rsidRPr="00667321" w:rsidRDefault="00667321" w:rsidP="00667321">
      <w:pPr>
        <w:spacing w:after="160"/>
        <w:ind w:left="720" w:hanging="720"/>
        <w:jc w:val="both"/>
        <w:rPr>
          <w:szCs w:val="24"/>
        </w:rPr>
      </w:pPr>
      <w:r w:rsidRPr="00667321">
        <w:rPr>
          <w:szCs w:val="24"/>
        </w:rPr>
        <w:t xml:space="preserve">Colbert, J. A., Boyd, K. E., Clark, K. A., Guan, </w:t>
      </w:r>
      <w:proofErr w:type="gramStart"/>
      <w:r w:rsidRPr="00667321">
        <w:rPr>
          <w:szCs w:val="24"/>
        </w:rPr>
        <w:t>S. ,</w:t>
      </w:r>
      <w:proofErr w:type="gramEnd"/>
      <w:r w:rsidRPr="00667321">
        <w:rPr>
          <w:szCs w:val="24"/>
        </w:rPr>
        <w:t>., Harris</w:t>
      </w:r>
      <w:proofErr w:type="gramStart"/>
      <w:r w:rsidRPr="00667321">
        <w:rPr>
          <w:szCs w:val="24"/>
        </w:rPr>
        <w:t>, ,</w:t>
      </w:r>
      <w:proofErr w:type="gramEnd"/>
      <w:r w:rsidRPr="00667321">
        <w:rPr>
          <w:szCs w:val="24"/>
        </w:rPr>
        <w:t xml:space="preserve"> J. B., </w:t>
      </w:r>
      <w:proofErr w:type="gramStart"/>
      <w:r w:rsidRPr="00667321">
        <w:rPr>
          <w:szCs w:val="24"/>
        </w:rPr>
        <w:t>Kelly ,</w:t>
      </w:r>
      <w:proofErr w:type="gramEnd"/>
      <w:r w:rsidRPr="00667321">
        <w:rPr>
          <w:szCs w:val="24"/>
        </w:rPr>
        <w:t xml:space="preserve"> M. A., &amp; </w:t>
      </w:r>
      <w:proofErr w:type="gramStart"/>
      <w:r w:rsidRPr="00667321">
        <w:rPr>
          <w:szCs w:val="24"/>
        </w:rPr>
        <w:t>Thompson ,</w:t>
      </w:r>
      <w:proofErr w:type="gramEnd"/>
      <w:r w:rsidRPr="00667321">
        <w:rPr>
          <w:szCs w:val="24"/>
        </w:rPr>
        <w:t xml:space="preserve"> A. D. (2008). Handbook of technological pedagogical content knowledge (TPCK) for educators (pp. 1-340). New </w:t>
      </w:r>
      <w:proofErr w:type="gramStart"/>
      <w:r w:rsidRPr="00667321">
        <w:rPr>
          <w:szCs w:val="24"/>
        </w:rPr>
        <w:t>York :</w:t>
      </w:r>
      <w:proofErr w:type="gramEnd"/>
      <w:r w:rsidRPr="00667321">
        <w:rPr>
          <w:szCs w:val="24"/>
        </w:rPr>
        <w:t xml:space="preserve"> Routledge for the American Association of Colleges for Teacher Education.  </w:t>
      </w:r>
      <w:hyperlink r:id="rId15" w:history="1">
        <w:r w:rsidRPr="00667321">
          <w:rPr>
            <w:color w:val="0000FF"/>
            <w:szCs w:val="24"/>
            <w:u w:val="single"/>
          </w:rPr>
          <w:t>https://archive.org/details/handbookoftechno0000unse/page/n3/mode/2up</w:t>
        </w:r>
      </w:hyperlink>
      <w:r w:rsidRPr="00667321">
        <w:rPr>
          <w:szCs w:val="24"/>
        </w:rPr>
        <w:t xml:space="preserve"> </w:t>
      </w:r>
    </w:p>
    <w:p w14:paraId="314711D7" w14:textId="77777777" w:rsidR="00667321" w:rsidRPr="00667321" w:rsidRDefault="00667321" w:rsidP="00667321">
      <w:pPr>
        <w:spacing w:after="160"/>
        <w:ind w:left="720" w:hanging="720"/>
        <w:rPr>
          <w:szCs w:val="24"/>
          <w:u w:val="single"/>
        </w:rPr>
      </w:pPr>
      <w:r w:rsidRPr="00667321">
        <w:rPr>
          <w:szCs w:val="24"/>
        </w:rPr>
        <w:t xml:space="preserve">Davis, F. D. (1985). A Technology Acceptance Model for Empirically Testing New End-User Information Systems: Theory and Results. Massachusetts Institute of Technology. </w:t>
      </w:r>
      <w:hyperlink r:id="rId16" w:history="1">
        <w:r w:rsidRPr="00667321">
          <w:rPr>
            <w:color w:val="0000FF"/>
            <w:szCs w:val="24"/>
            <w:u w:val="single"/>
          </w:rPr>
          <w:t>http://hdl.handle.net/1721.1/15192</w:t>
        </w:r>
      </w:hyperlink>
    </w:p>
    <w:p w14:paraId="0E84246C" w14:textId="77777777" w:rsidR="00667321" w:rsidRPr="00667321" w:rsidRDefault="00667321" w:rsidP="00667321">
      <w:pPr>
        <w:spacing w:after="160"/>
        <w:ind w:left="720" w:hanging="720"/>
        <w:jc w:val="both"/>
        <w:rPr>
          <w:szCs w:val="24"/>
        </w:rPr>
      </w:pPr>
      <w:r w:rsidRPr="00667321">
        <w:rPr>
          <w:szCs w:val="24"/>
        </w:rPr>
        <w:lastRenderedPageBreak/>
        <w:t xml:space="preserve">Dexter, S., Doering, A., &amp; Riedel, E. (2006). Content area specific technology integration: A model for educating teachers. </w:t>
      </w:r>
      <w:r w:rsidRPr="00667321">
        <w:rPr>
          <w:i/>
          <w:iCs/>
          <w:szCs w:val="24"/>
        </w:rPr>
        <w:t>Journal of Technology and Teacher Education</w:t>
      </w:r>
      <w:r w:rsidRPr="00667321">
        <w:rPr>
          <w:szCs w:val="24"/>
        </w:rPr>
        <w:t xml:space="preserve">, 325-345. </w:t>
      </w:r>
      <w:hyperlink r:id="rId17" w:history="1">
        <w:r w:rsidRPr="00667321">
          <w:rPr>
            <w:color w:val="0000FF"/>
            <w:szCs w:val="24"/>
            <w:u w:val="single"/>
          </w:rPr>
          <w:t>https://www.researchgate.net/publication/277823589_Content_Area_Specific_Technology_Integration_A_Model_and_Resources_for_Educating_Teachers</w:t>
        </w:r>
      </w:hyperlink>
      <w:r w:rsidRPr="00667321">
        <w:rPr>
          <w:szCs w:val="24"/>
        </w:rPr>
        <w:t xml:space="preserve"> </w:t>
      </w:r>
    </w:p>
    <w:p w14:paraId="7E76095D" w14:textId="77777777" w:rsidR="00667321" w:rsidRPr="00667321" w:rsidRDefault="00667321" w:rsidP="00667321">
      <w:pPr>
        <w:spacing w:after="160"/>
        <w:ind w:left="720" w:hanging="720"/>
        <w:jc w:val="both"/>
        <w:rPr>
          <w:szCs w:val="24"/>
        </w:rPr>
      </w:pPr>
      <w:r w:rsidRPr="00667321">
        <w:rPr>
          <w:szCs w:val="24"/>
          <w:lang w:val="en-GB"/>
        </w:rPr>
        <w:t>Duarte, P.O., Raposo, M.B. &amp; Alves, H.B. Using a Satisfaction Index to Compare Students’ Satisfaction During and After Higher Education Service Consumption. </w:t>
      </w:r>
      <w:r w:rsidRPr="00667321">
        <w:rPr>
          <w:i/>
          <w:iCs/>
          <w:szCs w:val="24"/>
          <w:lang w:val="en-GB"/>
        </w:rPr>
        <w:t>TertEduc Manag</w:t>
      </w:r>
      <w:r w:rsidRPr="00667321">
        <w:rPr>
          <w:szCs w:val="24"/>
          <w:lang w:val="en-GB"/>
        </w:rPr>
        <w:t xml:space="preserve"> 18, 17–40 (2012). </w:t>
      </w:r>
      <w:hyperlink r:id="rId18" w:history="1">
        <w:r w:rsidRPr="00667321">
          <w:rPr>
            <w:color w:val="0000FF"/>
            <w:szCs w:val="24"/>
            <w:u w:val="single"/>
            <w:lang w:val="en-GB"/>
          </w:rPr>
          <w:t>https://doi.org/10.1080/13583883.2011.609564</w:t>
        </w:r>
      </w:hyperlink>
      <w:r w:rsidRPr="00667321">
        <w:rPr>
          <w:szCs w:val="24"/>
          <w:lang w:val="en-GB"/>
        </w:rPr>
        <w:t xml:space="preserve"> </w:t>
      </w:r>
    </w:p>
    <w:p w14:paraId="11523597" w14:textId="77777777" w:rsidR="00667321" w:rsidRPr="00667321" w:rsidRDefault="00667321" w:rsidP="00667321">
      <w:pPr>
        <w:ind w:left="720" w:hanging="720"/>
        <w:rPr>
          <w:rFonts w:eastAsia="Times New Roman"/>
          <w:szCs w:val="24"/>
        </w:rPr>
      </w:pPr>
      <w:r w:rsidRPr="00667321">
        <w:rPr>
          <w:rFonts w:eastAsia="Times New Roman"/>
          <w:szCs w:val="24"/>
        </w:rPr>
        <w:t xml:space="preserve">Dudeney, G., &amp; Hockly, N. (2007). </w:t>
      </w:r>
      <w:r w:rsidRPr="00667321">
        <w:rPr>
          <w:rFonts w:eastAsia="Times New Roman"/>
          <w:i/>
          <w:iCs/>
          <w:szCs w:val="24"/>
        </w:rPr>
        <w:t>How to Teach English with Technology</w:t>
      </w:r>
      <w:r w:rsidRPr="00667321">
        <w:rPr>
          <w:rFonts w:eastAsia="Times New Roman"/>
          <w:szCs w:val="24"/>
        </w:rPr>
        <w:t xml:space="preserve"> (1st ed., p. 192pages). Pearson Education, 2007. </w:t>
      </w:r>
      <w:hyperlink r:id="rId19" w:history="1">
        <w:r w:rsidRPr="00667321">
          <w:rPr>
            <w:rFonts w:eastAsia="Times New Roman"/>
            <w:color w:val="0000FF"/>
            <w:szCs w:val="24"/>
            <w:u w:val="single"/>
          </w:rPr>
          <w:t>https://books.google.com.qa/books/about/How_to_Teach_English_with_Technology.html?id=ZItHMwAACAAJ&amp;redir_esc=y</w:t>
        </w:r>
      </w:hyperlink>
      <w:r w:rsidRPr="00667321">
        <w:rPr>
          <w:rFonts w:eastAsia="Times New Roman"/>
          <w:szCs w:val="24"/>
        </w:rPr>
        <w:t xml:space="preserve"> </w:t>
      </w:r>
    </w:p>
    <w:p w14:paraId="19DE9EA0" w14:textId="77777777" w:rsidR="00667321" w:rsidRPr="00667321" w:rsidRDefault="00667321" w:rsidP="00667321">
      <w:pPr>
        <w:ind w:left="720" w:hanging="990"/>
        <w:rPr>
          <w:rFonts w:eastAsia="Times New Roman"/>
          <w:szCs w:val="24"/>
        </w:rPr>
      </w:pPr>
      <w:r w:rsidRPr="00667321">
        <w:rPr>
          <w:szCs w:val="24"/>
          <w:lang w:val="en-GB"/>
        </w:rPr>
        <w:t>Elstad, E., &amp; Christophersen, K.-A. (2017). Perceptions of Digital Competency among Student Teachers: Contributing to the Development of Student Teachers’ Instructional Self-Efficacy in Technology-Rich Classrooms. </w:t>
      </w:r>
      <w:r w:rsidRPr="00667321">
        <w:rPr>
          <w:i/>
          <w:iCs/>
          <w:szCs w:val="24"/>
          <w:lang w:val="en-GB"/>
        </w:rPr>
        <w:t>Education Sciences</w:t>
      </w:r>
      <w:r w:rsidRPr="00667321">
        <w:rPr>
          <w:szCs w:val="24"/>
          <w:lang w:val="en-GB"/>
        </w:rPr>
        <w:t>, </w:t>
      </w:r>
      <w:r w:rsidRPr="00667321">
        <w:rPr>
          <w:i/>
          <w:iCs/>
          <w:szCs w:val="24"/>
          <w:lang w:val="en-GB"/>
        </w:rPr>
        <w:t>7</w:t>
      </w:r>
      <w:r w:rsidRPr="00667321">
        <w:rPr>
          <w:szCs w:val="24"/>
          <w:lang w:val="en-GB"/>
        </w:rPr>
        <w:t xml:space="preserve">(1), 27. </w:t>
      </w:r>
      <w:hyperlink r:id="rId20" w:history="1">
        <w:r w:rsidRPr="00667321">
          <w:rPr>
            <w:color w:val="0000FF"/>
            <w:szCs w:val="24"/>
            <w:u w:val="single"/>
            <w:lang w:val="en-GB"/>
          </w:rPr>
          <w:t>https://doi.org/10.3390/educsci7010027</w:t>
        </w:r>
      </w:hyperlink>
      <w:r w:rsidRPr="00667321">
        <w:rPr>
          <w:szCs w:val="24"/>
          <w:lang w:val="en-GB"/>
        </w:rPr>
        <w:t xml:space="preserve"> </w:t>
      </w:r>
    </w:p>
    <w:p w14:paraId="0C781F85" w14:textId="77777777" w:rsidR="00667321" w:rsidRPr="00667321" w:rsidRDefault="00667321" w:rsidP="00667321">
      <w:pPr>
        <w:spacing w:after="160"/>
        <w:ind w:hanging="270"/>
        <w:jc w:val="both"/>
        <w:rPr>
          <w:szCs w:val="24"/>
        </w:rPr>
      </w:pPr>
      <w:r w:rsidRPr="00667321">
        <w:rPr>
          <w:szCs w:val="24"/>
        </w:rPr>
        <w:t xml:space="preserve">  Erben, T., Ban, R., &amp; Castañeda, M. (2008). </w:t>
      </w:r>
      <w:r w:rsidRPr="00667321">
        <w:rPr>
          <w:i/>
          <w:iCs/>
          <w:szCs w:val="24"/>
        </w:rPr>
        <w:t>Teaching English Language Learners through Technology</w:t>
      </w:r>
      <w:r w:rsidRPr="00667321">
        <w:rPr>
          <w:szCs w:val="24"/>
        </w:rPr>
        <w:t xml:space="preserve"> (1st ed.). New York. </w:t>
      </w:r>
      <w:hyperlink r:id="rId21" w:history="1">
        <w:r w:rsidRPr="00667321">
          <w:rPr>
            <w:color w:val="0000FF"/>
            <w:szCs w:val="24"/>
            <w:u w:val="single"/>
          </w:rPr>
          <w:t>https://doi.org/10.4324/9780203894422</w:t>
        </w:r>
      </w:hyperlink>
      <w:r w:rsidRPr="00667321">
        <w:rPr>
          <w:szCs w:val="24"/>
        </w:rPr>
        <w:t xml:space="preserve"> </w:t>
      </w:r>
    </w:p>
    <w:p w14:paraId="775DD80D" w14:textId="77777777" w:rsidR="00667321" w:rsidRPr="00667321" w:rsidRDefault="00667321" w:rsidP="00667321">
      <w:pPr>
        <w:spacing w:after="160"/>
        <w:ind w:hanging="270"/>
        <w:jc w:val="both"/>
        <w:rPr>
          <w:szCs w:val="24"/>
        </w:rPr>
      </w:pPr>
      <w:r w:rsidRPr="00667321">
        <w:rPr>
          <w:szCs w:val="24"/>
        </w:rPr>
        <w:t xml:space="preserve">  Ericsson, K. A., Hoffman, R., &amp; </w:t>
      </w:r>
      <w:proofErr w:type="gramStart"/>
      <w:r w:rsidRPr="00667321">
        <w:rPr>
          <w:szCs w:val="24"/>
        </w:rPr>
        <w:t>Kozbelt,,</w:t>
      </w:r>
      <w:proofErr w:type="gramEnd"/>
      <w:r w:rsidRPr="00667321">
        <w:rPr>
          <w:szCs w:val="24"/>
        </w:rPr>
        <w:t xml:space="preserve"> A. (2018). </w:t>
      </w:r>
      <w:r w:rsidRPr="00667321">
        <w:rPr>
          <w:i/>
          <w:iCs/>
          <w:szCs w:val="24"/>
        </w:rPr>
        <w:t>The Cambridge Handbook of Expertise and Expert Performance</w:t>
      </w:r>
      <w:r w:rsidRPr="00667321">
        <w:rPr>
          <w:szCs w:val="24"/>
        </w:rPr>
        <w:t xml:space="preserve"> (p. pp.105–126).). Cambridge University Press. </w:t>
      </w:r>
      <w:hyperlink r:id="rId22" w:history="1">
        <w:r w:rsidRPr="00667321">
          <w:rPr>
            <w:color w:val="0000FF"/>
            <w:szCs w:val="24"/>
            <w:u w:val="single"/>
          </w:rPr>
          <w:t>https://doi.org/10.1017/9781316480748</w:t>
        </w:r>
      </w:hyperlink>
      <w:r w:rsidRPr="00667321">
        <w:rPr>
          <w:szCs w:val="24"/>
        </w:rPr>
        <w:t xml:space="preserve"> </w:t>
      </w:r>
    </w:p>
    <w:p w14:paraId="66366767" w14:textId="77777777" w:rsidR="00667321" w:rsidRPr="00667321" w:rsidRDefault="00667321" w:rsidP="00667321">
      <w:pPr>
        <w:spacing w:after="160"/>
        <w:ind w:left="-90" w:hanging="180"/>
        <w:jc w:val="both"/>
        <w:rPr>
          <w:szCs w:val="24"/>
        </w:rPr>
      </w:pPr>
      <w:r w:rsidRPr="00667321">
        <w:rPr>
          <w:szCs w:val="24"/>
          <w:lang w:val="en-GB"/>
        </w:rPr>
        <w:lastRenderedPageBreak/>
        <w:t xml:space="preserve">  Eze, N. U., Obichukwu, P. U., &amp; </w:t>
      </w:r>
      <w:proofErr w:type="spellStart"/>
      <w:r w:rsidRPr="00667321">
        <w:rPr>
          <w:szCs w:val="24"/>
          <w:lang w:val="en-GB"/>
        </w:rPr>
        <w:t>Kesharwani</w:t>
      </w:r>
      <w:proofErr w:type="spellEnd"/>
      <w:r w:rsidRPr="00667321">
        <w:rPr>
          <w:szCs w:val="24"/>
          <w:lang w:val="en-GB"/>
        </w:rPr>
        <w:t>, S. (2021). Perceived Usefulness, Perceived Ease of Use in ICT Support and Use for Teachers. </w:t>
      </w:r>
      <w:r w:rsidRPr="00667321">
        <w:rPr>
          <w:i/>
          <w:iCs/>
          <w:szCs w:val="24"/>
          <w:lang w:val="en-GB"/>
        </w:rPr>
        <w:t>IETE Journal of Education</w:t>
      </w:r>
      <w:r w:rsidRPr="00667321">
        <w:rPr>
          <w:szCs w:val="24"/>
          <w:lang w:val="en-GB"/>
        </w:rPr>
        <w:t>, </w:t>
      </w:r>
      <w:r w:rsidRPr="00667321">
        <w:rPr>
          <w:i/>
          <w:iCs/>
          <w:szCs w:val="24"/>
          <w:lang w:val="en-GB"/>
        </w:rPr>
        <w:t>62</w:t>
      </w:r>
      <w:r w:rsidRPr="00667321">
        <w:rPr>
          <w:szCs w:val="24"/>
          <w:lang w:val="en-GB"/>
        </w:rPr>
        <w:t xml:space="preserve">(1), 12–20. </w:t>
      </w:r>
      <w:hyperlink r:id="rId23" w:history="1">
        <w:r w:rsidRPr="00667321">
          <w:rPr>
            <w:color w:val="0000FF"/>
            <w:szCs w:val="24"/>
            <w:u w:val="single"/>
            <w:lang w:val="en-GB"/>
          </w:rPr>
          <w:t>https://doi.org/10.1080/09747338.2021.1908177</w:t>
        </w:r>
      </w:hyperlink>
      <w:r w:rsidRPr="00667321">
        <w:rPr>
          <w:szCs w:val="24"/>
          <w:lang w:val="en-GB"/>
        </w:rPr>
        <w:t xml:space="preserve"> </w:t>
      </w:r>
    </w:p>
    <w:p w14:paraId="5029BDD9" w14:textId="77777777" w:rsidR="00667321" w:rsidRPr="00667321" w:rsidRDefault="00667321" w:rsidP="00667321">
      <w:pPr>
        <w:spacing w:after="160"/>
        <w:ind w:left="450" w:hanging="720"/>
        <w:rPr>
          <w:rFonts w:eastAsia="Times New Roman"/>
          <w:sz w:val="20"/>
          <w:szCs w:val="20"/>
          <w:lang w:val="en-GB" w:eastAsia="de-DE"/>
        </w:rPr>
      </w:pPr>
      <w:r w:rsidRPr="00667321">
        <w:rPr>
          <w:szCs w:val="24"/>
        </w:rPr>
        <w:t xml:space="preserve">Hair, J.F., Risher, J.J., Sarstedt, M. and Ringle, C.M. (2019) When to Use and How to Report the Results of PLS-SEM. </w:t>
      </w:r>
      <w:r w:rsidRPr="00667321">
        <w:rPr>
          <w:i/>
          <w:iCs/>
          <w:szCs w:val="24"/>
        </w:rPr>
        <w:t>European Business Review, 31, 2-24.</w:t>
      </w:r>
      <w:r w:rsidRPr="00667321">
        <w:rPr>
          <w:szCs w:val="24"/>
        </w:rPr>
        <w:t xml:space="preserve"> </w:t>
      </w:r>
      <w:hyperlink r:id="rId24" w:history="1">
        <w:r w:rsidRPr="00667321">
          <w:rPr>
            <w:color w:val="0000FF"/>
            <w:szCs w:val="24"/>
            <w:u w:val="single"/>
          </w:rPr>
          <w:t>https://doi.org/10.1108/EBR-11-2018-0203</w:t>
        </w:r>
      </w:hyperlink>
    </w:p>
    <w:p w14:paraId="6C650918" w14:textId="77777777" w:rsidR="00667321" w:rsidRPr="00667321" w:rsidRDefault="00667321" w:rsidP="00667321">
      <w:pPr>
        <w:spacing w:after="160"/>
        <w:ind w:left="450" w:hanging="720"/>
        <w:rPr>
          <w:rFonts w:eastAsia="Times New Roman"/>
          <w:sz w:val="20"/>
          <w:szCs w:val="20"/>
          <w:lang w:val="en-GB" w:eastAsia="de-DE"/>
        </w:rPr>
      </w:pPr>
      <w:r w:rsidRPr="00667321">
        <w:rPr>
          <w:rFonts w:eastAsia="Times New Roman"/>
          <w:szCs w:val="24"/>
          <w:lang w:eastAsia="de-DE"/>
        </w:rPr>
        <w:t xml:space="preserve"> Iroaganachi, M.A. &amp; Izuagbe, R. (2018). A Comparative Analysis of the Impact of Electronic Information Resources Use Towards Research Productivity of Academic Staff in Nigerian Universities. </w:t>
      </w:r>
      <w:r w:rsidRPr="00667321">
        <w:rPr>
          <w:rFonts w:eastAsia="Times New Roman"/>
          <w:i/>
          <w:szCs w:val="24"/>
          <w:lang w:eastAsia="de-DE"/>
        </w:rPr>
        <w:t>Library Philosophy and Practice (e-journal).</w:t>
      </w:r>
      <w:r w:rsidRPr="00667321">
        <w:rPr>
          <w:rFonts w:eastAsia="Times New Roman"/>
          <w:szCs w:val="24"/>
          <w:lang w:eastAsia="de-DE"/>
        </w:rPr>
        <w:t xml:space="preserve"> Retrieved March </w:t>
      </w:r>
      <w:r w:rsidRPr="00667321">
        <w:rPr>
          <w:rFonts w:eastAsia="Times New Roman"/>
          <w:szCs w:val="24"/>
          <w:lang w:eastAsia="de-DE"/>
        </w:rPr>
        <w:tab/>
        <w:t xml:space="preserve">24, 2018, from </w:t>
      </w:r>
      <w:hyperlink r:id="rId25" w:history="1">
        <w:r w:rsidRPr="00667321">
          <w:rPr>
            <w:rFonts w:eastAsia="Times New Roman"/>
            <w:color w:val="0000FF"/>
            <w:szCs w:val="24"/>
            <w:u w:val="single"/>
            <w:lang w:eastAsia="de-DE"/>
          </w:rPr>
          <w:t>https://digitalcommons.unl.edu/libphilprac/1702</w:t>
        </w:r>
      </w:hyperlink>
    </w:p>
    <w:p w14:paraId="7B1AC0B2" w14:textId="77777777" w:rsidR="00667321" w:rsidRPr="00667321" w:rsidRDefault="00667321" w:rsidP="00667321">
      <w:pPr>
        <w:spacing w:after="160"/>
        <w:ind w:left="450" w:hanging="720"/>
        <w:jc w:val="both"/>
        <w:rPr>
          <w:rFonts w:eastAsia="Times New Roman"/>
          <w:sz w:val="20"/>
          <w:szCs w:val="20"/>
          <w:lang w:eastAsia="de-DE"/>
        </w:rPr>
      </w:pPr>
      <w:proofErr w:type="gramStart"/>
      <w:r w:rsidRPr="00667321">
        <w:rPr>
          <w:rFonts w:eastAsia="Times New Roman"/>
          <w:szCs w:val="24"/>
          <w:lang w:eastAsia="de-DE"/>
        </w:rPr>
        <w:t>Janssen ,</w:t>
      </w:r>
      <w:proofErr w:type="gramEnd"/>
      <w:r w:rsidRPr="00667321">
        <w:rPr>
          <w:rFonts w:eastAsia="Times New Roman"/>
          <w:szCs w:val="24"/>
          <w:lang w:eastAsia="de-DE"/>
        </w:rPr>
        <w:t xml:space="preserve"> J., </w:t>
      </w:r>
      <w:proofErr w:type="spellStart"/>
      <w:r w:rsidRPr="00667321">
        <w:rPr>
          <w:rFonts w:eastAsia="Times New Roman"/>
          <w:szCs w:val="24"/>
          <w:lang w:eastAsia="de-DE"/>
        </w:rPr>
        <w:t>Toyanov</w:t>
      </w:r>
      <w:proofErr w:type="spellEnd"/>
      <w:r w:rsidRPr="00667321">
        <w:rPr>
          <w:rFonts w:eastAsia="Times New Roman"/>
          <w:szCs w:val="24"/>
          <w:lang w:eastAsia="de-DE"/>
        </w:rPr>
        <w:t xml:space="preserve">, S., </w:t>
      </w:r>
      <w:proofErr w:type="gramStart"/>
      <w:r w:rsidRPr="00667321">
        <w:rPr>
          <w:rFonts w:eastAsia="Times New Roman"/>
          <w:szCs w:val="24"/>
          <w:lang w:eastAsia="de-DE"/>
        </w:rPr>
        <w:t>Ferrari ,</w:t>
      </w:r>
      <w:proofErr w:type="gramEnd"/>
      <w:r w:rsidRPr="00667321">
        <w:rPr>
          <w:rFonts w:eastAsia="Times New Roman"/>
          <w:szCs w:val="24"/>
          <w:lang w:eastAsia="de-DE"/>
        </w:rPr>
        <w:t xml:space="preserve"> A., Punie, Y., Pannekeet, K., &amp; Sloep, P. (2013). Experts' views on digital competence: Commonalities and differences. </w:t>
      </w:r>
      <w:r w:rsidRPr="00667321">
        <w:rPr>
          <w:rFonts w:eastAsia="Times New Roman"/>
          <w:i/>
          <w:iCs/>
          <w:szCs w:val="24"/>
          <w:lang w:eastAsia="de-DE"/>
        </w:rPr>
        <w:t xml:space="preserve">Science Direct </w:t>
      </w:r>
      <w:proofErr w:type="spellStart"/>
      <w:r w:rsidRPr="00667321">
        <w:rPr>
          <w:rFonts w:eastAsia="Times New Roman"/>
          <w:i/>
          <w:iCs/>
          <w:szCs w:val="24"/>
          <w:lang w:eastAsia="de-DE"/>
        </w:rPr>
        <w:t>ElSEVIER</w:t>
      </w:r>
      <w:proofErr w:type="spellEnd"/>
      <w:r w:rsidRPr="00667321">
        <w:rPr>
          <w:rFonts w:eastAsia="Times New Roman"/>
          <w:szCs w:val="24"/>
          <w:lang w:eastAsia="de-DE"/>
        </w:rPr>
        <w:t xml:space="preserve">, </w:t>
      </w:r>
      <w:r w:rsidRPr="00667321">
        <w:rPr>
          <w:rFonts w:eastAsia="Times New Roman"/>
          <w:i/>
          <w:iCs/>
          <w:szCs w:val="24"/>
          <w:lang w:eastAsia="de-DE"/>
        </w:rPr>
        <w:t>Volume 68</w:t>
      </w:r>
      <w:r w:rsidRPr="00667321">
        <w:rPr>
          <w:rFonts w:eastAsia="Times New Roman"/>
          <w:szCs w:val="24"/>
          <w:lang w:eastAsia="de-DE"/>
        </w:rPr>
        <w:t xml:space="preserve">, 473-481. </w:t>
      </w:r>
      <w:hyperlink r:id="rId26" w:history="1">
        <w:r w:rsidRPr="00667321">
          <w:rPr>
            <w:rFonts w:eastAsia="Times New Roman"/>
            <w:color w:val="0000FF"/>
            <w:szCs w:val="24"/>
            <w:u w:val="single"/>
            <w:lang w:eastAsia="de-DE"/>
          </w:rPr>
          <w:t>https://doi.org/10.1016/j.compedu.2013.06.008</w:t>
        </w:r>
      </w:hyperlink>
      <w:r w:rsidRPr="00667321">
        <w:rPr>
          <w:rFonts w:eastAsia="Times New Roman"/>
          <w:sz w:val="20"/>
          <w:szCs w:val="20"/>
          <w:lang w:eastAsia="de-DE"/>
        </w:rPr>
        <w:t xml:space="preserve"> </w:t>
      </w:r>
    </w:p>
    <w:p w14:paraId="4C5F6AEB" w14:textId="77777777" w:rsidR="00667321" w:rsidRPr="00667321" w:rsidRDefault="00667321" w:rsidP="00667321">
      <w:pPr>
        <w:spacing w:after="160"/>
        <w:ind w:left="450" w:hanging="720"/>
        <w:rPr>
          <w:color w:val="000000"/>
          <w:szCs w:val="24"/>
        </w:rPr>
      </w:pPr>
      <w:r w:rsidRPr="00667321">
        <w:rPr>
          <w:color w:val="000000"/>
          <w:szCs w:val="24"/>
        </w:rPr>
        <w:t xml:space="preserve">Khanday, S. A., &amp; Khanam, D. (2019). THE RESEARCH DESIGN. </w:t>
      </w:r>
      <w:r w:rsidRPr="00667321">
        <w:rPr>
          <w:i/>
          <w:iCs/>
          <w:color w:val="000000"/>
          <w:szCs w:val="24"/>
        </w:rPr>
        <w:t>Journal of Critical Reviews</w:t>
      </w:r>
      <w:r w:rsidRPr="00667321">
        <w:rPr>
          <w:color w:val="000000"/>
          <w:szCs w:val="24"/>
        </w:rPr>
        <w:t xml:space="preserve">, </w:t>
      </w:r>
      <w:r w:rsidRPr="00667321">
        <w:rPr>
          <w:i/>
          <w:iCs/>
          <w:color w:val="000000"/>
          <w:szCs w:val="24"/>
        </w:rPr>
        <w:t>Volume 06</w:t>
      </w:r>
      <w:r w:rsidRPr="00667321">
        <w:rPr>
          <w:color w:val="000000"/>
          <w:szCs w:val="24"/>
        </w:rPr>
        <w:t xml:space="preserve">, 367-374. </w:t>
      </w:r>
      <w:hyperlink r:id="rId27" w:history="1">
        <w:r w:rsidRPr="00667321">
          <w:rPr>
            <w:color w:val="0000FF"/>
            <w:szCs w:val="24"/>
            <w:u w:val="single"/>
          </w:rPr>
          <w:t>https://scholar.google.com/citations?view_op=view_citation&amp;hl</w:t>
        </w:r>
      </w:hyperlink>
      <w:r w:rsidRPr="00667321">
        <w:rPr>
          <w:color w:val="000000"/>
          <w:szCs w:val="24"/>
        </w:rPr>
        <w:t xml:space="preserve"> </w:t>
      </w:r>
    </w:p>
    <w:p w14:paraId="039595C3" w14:textId="77777777" w:rsidR="00667321" w:rsidRPr="00667321" w:rsidRDefault="00667321" w:rsidP="00667321">
      <w:pPr>
        <w:spacing w:after="160"/>
        <w:ind w:left="450" w:hanging="720"/>
        <w:jc w:val="both"/>
        <w:rPr>
          <w:szCs w:val="24"/>
        </w:rPr>
      </w:pPr>
      <w:r w:rsidRPr="00667321">
        <w:rPr>
          <w:szCs w:val="24"/>
          <w:lang w:val="en-GB"/>
        </w:rPr>
        <w:t>Kock, N. (2017). Common method bias: A full collinearity assessment method for PLS-SEM. </w:t>
      </w:r>
      <w:r w:rsidRPr="00667321">
        <w:rPr>
          <w:i/>
          <w:iCs/>
          <w:szCs w:val="24"/>
          <w:lang w:val="en-GB"/>
        </w:rPr>
        <w:t xml:space="preserve">Partial Least Squares Path </w:t>
      </w:r>
      <w:proofErr w:type="spellStart"/>
      <w:r w:rsidRPr="00667321">
        <w:rPr>
          <w:i/>
          <w:iCs/>
          <w:szCs w:val="24"/>
          <w:lang w:val="en-GB"/>
        </w:rPr>
        <w:t>Modeling</w:t>
      </w:r>
      <w:proofErr w:type="spellEnd"/>
      <w:r w:rsidRPr="00667321">
        <w:rPr>
          <w:szCs w:val="24"/>
          <w:lang w:val="en-GB"/>
        </w:rPr>
        <w:t>, 245-257. </w:t>
      </w:r>
      <w:hyperlink r:id="rId28" w:history="1">
        <w:r w:rsidRPr="00667321">
          <w:rPr>
            <w:color w:val="0000FF"/>
            <w:szCs w:val="24"/>
            <w:u w:val="single"/>
            <w:lang w:val="en-GB"/>
          </w:rPr>
          <w:t>https://doi.org/10.1007/978-3-319-64069-3_11</w:t>
        </w:r>
      </w:hyperlink>
      <w:r w:rsidRPr="00667321">
        <w:rPr>
          <w:szCs w:val="24"/>
          <w:lang w:val="en-GB"/>
        </w:rPr>
        <w:t xml:space="preserve"> </w:t>
      </w:r>
    </w:p>
    <w:p w14:paraId="1C9F0BE5" w14:textId="77777777" w:rsidR="00667321" w:rsidRPr="00667321" w:rsidRDefault="00667321" w:rsidP="00667321">
      <w:pPr>
        <w:spacing w:after="160"/>
        <w:ind w:left="450" w:hanging="720"/>
        <w:rPr>
          <w:color w:val="000000"/>
          <w:szCs w:val="24"/>
        </w:rPr>
      </w:pPr>
      <w:r w:rsidRPr="00667321">
        <w:rPr>
          <w:rFonts w:eastAsia="Times New Roman"/>
          <w:szCs w:val="24"/>
        </w:rPr>
        <w:t xml:space="preserve">Kpolovie, P.J. &amp; Awusaku, O.K. (2016). ICT Adoption Attitude of Lecturers. </w:t>
      </w:r>
      <w:r w:rsidRPr="00667321">
        <w:rPr>
          <w:rFonts w:eastAsia="Times New Roman"/>
          <w:i/>
          <w:szCs w:val="24"/>
        </w:rPr>
        <w:t>European Journal of Computer Science and Information Technology.</w:t>
      </w:r>
      <w:r w:rsidRPr="00667321">
        <w:rPr>
          <w:rFonts w:eastAsia="Times New Roman"/>
          <w:szCs w:val="24"/>
        </w:rPr>
        <w:t xml:space="preserve"> 4(5), 9-57. Retrieved February 23</w:t>
      </w:r>
      <w:proofErr w:type="gramStart"/>
      <w:r w:rsidRPr="00667321">
        <w:rPr>
          <w:rFonts w:eastAsia="Times New Roman"/>
          <w:szCs w:val="24"/>
        </w:rPr>
        <w:t xml:space="preserve">, </w:t>
      </w:r>
      <w:r w:rsidRPr="00667321">
        <w:rPr>
          <w:rFonts w:eastAsia="Times New Roman"/>
          <w:szCs w:val="24"/>
        </w:rPr>
        <w:tab/>
        <w:t>2018</w:t>
      </w:r>
      <w:proofErr w:type="gramEnd"/>
      <w:r w:rsidRPr="00667321">
        <w:rPr>
          <w:rFonts w:eastAsia="Times New Roman"/>
          <w:szCs w:val="24"/>
        </w:rPr>
        <w:t xml:space="preserve">, </w:t>
      </w:r>
      <w:r w:rsidRPr="00667321">
        <w:rPr>
          <w:rFonts w:eastAsia="Times New Roman"/>
          <w:szCs w:val="24"/>
        </w:rPr>
        <w:tab/>
        <w:t xml:space="preserve">from </w:t>
      </w:r>
      <w:hyperlink r:id="rId29" w:history="1">
        <w:r w:rsidRPr="00667321">
          <w:rPr>
            <w:color w:val="0563C1"/>
            <w:szCs w:val="24"/>
            <w:u w:val="single"/>
          </w:rPr>
          <w:t>http://www.eajournals.org/wp-content/uploads/ICT-</w:t>
        </w:r>
      </w:hyperlink>
      <w:r w:rsidRPr="00667321">
        <w:rPr>
          <w:color w:val="000000"/>
          <w:szCs w:val="24"/>
        </w:rPr>
        <w:tab/>
        <w:t>Adoption-Attitude-of-Lecturers.pdf</w:t>
      </w:r>
    </w:p>
    <w:p w14:paraId="1C98108F" w14:textId="77777777" w:rsidR="00667321" w:rsidRPr="00667321" w:rsidRDefault="00667321" w:rsidP="00667321">
      <w:pPr>
        <w:spacing w:after="160"/>
        <w:ind w:left="450" w:hanging="720"/>
        <w:rPr>
          <w:color w:val="000000"/>
          <w:szCs w:val="24"/>
        </w:rPr>
      </w:pPr>
      <w:proofErr w:type="spellStart"/>
      <w:r w:rsidRPr="00667321">
        <w:rPr>
          <w:color w:val="000000"/>
          <w:szCs w:val="24"/>
        </w:rPr>
        <w:lastRenderedPageBreak/>
        <w:t>Krejcie</w:t>
      </w:r>
      <w:proofErr w:type="spellEnd"/>
      <w:r w:rsidRPr="00667321">
        <w:rPr>
          <w:color w:val="000000"/>
          <w:szCs w:val="24"/>
        </w:rPr>
        <w:t xml:space="preserve">, R. V., &amp; Morgan, D. W. (1970). Determining sample size for research activities. </w:t>
      </w:r>
      <w:r w:rsidRPr="00667321">
        <w:rPr>
          <w:i/>
          <w:iCs/>
          <w:color w:val="000000"/>
          <w:szCs w:val="24"/>
        </w:rPr>
        <w:t xml:space="preserve">Educational and Psychological </w:t>
      </w:r>
      <w:proofErr w:type="gramStart"/>
      <w:r w:rsidRPr="00667321">
        <w:rPr>
          <w:i/>
          <w:iCs/>
          <w:color w:val="000000"/>
          <w:szCs w:val="24"/>
        </w:rPr>
        <w:t>Measurement,</w:t>
      </w:r>
      <w:r w:rsidRPr="00667321">
        <w:rPr>
          <w:color w:val="000000"/>
          <w:szCs w:val="24"/>
        </w:rPr>
        <w:t>,</w:t>
      </w:r>
      <w:proofErr w:type="gramEnd"/>
      <w:r w:rsidRPr="00667321">
        <w:rPr>
          <w:color w:val="000000"/>
          <w:szCs w:val="24"/>
        </w:rPr>
        <w:t xml:space="preserve"> </w:t>
      </w:r>
      <w:r w:rsidRPr="00667321">
        <w:rPr>
          <w:i/>
          <w:iCs/>
          <w:color w:val="000000"/>
          <w:szCs w:val="24"/>
        </w:rPr>
        <w:t>30(3)</w:t>
      </w:r>
      <w:r w:rsidRPr="00667321">
        <w:rPr>
          <w:color w:val="000000"/>
          <w:szCs w:val="24"/>
        </w:rPr>
        <w:t xml:space="preserve">, 607–610. </w:t>
      </w:r>
      <w:hyperlink r:id="rId30" w:history="1">
        <w:r w:rsidRPr="00667321">
          <w:rPr>
            <w:color w:val="0000FF"/>
            <w:szCs w:val="24"/>
            <w:u w:val="single"/>
          </w:rPr>
          <w:t>https://psycnet.apa.org/record/1971-03263-001</w:t>
        </w:r>
      </w:hyperlink>
      <w:r w:rsidRPr="00667321">
        <w:rPr>
          <w:color w:val="000000"/>
          <w:szCs w:val="24"/>
        </w:rPr>
        <w:t xml:space="preserve"> </w:t>
      </w:r>
      <w:bookmarkStart w:id="10" w:name="_Hlk202503472"/>
    </w:p>
    <w:p w14:paraId="10BFF28D" w14:textId="77777777" w:rsidR="00667321" w:rsidRPr="00667321" w:rsidRDefault="00667321" w:rsidP="00667321">
      <w:pPr>
        <w:spacing w:after="160"/>
        <w:ind w:left="450" w:hanging="720"/>
        <w:rPr>
          <w:color w:val="000000"/>
          <w:szCs w:val="24"/>
        </w:rPr>
      </w:pPr>
      <w:r w:rsidRPr="00667321">
        <w:rPr>
          <w:szCs w:val="24"/>
        </w:rPr>
        <w:t>Nagadeepa c., &amp; Mohan, R. (2019</w:t>
      </w:r>
      <w:bookmarkEnd w:id="10"/>
      <w:r w:rsidRPr="00667321">
        <w:rPr>
          <w:szCs w:val="24"/>
        </w:rPr>
        <w:t xml:space="preserve">). Technology acceptance model (TAM) and Digital Technology usage: An empirical study among Teachers and Students. </w:t>
      </w:r>
      <w:hyperlink r:id="rId31" w:history="1">
        <w:r w:rsidRPr="00667321">
          <w:rPr>
            <w:color w:val="0000FF"/>
            <w:szCs w:val="24"/>
            <w:u w:val="single"/>
          </w:rPr>
          <w:t>https://www.researchgate.net/publication/332874070_Technology_acceptance_model_TAM_and_Digital_Technology_usage_An_empirical_study_among_Teachers_and_Students_1</w:t>
        </w:r>
      </w:hyperlink>
      <w:r w:rsidRPr="00667321">
        <w:rPr>
          <w:szCs w:val="24"/>
        </w:rPr>
        <w:t xml:space="preserve"> </w:t>
      </w:r>
    </w:p>
    <w:p w14:paraId="2EC8D255" w14:textId="77777777" w:rsidR="00667321" w:rsidRPr="00667321" w:rsidRDefault="00667321" w:rsidP="00667321">
      <w:pPr>
        <w:spacing w:after="160"/>
        <w:ind w:left="450" w:hanging="720"/>
        <w:rPr>
          <w:color w:val="000000"/>
          <w:szCs w:val="24"/>
        </w:rPr>
      </w:pPr>
      <w:r w:rsidRPr="00667321">
        <w:rPr>
          <w:rFonts w:eastAsia="Times New Roman"/>
          <w:szCs w:val="24"/>
        </w:rPr>
        <w:t xml:space="preserve">Nugroho, A., &amp; Mutiaraningrum, I. (2020). EFL teachers' beliefs and practices about digital learning of English. </w:t>
      </w:r>
      <w:r w:rsidRPr="00667321">
        <w:rPr>
          <w:rFonts w:eastAsia="Times New Roman"/>
          <w:i/>
          <w:iCs/>
          <w:szCs w:val="24"/>
        </w:rPr>
        <w:t>Edu Lite Journal of English Education Literature and Culture</w:t>
      </w:r>
      <w:r w:rsidRPr="00667321">
        <w:rPr>
          <w:rFonts w:eastAsia="Times New Roman"/>
          <w:szCs w:val="24"/>
        </w:rPr>
        <w:t xml:space="preserve">, 303-321. </w:t>
      </w:r>
      <w:hyperlink r:id="rId32" w:history="1">
        <w:r w:rsidRPr="00667321">
          <w:rPr>
            <w:rFonts w:eastAsia="Times New Roman"/>
            <w:color w:val="0000FF"/>
            <w:szCs w:val="24"/>
            <w:u w:val="single"/>
          </w:rPr>
          <w:t>https://doi.org/10.30659/e.5.2.304-321</w:t>
        </w:r>
      </w:hyperlink>
      <w:r w:rsidRPr="00667321">
        <w:rPr>
          <w:rFonts w:eastAsia="Times New Roman"/>
          <w:szCs w:val="24"/>
        </w:rPr>
        <w:t xml:space="preserve"> </w:t>
      </w:r>
    </w:p>
    <w:p w14:paraId="6939C8D0" w14:textId="77777777" w:rsidR="00667321" w:rsidRPr="00667321" w:rsidRDefault="00667321" w:rsidP="00667321">
      <w:pPr>
        <w:spacing w:after="160"/>
        <w:ind w:left="450" w:hanging="720"/>
        <w:rPr>
          <w:color w:val="000000"/>
          <w:szCs w:val="24"/>
        </w:rPr>
      </w:pPr>
      <w:r w:rsidRPr="00667321">
        <w:rPr>
          <w:rFonts w:ascii="TimesNewRomanPSMT" w:eastAsia="Times New Roman" w:hAnsi="TimesNewRomanPSMT" w:cs="TimesNewRomanPSMT"/>
          <w:szCs w:val="24"/>
        </w:rPr>
        <w:t xml:space="preserve"> Nzilano, J. L. (2013). Pre-service Teachers’ Teaching Competencies: The Experience of Practising Teaching in Secondary Schools and Teacher Colleges. </w:t>
      </w:r>
      <w:r w:rsidRPr="00667321">
        <w:rPr>
          <w:rFonts w:ascii="TimesNewRomanPSMT" w:eastAsia="Times New Roman" w:hAnsi="TimesNewRomanPSMT" w:cs="TimesNewRomanPSMT"/>
          <w:i/>
          <w:iCs/>
          <w:szCs w:val="24"/>
        </w:rPr>
        <w:t>African Journal of Teacher Education, Vol. 3 No. 1 (2013</w:t>
      </w:r>
      <w:r w:rsidRPr="00667321">
        <w:rPr>
          <w:rFonts w:ascii="TimesNewRomanPSMT" w:eastAsia="Times New Roman" w:hAnsi="TimesNewRomanPSMT" w:cs="TimesNewRomanPSMT"/>
          <w:szCs w:val="24"/>
        </w:rPr>
        <w:t xml:space="preserve">). </w:t>
      </w:r>
      <w:hyperlink r:id="rId33" w:history="1">
        <w:r w:rsidRPr="00667321">
          <w:rPr>
            <w:rFonts w:ascii="TimesNewRomanPSMT" w:eastAsia="Times New Roman" w:hAnsi="TimesNewRomanPSMT" w:cs="TimesNewRomanPSMT"/>
            <w:color w:val="0000FF"/>
            <w:szCs w:val="24"/>
            <w:u w:val="single"/>
          </w:rPr>
          <w:t>https://doi.org/10.21083/ajote.v3i1.2030</w:t>
        </w:r>
      </w:hyperlink>
      <w:r w:rsidRPr="00667321">
        <w:rPr>
          <w:rFonts w:ascii="TimesNewRomanPSMT" w:eastAsia="Times New Roman" w:hAnsi="TimesNewRomanPSMT" w:cs="TimesNewRomanPSMT"/>
          <w:color w:val="EE0000"/>
          <w:szCs w:val="24"/>
        </w:rPr>
        <w:t xml:space="preserve"> </w:t>
      </w:r>
    </w:p>
    <w:p w14:paraId="68D9CDC5" w14:textId="77777777" w:rsidR="00667321" w:rsidRPr="00667321" w:rsidRDefault="00667321" w:rsidP="00667321">
      <w:pPr>
        <w:spacing w:after="160"/>
        <w:ind w:left="450" w:hanging="720"/>
        <w:rPr>
          <w:color w:val="000000"/>
          <w:szCs w:val="24"/>
        </w:rPr>
      </w:pPr>
      <w:r w:rsidRPr="00667321">
        <w:rPr>
          <w:szCs w:val="24"/>
        </w:rPr>
        <w:t xml:space="preserve">Ockey, G. J., &amp; Choi, I. (2015). Structural equation modeling reporting practices for language assessment. </w:t>
      </w:r>
      <w:r w:rsidRPr="00667321">
        <w:rPr>
          <w:i/>
          <w:iCs/>
          <w:szCs w:val="24"/>
        </w:rPr>
        <w:t>Language Assessment Quarterly, 12</w:t>
      </w:r>
      <w:r w:rsidRPr="00667321">
        <w:rPr>
          <w:szCs w:val="24"/>
        </w:rPr>
        <w:t xml:space="preserve">(3), 305 319. </w:t>
      </w:r>
      <w:hyperlink r:id="rId34" w:history="1">
        <w:r w:rsidRPr="00667321">
          <w:rPr>
            <w:color w:val="0000FF"/>
            <w:szCs w:val="24"/>
            <w:u w:val="single"/>
          </w:rPr>
          <w:t>https://doi.org/10.1080/15434303.2015.1050101</w:t>
        </w:r>
      </w:hyperlink>
    </w:p>
    <w:p w14:paraId="06B7E23A" w14:textId="77777777" w:rsidR="00667321" w:rsidRPr="00667321" w:rsidRDefault="00667321" w:rsidP="00667321">
      <w:pPr>
        <w:spacing w:after="160"/>
        <w:ind w:left="450" w:hanging="720"/>
        <w:jc w:val="both"/>
        <w:rPr>
          <w:rFonts w:eastAsia="Times New Roman"/>
          <w:sz w:val="20"/>
          <w:szCs w:val="20"/>
          <w:lang w:val="en-GB" w:eastAsia="de-DE"/>
        </w:rPr>
      </w:pPr>
      <w:r w:rsidRPr="00667321">
        <w:rPr>
          <w:szCs w:val="24"/>
          <w:lang w:val="en-GB"/>
        </w:rPr>
        <w:t>Okon E, A., Patrick, N., &amp; Bosire, O. (2015). Perceived Effect of Accessibility and Utilization of Electronic Resources on Productivity of Academic Staff in Selected Nigerian Universities. </w:t>
      </w:r>
      <w:r w:rsidRPr="00667321">
        <w:rPr>
          <w:i/>
          <w:iCs/>
          <w:szCs w:val="24"/>
          <w:lang w:val="en-GB"/>
        </w:rPr>
        <w:t>SAGE Journals</w:t>
      </w:r>
      <w:r w:rsidRPr="00667321">
        <w:rPr>
          <w:szCs w:val="24"/>
          <w:lang w:val="en-GB"/>
        </w:rPr>
        <w:t xml:space="preserve">, 1-7. </w:t>
      </w:r>
      <w:hyperlink r:id="rId35" w:history="1">
        <w:r w:rsidRPr="00667321">
          <w:rPr>
            <w:color w:val="0000FF"/>
            <w:szCs w:val="24"/>
            <w:u w:val="single"/>
            <w:lang w:val="en-GB"/>
          </w:rPr>
          <w:t>https://doi.org/10.1177/2158244015607582</w:t>
        </w:r>
      </w:hyperlink>
      <w:r w:rsidRPr="00667321">
        <w:rPr>
          <w:szCs w:val="24"/>
          <w:lang w:val="en-GB"/>
        </w:rPr>
        <w:t xml:space="preserve"> </w:t>
      </w:r>
    </w:p>
    <w:p w14:paraId="576E6E83" w14:textId="77777777" w:rsidR="00667321" w:rsidRPr="00667321" w:rsidRDefault="00667321" w:rsidP="00667321">
      <w:pPr>
        <w:spacing w:after="160"/>
        <w:ind w:left="450" w:hanging="720"/>
        <w:jc w:val="both"/>
        <w:rPr>
          <w:szCs w:val="24"/>
        </w:rPr>
      </w:pPr>
      <w:r w:rsidRPr="00667321">
        <w:rPr>
          <w:szCs w:val="24"/>
          <w:lang w:val="en-GB"/>
        </w:rPr>
        <w:t>Okoro, J. (2013). Assessment of accounting competencies possessed by postgraduate University business education students to handle entrepreneurship business challenges in Nigeria. </w:t>
      </w:r>
      <w:r w:rsidRPr="00667321">
        <w:rPr>
          <w:i/>
          <w:iCs/>
          <w:szCs w:val="24"/>
          <w:lang w:val="en-GB"/>
        </w:rPr>
        <w:t>World Journal of Education</w:t>
      </w:r>
      <w:r w:rsidRPr="00667321">
        <w:rPr>
          <w:szCs w:val="24"/>
          <w:lang w:val="en-GB"/>
        </w:rPr>
        <w:t>, </w:t>
      </w:r>
      <w:r w:rsidRPr="00667321">
        <w:rPr>
          <w:i/>
          <w:iCs/>
          <w:szCs w:val="24"/>
          <w:lang w:val="en-GB"/>
        </w:rPr>
        <w:t>4</w:t>
      </w:r>
      <w:r w:rsidRPr="00667321">
        <w:rPr>
          <w:szCs w:val="24"/>
          <w:lang w:val="en-GB"/>
        </w:rPr>
        <w:t>(1), 1-10. </w:t>
      </w:r>
      <w:hyperlink r:id="rId36" w:history="1">
        <w:r w:rsidRPr="00667321">
          <w:rPr>
            <w:color w:val="0000FF"/>
            <w:szCs w:val="24"/>
            <w:u w:val="single"/>
            <w:lang w:val="en-GB"/>
          </w:rPr>
          <w:t>https://doi.org/10.5430/wje.v4n1p1</w:t>
        </w:r>
      </w:hyperlink>
      <w:r w:rsidRPr="00667321">
        <w:rPr>
          <w:szCs w:val="24"/>
          <w:lang w:val="en-GB"/>
        </w:rPr>
        <w:t xml:space="preserve"> </w:t>
      </w:r>
    </w:p>
    <w:p w14:paraId="42926E35" w14:textId="77777777" w:rsidR="00667321" w:rsidRPr="00667321" w:rsidRDefault="00667321" w:rsidP="00667321">
      <w:pPr>
        <w:spacing w:after="160"/>
        <w:ind w:left="540" w:hanging="630"/>
        <w:jc w:val="both"/>
        <w:rPr>
          <w:szCs w:val="24"/>
        </w:rPr>
      </w:pPr>
      <w:r w:rsidRPr="00667321">
        <w:rPr>
          <w:szCs w:val="24"/>
        </w:rPr>
        <w:lastRenderedPageBreak/>
        <w:t xml:space="preserve">Towbes, L. C., &amp; Cohen, L. H. (1996). Chronic stress in the lives of college students: Scale development and prospective prediction of distress. </w:t>
      </w:r>
      <w:r w:rsidRPr="00667321">
        <w:rPr>
          <w:i/>
          <w:iCs/>
          <w:szCs w:val="24"/>
        </w:rPr>
        <w:t>Journal of Youth and Adolescence</w:t>
      </w:r>
      <w:r w:rsidRPr="00667321">
        <w:rPr>
          <w:szCs w:val="24"/>
        </w:rPr>
        <w:t xml:space="preserve">, </w:t>
      </w:r>
      <w:proofErr w:type="gramStart"/>
      <w:r w:rsidRPr="00667321">
        <w:rPr>
          <w:i/>
          <w:iCs/>
          <w:szCs w:val="24"/>
        </w:rPr>
        <w:t>25,</w:t>
      </w:r>
      <w:r w:rsidRPr="00667321">
        <w:rPr>
          <w:szCs w:val="24"/>
        </w:rPr>
        <w:t>,</w:t>
      </w:r>
      <w:proofErr w:type="gramEnd"/>
      <w:r w:rsidRPr="00667321">
        <w:rPr>
          <w:szCs w:val="24"/>
        </w:rPr>
        <w:t xml:space="preserve"> 199-217. </w:t>
      </w:r>
      <w:hyperlink r:id="rId37" w:history="1">
        <w:r w:rsidRPr="00667321">
          <w:rPr>
            <w:color w:val="0000FF"/>
            <w:szCs w:val="24"/>
            <w:u w:val="single"/>
          </w:rPr>
          <w:t>https://doi.org/10.1007/BF01537344</w:t>
        </w:r>
      </w:hyperlink>
      <w:r w:rsidRPr="00667321">
        <w:rPr>
          <w:szCs w:val="24"/>
        </w:rPr>
        <w:t xml:space="preserve"> </w:t>
      </w:r>
    </w:p>
    <w:p w14:paraId="069AC033" w14:textId="77777777" w:rsidR="00667321" w:rsidRPr="00667321" w:rsidRDefault="00667321" w:rsidP="00667321">
      <w:pPr>
        <w:spacing w:after="160" w:line="240" w:lineRule="auto"/>
        <w:ind w:left="720" w:hanging="720"/>
        <w:jc w:val="both"/>
        <w:rPr>
          <w:szCs w:val="24"/>
        </w:rPr>
      </w:pPr>
    </w:p>
    <w:p w14:paraId="79CC08F0" w14:textId="77777777" w:rsidR="00667321" w:rsidRPr="00667321" w:rsidRDefault="00667321" w:rsidP="00667321">
      <w:pPr>
        <w:spacing w:after="160" w:line="240" w:lineRule="auto"/>
        <w:jc w:val="both"/>
        <w:rPr>
          <w:rFonts w:eastAsia="Times New Roman"/>
          <w:szCs w:val="24"/>
          <w:lang w:eastAsia="de-DE"/>
        </w:rPr>
      </w:pPr>
    </w:p>
    <w:p w14:paraId="4E5B2E16" w14:textId="237FEA08" w:rsidR="00B659F9" w:rsidRPr="00226E17" w:rsidRDefault="00B659F9" w:rsidP="00226E17">
      <w:pPr>
        <w:spacing w:after="160"/>
        <w:ind w:firstLine="720"/>
        <w:rPr>
          <w:sz w:val="22"/>
        </w:rPr>
      </w:pPr>
    </w:p>
    <w:sectPr w:rsidR="00B659F9" w:rsidRPr="00226E17" w:rsidSect="004840C8">
      <w:headerReference w:type="default" r:id="rId38"/>
      <w:head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5DE8" w14:textId="77777777" w:rsidR="003E7C6C" w:rsidRDefault="003E7C6C" w:rsidP="00301C9A">
      <w:pPr>
        <w:spacing w:line="240" w:lineRule="auto"/>
      </w:pPr>
      <w:r>
        <w:separator/>
      </w:r>
    </w:p>
  </w:endnote>
  <w:endnote w:type="continuationSeparator" w:id="0">
    <w:p w14:paraId="2CCC0846" w14:textId="77777777" w:rsidR="003E7C6C" w:rsidRDefault="003E7C6C" w:rsidP="0030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Pro-SemiboldI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6ED4" w14:textId="77777777" w:rsidR="003E7C6C" w:rsidRDefault="003E7C6C" w:rsidP="00301C9A">
      <w:pPr>
        <w:spacing w:line="240" w:lineRule="auto"/>
      </w:pPr>
      <w:r>
        <w:separator/>
      </w:r>
    </w:p>
  </w:footnote>
  <w:footnote w:type="continuationSeparator" w:id="0">
    <w:p w14:paraId="75CCCECD" w14:textId="77777777" w:rsidR="003E7C6C" w:rsidRDefault="003E7C6C" w:rsidP="0030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555638"/>
      <w:docPartObj>
        <w:docPartGallery w:val="Page Numbers (Top of Page)"/>
        <w:docPartUnique/>
      </w:docPartObj>
    </w:sdtPr>
    <w:sdtEndPr>
      <w:rPr>
        <w:noProof/>
      </w:rPr>
    </w:sdtEndPr>
    <w:sdtContent>
      <w:p w14:paraId="5D3007CA" w14:textId="3D44EFD2" w:rsidR="00305C5F" w:rsidRDefault="00305C5F">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FAB4" w14:textId="4F246152" w:rsidR="00A61BB5" w:rsidRDefault="007257D4">
    <w:pPr>
      <w:pStyle w:val="Header"/>
    </w:pPr>
    <w:r>
      <w:ptab w:relativeTo="margin" w:alignment="right" w:leader="none"/>
    </w:r>
    <w:r w:rsidR="00A61BB5">
      <w:fldChar w:fldCharType="begin"/>
    </w:r>
    <w:r w:rsidR="00A61BB5">
      <w:instrText xml:space="preserve"> PAGE   \* MERGEFORMAT </w:instrText>
    </w:r>
    <w:r w:rsidR="00A61BB5">
      <w:fldChar w:fldCharType="separate"/>
    </w:r>
    <w:r>
      <w:rPr>
        <w:noProof/>
      </w:rPr>
      <w:t>1</w:t>
    </w:r>
    <w:r w:rsidR="00A61BB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0"/>
    <w:lvl w:ilvl="0">
      <w:start w:val="1"/>
      <w:numFmt w:val="decimal"/>
      <w:lvlText w:val="%1."/>
      <w:lvlJc w:val="left"/>
      <w:pPr>
        <w:tabs>
          <w:tab w:val="num" w:pos="142"/>
        </w:tabs>
        <w:ind w:left="142" w:hanging="360"/>
      </w:pPr>
      <w:rPr>
        <w:rFonts w:ascii="Times New Roman" w:hAnsi="Times New Roman" w:hint="default"/>
        <w:b w:val="0"/>
        <w:i w:val="0"/>
        <w:sz w:val="22"/>
      </w:rPr>
    </w:lvl>
  </w:abstractNum>
  <w:abstractNum w:abstractNumId="1" w15:restartNumberingAfterBreak="0">
    <w:nsid w:val="029406AF"/>
    <w:multiLevelType w:val="multilevel"/>
    <w:tmpl w:val="FF68E740"/>
    <w:lvl w:ilvl="0">
      <w:start w:val="1"/>
      <w:numFmt w:val="decimal"/>
      <w:lvlText w:val="%1."/>
      <w:lvlJc w:val="left"/>
      <w:pPr>
        <w:tabs>
          <w:tab w:val="num" w:pos="360"/>
        </w:tabs>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05BB178C"/>
    <w:multiLevelType w:val="multilevel"/>
    <w:tmpl w:val="2F1A46F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pStyle w:val="Els-5thorder-head"/>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0B044E65"/>
    <w:multiLevelType w:val="hybridMultilevel"/>
    <w:tmpl w:val="02668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FB5BEB"/>
    <w:multiLevelType w:val="multilevel"/>
    <w:tmpl w:val="175A4A98"/>
    <w:lvl w:ilvl="0">
      <w:numFmt w:val="bullet"/>
      <w:lvlText w:val="-"/>
      <w:lvlJc w:val="left"/>
      <w:pPr>
        <w:ind w:left="720" w:hanging="360"/>
      </w:pPr>
      <w:rPr>
        <w:rFonts w:ascii="MyriadPro-SemiboldIt" w:eastAsia="Calibri" w:hAnsi="MyriadPro-SemiboldIt" w:cs="Arial" w:hint="default"/>
        <w:b/>
        <w:i/>
        <w:color w:val="10147E"/>
        <w:sz w:val="21"/>
        <w:szCs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2E0393"/>
    <w:multiLevelType w:val="multilevel"/>
    <w:tmpl w:val="1BB8C0B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1B346275"/>
    <w:multiLevelType w:val="multilevel"/>
    <w:tmpl w:val="EA06839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B70130"/>
    <w:multiLevelType w:val="singleLevel"/>
    <w:tmpl w:val="FB3CB4A8"/>
    <w:lvl w:ilvl="0">
      <w:start w:val="1"/>
      <w:numFmt w:val="decimal"/>
      <w:lvlText w:val="[%1]"/>
      <w:lvlJc w:val="left"/>
      <w:pPr>
        <w:tabs>
          <w:tab w:val="num" w:pos="360"/>
        </w:tabs>
        <w:ind w:left="312" w:hanging="312"/>
      </w:pPr>
    </w:lvl>
  </w:abstractNum>
  <w:abstractNum w:abstractNumId="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322B9F"/>
    <w:multiLevelType w:val="multilevel"/>
    <w:tmpl w:val="0B202A80"/>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E5A7AED"/>
    <w:multiLevelType w:val="singleLevel"/>
    <w:tmpl w:val="4B6A93D8"/>
    <w:lvl w:ilvl="0">
      <w:start w:val="1"/>
      <w:numFmt w:val="decimal"/>
      <w:lvlText w:val="%1."/>
      <w:lvlJc w:val="left"/>
      <w:pPr>
        <w:tabs>
          <w:tab w:val="num" w:pos="360"/>
        </w:tabs>
        <w:ind w:left="312" w:hanging="312"/>
      </w:pPr>
    </w:lvl>
  </w:abstractNum>
  <w:abstractNum w:abstractNumId="11" w15:restartNumberingAfterBreak="0">
    <w:nsid w:val="2FF46D20"/>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2" w15:restartNumberingAfterBreak="0">
    <w:nsid w:val="36F91C92"/>
    <w:multiLevelType w:val="hybridMultilevel"/>
    <w:tmpl w:val="F692C900"/>
    <w:lvl w:ilvl="0" w:tplc="59186826">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C496F"/>
    <w:multiLevelType w:val="singleLevel"/>
    <w:tmpl w:val="EA160DFC"/>
    <w:lvl w:ilvl="0">
      <w:start w:val="1"/>
      <w:numFmt w:val="upperLetter"/>
      <w:lvlText w:val="%1."/>
      <w:lvlJc w:val="left"/>
      <w:pPr>
        <w:tabs>
          <w:tab w:val="num" w:pos="360"/>
        </w:tabs>
        <w:ind w:left="360" w:hanging="360"/>
      </w:pPr>
      <w:rPr>
        <w:rFonts w:hint="default"/>
      </w:rPr>
    </w:lvl>
  </w:abstractNum>
  <w:abstractNum w:abstractNumId="15" w15:restartNumberingAfterBreak="0">
    <w:nsid w:val="3E1B474D"/>
    <w:multiLevelType w:val="hybridMultilevel"/>
    <w:tmpl w:val="10AC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6143B"/>
    <w:multiLevelType w:val="hybridMultilevel"/>
    <w:tmpl w:val="8B326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E7170"/>
    <w:multiLevelType w:val="multilevel"/>
    <w:tmpl w:val="859E6656"/>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8" w15:restartNumberingAfterBreak="0">
    <w:nsid w:val="56205803"/>
    <w:multiLevelType w:val="multilevel"/>
    <w:tmpl w:val="AA9EF6E6"/>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pStyle w:val="Els-1st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9" w15:restartNumberingAfterBreak="0">
    <w:nsid w:val="5A88655F"/>
    <w:multiLevelType w:val="hybridMultilevel"/>
    <w:tmpl w:val="848A49F8"/>
    <w:lvl w:ilvl="0" w:tplc="36A020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27A20"/>
    <w:multiLevelType w:val="multilevel"/>
    <w:tmpl w:val="D1402454"/>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2" w15:restartNumberingAfterBreak="0">
    <w:nsid w:val="67C130BA"/>
    <w:multiLevelType w:val="hybridMultilevel"/>
    <w:tmpl w:val="FA2AA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B6DED"/>
    <w:multiLevelType w:val="hybridMultilevel"/>
    <w:tmpl w:val="D332B4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6045B7"/>
    <w:multiLevelType w:val="multilevel"/>
    <w:tmpl w:val="69569782"/>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26" w15:restartNumberingAfterBreak="0">
    <w:nsid w:val="74842A47"/>
    <w:multiLevelType w:val="hybridMultilevel"/>
    <w:tmpl w:val="5AA6E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78800A0"/>
    <w:multiLevelType w:val="hybridMultilevel"/>
    <w:tmpl w:val="3D08E538"/>
    <w:lvl w:ilvl="0" w:tplc="4E520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08651C"/>
    <w:multiLevelType w:val="hybridMultilevel"/>
    <w:tmpl w:val="19B47E16"/>
    <w:lvl w:ilvl="0" w:tplc="277050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199656">
    <w:abstractNumId w:val="18"/>
  </w:num>
  <w:num w:numId="2" w16cid:durableId="2050759963">
    <w:abstractNumId w:val="9"/>
  </w:num>
  <w:num w:numId="3" w16cid:durableId="590554741">
    <w:abstractNumId w:val="21"/>
  </w:num>
  <w:num w:numId="4" w16cid:durableId="1524636088">
    <w:abstractNumId w:val="5"/>
  </w:num>
  <w:num w:numId="5" w16cid:durableId="1429691449">
    <w:abstractNumId w:val="17"/>
  </w:num>
  <w:num w:numId="6" w16cid:durableId="210577511">
    <w:abstractNumId w:val="27"/>
  </w:num>
  <w:num w:numId="7" w16cid:durableId="2056848435">
    <w:abstractNumId w:val="0"/>
  </w:num>
  <w:num w:numId="8" w16cid:durableId="116721350">
    <w:abstractNumId w:val="25"/>
  </w:num>
  <w:num w:numId="9" w16cid:durableId="101849748">
    <w:abstractNumId w:val="10"/>
  </w:num>
  <w:num w:numId="10" w16cid:durableId="1881744314">
    <w:abstractNumId w:val="11"/>
  </w:num>
  <w:num w:numId="11" w16cid:durableId="886767639">
    <w:abstractNumId w:val="7"/>
  </w:num>
  <w:num w:numId="12" w16cid:durableId="588661779">
    <w:abstractNumId w:val="14"/>
  </w:num>
  <w:num w:numId="13" w16cid:durableId="1040744346">
    <w:abstractNumId w:val="1"/>
  </w:num>
  <w:num w:numId="14" w16cid:durableId="997225467">
    <w:abstractNumId w:val="2"/>
  </w:num>
  <w:num w:numId="15" w16cid:durableId="228149379">
    <w:abstractNumId w:val="8"/>
  </w:num>
  <w:num w:numId="16" w16cid:durableId="1294871652">
    <w:abstractNumId w:val="13"/>
  </w:num>
  <w:num w:numId="17" w16cid:durableId="9726151">
    <w:abstractNumId w:val="20"/>
  </w:num>
  <w:num w:numId="18" w16cid:durableId="776409550">
    <w:abstractNumId w:val="12"/>
  </w:num>
  <w:num w:numId="19" w16cid:durableId="2045398605">
    <w:abstractNumId w:val="15"/>
  </w:num>
  <w:num w:numId="20" w16cid:durableId="1670644571">
    <w:abstractNumId w:val="23"/>
  </w:num>
  <w:num w:numId="21" w16cid:durableId="643320386">
    <w:abstractNumId w:val="26"/>
  </w:num>
  <w:num w:numId="22" w16cid:durableId="2004241470">
    <w:abstractNumId w:val="16"/>
  </w:num>
  <w:num w:numId="23" w16cid:durableId="87968305">
    <w:abstractNumId w:val="3"/>
  </w:num>
  <w:num w:numId="24" w16cid:durableId="1743602309">
    <w:abstractNumId w:val="24"/>
  </w:num>
  <w:num w:numId="25" w16cid:durableId="1013383969">
    <w:abstractNumId w:val="6"/>
  </w:num>
  <w:num w:numId="26" w16cid:durableId="1321033331">
    <w:abstractNumId w:val="4"/>
  </w:num>
  <w:num w:numId="27" w16cid:durableId="1171525513">
    <w:abstractNumId w:val="19"/>
  </w:num>
  <w:num w:numId="28" w16cid:durableId="2067485258">
    <w:abstractNumId w:val="28"/>
  </w:num>
  <w:num w:numId="29" w16cid:durableId="1418791835">
    <w:abstractNumId w:val="22"/>
  </w:num>
  <w:num w:numId="30" w16cid:durableId="4796871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9A"/>
    <w:rsid w:val="000016AF"/>
    <w:rsid w:val="00001730"/>
    <w:rsid w:val="00006DD9"/>
    <w:rsid w:val="000076FC"/>
    <w:rsid w:val="000105C2"/>
    <w:rsid w:val="00011112"/>
    <w:rsid w:val="00012280"/>
    <w:rsid w:val="00022CEA"/>
    <w:rsid w:val="00023E82"/>
    <w:rsid w:val="000245DE"/>
    <w:rsid w:val="00025920"/>
    <w:rsid w:val="000345F0"/>
    <w:rsid w:val="000512AF"/>
    <w:rsid w:val="00061409"/>
    <w:rsid w:val="00070A16"/>
    <w:rsid w:val="000771AE"/>
    <w:rsid w:val="0008778C"/>
    <w:rsid w:val="000A4C01"/>
    <w:rsid w:val="000B00ED"/>
    <w:rsid w:val="000B3BFC"/>
    <w:rsid w:val="000B5821"/>
    <w:rsid w:val="000D5D7F"/>
    <w:rsid w:val="000F4B26"/>
    <w:rsid w:val="00110C0E"/>
    <w:rsid w:val="00120C24"/>
    <w:rsid w:val="00120C44"/>
    <w:rsid w:val="00124A3E"/>
    <w:rsid w:val="001315F8"/>
    <w:rsid w:val="00132618"/>
    <w:rsid w:val="00135793"/>
    <w:rsid w:val="00160259"/>
    <w:rsid w:val="001637DA"/>
    <w:rsid w:val="00173474"/>
    <w:rsid w:val="00182195"/>
    <w:rsid w:val="00187CD9"/>
    <w:rsid w:val="00190186"/>
    <w:rsid w:val="00191122"/>
    <w:rsid w:val="001927EB"/>
    <w:rsid w:val="001959AE"/>
    <w:rsid w:val="001978D9"/>
    <w:rsid w:val="001A1D3C"/>
    <w:rsid w:val="001A2E56"/>
    <w:rsid w:val="001A3AED"/>
    <w:rsid w:val="001A69D7"/>
    <w:rsid w:val="001B182D"/>
    <w:rsid w:val="001C22D4"/>
    <w:rsid w:val="001C2587"/>
    <w:rsid w:val="001D4DBE"/>
    <w:rsid w:val="001D7541"/>
    <w:rsid w:val="001F4380"/>
    <w:rsid w:val="00226E17"/>
    <w:rsid w:val="0027465A"/>
    <w:rsid w:val="00280DFE"/>
    <w:rsid w:val="00292C53"/>
    <w:rsid w:val="00294F22"/>
    <w:rsid w:val="002A29F0"/>
    <w:rsid w:val="002B291F"/>
    <w:rsid w:val="002C217E"/>
    <w:rsid w:val="002C4B1B"/>
    <w:rsid w:val="002C6401"/>
    <w:rsid w:val="002D144F"/>
    <w:rsid w:val="002F02CF"/>
    <w:rsid w:val="00300BDD"/>
    <w:rsid w:val="00301C9A"/>
    <w:rsid w:val="00305C5F"/>
    <w:rsid w:val="0032677D"/>
    <w:rsid w:val="00326E5F"/>
    <w:rsid w:val="00327CF2"/>
    <w:rsid w:val="003421A6"/>
    <w:rsid w:val="003653E0"/>
    <w:rsid w:val="0036552E"/>
    <w:rsid w:val="003B3075"/>
    <w:rsid w:val="003B5209"/>
    <w:rsid w:val="003D1898"/>
    <w:rsid w:val="003E7C6C"/>
    <w:rsid w:val="00403E22"/>
    <w:rsid w:val="00407220"/>
    <w:rsid w:val="00412864"/>
    <w:rsid w:val="00433B3A"/>
    <w:rsid w:val="00435FD6"/>
    <w:rsid w:val="00453102"/>
    <w:rsid w:val="004607AB"/>
    <w:rsid w:val="00461718"/>
    <w:rsid w:val="0046463E"/>
    <w:rsid w:val="00467B50"/>
    <w:rsid w:val="004840C8"/>
    <w:rsid w:val="00487AA8"/>
    <w:rsid w:val="004930B3"/>
    <w:rsid w:val="004972B8"/>
    <w:rsid w:val="004A3F5C"/>
    <w:rsid w:val="004B1CF9"/>
    <w:rsid w:val="004C1C4E"/>
    <w:rsid w:val="004D6C6A"/>
    <w:rsid w:val="00503AF8"/>
    <w:rsid w:val="00514658"/>
    <w:rsid w:val="00542288"/>
    <w:rsid w:val="0055003E"/>
    <w:rsid w:val="00551AA4"/>
    <w:rsid w:val="005679C4"/>
    <w:rsid w:val="005761D8"/>
    <w:rsid w:val="005806D3"/>
    <w:rsid w:val="00582353"/>
    <w:rsid w:val="005B2106"/>
    <w:rsid w:val="005B56C0"/>
    <w:rsid w:val="005D0516"/>
    <w:rsid w:val="005F3AD9"/>
    <w:rsid w:val="00603D43"/>
    <w:rsid w:val="006101BF"/>
    <w:rsid w:val="0061169E"/>
    <w:rsid w:val="00624577"/>
    <w:rsid w:val="00660403"/>
    <w:rsid w:val="00667321"/>
    <w:rsid w:val="006742BF"/>
    <w:rsid w:val="006A0956"/>
    <w:rsid w:val="006A7403"/>
    <w:rsid w:val="006B5235"/>
    <w:rsid w:val="006E2084"/>
    <w:rsid w:val="007138A1"/>
    <w:rsid w:val="007257D4"/>
    <w:rsid w:val="007271F7"/>
    <w:rsid w:val="00762798"/>
    <w:rsid w:val="00796D8B"/>
    <w:rsid w:val="007A1377"/>
    <w:rsid w:val="007C4AAB"/>
    <w:rsid w:val="007D1A88"/>
    <w:rsid w:val="007E1213"/>
    <w:rsid w:val="007E45ED"/>
    <w:rsid w:val="007E6B61"/>
    <w:rsid w:val="007F791F"/>
    <w:rsid w:val="00813368"/>
    <w:rsid w:val="0083579D"/>
    <w:rsid w:val="00836D94"/>
    <w:rsid w:val="00852BF1"/>
    <w:rsid w:val="00871357"/>
    <w:rsid w:val="00894B7D"/>
    <w:rsid w:val="008A1809"/>
    <w:rsid w:val="008B2B3E"/>
    <w:rsid w:val="008C19CB"/>
    <w:rsid w:val="008C6621"/>
    <w:rsid w:val="008C7D13"/>
    <w:rsid w:val="008D388E"/>
    <w:rsid w:val="009040B2"/>
    <w:rsid w:val="009041AF"/>
    <w:rsid w:val="00907EEE"/>
    <w:rsid w:val="009120FB"/>
    <w:rsid w:val="00915BEA"/>
    <w:rsid w:val="009212A9"/>
    <w:rsid w:val="00922B1E"/>
    <w:rsid w:val="00932812"/>
    <w:rsid w:val="00954968"/>
    <w:rsid w:val="00963667"/>
    <w:rsid w:val="00977530"/>
    <w:rsid w:val="009854F0"/>
    <w:rsid w:val="009A7C56"/>
    <w:rsid w:val="009B2F0A"/>
    <w:rsid w:val="009C33AA"/>
    <w:rsid w:val="009C68DA"/>
    <w:rsid w:val="009D627A"/>
    <w:rsid w:val="009F0988"/>
    <w:rsid w:val="009F1B55"/>
    <w:rsid w:val="00A014E7"/>
    <w:rsid w:val="00A014F6"/>
    <w:rsid w:val="00A0275C"/>
    <w:rsid w:val="00A04CA3"/>
    <w:rsid w:val="00A12ED1"/>
    <w:rsid w:val="00A14F84"/>
    <w:rsid w:val="00A373A5"/>
    <w:rsid w:val="00A4198B"/>
    <w:rsid w:val="00A52BCA"/>
    <w:rsid w:val="00A61BB5"/>
    <w:rsid w:val="00A63FA2"/>
    <w:rsid w:val="00A659DD"/>
    <w:rsid w:val="00A77234"/>
    <w:rsid w:val="00A77F2B"/>
    <w:rsid w:val="00A830D6"/>
    <w:rsid w:val="00AB0D73"/>
    <w:rsid w:val="00AB1125"/>
    <w:rsid w:val="00AC2B80"/>
    <w:rsid w:val="00AC7355"/>
    <w:rsid w:val="00AF410B"/>
    <w:rsid w:val="00AF46BE"/>
    <w:rsid w:val="00B009C4"/>
    <w:rsid w:val="00B023B3"/>
    <w:rsid w:val="00B14A32"/>
    <w:rsid w:val="00B14BE7"/>
    <w:rsid w:val="00B16CEF"/>
    <w:rsid w:val="00B201E4"/>
    <w:rsid w:val="00B55370"/>
    <w:rsid w:val="00B659F9"/>
    <w:rsid w:val="00B83591"/>
    <w:rsid w:val="00B917E7"/>
    <w:rsid w:val="00B96807"/>
    <w:rsid w:val="00BC4FC7"/>
    <w:rsid w:val="00BD2F36"/>
    <w:rsid w:val="00BD7F62"/>
    <w:rsid w:val="00BE0C93"/>
    <w:rsid w:val="00BE160B"/>
    <w:rsid w:val="00C02C89"/>
    <w:rsid w:val="00C35E58"/>
    <w:rsid w:val="00C767D4"/>
    <w:rsid w:val="00C7795E"/>
    <w:rsid w:val="00C83015"/>
    <w:rsid w:val="00C90DEC"/>
    <w:rsid w:val="00CA44A8"/>
    <w:rsid w:val="00CA509D"/>
    <w:rsid w:val="00CB411C"/>
    <w:rsid w:val="00CB61AC"/>
    <w:rsid w:val="00CF0B15"/>
    <w:rsid w:val="00CF25ED"/>
    <w:rsid w:val="00CF3B71"/>
    <w:rsid w:val="00D03CD1"/>
    <w:rsid w:val="00D11CA1"/>
    <w:rsid w:val="00D11FD7"/>
    <w:rsid w:val="00D14D36"/>
    <w:rsid w:val="00D23411"/>
    <w:rsid w:val="00D30318"/>
    <w:rsid w:val="00D5612E"/>
    <w:rsid w:val="00D572B2"/>
    <w:rsid w:val="00D64153"/>
    <w:rsid w:val="00D80D1C"/>
    <w:rsid w:val="00D95EE3"/>
    <w:rsid w:val="00DB0EF0"/>
    <w:rsid w:val="00DB4ECF"/>
    <w:rsid w:val="00DC0ACD"/>
    <w:rsid w:val="00DC26B9"/>
    <w:rsid w:val="00DD23F8"/>
    <w:rsid w:val="00DD607E"/>
    <w:rsid w:val="00DE2F7A"/>
    <w:rsid w:val="00E028C4"/>
    <w:rsid w:val="00E14AE9"/>
    <w:rsid w:val="00E31082"/>
    <w:rsid w:val="00E64991"/>
    <w:rsid w:val="00E860E7"/>
    <w:rsid w:val="00E866CA"/>
    <w:rsid w:val="00EA0950"/>
    <w:rsid w:val="00EB26E3"/>
    <w:rsid w:val="00EB329A"/>
    <w:rsid w:val="00EC3229"/>
    <w:rsid w:val="00EC543B"/>
    <w:rsid w:val="00ED5DB2"/>
    <w:rsid w:val="00EE0DB4"/>
    <w:rsid w:val="00EF2C5F"/>
    <w:rsid w:val="00EF48F9"/>
    <w:rsid w:val="00F06844"/>
    <w:rsid w:val="00F32069"/>
    <w:rsid w:val="00F3380B"/>
    <w:rsid w:val="00F36CA2"/>
    <w:rsid w:val="00F452B3"/>
    <w:rsid w:val="00F51D9C"/>
    <w:rsid w:val="00F7292D"/>
    <w:rsid w:val="00F82450"/>
    <w:rsid w:val="00F90936"/>
    <w:rsid w:val="00F974A8"/>
    <w:rsid w:val="00FB6934"/>
    <w:rsid w:val="00FE0602"/>
    <w:rsid w:val="00FE3F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1F4AA"/>
  <w15:docId w15:val="{641C30CC-2BC2-4259-BDD4-8CEE0740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4"/>
      <w:szCs w:val="22"/>
    </w:rPr>
  </w:style>
  <w:style w:type="paragraph" w:styleId="Heading1">
    <w:name w:val="heading 1"/>
    <w:basedOn w:val="Normal"/>
    <w:next w:val="Paragraph"/>
    <w:link w:val="Heading1Char"/>
    <w:qFormat/>
    <w:rsid w:val="00F452B3"/>
    <w:pPr>
      <w:keepNext/>
      <w:spacing w:before="360" w:after="60" w:line="360" w:lineRule="auto"/>
      <w:ind w:right="567"/>
      <w:contextualSpacing/>
      <w:outlineLvl w:val="0"/>
    </w:pPr>
    <w:rPr>
      <w:rFonts w:eastAsia="Times New Roman" w:cs="Arial"/>
      <w:b/>
      <w:bCs/>
      <w:kern w:val="32"/>
      <w:szCs w:val="32"/>
      <w:lang w:val="en-GB" w:eastAsia="en-GB"/>
    </w:rPr>
  </w:style>
  <w:style w:type="paragraph" w:styleId="Heading2">
    <w:name w:val="heading 2"/>
    <w:basedOn w:val="Normal"/>
    <w:next w:val="Paragraph"/>
    <w:link w:val="Heading2Char"/>
    <w:qFormat/>
    <w:rsid w:val="00F452B3"/>
    <w:pPr>
      <w:keepNext/>
      <w:spacing w:before="360" w:after="60" w:line="360" w:lineRule="auto"/>
      <w:ind w:right="567"/>
      <w:contextualSpacing/>
      <w:outlineLvl w:val="1"/>
    </w:pPr>
    <w:rPr>
      <w:rFonts w:eastAsia="Times New Roman" w:cs="Arial"/>
      <w:b/>
      <w:bCs/>
      <w:i/>
      <w:iCs/>
      <w:szCs w:val="28"/>
      <w:lang w:val="en-GB" w:eastAsia="en-GB"/>
    </w:rPr>
  </w:style>
  <w:style w:type="paragraph" w:styleId="Heading3">
    <w:name w:val="heading 3"/>
    <w:basedOn w:val="Normal"/>
    <w:next w:val="Paragraph"/>
    <w:link w:val="Heading3Char"/>
    <w:qFormat/>
    <w:rsid w:val="00F452B3"/>
    <w:pPr>
      <w:keepNext/>
      <w:spacing w:before="360" w:after="60" w:line="360" w:lineRule="auto"/>
      <w:ind w:right="567"/>
      <w:contextualSpacing/>
      <w:outlineLvl w:val="2"/>
    </w:pPr>
    <w:rPr>
      <w:rFonts w:eastAsia="Times New Roman" w:cs="Arial"/>
      <w:bCs/>
      <w:i/>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1C9A"/>
    <w:pPr>
      <w:tabs>
        <w:tab w:val="center" w:pos="4680"/>
        <w:tab w:val="right" w:pos="9360"/>
      </w:tabs>
      <w:spacing w:line="240" w:lineRule="auto"/>
    </w:pPr>
  </w:style>
  <w:style w:type="character" w:customStyle="1" w:styleId="HeaderChar">
    <w:name w:val="Header Char"/>
    <w:basedOn w:val="DefaultParagraphFont"/>
    <w:link w:val="Header"/>
    <w:uiPriority w:val="99"/>
    <w:rsid w:val="00301C9A"/>
  </w:style>
  <w:style w:type="paragraph" w:styleId="Footer">
    <w:name w:val="footer"/>
    <w:basedOn w:val="Normal"/>
    <w:link w:val="FooterChar"/>
    <w:unhideWhenUsed/>
    <w:rsid w:val="00301C9A"/>
    <w:pPr>
      <w:tabs>
        <w:tab w:val="center" w:pos="4680"/>
        <w:tab w:val="right" w:pos="9360"/>
      </w:tabs>
      <w:spacing w:line="240" w:lineRule="auto"/>
    </w:pPr>
  </w:style>
  <w:style w:type="character" w:customStyle="1" w:styleId="FooterChar">
    <w:name w:val="Footer Char"/>
    <w:basedOn w:val="DefaultParagraphFont"/>
    <w:link w:val="Footer"/>
    <w:uiPriority w:val="99"/>
    <w:rsid w:val="00301C9A"/>
  </w:style>
  <w:style w:type="paragraph" w:styleId="BalloonText">
    <w:name w:val="Balloon Text"/>
    <w:basedOn w:val="Normal"/>
    <w:link w:val="BalloonTextChar"/>
    <w:uiPriority w:val="99"/>
    <w:semiHidden/>
    <w:unhideWhenUsed/>
    <w:rsid w:val="0030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1C9A"/>
    <w:rPr>
      <w:rFonts w:ascii="Tahoma" w:hAnsi="Tahoma" w:cs="Tahoma"/>
      <w:sz w:val="16"/>
      <w:szCs w:val="16"/>
    </w:rPr>
  </w:style>
  <w:style w:type="character" w:styleId="Hyperlink">
    <w:name w:val="Hyperlink"/>
    <w:unhideWhenUsed/>
    <w:rsid w:val="00CF25ED"/>
    <w:rPr>
      <w:color w:val="0000FF"/>
      <w:u w:val="single"/>
    </w:rPr>
  </w:style>
  <w:style w:type="character" w:styleId="FollowedHyperlink">
    <w:name w:val="FollowedHyperlink"/>
    <w:uiPriority w:val="99"/>
    <w:semiHidden/>
    <w:unhideWhenUsed/>
    <w:rsid w:val="000B3BFC"/>
    <w:rPr>
      <w:color w:val="800080"/>
      <w:u w:val="single"/>
    </w:rPr>
  </w:style>
  <w:style w:type="character" w:styleId="PageNumber">
    <w:name w:val="page number"/>
    <w:basedOn w:val="DefaultParagraphFont"/>
    <w:unhideWhenUsed/>
    <w:rsid w:val="009041AF"/>
  </w:style>
  <w:style w:type="character" w:styleId="PlaceholderText">
    <w:name w:val="Placeholder Text"/>
    <w:basedOn w:val="DefaultParagraphFont"/>
    <w:uiPriority w:val="99"/>
    <w:semiHidden/>
    <w:rsid w:val="004930B3"/>
    <w:rPr>
      <w:color w:val="808080"/>
    </w:rPr>
  </w:style>
  <w:style w:type="paragraph" w:customStyle="1" w:styleId="Els-Abstract-text">
    <w:name w:val="Els-Abstract-text"/>
    <w:rsid w:val="00603D43"/>
    <w:pPr>
      <w:spacing w:after="220" w:line="220" w:lineRule="exact"/>
      <w:jc w:val="both"/>
    </w:pPr>
    <w:rPr>
      <w:rFonts w:eastAsia="Times New Roman"/>
      <w:sz w:val="18"/>
      <w:lang w:eastAsia="de-DE"/>
    </w:rPr>
  </w:style>
  <w:style w:type="character" w:customStyle="1" w:styleId="Heading1Char">
    <w:name w:val="Heading 1 Char"/>
    <w:basedOn w:val="DefaultParagraphFont"/>
    <w:link w:val="Heading1"/>
    <w:rsid w:val="00F452B3"/>
    <w:rPr>
      <w:rFonts w:eastAsia="Times New Roman" w:cs="Arial"/>
      <w:b/>
      <w:bCs/>
      <w:kern w:val="32"/>
      <w:sz w:val="24"/>
      <w:szCs w:val="32"/>
      <w:lang w:val="en-GB" w:eastAsia="en-GB"/>
    </w:rPr>
  </w:style>
  <w:style w:type="character" w:customStyle="1" w:styleId="Heading2Char">
    <w:name w:val="Heading 2 Char"/>
    <w:basedOn w:val="DefaultParagraphFont"/>
    <w:link w:val="Heading2"/>
    <w:rsid w:val="00F452B3"/>
    <w:rPr>
      <w:rFonts w:eastAsia="Times New Roman" w:cs="Arial"/>
      <w:b/>
      <w:bCs/>
      <w:i/>
      <w:iCs/>
      <w:sz w:val="24"/>
      <w:szCs w:val="28"/>
      <w:lang w:val="en-GB" w:eastAsia="en-GB"/>
    </w:rPr>
  </w:style>
  <w:style w:type="character" w:customStyle="1" w:styleId="Heading3Char">
    <w:name w:val="Heading 3 Char"/>
    <w:basedOn w:val="DefaultParagraphFont"/>
    <w:link w:val="Heading3"/>
    <w:rsid w:val="00F452B3"/>
    <w:rPr>
      <w:rFonts w:eastAsia="Times New Roman" w:cs="Arial"/>
      <w:bCs/>
      <w:i/>
      <w:sz w:val="24"/>
      <w:szCs w:val="26"/>
      <w:lang w:val="en-GB" w:eastAsia="en-GB"/>
    </w:rPr>
  </w:style>
  <w:style w:type="character" w:customStyle="1" w:styleId="MTEquationSection">
    <w:name w:val="MTEquationSection"/>
    <w:basedOn w:val="DefaultParagraphFont"/>
    <w:rsid w:val="00F452B3"/>
    <w:rPr>
      <w:vanish/>
      <w:color w:val="FF0000"/>
    </w:rPr>
  </w:style>
  <w:style w:type="paragraph" w:customStyle="1" w:styleId="Els-Title">
    <w:name w:val="Els-Title"/>
    <w:next w:val="Els-Author"/>
    <w:rsid w:val="00F452B3"/>
    <w:pPr>
      <w:suppressAutoHyphens/>
      <w:spacing w:before="1140" w:after="240" w:line="400" w:lineRule="exact"/>
      <w:jc w:val="center"/>
    </w:pPr>
    <w:rPr>
      <w:rFonts w:eastAsia="Times New Roman"/>
      <w:sz w:val="34"/>
      <w:lang w:eastAsia="de-DE"/>
    </w:rPr>
  </w:style>
  <w:style w:type="paragraph" w:customStyle="1" w:styleId="Els-Author">
    <w:name w:val="Els-Author"/>
    <w:next w:val="Els-Affiliation"/>
    <w:rsid w:val="00F452B3"/>
    <w:pPr>
      <w:keepNext/>
      <w:suppressAutoHyphens/>
      <w:spacing w:after="160" w:line="300" w:lineRule="exact"/>
      <w:jc w:val="center"/>
    </w:pPr>
    <w:rPr>
      <w:rFonts w:eastAsia="Times New Roman"/>
      <w:noProof/>
      <w:sz w:val="26"/>
      <w:lang w:val="de-DE" w:eastAsia="de-DE"/>
    </w:rPr>
  </w:style>
  <w:style w:type="paragraph" w:customStyle="1" w:styleId="Els-Affiliation">
    <w:name w:val="Els-Affiliation"/>
    <w:next w:val="Els-history"/>
    <w:rsid w:val="00F452B3"/>
    <w:pPr>
      <w:suppressAutoHyphens/>
      <w:spacing w:after="120" w:line="200" w:lineRule="exact"/>
      <w:jc w:val="center"/>
    </w:pPr>
    <w:rPr>
      <w:rFonts w:eastAsia="Times New Roman"/>
      <w:i/>
      <w:noProof/>
      <w:sz w:val="16"/>
      <w:lang w:val="de-DE" w:eastAsia="de-DE"/>
    </w:rPr>
  </w:style>
  <w:style w:type="paragraph" w:customStyle="1" w:styleId="Els-history">
    <w:name w:val="Els-history"/>
    <w:next w:val="Normal"/>
    <w:rsid w:val="00F452B3"/>
    <w:pPr>
      <w:spacing w:after="400" w:line="200" w:lineRule="exact"/>
      <w:jc w:val="center"/>
    </w:pPr>
    <w:rPr>
      <w:rFonts w:eastAsia="Times New Roman"/>
      <w:noProof/>
      <w:sz w:val="16"/>
      <w:lang w:val="de-DE" w:eastAsia="de-DE"/>
    </w:rPr>
  </w:style>
  <w:style w:type="paragraph" w:customStyle="1" w:styleId="Els-2ndorder-head">
    <w:name w:val="Els-2ndorder-head"/>
    <w:next w:val="Els-body-text"/>
    <w:rsid w:val="00F452B3"/>
    <w:pPr>
      <w:keepNext/>
      <w:suppressAutoHyphens/>
      <w:spacing w:before="240" w:after="240" w:line="240" w:lineRule="exact"/>
    </w:pPr>
    <w:rPr>
      <w:rFonts w:eastAsia="Times New Roman"/>
      <w:i/>
      <w:lang w:eastAsia="de-DE"/>
    </w:rPr>
  </w:style>
  <w:style w:type="paragraph" w:customStyle="1" w:styleId="Els-body-text">
    <w:name w:val="Els-body-text"/>
    <w:rsid w:val="00F452B3"/>
    <w:pPr>
      <w:spacing w:line="240" w:lineRule="exact"/>
      <w:ind w:firstLine="240"/>
      <w:jc w:val="both"/>
    </w:pPr>
    <w:rPr>
      <w:rFonts w:eastAsia="Times New Roman"/>
      <w:lang w:eastAsia="de-DE"/>
    </w:rPr>
  </w:style>
  <w:style w:type="paragraph" w:customStyle="1" w:styleId="Els-3rdorder-head">
    <w:name w:val="Els-3rdorder-head"/>
    <w:next w:val="Els-body-text"/>
    <w:rsid w:val="00F452B3"/>
    <w:pPr>
      <w:keepNext/>
      <w:suppressAutoHyphens/>
      <w:spacing w:before="240" w:line="240" w:lineRule="exact"/>
    </w:pPr>
    <w:rPr>
      <w:rFonts w:eastAsia="Times New Roman"/>
      <w:i/>
      <w:lang w:eastAsia="de-DE"/>
    </w:rPr>
  </w:style>
  <w:style w:type="paragraph" w:customStyle="1" w:styleId="Els-4thorder-head">
    <w:name w:val="Els-4thorder-head"/>
    <w:next w:val="Els-body-text"/>
    <w:rsid w:val="00F452B3"/>
    <w:pPr>
      <w:keepNext/>
      <w:numPr>
        <w:ilvl w:val="3"/>
        <w:numId w:val="1"/>
      </w:numPr>
      <w:suppressAutoHyphens/>
      <w:spacing w:before="240" w:line="240" w:lineRule="exact"/>
      <w:jc w:val="both"/>
    </w:pPr>
    <w:rPr>
      <w:rFonts w:eastAsia="Times New Roman"/>
      <w:i/>
      <w:lang w:eastAsia="de-DE"/>
    </w:rPr>
  </w:style>
  <w:style w:type="paragraph" w:customStyle="1" w:styleId="Els-1storder-head">
    <w:name w:val="Els-1storder-head"/>
    <w:next w:val="Els-body-text"/>
    <w:rsid w:val="00F452B3"/>
    <w:pPr>
      <w:keepNext/>
      <w:numPr>
        <w:numId w:val="1"/>
      </w:numPr>
      <w:suppressAutoHyphens/>
      <w:spacing w:before="480" w:after="240" w:line="240" w:lineRule="exact"/>
    </w:pPr>
    <w:rPr>
      <w:rFonts w:eastAsia="Times New Roman"/>
      <w:b/>
      <w:lang w:eastAsia="de-DE"/>
    </w:rPr>
  </w:style>
  <w:style w:type="paragraph" w:customStyle="1" w:styleId="Els-Abstract-head">
    <w:name w:val="Els-Abstract-head"/>
    <w:next w:val="Els-Abstract-text"/>
    <w:rsid w:val="00F452B3"/>
    <w:pPr>
      <w:keepNext/>
      <w:pBdr>
        <w:top w:val="single" w:sz="4" w:space="10" w:color="auto"/>
      </w:pBdr>
      <w:suppressAutoHyphens/>
      <w:spacing w:after="220" w:line="220" w:lineRule="exact"/>
    </w:pPr>
    <w:rPr>
      <w:rFonts w:eastAsia="Times New Roman"/>
      <w:b/>
      <w:sz w:val="18"/>
      <w:lang w:eastAsia="de-DE"/>
    </w:rPr>
  </w:style>
  <w:style w:type="paragraph" w:customStyle="1" w:styleId="Els-keywords">
    <w:name w:val="Els-keywords"/>
    <w:next w:val="Els-1storder-head"/>
    <w:rsid w:val="00F452B3"/>
    <w:pPr>
      <w:pBdr>
        <w:bottom w:val="single" w:sz="4" w:space="10" w:color="auto"/>
      </w:pBdr>
      <w:spacing w:line="200" w:lineRule="exact"/>
    </w:pPr>
    <w:rPr>
      <w:rFonts w:eastAsia="Times New Roman"/>
      <w:noProof/>
      <w:sz w:val="16"/>
      <w:lang w:val="de-DE" w:eastAsia="de-DE"/>
    </w:rPr>
  </w:style>
  <w:style w:type="paragraph" w:styleId="Caption">
    <w:name w:val="caption"/>
    <w:basedOn w:val="Normal"/>
    <w:next w:val="Normal"/>
    <w:qFormat/>
    <w:rsid w:val="00F452B3"/>
    <w:pPr>
      <w:keepLines/>
      <w:spacing w:line="200" w:lineRule="exact"/>
    </w:pPr>
    <w:rPr>
      <w:rFonts w:eastAsia="Times New Roman"/>
      <w:sz w:val="16"/>
      <w:szCs w:val="20"/>
      <w:lang w:eastAsia="de-DE"/>
    </w:rPr>
  </w:style>
  <w:style w:type="paragraph" w:customStyle="1" w:styleId="Els-acknowledgement">
    <w:name w:val="Els-acknowledgement"/>
    <w:next w:val="Els-body-text"/>
    <w:rsid w:val="00F452B3"/>
    <w:pPr>
      <w:keepNext/>
      <w:spacing w:before="480" w:after="240"/>
    </w:pPr>
    <w:rPr>
      <w:rFonts w:eastAsia="Times New Roman"/>
      <w:b/>
      <w:lang w:eastAsia="de-DE"/>
    </w:rPr>
  </w:style>
  <w:style w:type="paragraph" w:customStyle="1" w:styleId="Els-appendixhead">
    <w:name w:val="Els-appendixhead"/>
    <w:next w:val="Els-body-text"/>
    <w:rsid w:val="00F452B3"/>
    <w:pPr>
      <w:numPr>
        <w:numId w:val="2"/>
      </w:numPr>
      <w:spacing w:before="480" w:after="240"/>
    </w:pPr>
    <w:rPr>
      <w:rFonts w:eastAsia="Times New Roman"/>
      <w:b/>
      <w:lang w:eastAsia="de-DE"/>
    </w:rPr>
  </w:style>
  <w:style w:type="paragraph" w:customStyle="1" w:styleId="Els-appendixsubhead">
    <w:name w:val="Els-appendixsubhead"/>
    <w:next w:val="Els-body-text"/>
    <w:rsid w:val="00F452B3"/>
    <w:pPr>
      <w:numPr>
        <w:ilvl w:val="1"/>
        <w:numId w:val="3"/>
      </w:numPr>
      <w:spacing w:before="240" w:after="240"/>
    </w:pPr>
    <w:rPr>
      <w:rFonts w:eastAsia="Times New Roman"/>
      <w:i/>
      <w:lang w:eastAsia="de-DE"/>
    </w:rPr>
  </w:style>
  <w:style w:type="paragraph" w:customStyle="1" w:styleId="Els-bulletlist">
    <w:name w:val="Els-bulletlist"/>
    <w:basedOn w:val="Els-body-text"/>
    <w:rsid w:val="00F452B3"/>
    <w:pPr>
      <w:numPr>
        <w:numId w:val="4"/>
      </w:numPr>
      <w:tabs>
        <w:tab w:val="left" w:pos="240"/>
      </w:tabs>
      <w:jc w:val="left"/>
    </w:pPr>
  </w:style>
  <w:style w:type="paragraph" w:customStyle="1" w:styleId="Els-caption">
    <w:name w:val="Els-caption"/>
    <w:rsid w:val="00F452B3"/>
    <w:pPr>
      <w:keepLines/>
      <w:spacing w:before="200" w:after="240" w:line="200" w:lineRule="exact"/>
    </w:pPr>
    <w:rPr>
      <w:rFonts w:eastAsia="Times New Roman"/>
      <w:sz w:val="16"/>
      <w:lang w:eastAsia="de-DE"/>
    </w:rPr>
  </w:style>
  <w:style w:type="paragraph" w:customStyle="1" w:styleId="Els-chem-equation">
    <w:name w:val="Els-chem-equation"/>
    <w:next w:val="Els-body-text"/>
    <w:rsid w:val="00F452B3"/>
    <w:pPr>
      <w:tabs>
        <w:tab w:val="right" w:pos="4320"/>
        <w:tab w:val="right" w:pos="9120"/>
      </w:tabs>
      <w:spacing w:before="120" w:after="120" w:line="240" w:lineRule="exact"/>
    </w:pPr>
    <w:rPr>
      <w:rFonts w:eastAsia="Times New Roman"/>
      <w:noProof/>
      <w:lang w:val="de-DE" w:eastAsia="de-DE"/>
    </w:rPr>
  </w:style>
  <w:style w:type="paragraph" w:customStyle="1" w:styleId="Els-equation">
    <w:name w:val="Els-equation"/>
    <w:next w:val="Els-body-text"/>
    <w:rsid w:val="00F452B3"/>
    <w:pPr>
      <w:tabs>
        <w:tab w:val="right" w:pos="4320"/>
        <w:tab w:val="right" w:pos="9120"/>
      </w:tabs>
      <w:spacing w:before="120" w:after="120" w:line="240" w:lineRule="exact"/>
    </w:pPr>
    <w:rPr>
      <w:rFonts w:eastAsia="Times New Roman"/>
      <w:i/>
      <w:noProof/>
      <w:lang w:val="de-DE" w:eastAsia="de-DE"/>
    </w:rPr>
  </w:style>
  <w:style w:type="paragraph" w:customStyle="1" w:styleId="Els-footnote">
    <w:name w:val="Els-footnote"/>
    <w:rsid w:val="00F452B3"/>
    <w:pPr>
      <w:keepLines/>
      <w:widowControl w:val="0"/>
      <w:spacing w:line="200" w:lineRule="exact"/>
      <w:ind w:left="120" w:hanging="120"/>
    </w:pPr>
    <w:rPr>
      <w:rFonts w:eastAsia="Times New Roman"/>
      <w:sz w:val="16"/>
      <w:lang w:eastAsia="de-DE"/>
    </w:rPr>
  </w:style>
  <w:style w:type="paragraph" w:customStyle="1" w:styleId="Els-numlist">
    <w:name w:val="Els-numlist"/>
    <w:basedOn w:val="Els-body-text"/>
    <w:rsid w:val="00F452B3"/>
    <w:pPr>
      <w:numPr>
        <w:numId w:val="5"/>
      </w:numPr>
      <w:tabs>
        <w:tab w:val="left" w:pos="240"/>
      </w:tabs>
      <w:jc w:val="left"/>
    </w:pPr>
  </w:style>
  <w:style w:type="paragraph" w:customStyle="1" w:styleId="Els-reference">
    <w:name w:val="Els-reference"/>
    <w:rsid w:val="00F452B3"/>
    <w:pPr>
      <w:tabs>
        <w:tab w:val="left" w:pos="312"/>
      </w:tabs>
      <w:spacing w:line="200" w:lineRule="exact"/>
      <w:ind w:left="312" w:hanging="312"/>
    </w:pPr>
    <w:rPr>
      <w:rFonts w:eastAsia="Times New Roman"/>
      <w:noProof/>
      <w:sz w:val="16"/>
      <w:lang w:val="de-DE" w:eastAsia="de-DE"/>
    </w:rPr>
  </w:style>
  <w:style w:type="paragraph" w:customStyle="1" w:styleId="Els-reference-head">
    <w:name w:val="Els-reference-head"/>
    <w:next w:val="Els-reference"/>
    <w:rsid w:val="00F452B3"/>
    <w:pPr>
      <w:keepNext/>
      <w:spacing w:before="480" w:after="240" w:line="240" w:lineRule="exact"/>
    </w:pPr>
    <w:rPr>
      <w:rFonts w:eastAsia="Times New Roman"/>
      <w:b/>
      <w:lang w:eastAsia="de-DE"/>
    </w:rPr>
  </w:style>
  <w:style w:type="paragraph" w:customStyle="1" w:styleId="Els-table-text">
    <w:name w:val="Els-table-text"/>
    <w:rsid w:val="00F452B3"/>
    <w:pPr>
      <w:keepNext/>
      <w:spacing w:after="80" w:line="200" w:lineRule="exact"/>
    </w:pPr>
    <w:rPr>
      <w:rFonts w:eastAsia="Times New Roman"/>
      <w:sz w:val="16"/>
      <w:lang w:eastAsia="de-DE"/>
    </w:rPr>
  </w:style>
  <w:style w:type="paragraph" w:styleId="FootnoteText">
    <w:name w:val="footnote text"/>
    <w:basedOn w:val="Normal"/>
    <w:link w:val="FootnoteTextChar"/>
    <w:semiHidden/>
    <w:rsid w:val="00F452B3"/>
    <w:pPr>
      <w:spacing w:line="240" w:lineRule="auto"/>
    </w:pPr>
    <w:rPr>
      <w:rFonts w:ascii="Univers" w:eastAsia="Times New Roman" w:hAnsi="Univers"/>
      <w:sz w:val="20"/>
      <w:szCs w:val="20"/>
      <w:lang w:val="en-GB" w:eastAsia="de-DE"/>
    </w:rPr>
  </w:style>
  <w:style w:type="character" w:customStyle="1" w:styleId="FootnoteTextChar">
    <w:name w:val="Footnote Text Char"/>
    <w:basedOn w:val="DefaultParagraphFont"/>
    <w:link w:val="FootnoteText"/>
    <w:semiHidden/>
    <w:rsid w:val="00F452B3"/>
    <w:rPr>
      <w:rFonts w:ascii="Univers" w:eastAsia="Times New Roman" w:hAnsi="Univers"/>
      <w:lang w:val="en-GB" w:eastAsia="de-DE"/>
    </w:rPr>
  </w:style>
  <w:style w:type="character" w:styleId="FootnoteReference">
    <w:name w:val="footnote reference"/>
    <w:semiHidden/>
    <w:rsid w:val="00F452B3"/>
    <w:rPr>
      <w:vertAlign w:val="superscript"/>
    </w:rPr>
  </w:style>
  <w:style w:type="paragraph" w:customStyle="1" w:styleId="Els-5thorder-head">
    <w:name w:val="Els-5thorder-head"/>
    <w:next w:val="Els-body-text"/>
    <w:rsid w:val="00F452B3"/>
    <w:pPr>
      <w:keepNext/>
      <w:numPr>
        <w:ilvl w:val="4"/>
        <w:numId w:val="14"/>
      </w:numPr>
      <w:suppressAutoHyphens/>
      <w:spacing w:line="240" w:lineRule="exact"/>
    </w:pPr>
    <w:rPr>
      <w:rFonts w:eastAsia="Times New Roman"/>
      <w:i/>
      <w:lang w:eastAsia="de-DE"/>
    </w:rPr>
  </w:style>
  <w:style w:type="paragraph" w:customStyle="1" w:styleId="Els-journal-logo">
    <w:name w:val="Els-journal-logo"/>
    <w:rsid w:val="00F452B3"/>
    <w:pPr>
      <w:pBdr>
        <w:top w:val="thinThickLargeGap" w:sz="12" w:space="1" w:color="auto"/>
        <w:bottom w:val="thickThinLargeGap" w:sz="12" w:space="1" w:color="auto"/>
      </w:pBdr>
      <w:jc w:val="center"/>
    </w:pPr>
    <w:rPr>
      <w:rFonts w:ascii="Helvetica" w:eastAsia="Times New Roman" w:hAnsi="Helvetica"/>
      <w:noProof/>
      <w:lang w:val="de-DE" w:eastAsia="de-DE"/>
    </w:rPr>
  </w:style>
  <w:style w:type="paragraph" w:customStyle="1" w:styleId="Displayedquotation">
    <w:name w:val="Displayed quotation"/>
    <w:basedOn w:val="Normal"/>
    <w:qFormat/>
    <w:rsid w:val="00F452B3"/>
    <w:pPr>
      <w:tabs>
        <w:tab w:val="left" w:pos="1077"/>
        <w:tab w:val="left" w:pos="1440"/>
        <w:tab w:val="left" w:pos="1797"/>
        <w:tab w:val="left" w:pos="2155"/>
        <w:tab w:val="left" w:pos="2512"/>
      </w:tabs>
      <w:spacing w:before="240" w:after="360" w:line="360" w:lineRule="auto"/>
      <w:ind w:left="709" w:right="425"/>
      <w:contextualSpacing/>
    </w:pPr>
    <w:rPr>
      <w:rFonts w:eastAsia="Times New Roman"/>
      <w:sz w:val="22"/>
      <w:szCs w:val="24"/>
      <w:lang w:val="en-GB" w:eastAsia="en-GB"/>
    </w:rPr>
  </w:style>
  <w:style w:type="paragraph" w:customStyle="1" w:styleId="Numberedlist">
    <w:name w:val="Numbered list"/>
    <w:basedOn w:val="Paragraph"/>
    <w:next w:val="Paragraph"/>
    <w:qFormat/>
    <w:rsid w:val="00F452B3"/>
    <w:pPr>
      <w:widowControl/>
      <w:numPr>
        <w:numId w:val="16"/>
      </w:numPr>
      <w:spacing w:after="240"/>
      <w:contextualSpacing/>
    </w:pPr>
  </w:style>
  <w:style w:type="paragraph" w:customStyle="1" w:styleId="Displayedequation">
    <w:name w:val="Displayed equation"/>
    <w:basedOn w:val="Normal"/>
    <w:next w:val="Paragraph"/>
    <w:qFormat/>
    <w:rsid w:val="00F452B3"/>
    <w:pPr>
      <w:tabs>
        <w:tab w:val="center" w:pos="4253"/>
        <w:tab w:val="right" w:pos="8222"/>
      </w:tabs>
      <w:spacing w:before="240" w:after="240"/>
      <w:jc w:val="center"/>
    </w:pPr>
    <w:rPr>
      <w:rFonts w:eastAsia="Times New Roman"/>
      <w:szCs w:val="24"/>
      <w:lang w:val="en-GB" w:eastAsia="en-GB"/>
    </w:rPr>
  </w:style>
  <w:style w:type="paragraph" w:customStyle="1" w:styleId="Paragraph">
    <w:name w:val="Paragraph"/>
    <w:basedOn w:val="Normal"/>
    <w:next w:val="Newparagraph"/>
    <w:qFormat/>
    <w:rsid w:val="00F452B3"/>
    <w:pPr>
      <w:widowControl w:val="0"/>
      <w:spacing w:before="240"/>
    </w:pPr>
    <w:rPr>
      <w:rFonts w:eastAsia="Times New Roman"/>
      <w:szCs w:val="24"/>
      <w:lang w:val="en-GB" w:eastAsia="en-GB"/>
    </w:rPr>
  </w:style>
  <w:style w:type="paragraph" w:customStyle="1" w:styleId="Newparagraph">
    <w:name w:val="New paragraph"/>
    <w:basedOn w:val="Normal"/>
    <w:qFormat/>
    <w:rsid w:val="00F452B3"/>
    <w:pPr>
      <w:ind w:firstLine="720"/>
    </w:pPr>
    <w:rPr>
      <w:rFonts w:eastAsia="Times New Roman"/>
      <w:szCs w:val="24"/>
      <w:lang w:val="en-GB" w:eastAsia="en-GB"/>
    </w:rPr>
  </w:style>
  <w:style w:type="paragraph" w:customStyle="1" w:styleId="Bulletedlist">
    <w:name w:val="Bulleted list"/>
    <w:basedOn w:val="Paragraph"/>
    <w:next w:val="Paragraph"/>
    <w:qFormat/>
    <w:rsid w:val="00F452B3"/>
    <w:pPr>
      <w:widowControl/>
      <w:numPr>
        <w:numId w:val="17"/>
      </w:numPr>
      <w:spacing w:after="240"/>
      <w:contextualSpacing/>
    </w:pPr>
  </w:style>
  <w:style w:type="paragraph" w:customStyle="1" w:styleId="Heading4Paragraph">
    <w:name w:val="Heading 4 + Paragraph"/>
    <w:basedOn w:val="Paragraph"/>
    <w:next w:val="Newparagraph"/>
    <w:qFormat/>
    <w:rsid w:val="00F452B3"/>
    <w:pPr>
      <w:widowControl/>
      <w:spacing w:before="360"/>
    </w:pPr>
  </w:style>
  <w:style w:type="table" w:styleId="TableGrid">
    <w:name w:val="Table Grid"/>
    <w:basedOn w:val="TableNormal"/>
    <w:uiPriority w:val="59"/>
    <w:rsid w:val="00F452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52B3"/>
    <w:rPr>
      <w:rFonts w:eastAsia="Times New Roman"/>
      <w:lang w:val="en-GB" w:eastAsia="de-DE"/>
    </w:rPr>
  </w:style>
  <w:style w:type="character" w:customStyle="1" w:styleId="UnresolvedMention1">
    <w:name w:val="Unresolved Mention1"/>
    <w:basedOn w:val="DefaultParagraphFont"/>
    <w:uiPriority w:val="99"/>
    <w:semiHidden/>
    <w:unhideWhenUsed/>
    <w:rsid w:val="00F452B3"/>
    <w:rPr>
      <w:color w:val="605E5C"/>
      <w:shd w:val="clear" w:color="auto" w:fill="E1DFDD"/>
    </w:rPr>
  </w:style>
  <w:style w:type="character" w:styleId="UnresolvedMention">
    <w:name w:val="Unresolved Mention"/>
    <w:basedOn w:val="DefaultParagraphFont"/>
    <w:uiPriority w:val="99"/>
    <w:semiHidden/>
    <w:unhideWhenUsed/>
    <w:rsid w:val="00F452B3"/>
    <w:rPr>
      <w:color w:val="605E5C"/>
      <w:shd w:val="clear" w:color="auto" w:fill="E1DFDD"/>
    </w:rPr>
  </w:style>
  <w:style w:type="paragraph" w:styleId="NormalWeb">
    <w:name w:val="Normal (Web)"/>
    <w:basedOn w:val="Normal"/>
    <w:uiPriority w:val="99"/>
    <w:unhideWhenUsed/>
    <w:rsid w:val="00F452B3"/>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452B3"/>
    <w:pPr>
      <w:spacing w:line="240" w:lineRule="auto"/>
      <w:ind w:left="720"/>
      <w:contextualSpacing/>
    </w:pPr>
    <w:rPr>
      <w:rFonts w:eastAsia="Times New Roman"/>
      <w:sz w:val="20"/>
      <w:szCs w:val="20"/>
      <w:lang w:val="en-GB" w:eastAsia="de-DE"/>
    </w:rPr>
  </w:style>
  <w:style w:type="character" w:customStyle="1" w:styleId="A3">
    <w:name w:val="A3"/>
    <w:uiPriority w:val="99"/>
    <w:rsid w:val="00F452B3"/>
    <w:rPr>
      <w:rFonts w:cs="Montserrat Light"/>
      <w:color w:val="000000"/>
      <w:sz w:val="17"/>
      <w:szCs w:val="17"/>
    </w:rPr>
  </w:style>
  <w:style w:type="character" w:customStyle="1" w:styleId="A9">
    <w:name w:val="A9"/>
    <w:uiPriority w:val="99"/>
    <w:rsid w:val="00F452B3"/>
    <w:rPr>
      <w:rFonts w:cs="Montserrat Light"/>
      <w:color w:val="000000"/>
      <w:sz w:val="10"/>
      <w:szCs w:val="10"/>
    </w:rPr>
  </w:style>
  <w:style w:type="numbering" w:customStyle="1" w:styleId="NoList1">
    <w:name w:val="No List1"/>
    <w:next w:val="NoList"/>
    <w:uiPriority w:val="99"/>
    <w:semiHidden/>
    <w:unhideWhenUsed/>
    <w:rsid w:val="0091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50080">
      <w:bodyDiv w:val="1"/>
      <w:marLeft w:val="0"/>
      <w:marRight w:val="0"/>
      <w:marTop w:val="0"/>
      <w:marBottom w:val="0"/>
      <w:divBdr>
        <w:top w:val="none" w:sz="0" w:space="0" w:color="auto"/>
        <w:left w:val="none" w:sz="0" w:space="0" w:color="auto"/>
        <w:bottom w:val="none" w:sz="0" w:space="0" w:color="auto"/>
        <w:right w:val="none" w:sz="0" w:space="0" w:color="auto"/>
      </w:divBdr>
      <w:divsChild>
        <w:div w:id="1794135593">
          <w:marLeft w:val="0"/>
          <w:marRight w:val="0"/>
          <w:marTop w:val="0"/>
          <w:marBottom w:val="0"/>
          <w:divBdr>
            <w:top w:val="none" w:sz="0" w:space="0" w:color="auto"/>
            <w:left w:val="none" w:sz="0" w:space="0" w:color="auto"/>
            <w:bottom w:val="none" w:sz="0" w:space="0" w:color="auto"/>
            <w:right w:val="none" w:sz="0" w:space="0" w:color="auto"/>
          </w:divBdr>
          <w:divsChild>
            <w:div w:id="1514147770">
              <w:marLeft w:val="0"/>
              <w:marRight w:val="0"/>
              <w:marTop w:val="0"/>
              <w:marBottom w:val="0"/>
              <w:divBdr>
                <w:top w:val="none" w:sz="0" w:space="0" w:color="auto"/>
                <w:left w:val="none" w:sz="0" w:space="0" w:color="auto"/>
                <w:bottom w:val="none" w:sz="0" w:space="0" w:color="auto"/>
                <w:right w:val="none" w:sz="0" w:space="0" w:color="auto"/>
              </w:divBdr>
              <w:divsChild>
                <w:div w:id="1669014483">
                  <w:marLeft w:val="0"/>
                  <w:marRight w:val="0"/>
                  <w:marTop w:val="0"/>
                  <w:marBottom w:val="0"/>
                  <w:divBdr>
                    <w:top w:val="none" w:sz="0" w:space="0" w:color="auto"/>
                    <w:left w:val="none" w:sz="0" w:space="0" w:color="auto"/>
                    <w:bottom w:val="none" w:sz="0" w:space="0" w:color="auto"/>
                    <w:right w:val="none" w:sz="0" w:space="0" w:color="auto"/>
                  </w:divBdr>
                  <w:divsChild>
                    <w:div w:id="1435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8596">
      <w:bodyDiv w:val="1"/>
      <w:marLeft w:val="0"/>
      <w:marRight w:val="0"/>
      <w:marTop w:val="0"/>
      <w:marBottom w:val="0"/>
      <w:divBdr>
        <w:top w:val="none" w:sz="0" w:space="0" w:color="auto"/>
        <w:left w:val="none" w:sz="0" w:space="0" w:color="auto"/>
        <w:bottom w:val="none" w:sz="0" w:space="0" w:color="auto"/>
        <w:right w:val="none" w:sz="0" w:space="0" w:color="auto"/>
      </w:divBdr>
      <w:divsChild>
        <w:div w:id="1024675709">
          <w:marLeft w:val="0"/>
          <w:marRight w:val="0"/>
          <w:marTop w:val="0"/>
          <w:marBottom w:val="0"/>
          <w:divBdr>
            <w:top w:val="none" w:sz="0" w:space="0" w:color="auto"/>
            <w:left w:val="none" w:sz="0" w:space="0" w:color="auto"/>
            <w:bottom w:val="none" w:sz="0" w:space="0" w:color="auto"/>
            <w:right w:val="none" w:sz="0" w:space="0" w:color="auto"/>
          </w:divBdr>
          <w:divsChild>
            <w:div w:id="1702897398">
              <w:marLeft w:val="0"/>
              <w:marRight w:val="0"/>
              <w:marTop w:val="0"/>
              <w:marBottom w:val="0"/>
              <w:divBdr>
                <w:top w:val="none" w:sz="0" w:space="0" w:color="auto"/>
                <w:left w:val="none" w:sz="0" w:space="0" w:color="auto"/>
                <w:bottom w:val="none" w:sz="0" w:space="0" w:color="auto"/>
                <w:right w:val="none" w:sz="0" w:space="0" w:color="auto"/>
              </w:divBdr>
              <w:divsChild>
                <w:div w:id="1054620162">
                  <w:marLeft w:val="0"/>
                  <w:marRight w:val="0"/>
                  <w:marTop w:val="0"/>
                  <w:marBottom w:val="0"/>
                  <w:divBdr>
                    <w:top w:val="none" w:sz="0" w:space="0" w:color="auto"/>
                    <w:left w:val="none" w:sz="0" w:space="0" w:color="auto"/>
                    <w:bottom w:val="none" w:sz="0" w:space="0" w:color="auto"/>
                    <w:right w:val="none" w:sz="0" w:space="0" w:color="auto"/>
                  </w:divBdr>
                  <w:divsChild>
                    <w:div w:id="15772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6728">
      <w:bodyDiv w:val="1"/>
      <w:marLeft w:val="0"/>
      <w:marRight w:val="0"/>
      <w:marTop w:val="0"/>
      <w:marBottom w:val="0"/>
      <w:divBdr>
        <w:top w:val="none" w:sz="0" w:space="0" w:color="auto"/>
        <w:left w:val="none" w:sz="0" w:space="0" w:color="auto"/>
        <w:bottom w:val="none" w:sz="0" w:space="0" w:color="auto"/>
        <w:right w:val="none" w:sz="0" w:space="0" w:color="auto"/>
      </w:divBdr>
      <w:divsChild>
        <w:div w:id="862787599">
          <w:marLeft w:val="0"/>
          <w:marRight w:val="0"/>
          <w:marTop w:val="0"/>
          <w:marBottom w:val="0"/>
          <w:divBdr>
            <w:top w:val="none" w:sz="0" w:space="0" w:color="auto"/>
            <w:left w:val="none" w:sz="0" w:space="0" w:color="auto"/>
            <w:bottom w:val="none" w:sz="0" w:space="0" w:color="auto"/>
            <w:right w:val="none" w:sz="0" w:space="0" w:color="auto"/>
          </w:divBdr>
          <w:divsChild>
            <w:div w:id="1131943925">
              <w:marLeft w:val="0"/>
              <w:marRight w:val="0"/>
              <w:marTop w:val="0"/>
              <w:marBottom w:val="0"/>
              <w:divBdr>
                <w:top w:val="none" w:sz="0" w:space="0" w:color="auto"/>
                <w:left w:val="none" w:sz="0" w:space="0" w:color="auto"/>
                <w:bottom w:val="none" w:sz="0" w:space="0" w:color="auto"/>
                <w:right w:val="none" w:sz="0" w:space="0" w:color="auto"/>
              </w:divBdr>
              <w:divsChild>
                <w:div w:id="444887700">
                  <w:marLeft w:val="0"/>
                  <w:marRight w:val="0"/>
                  <w:marTop w:val="0"/>
                  <w:marBottom w:val="0"/>
                  <w:divBdr>
                    <w:top w:val="none" w:sz="0" w:space="0" w:color="auto"/>
                    <w:left w:val="none" w:sz="0" w:space="0" w:color="auto"/>
                    <w:bottom w:val="none" w:sz="0" w:space="0" w:color="auto"/>
                    <w:right w:val="none" w:sz="0" w:space="0" w:color="auto"/>
                  </w:divBdr>
                  <w:divsChild>
                    <w:div w:id="4278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6717">
      <w:bodyDiv w:val="1"/>
      <w:marLeft w:val="0"/>
      <w:marRight w:val="0"/>
      <w:marTop w:val="0"/>
      <w:marBottom w:val="0"/>
      <w:divBdr>
        <w:top w:val="none" w:sz="0" w:space="0" w:color="auto"/>
        <w:left w:val="none" w:sz="0" w:space="0" w:color="auto"/>
        <w:bottom w:val="none" w:sz="0" w:space="0" w:color="auto"/>
        <w:right w:val="none" w:sz="0" w:space="0" w:color="auto"/>
      </w:divBdr>
      <w:divsChild>
        <w:div w:id="702101131">
          <w:marLeft w:val="0"/>
          <w:marRight w:val="0"/>
          <w:marTop w:val="0"/>
          <w:marBottom w:val="0"/>
          <w:divBdr>
            <w:top w:val="none" w:sz="0" w:space="0" w:color="auto"/>
            <w:left w:val="none" w:sz="0" w:space="0" w:color="auto"/>
            <w:bottom w:val="none" w:sz="0" w:space="0" w:color="auto"/>
            <w:right w:val="none" w:sz="0" w:space="0" w:color="auto"/>
          </w:divBdr>
          <w:divsChild>
            <w:div w:id="855848988">
              <w:marLeft w:val="0"/>
              <w:marRight w:val="0"/>
              <w:marTop w:val="0"/>
              <w:marBottom w:val="0"/>
              <w:divBdr>
                <w:top w:val="none" w:sz="0" w:space="0" w:color="auto"/>
                <w:left w:val="none" w:sz="0" w:space="0" w:color="auto"/>
                <w:bottom w:val="none" w:sz="0" w:space="0" w:color="auto"/>
                <w:right w:val="none" w:sz="0" w:space="0" w:color="auto"/>
              </w:divBdr>
              <w:divsChild>
                <w:div w:id="718938409">
                  <w:marLeft w:val="0"/>
                  <w:marRight w:val="0"/>
                  <w:marTop w:val="0"/>
                  <w:marBottom w:val="0"/>
                  <w:divBdr>
                    <w:top w:val="none" w:sz="0" w:space="0" w:color="auto"/>
                    <w:left w:val="none" w:sz="0" w:space="0" w:color="auto"/>
                    <w:bottom w:val="none" w:sz="0" w:space="0" w:color="auto"/>
                    <w:right w:val="none" w:sz="0" w:space="0" w:color="auto"/>
                  </w:divBdr>
                  <w:divsChild>
                    <w:div w:id="213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366">
      <w:bodyDiv w:val="1"/>
      <w:marLeft w:val="0"/>
      <w:marRight w:val="0"/>
      <w:marTop w:val="0"/>
      <w:marBottom w:val="0"/>
      <w:divBdr>
        <w:top w:val="none" w:sz="0" w:space="0" w:color="auto"/>
        <w:left w:val="none" w:sz="0" w:space="0" w:color="auto"/>
        <w:bottom w:val="none" w:sz="0" w:space="0" w:color="auto"/>
        <w:right w:val="none" w:sz="0" w:space="0" w:color="auto"/>
      </w:divBdr>
      <w:divsChild>
        <w:div w:id="664095307">
          <w:marLeft w:val="0"/>
          <w:marRight w:val="0"/>
          <w:marTop w:val="0"/>
          <w:marBottom w:val="0"/>
          <w:divBdr>
            <w:top w:val="none" w:sz="0" w:space="0" w:color="auto"/>
            <w:left w:val="none" w:sz="0" w:space="0" w:color="auto"/>
            <w:bottom w:val="none" w:sz="0" w:space="0" w:color="auto"/>
            <w:right w:val="none" w:sz="0" w:space="0" w:color="auto"/>
          </w:divBdr>
          <w:divsChild>
            <w:div w:id="2036270905">
              <w:marLeft w:val="0"/>
              <w:marRight w:val="0"/>
              <w:marTop w:val="0"/>
              <w:marBottom w:val="0"/>
              <w:divBdr>
                <w:top w:val="none" w:sz="0" w:space="0" w:color="auto"/>
                <w:left w:val="none" w:sz="0" w:space="0" w:color="auto"/>
                <w:bottom w:val="none" w:sz="0" w:space="0" w:color="auto"/>
                <w:right w:val="none" w:sz="0" w:space="0" w:color="auto"/>
              </w:divBdr>
              <w:divsChild>
                <w:div w:id="226307278">
                  <w:marLeft w:val="0"/>
                  <w:marRight w:val="0"/>
                  <w:marTop w:val="0"/>
                  <w:marBottom w:val="0"/>
                  <w:divBdr>
                    <w:top w:val="none" w:sz="0" w:space="0" w:color="auto"/>
                    <w:left w:val="none" w:sz="0" w:space="0" w:color="auto"/>
                    <w:bottom w:val="none" w:sz="0" w:space="0" w:color="auto"/>
                    <w:right w:val="none" w:sz="0" w:space="0" w:color="auto"/>
                  </w:divBdr>
                  <w:divsChild>
                    <w:div w:id="4015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3572">
      <w:bodyDiv w:val="1"/>
      <w:marLeft w:val="0"/>
      <w:marRight w:val="0"/>
      <w:marTop w:val="0"/>
      <w:marBottom w:val="0"/>
      <w:divBdr>
        <w:top w:val="none" w:sz="0" w:space="0" w:color="auto"/>
        <w:left w:val="none" w:sz="0" w:space="0" w:color="auto"/>
        <w:bottom w:val="none" w:sz="0" w:space="0" w:color="auto"/>
        <w:right w:val="none" w:sz="0" w:space="0" w:color="auto"/>
      </w:divBdr>
      <w:divsChild>
        <w:div w:id="1812483496">
          <w:marLeft w:val="0"/>
          <w:marRight w:val="0"/>
          <w:marTop w:val="0"/>
          <w:marBottom w:val="0"/>
          <w:divBdr>
            <w:top w:val="none" w:sz="0" w:space="0" w:color="auto"/>
            <w:left w:val="none" w:sz="0" w:space="0" w:color="auto"/>
            <w:bottom w:val="none" w:sz="0" w:space="0" w:color="auto"/>
            <w:right w:val="none" w:sz="0" w:space="0" w:color="auto"/>
          </w:divBdr>
          <w:divsChild>
            <w:div w:id="783379803">
              <w:marLeft w:val="0"/>
              <w:marRight w:val="0"/>
              <w:marTop w:val="0"/>
              <w:marBottom w:val="0"/>
              <w:divBdr>
                <w:top w:val="none" w:sz="0" w:space="0" w:color="auto"/>
                <w:left w:val="none" w:sz="0" w:space="0" w:color="auto"/>
                <w:bottom w:val="none" w:sz="0" w:space="0" w:color="auto"/>
                <w:right w:val="none" w:sz="0" w:space="0" w:color="auto"/>
              </w:divBdr>
              <w:divsChild>
                <w:div w:id="774135676">
                  <w:marLeft w:val="0"/>
                  <w:marRight w:val="0"/>
                  <w:marTop w:val="0"/>
                  <w:marBottom w:val="0"/>
                  <w:divBdr>
                    <w:top w:val="none" w:sz="0" w:space="0" w:color="auto"/>
                    <w:left w:val="none" w:sz="0" w:space="0" w:color="auto"/>
                    <w:bottom w:val="none" w:sz="0" w:space="0" w:color="auto"/>
                    <w:right w:val="none" w:sz="0" w:space="0" w:color="auto"/>
                  </w:divBdr>
                  <w:divsChild>
                    <w:div w:id="2038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647">
      <w:bodyDiv w:val="1"/>
      <w:marLeft w:val="0"/>
      <w:marRight w:val="0"/>
      <w:marTop w:val="0"/>
      <w:marBottom w:val="0"/>
      <w:divBdr>
        <w:top w:val="none" w:sz="0" w:space="0" w:color="auto"/>
        <w:left w:val="none" w:sz="0" w:space="0" w:color="auto"/>
        <w:bottom w:val="none" w:sz="0" w:space="0" w:color="auto"/>
        <w:right w:val="none" w:sz="0" w:space="0" w:color="auto"/>
      </w:divBdr>
      <w:divsChild>
        <w:div w:id="1717973568">
          <w:marLeft w:val="0"/>
          <w:marRight w:val="0"/>
          <w:marTop w:val="0"/>
          <w:marBottom w:val="0"/>
          <w:divBdr>
            <w:top w:val="none" w:sz="0" w:space="0" w:color="auto"/>
            <w:left w:val="none" w:sz="0" w:space="0" w:color="auto"/>
            <w:bottom w:val="none" w:sz="0" w:space="0" w:color="auto"/>
            <w:right w:val="none" w:sz="0" w:space="0" w:color="auto"/>
          </w:divBdr>
          <w:divsChild>
            <w:div w:id="1731421968">
              <w:marLeft w:val="0"/>
              <w:marRight w:val="0"/>
              <w:marTop w:val="0"/>
              <w:marBottom w:val="0"/>
              <w:divBdr>
                <w:top w:val="none" w:sz="0" w:space="0" w:color="auto"/>
                <w:left w:val="none" w:sz="0" w:space="0" w:color="auto"/>
                <w:bottom w:val="none" w:sz="0" w:space="0" w:color="auto"/>
                <w:right w:val="none" w:sz="0" w:space="0" w:color="auto"/>
              </w:divBdr>
              <w:divsChild>
                <w:div w:id="693649245">
                  <w:marLeft w:val="0"/>
                  <w:marRight w:val="0"/>
                  <w:marTop w:val="0"/>
                  <w:marBottom w:val="0"/>
                  <w:divBdr>
                    <w:top w:val="none" w:sz="0" w:space="0" w:color="auto"/>
                    <w:left w:val="none" w:sz="0" w:space="0" w:color="auto"/>
                    <w:bottom w:val="none" w:sz="0" w:space="0" w:color="auto"/>
                    <w:right w:val="none" w:sz="0" w:space="0" w:color="auto"/>
                  </w:divBdr>
                  <w:divsChild>
                    <w:div w:id="5428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2677">
      <w:bodyDiv w:val="1"/>
      <w:marLeft w:val="0"/>
      <w:marRight w:val="0"/>
      <w:marTop w:val="0"/>
      <w:marBottom w:val="0"/>
      <w:divBdr>
        <w:top w:val="none" w:sz="0" w:space="0" w:color="auto"/>
        <w:left w:val="none" w:sz="0" w:space="0" w:color="auto"/>
        <w:bottom w:val="none" w:sz="0" w:space="0" w:color="auto"/>
        <w:right w:val="none" w:sz="0" w:space="0" w:color="auto"/>
      </w:divBdr>
      <w:divsChild>
        <w:div w:id="2110614087">
          <w:marLeft w:val="0"/>
          <w:marRight w:val="0"/>
          <w:marTop w:val="0"/>
          <w:marBottom w:val="0"/>
          <w:divBdr>
            <w:top w:val="none" w:sz="0" w:space="0" w:color="auto"/>
            <w:left w:val="none" w:sz="0" w:space="0" w:color="auto"/>
            <w:bottom w:val="none" w:sz="0" w:space="0" w:color="auto"/>
            <w:right w:val="none" w:sz="0" w:space="0" w:color="auto"/>
          </w:divBdr>
          <w:divsChild>
            <w:div w:id="588539474">
              <w:marLeft w:val="0"/>
              <w:marRight w:val="0"/>
              <w:marTop w:val="0"/>
              <w:marBottom w:val="0"/>
              <w:divBdr>
                <w:top w:val="none" w:sz="0" w:space="0" w:color="auto"/>
                <w:left w:val="none" w:sz="0" w:space="0" w:color="auto"/>
                <w:bottom w:val="none" w:sz="0" w:space="0" w:color="auto"/>
                <w:right w:val="none" w:sz="0" w:space="0" w:color="auto"/>
              </w:divBdr>
              <w:divsChild>
                <w:div w:id="1618678970">
                  <w:marLeft w:val="0"/>
                  <w:marRight w:val="0"/>
                  <w:marTop w:val="0"/>
                  <w:marBottom w:val="0"/>
                  <w:divBdr>
                    <w:top w:val="none" w:sz="0" w:space="0" w:color="auto"/>
                    <w:left w:val="none" w:sz="0" w:space="0" w:color="auto"/>
                    <w:bottom w:val="none" w:sz="0" w:space="0" w:color="auto"/>
                    <w:right w:val="none" w:sz="0" w:space="0" w:color="auto"/>
                  </w:divBdr>
                  <w:divsChild>
                    <w:div w:id="25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1813">
      <w:bodyDiv w:val="1"/>
      <w:marLeft w:val="0"/>
      <w:marRight w:val="0"/>
      <w:marTop w:val="0"/>
      <w:marBottom w:val="0"/>
      <w:divBdr>
        <w:top w:val="none" w:sz="0" w:space="0" w:color="auto"/>
        <w:left w:val="none" w:sz="0" w:space="0" w:color="auto"/>
        <w:bottom w:val="none" w:sz="0" w:space="0" w:color="auto"/>
        <w:right w:val="none" w:sz="0" w:space="0" w:color="auto"/>
      </w:divBdr>
      <w:divsChild>
        <w:div w:id="2101413361">
          <w:marLeft w:val="0"/>
          <w:marRight w:val="0"/>
          <w:marTop w:val="0"/>
          <w:marBottom w:val="0"/>
          <w:divBdr>
            <w:top w:val="none" w:sz="0" w:space="0" w:color="auto"/>
            <w:left w:val="none" w:sz="0" w:space="0" w:color="auto"/>
            <w:bottom w:val="none" w:sz="0" w:space="0" w:color="auto"/>
            <w:right w:val="none" w:sz="0" w:space="0" w:color="auto"/>
          </w:divBdr>
          <w:divsChild>
            <w:div w:id="594048402">
              <w:marLeft w:val="0"/>
              <w:marRight w:val="0"/>
              <w:marTop w:val="0"/>
              <w:marBottom w:val="0"/>
              <w:divBdr>
                <w:top w:val="none" w:sz="0" w:space="0" w:color="auto"/>
                <w:left w:val="none" w:sz="0" w:space="0" w:color="auto"/>
                <w:bottom w:val="none" w:sz="0" w:space="0" w:color="auto"/>
                <w:right w:val="none" w:sz="0" w:space="0" w:color="auto"/>
              </w:divBdr>
              <w:divsChild>
                <w:div w:id="918716022">
                  <w:marLeft w:val="0"/>
                  <w:marRight w:val="0"/>
                  <w:marTop w:val="0"/>
                  <w:marBottom w:val="0"/>
                  <w:divBdr>
                    <w:top w:val="none" w:sz="0" w:space="0" w:color="auto"/>
                    <w:left w:val="none" w:sz="0" w:space="0" w:color="auto"/>
                    <w:bottom w:val="none" w:sz="0" w:space="0" w:color="auto"/>
                    <w:right w:val="none" w:sz="0" w:space="0" w:color="auto"/>
                  </w:divBdr>
                  <w:divsChild>
                    <w:div w:id="1600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178/ijlt.10.3.389-397" TargetMode="External"/><Relationship Id="rId18" Type="http://schemas.openxmlformats.org/officeDocument/2006/relationships/hyperlink" Target="https://doi.org/10.1080/13583883.2011.609564" TargetMode="External"/><Relationship Id="rId26" Type="http://schemas.openxmlformats.org/officeDocument/2006/relationships/hyperlink" Target="https://doi.org/10.1016/j.compedu.2013.06.008" TargetMode="External"/><Relationship Id="rId39" Type="http://schemas.openxmlformats.org/officeDocument/2006/relationships/header" Target="header2.xml"/><Relationship Id="rId21" Type="http://schemas.openxmlformats.org/officeDocument/2006/relationships/hyperlink" Target="https://doi.org/10.4324/9780203894422" TargetMode="External"/><Relationship Id="rId34" Type="http://schemas.openxmlformats.org/officeDocument/2006/relationships/hyperlink" Target="https://psycnet.apa.org/doi/10.1080/15434303.2015.10501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dl.handle.net/1721.1/15192" TargetMode="External"/><Relationship Id="rId20" Type="http://schemas.openxmlformats.org/officeDocument/2006/relationships/hyperlink" Target="https://doi.org/10.3390/educsci7010027" TargetMode="External"/><Relationship Id="rId29" Type="http://schemas.openxmlformats.org/officeDocument/2006/relationships/hyperlink" Target="http://www.eajournals.org/wp-content/uploads/IC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http://dx.doi.org/10.2139/ssrn.3431782" TargetMode="External"/><Relationship Id="rId24" Type="http://schemas.openxmlformats.org/officeDocument/2006/relationships/hyperlink" Target="https://doi.org/10.1108/EBR-11-2018-0203" TargetMode="External"/><Relationship Id="rId32" Type="http://schemas.openxmlformats.org/officeDocument/2006/relationships/hyperlink" Target="https://doi.org/10.30659/e.5.2.304-321" TargetMode="External"/><Relationship Id="rId37" Type="http://schemas.openxmlformats.org/officeDocument/2006/relationships/hyperlink" Target="https://doi.org/10.1007/BF0153734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chive.org/details/handbookoftechno0000unse/page/n3/mode/2up" TargetMode="External"/><Relationship Id="rId23" Type="http://schemas.openxmlformats.org/officeDocument/2006/relationships/hyperlink" Target="https://doi.org/10.1080/09747338.2021.1908177" TargetMode="External"/><Relationship Id="rId28" Type="http://schemas.openxmlformats.org/officeDocument/2006/relationships/hyperlink" Target="https://doi.org/10.1007/978-3-319-64069-3_11" TargetMode="External"/><Relationship Id="rId36" Type="http://schemas.openxmlformats.org/officeDocument/2006/relationships/hyperlink" Target="https://doi.org/10.5430/wje.v4n1p1" TargetMode="External"/><Relationship Id="rId10" Type="http://schemas.openxmlformats.org/officeDocument/2006/relationships/hyperlink" Target="https://doi.org/10.1177/2158244021999062" TargetMode="External"/><Relationship Id="rId19" Type="http://schemas.openxmlformats.org/officeDocument/2006/relationships/hyperlink" Target="https://books.google.com.qa/books/about/How_to_Teach_English_with_Technology.html?id=ZItHMwAACAAJ&amp;redir_esc=y" TargetMode="External"/><Relationship Id="rId31" Type="http://schemas.openxmlformats.org/officeDocument/2006/relationships/hyperlink" Target="https://www.researchgate.net/publication/332874070_Technology_acceptance_model_TAM_and_Digital_Technology_usage_An_empirical_study_among_Teachers_and_Students_1" TargetMode="External"/><Relationship Id="rId4" Type="http://schemas.openxmlformats.org/officeDocument/2006/relationships/settings" Target="settings.xml"/><Relationship Id="rId9" Type="http://schemas.openxmlformats.org/officeDocument/2006/relationships/hyperlink" Target="https://doi.org/10.1177/2158244021999062" TargetMode="External"/><Relationship Id="rId14" Type="http://schemas.openxmlformats.org/officeDocument/2006/relationships/hyperlink" Target="https://eric.ed.gov/?id=EJ927338" TargetMode="External"/><Relationship Id="rId22" Type="http://schemas.openxmlformats.org/officeDocument/2006/relationships/hyperlink" Target="https://doi.org/10.1017/9781316480748" TargetMode="External"/><Relationship Id="rId27" Type="http://schemas.openxmlformats.org/officeDocument/2006/relationships/hyperlink" Target="https://scholar.google.com/citations?view_op=view_citation&amp;hl" TargetMode="External"/><Relationship Id="rId30" Type="http://schemas.openxmlformats.org/officeDocument/2006/relationships/hyperlink" Target="https://psycnet.apa.org/record/1971-03263-001" TargetMode="External"/><Relationship Id="rId35" Type="http://schemas.openxmlformats.org/officeDocument/2006/relationships/hyperlink" Target="https://doi.org/10.1177/2158244015607582"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77/2158244021999062" TargetMode="External"/><Relationship Id="rId17" Type="http://schemas.openxmlformats.org/officeDocument/2006/relationships/hyperlink" Target="https://www.researchgate.net/publication/277823589_Content_Area_Specific_Technology_Integration_A_Model_and_Resources_for_Educating_Teachers" TargetMode="External"/><Relationship Id="rId25" Type="http://schemas.openxmlformats.org/officeDocument/2006/relationships/hyperlink" Target="https://digitalcommons.unl.edu/libphilprac/1702" TargetMode="External"/><Relationship Id="rId33" Type="http://schemas.openxmlformats.org/officeDocument/2006/relationships/hyperlink" Target="https://doi.org/10.21083/ajote.v3i1.2030"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BAC67-DC91-4FF0-B84C-BCF3A13D7060}">
  <ds:schemaRefs>
    <ds:schemaRef ds:uri="http://schemas.openxmlformats.org/officeDocument/2006/bibliography"/>
  </ds:schemaRefs>
</ds:datastoreItem>
</file>

<file path=docMetadata/LabelInfo.xml><?xml version="1.0" encoding="utf-8"?>
<clbl:labelList xmlns:clbl="http://schemas.microsoft.com/office/2020/mipLabelMetadata">
  <clbl:label id="{2dcae639-d4a4-4454-82c7-592ab66fc7bd}" enabled="0" method="" siteId="{2dcae639-d4a4-4454-82c7-592ab66fc7bd}" removed="1"/>
</clbl:labelList>
</file>

<file path=docProps/app.xml><?xml version="1.0" encoding="utf-8"?>
<Properties xmlns="http://schemas.openxmlformats.org/officeDocument/2006/extended-properties" xmlns:vt="http://schemas.openxmlformats.org/officeDocument/2006/docPropsVTypes">
  <Template>Normal</Template>
  <TotalTime>213</TotalTime>
  <Pages>28</Pages>
  <Words>7364</Words>
  <Characters>41981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Globeuniversity</Company>
  <LinksUpToDate>false</LinksUpToDate>
  <CharactersWithSpaces>49247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dc:creator>
  <cp:lastModifiedBy>طلال ميرغنى حسن  خالد</cp:lastModifiedBy>
  <cp:revision>145</cp:revision>
  <dcterms:created xsi:type="dcterms:W3CDTF">2021-06-24T16:11:00Z</dcterms:created>
  <dcterms:modified xsi:type="dcterms:W3CDTF">2025-09-07T09:38:00Z</dcterms:modified>
</cp:coreProperties>
</file>