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12A4E" w14:textId="77777777" w:rsidR="002D340F" w:rsidRPr="008C43A8" w:rsidRDefault="002D340F" w:rsidP="002D340F">
      <w:pPr>
        <w:spacing w:after="0"/>
        <w:ind w:left="0"/>
        <w:jc w:val="center"/>
        <w:rPr>
          <w:rFonts w:ascii="Times New Roman" w:hAnsi="Times New Roman" w:cs="Times New Roman"/>
          <w:sz w:val="24"/>
          <w:szCs w:val="24"/>
        </w:rPr>
      </w:pPr>
      <w:r w:rsidRPr="008C43A8">
        <w:rPr>
          <w:rFonts w:ascii="Times New Roman" w:hAnsi="Times New Roman" w:cs="Times New Roman"/>
          <w:sz w:val="24"/>
          <w:szCs w:val="24"/>
        </w:rPr>
        <w:t>Do Faculty Follow the Crowd? An Empirical Study on Herding Behavior, Gender, and Investment Barriers</w:t>
      </w:r>
    </w:p>
    <w:p w14:paraId="1240C2D0" w14:textId="77777777" w:rsidR="002D340F" w:rsidRPr="008C43A8" w:rsidRDefault="002D340F" w:rsidP="002D340F">
      <w:pPr>
        <w:spacing w:after="0"/>
        <w:ind w:left="0"/>
        <w:jc w:val="center"/>
        <w:rPr>
          <w:rFonts w:ascii="Times New Roman" w:hAnsi="Times New Roman" w:cs="Times New Roman"/>
          <w:b/>
          <w:bCs/>
          <w:sz w:val="24"/>
          <w:szCs w:val="24"/>
          <w:lang w:val="en-IN"/>
        </w:rPr>
      </w:pPr>
    </w:p>
    <w:p w14:paraId="597E5C2F" w14:textId="77777777" w:rsidR="002D340F" w:rsidRPr="008C43A8" w:rsidRDefault="002D340F" w:rsidP="002D340F">
      <w:pPr>
        <w:spacing w:after="0"/>
        <w:ind w:left="0"/>
        <w:jc w:val="center"/>
        <w:rPr>
          <w:rFonts w:ascii="Times New Roman" w:hAnsi="Times New Roman" w:cs="Times New Roman"/>
          <w:b/>
          <w:bCs/>
          <w:sz w:val="24"/>
          <w:szCs w:val="24"/>
          <w:lang w:val="en-IN"/>
        </w:rPr>
      </w:pPr>
      <w:r w:rsidRPr="008C43A8">
        <w:rPr>
          <w:rFonts w:ascii="Times New Roman" w:hAnsi="Times New Roman" w:cs="Times New Roman"/>
          <w:b/>
          <w:bCs/>
          <w:sz w:val="24"/>
          <w:szCs w:val="24"/>
          <w:lang w:val="en-IN"/>
        </w:rPr>
        <w:t>Mr. Utpal Sarkar</w:t>
      </w:r>
    </w:p>
    <w:p w14:paraId="5FA360DF" w14:textId="77777777" w:rsidR="002D340F" w:rsidRPr="008C43A8" w:rsidRDefault="002D340F" w:rsidP="002D340F">
      <w:pPr>
        <w:spacing w:after="0"/>
        <w:ind w:left="0"/>
        <w:jc w:val="center"/>
        <w:rPr>
          <w:rFonts w:ascii="Times New Roman" w:hAnsi="Times New Roman" w:cs="Times New Roman"/>
          <w:sz w:val="24"/>
          <w:szCs w:val="24"/>
          <w:lang w:val="en-IN"/>
        </w:rPr>
      </w:pPr>
      <w:r w:rsidRPr="008C43A8">
        <w:rPr>
          <w:rFonts w:ascii="Times New Roman" w:hAnsi="Times New Roman" w:cs="Times New Roman"/>
          <w:sz w:val="24"/>
          <w:szCs w:val="24"/>
          <w:lang w:val="en-IN"/>
        </w:rPr>
        <w:t>Research Scholar</w:t>
      </w:r>
    </w:p>
    <w:p w14:paraId="19C83723" w14:textId="77777777" w:rsidR="002D340F" w:rsidRPr="008C43A8" w:rsidRDefault="002D340F" w:rsidP="002D340F">
      <w:pPr>
        <w:spacing w:after="0"/>
        <w:ind w:left="0"/>
        <w:jc w:val="center"/>
        <w:rPr>
          <w:rFonts w:ascii="Times New Roman" w:hAnsi="Times New Roman" w:cs="Times New Roman"/>
          <w:sz w:val="24"/>
          <w:szCs w:val="24"/>
          <w:lang w:val="en-IN"/>
        </w:rPr>
      </w:pPr>
      <w:r w:rsidRPr="008C43A8">
        <w:rPr>
          <w:rFonts w:ascii="Times New Roman" w:hAnsi="Times New Roman" w:cs="Times New Roman"/>
          <w:sz w:val="24"/>
          <w:szCs w:val="24"/>
          <w:lang w:val="en-IN"/>
        </w:rPr>
        <w:t>Department of Commerce</w:t>
      </w:r>
    </w:p>
    <w:p w14:paraId="30F7F150" w14:textId="77777777" w:rsidR="002D340F" w:rsidRPr="008C43A8" w:rsidRDefault="002D340F" w:rsidP="002D340F">
      <w:pPr>
        <w:spacing w:after="0"/>
        <w:ind w:left="0"/>
        <w:jc w:val="center"/>
        <w:rPr>
          <w:rFonts w:ascii="Times New Roman" w:hAnsi="Times New Roman" w:cs="Times New Roman"/>
          <w:sz w:val="24"/>
          <w:szCs w:val="24"/>
          <w:lang w:val="en-IN"/>
        </w:rPr>
      </w:pPr>
      <w:r w:rsidRPr="008C43A8">
        <w:rPr>
          <w:rFonts w:ascii="Times New Roman" w:hAnsi="Times New Roman" w:cs="Times New Roman"/>
          <w:sz w:val="24"/>
          <w:szCs w:val="24"/>
          <w:lang w:val="en-IN"/>
        </w:rPr>
        <w:t>Jagannath Barooah University, Jorhat</w:t>
      </w:r>
    </w:p>
    <w:p w14:paraId="32F15B5C" w14:textId="77777777" w:rsidR="002D340F" w:rsidRPr="008C43A8" w:rsidRDefault="002D340F" w:rsidP="002D340F">
      <w:pPr>
        <w:spacing w:after="0"/>
        <w:ind w:left="0"/>
        <w:jc w:val="center"/>
        <w:rPr>
          <w:rFonts w:ascii="Times New Roman" w:hAnsi="Times New Roman" w:cs="Times New Roman"/>
          <w:sz w:val="24"/>
          <w:szCs w:val="24"/>
          <w:lang w:val="en-IN"/>
        </w:rPr>
      </w:pPr>
      <w:r w:rsidRPr="008C43A8">
        <w:rPr>
          <w:rFonts w:ascii="Times New Roman" w:hAnsi="Times New Roman" w:cs="Times New Roman"/>
          <w:sz w:val="24"/>
          <w:szCs w:val="24"/>
          <w:lang w:val="en-IN"/>
        </w:rPr>
        <w:t xml:space="preserve">Email – </w:t>
      </w:r>
      <w:hyperlink r:id="rId5" w:history="1">
        <w:r w:rsidRPr="008C43A8">
          <w:rPr>
            <w:rStyle w:val="Hyperlink"/>
            <w:rFonts w:ascii="Times New Roman" w:hAnsi="Times New Roman" w:cs="Times New Roman"/>
            <w:sz w:val="24"/>
            <w:szCs w:val="24"/>
            <w:lang w:val="en-IN"/>
          </w:rPr>
          <w:t>sarkaru674@gmail.com</w:t>
        </w:r>
      </w:hyperlink>
    </w:p>
    <w:p w14:paraId="704AB555" w14:textId="77777777" w:rsidR="002D340F" w:rsidRPr="008C43A8" w:rsidRDefault="002D340F" w:rsidP="002D340F">
      <w:pPr>
        <w:ind w:left="0"/>
        <w:jc w:val="center"/>
        <w:rPr>
          <w:rFonts w:ascii="Times New Roman" w:hAnsi="Times New Roman" w:cs="Times New Roman"/>
          <w:sz w:val="24"/>
          <w:szCs w:val="24"/>
          <w:lang w:val="en-IN"/>
        </w:rPr>
      </w:pPr>
      <w:r w:rsidRPr="008C43A8">
        <w:rPr>
          <w:rFonts w:ascii="Times New Roman" w:hAnsi="Times New Roman" w:cs="Times New Roman"/>
          <w:sz w:val="24"/>
          <w:szCs w:val="24"/>
          <w:lang w:val="en-IN"/>
        </w:rPr>
        <w:t xml:space="preserve">ORCID ID – </w:t>
      </w:r>
      <w:hyperlink r:id="rId6" w:history="1">
        <w:r w:rsidRPr="008C43A8">
          <w:rPr>
            <w:rStyle w:val="Hyperlink"/>
            <w:rFonts w:ascii="Times New Roman" w:hAnsi="Times New Roman" w:cs="Times New Roman"/>
            <w:sz w:val="24"/>
            <w:szCs w:val="24"/>
            <w:lang w:val="en-IN"/>
          </w:rPr>
          <w:t>https://orcid.org/0009-0006-4559-9063</w:t>
        </w:r>
      </w:hyperlink>
    </w:p>
    <w:p w14:paraId="7D1B60B5" w14:textId="77777777" w:rsidR="002D340F" w:rsidRPr="008C43A8" w:rsidRDefault="002D340F" w:rsidP="002D340F">
      <w:pPr>
        <w:spacing w:after="0"/>
        <w:ind w:left="0"/>
        <w:jc w:val="center"/>
        <w:rPr>
          <w:rFonts w:ascii="Times New Roman" w:hAnsi="Times New Roman" w:cs="Times New Roman"/>
          <w:b/>
          <w:bCs/>
          <w:sz w:val="24"/>
          <w:szCs w:val="24"/>
          <w:lang w:val="en-IN"/>
        </w:rPr>
      </w:pPr>
      <w:r w:rsidRPr="008C43A8">
        <w:rPr>
          <w:rFonts w:ascii="Times New Roman" w:hAnsi="Times New Roman" w:cs="Times New Roman"/>
          <w:b/>
          <w:bCs/>
          <w:sz w:val="24"/>
          <w:szCs w:val="24"/>
          <w:lang w:val="en-IN"/>
        </w:rPr>
        <w:t>Dr. Ajit Chandra Das*</w:t>
      </w:r>
    </w:p>
    <w:p w14:paraId="1E59F013" w14:textId="77777777" w:rsidR="002D340F" w:rsidRPr="008C43A8" w:rsidRDefault="002D340F" w:rsidP="002D340F">
      <w:pPr>
        <w:spacing w:after="0"/>
        <w:ind w:left="0"/>
        <w:jc w:val="center"/>
        <w:rPr>
          <w:rFonts w:ascii="Times New Roman" w:hAnsi="Times New Roman" w:cs="Times New Roman"/>
          <w:sz w:val="24"/>
          <w:szCs w:val="24"/>
          <w:lang w:val="en-IN"/>
        </w:rPr>
      </w:pPr>
      <w:r w:rsidRPr="008C43A8">
        <w:rPr>
          <w:rFonts w:ascii="Times New Roman" w:hAnsi="Times New Roman" w:cs="Times New Roman"/>
          <w:sz w:val="24"/>
          <w:szCs w:val="24"/>
          <w:lang w:val="en-IN"/>
        </w:rPr>
        <w:t>Associate Professor</w:t>
      </w:r>
    </w:p>
    <w:p w14:paraId="7B5BC72A" w14:textId="77777777" w:rsidR="002D340F" w:rsidRPr="008C43A8" w:rsidRDefault="002D340F" w:rsidP="002D340F">
      <w:pPr>
        <w:spacing w:after="0"/>
        <w:ind w:left="0"/>
        <w:jc w:val="center"/>
        <w:rPr>
          <w:rFonts w:ascii="Times New Roman" w:hAnsi="Times New Roman" w:cs="Times New Roman"/>
          <w:sz w:val="24"/>
          <w:szCs w:val="24"/>
          <w:lang w:val="en-IN"/>
        </w:rPr>
      </w:pPr>
      <w:r w:rsidRPr="008C43A8">
        <w:rPr>
          <w:rFonts w:ascii="Times New Roman" w:hAnsi="Times New Roman" w:cs="Times New Roman"/>
          <w:sz w:val="24"/>
          <w:szCs w:val="24"/>
          <w:lang w:val="en-IN"/>
        </w:rPr>
        <w:t>Department of Commerce</w:t>
      </w:r>
    </w:p>
    <w:p w14:paraId="0AF4944A" w14:textId="77777777" w:rsidR="002D340F" w:rsidRPr="008C43A8" w:rsidRDefault="002D340F" w:rsidP="002D340F">
      <w:pPr>
        <w:spacing w:after="0"/>
        <w:ind w:left="0"/>
        <w:jc w:val="center"/>
        <w:rPr>
          <w:rFonts w:ascii="Times New Roman" w:hAnsi="Times New Roman" w:cs="Times New Roman"/>
          <w:sz w:val="24"/>
          <w:szCs w:val="24"/>
          <w:lang w:val="en-IN"/>
        </w:rPr>
      </w:pPr>
      <w:r w:rsidRPr="008C43A8">
        <w:rPr>
          <w:rFonts w:ascii="Times New Roman" w:hAnsi="Times New Roman" w:cs="Times New Roman"/>
          <w:sz w:val="24"/>
          <w:szCs w:val="24"/>
          <w:lang w:val="en-IN"/>
        </w:rPr>
        <w:t>Jagannath Barooah University, Jorhat</w:t>
      </w:r>
    </w:p>
    <w:p w14:paraId="63E9A270" w14:textId="77777777" w:rsidR="002D340F" w:rsidRPr="008C43A8" w:rsidRDefault="002D340F" w:rsidP="002D340F">
      <w:pPr>
        <w:spacing w:after="0"/>
        <w:ind w:left="0"/>
        <w:jc w:val="center"/>
        <w:rPr>
          <w:rFonts w:ascii="Times New Roman" w:hAnsi="Times New Roman" w:cs="Times New Roman"/>
          <w:sz w:val="24"/>
          <w:szCs w:val="24"/>
          <w:lang w:val="en-IN"/>
        </w:rPr>
      </w:pPr>
      <w:r w:rsidRPr="008C43A8">
        <w:rPr>
          <w:rFonts w:ascii="Times New Roman" w:hAnsi="Times New Roman" w:cs="Times New Roman"/>
          <w:sz w:val="24"/>
          <w:szCs w:val="24"/>
          <w:lang w:val="en-IN"/>
        </w:rPr>
        <w:t xml:space="preserve">Email – </w:t>
      </w:r>
      <w:hyperlink r:id="rId7" w:history="1">
        <w:r w:rsidRPr="008C43A8">
          <w:rPr>
            <w:rStyle w:val="Hyperlink"/>
            <w:rFonts w:ascii="Times New Roman" w:hAnsi="Times New Roman" w:cs="Times New Roman"/>
            <w:sz w:val="24"/>
            <w:szCs w:val="24"/>
            <w:lang w:val="en-IN"/>
          </w:rPr>
          <w:t>ajitdasjbc@gmail.com</w:t>
        </w:r>
      </w:hyperlink>
    </w:p>
    <w:p w14:paraId="4FC9F376" w14:textId="77777777" w:rsidR="002D340F" w:rsidRDefault="002D340F" w:rsidP="002D340F">
      <w:pPr>
        <w:spacing w:after="0"/>
        <w:ind w:left="0"/>
        <w:rPr>
          <w:rFonts w:ascii="Times New Roman" w:hAnsi="Times New Roman" w:cs="Times New Roman"/>
          <w:sz w:val="24"/>
          <w:szCs w:val="24"/>
        </w:rPr>
      </w:pPr>
    </w:p>
    <w:p w14:paraId="0BCFFD1D" w14:textId="77777777" w:rsidR="002D340F" w:rsidRDefault="002D340F" w:rsidP="00B25D0F">
      <w:pPr>
        <w:spacing w:after="0"/>
        <w:ind w:left="0"/>
        <w:jc w:val="center"/>
        <w:rPr>
          <w:rFonts w:ascii="Times New Roman" w:hAnsi="Times New Roman" w:cs="Times New Roman"/>
          <w:sz w:val="24"/>
          <w:szCs w:val="24"/>
        </w:rPr>
      </w:pPr>
    </w:p>
    <w:p w14:paraId="1105EFC8" w14:textId="77777777" w:rsidR="002D340F" w:rsidRDefault="002D340F" w:rsidP="00B25D0F">
      <w:pPr>
        <w:spacing w:after="0"/>
        <w:ind w:left="0"/>
        <w:jc w:val="center"/>
        <w:rPr>
          <w:rFonts w:ascii="Times New Roman" w:hAnsi="Times New Roman" w:cs="Times New Roman"/>
          <w:sz w:val="24"/>
          <w:szCs w:val="24"/>
        </w:rPr>
      </w:pPr>
    </w:p>
    <w:p w14:paraId="5DA39F21" w14:textId="77777777" w:rsidR="002D340F" w:rsidRDefault="002D340F" w:rsidP="00B25D0F">
      <w:pPr>
        <w:spacing w:after="0"/>
        <w:ind w:left="0"/>
        <w:jc w:val="center"/>
        <w:rPr>
          <w:rFonts w:ascii="Times New Roman" w:hAnsi="Times New Roman" w:cs="Times New Roman"/>
          <w:sz w:val="24"/>
          <w:szCs w:val="24"/>
        </w:rPr>
      </w:pPr>
    </w:p>
    <w:p w14:paraId="07C86AE1" w14:textId="77777777" w:rsidR="002D340F" w:rsidRDefault="002D340F" w:rsidP="00B25D0F">
      <w:pPr>
        <w:spacing w:after="0"/>
        <w:ind w:left="0"/>
        <w:jc w:val="center"/>
        <w:rPr>
          <w:rFonts w:ascii="Times New Roman" w:hAnsi="Times New Roman" w:cs="Times New Roman"/>
          <w:sz w:val="24"/>
          <w:szCs w:val="24"/>
        </w:rPr>
      </w:pPr>
    </w:p>
    <w:p w14:paraId="0A3A0895" w14:textId="77777777" w:rsidR="002D340F" w:rsidRDefault="002D340F" w:rsidP="00B25D0F">
      <w:pPr>
        <w:spacing w:after="0"/>
        <w:ind w:left="0"/>
        <w:jc w:val="center"/>
        <w:rPr>
          <w:rFonts w:ascii="Times New Roman" w:hAnsi="Times New Roman" w:cs="Times New Roman"/>
          <w:sz w:val="24"/>
          <w:szCs w:val="24"/>
        </w:rPr>
      </w:pPr>
    </w:p>
    <w:p w14:paraId="035F87F7" w14:textId="77777777" w:rsidR="002D340F" w:rsidRDefault="002D340F" w:rsidP="00B25D0F">
      <w:pPr>
        <w:spacing w:after="0"/>
        <w:ind w:left="0"/>
        <w:jc w:val="center"/>
        <w:rPr>
          <w:rFonts w:ascii="Times New Roman" w:hAnsi="Times New Roman" w:cs="Times New Roman"/>
          <w:sz w:val="24"/>
          <w:szCs w:val="24"/>
        </w:rPr>
      </w:pPr>
    </w:p>
    <w:p w14:paraId="4236C5B8" w14:textId="77777777" w:rsidR="002D340F" w:rsidRDefault="002D340F" w:rsidP="00B25D0F">
      <w:pPr>
        <w:spacing w:after="0"/>
        <w:ind w:left="0"/>
        <w:jc w:val="center"/>
        <w:rPr>
          <w:rFonts w:ascii="Times New Roman" w:hAnsi="Times New Roman" w:cs="Times New Roman"/>
          <w:sz w:val="24"/>
          <w:szCs w:val="24"/>
        </w:rPr>
      </w:pPr>
    </w:p>
    <w:p w14:paraId="61FF37D9" w14:textId="77777777" w:rsidR="002D340F" w:rsidRDefault="002D340F" w:rsidP="00B25D0F">
      <w:pPr>
        <w:spacing w:after="0"/>
        <w:ind w:left="0"/>
        <w:jc w:val="center"/>
        <w:rPr>
          <w:rFonts w:ascii="Times New Roman" w:hAnsi="Times New Roman" w:cs="Times New Roman"/>
          <w:sz w:val="24"/>
          <w:szCs w:val="24"/>
        </w:rPr>
      </w:pPr>
    </w:p>
    <w:p w14:paraId="203EE2DE" w14:textId="77777777" w:rsidR="002D340F" w:rsidRDefault="002D340F" w:rsidP="00B25D0F">
      <w:pPr>
        <w:spacing w:after="0"/>
        <w:ind w:left="0"/>
        <w:jc w:val="center"/>
        <w:rPr>
          <w:rFonts w:ascii="Times New Roman" w:hAnsi="Times New Roman" w:cs="Times New Roman"/>
          <w:sz w:val="24"/>
          <w:szCs w:val="24"/>
        </w:rPr>
      </w:pPr>
    </w:p>
    <w:p w14:paraId="2EC1CE44" w14:textId="77777777" w:rsidR="002D340F" w:rsidRDefault="002D340F" w:rsidP="00B25D0F">
      <w:pPr>
        <w:spacing w:after="0"/>
        <w:ind w:left="0"/>
        <w:jc w:val="center"/>
        <w:rPr>
          <w:rFonts w:ascii="Times New Roman" w:hAnsi="Times New Roman" w:cs="Times New Roman"/>
          <w:sz w:val="24"/>
          <w:szCs w:val="24"/>
        </w:rPr>
      </w:pPr>
    </w:p>
    <w:p w14:paraId="5906BFA5" w14:textId="77777777" w:rsidR="002D340F" w:rsidRDefault="002D340F" w:rsidP="00B25D0F">
      <w:pPr>
        <w:spacing w:after="0"/>
        <w:ind w:left="0"/>
        <w:jc w:val="center"/>
        <w:rPr>
          <w:rFonts w:ascii="Times New Roman" w:hAnsi="Times New Roman" w:cs="Times New Roman"/>
          <w:sz w:val="24"/>
          <w:szCs w:val="24"/>
        </w:rPr>
      </w:pPr>
    </w:p>
    <w:p w14:paraId="6ECF7E5E" w14:textId="77777777" w:rsidR="002D340F" w:rsidRDefault="002D340F" w:rsidP="00B25D0F">
      <w:pPr>
        <w:spacing w:after="0"/>
        <w:ind w:left="0"/>
        <w:jc w:val="center"/>
        <w:rPr>
          <w:rFonts w:ascii="Times New Roman" w:hAnsi="Times New Roman" w:cs="Times New Roman"/>
          <w:sz w:val="24"/>
          <w:szCs w:val="24"/>
        </w:rPr>
      </w:pPr>
    </w:p>
    <w:p w14:paraId="2A874D11" w14:textId="77777777" w:rsidR="002D340F" w:rsidRDefault="002D340F" w:rsidP="00B25D0F">
      <w:pPr>
        <w:spacing w:after="0"/>
        <w:ind w:left="0"/>
        <w:jc w:val="center"/>
        <w:rPr>
          <w:rFonts w:ascii="Times New Roman" w:hAnsi="Times New Roman" w:cs="Times New Roman"/>
          <w:sz w:val="24"/>
          <w:szCs w:val="24"/>
        </w:rPr>
      </w:pPr>
    </w:p>
    <w:p w14:paraId="71CA260C" w14:textId="77777777" w:rsidR="002D340F" w:rsidRDefault="002D340F" w:rsidP="00B25D0F">
      <w:pPr>
        <w:spacing w:after="0"/>
        <w:ind w:left="0"/>
        <w:jc w:val="center"/>
        <w:rPr>
          <w:rFonts w:ascii="Times New Roman" w:hAnsi="Times New Roman" w:cs="Times New Roman"/>
          <w:sz w:val="24"/>
          <w:szCs w:val="24"/>
        </w:rPr>
      </w:pPr>
    </w:p>
    <w:p w14:paraId="10C4412B" w14:textId="77777777" w:rsidR="002D340F" w:rsidRDefault="002D340F" w:rsidP="00B25D0F">
      <w:pPr>
        <w:spacing w:after="0"/>
        <w:ind w:left="0"/>
        <w:jc w:val="center"/>
        <w:rPr>
          <w:rFonts w:ascii="Times New Roman" w:hAnsi="Times New Roman" w:cs="Times New Roman"/>
          <w:sz w:val="24"/>
          <w:szCs w:val="24"/>
        </w:rPr>
      </w:pPr>
    </w:p>
    <w:p w14:paraId="6E8E9E86" w14:textId="77777777" w:rsidR="002D340F" w:rsidRDefault="002D340F" w:rsidP="002D340F">
      <w:pPr>
        <w:spacing w:after="0"/>
        <w:ind w:left="0"/>
        <w:rPr>
          <w:rFonts w:ascii="Times New Roman" w:hAnsi="Times New Roman" w:cs="Times New Roman"/>
          <w:sz w:val="24"/>
          <w:szCs w:val="24"/>
        </w:rPr>
      </w:pPr>
    </w:p>
    <w:p w14:paraId="58BFADF3" w14:textId="77777777" w:rsidR="002D340F" w:rsidRDefault="002D340F" w:rsidP="00B25D0F">
      <w:pPr>
        <w:spacing w:after="0"/>
        <w:ind w:left="0"/>
        <w:jc w:val="center"/>
        <w:rPr>
          <w:rFonts w:ascii="Times New Roman" w:hAnsi="Times New Roman" w:cs="Times New Roman"/>
          <w:sz w:val="24"/>
          <w:szCs w:val="24"/>
        </w:rPr>
      </w:pPr>
    </w:p>
    <w:p w14:paraId="025C9131" w14:textId="77777777" w:rsidR="00356850" w:rsidRPr="00B25D0F" w:rsidRDefault="00356850" w:rsidP="00B25D0F">
      <w:pPr>
        <w:ind w:left="0"/>
        <w:rPr>
          <w:rFonts w:ascii="Times New Roman" w:hAnsi="Times New Roman" w:cs="Times New Roman"/>
          <w:b/>
          <w:bCs/>
          <w:sz w:val="24"/>
          <w:szCs w:val="24"/>
        </w:rPr>
      </w:pPr>
    </w:p>
    <w:p w14:paraId="3C1E280C" w14:textId="44516A01" w:rsidR="00276CD0" w:rsidRPr="00B25D0F" w:rsidRDefault="00276CD0" w:rsidP="00B25D0F">
      <w:pPr>
        <w:ind w:left="0"/>
        <w:rPr>
          <w:rFonts w:ascii="Times New Roman" w:hAnsi="Times New Roman" w:cs="Times New Roman"/>
          <w:b/>
          <w:bCs/>
          <w:sz w:val="24"/>
          <w:szCs w:val="24"/>
        </w:rPr>
      </w:pPr>
      <w:r w:rsidRPr="00B25D0F">
        <w:rPr>
          <w:rFonts w:ascii="Times New Roman" w:hAnsi="Times New Roman" w:cs="Times New Roman"/>
          <w:b/>
          <w:bCs/>
          <w:sz w:val="24"/>
          <w:szCs w:val="24"/>
        </w:rPr>
        <w:lastRenderedPageBreak/>
        <w:t>ABSTRACT</w:t>
      </w:r>
    </w:p>
    <w:p w14:paraId="30CD0EB2" w14:textId="2C2B16C6" w:rsidR="00276CD0" w:rsidRPr="00B25D0F" w:rsidRDefault="00276CD0" w:rsidP="00B25D0F">
      <w:pPr>
        <w:ind w:left="0"/>
        <w:rPr>
          <w:rFonts w:ascii="Times New Roman" w:hAnsi="Times New Roman" w:cs="Times New Roman"/>
          <w:sz w:val="24"/>
          <w:szCs w:val="24"/>
        </w:rPr>
      </w:pPr>
      <w:r w:rsidRPr="00B25D0F">
        <w:rPr>
          <w:rFonts w:ascii="Times New Roman" w:hAnsi="Times New Roman" w:cs="Times New Roman"/>
          <w:sz w:val="24"/>
          <w:szCs w:val="24"/>
        </w:rPr>
        <w:t xml:space="preserve">This study </w:t>
      </w:r>
      <w:r w:rsidR="001304D3">
        <w:rPr>
          <w:rFonts w:ascii="Times New Roman" w:hAnsi="Times New Roman" w:cs="Times New Roman"/>
          <w:sz w:val="24"/>
          <w:szCs w:val="24"/>
        </w:rPr>
        <w:t>examines</w:t>
      </w:r>
      <w:r w:rsidRPr="00B25D0F">
        <w:rPr>
          <w:rFonts w:ascii="Times New Roman" w:hAnsi="Times New Roman" w:cs="Times New Roman"/>
          <w:sz w:val="24"/>
          <w:szCs w:val="24"/>
        </w:rPr>
        <w:t xml:space="preserve"> the </w:t>
      </w:r>
      <w:r w:rsidR="001F3D9B" w:rsidRPr="00B25D0F">
        <w:rPr>
          <w:rFonts w:ascii="Times New Roman" w:hAnsi="Times New Roman" w:cs="Times New Roman"/>
          <w:sz w:val="24"/>
          <w:szCs w:val="24"/>
        </w:rPr>
        <w:t>behavioral</w:t>
      </w:r>
      <w:r w:rsidRPr="00B25D0F">
        <w:rPr>
          <w:rFonts w:ascii="Times New Roman" w:hAnsi="Times New Roman" w:cs="Times New Roman"/>
          <w:sz w:val="24"/>
          <w:szCs w:val="24"/>
        </w:rPr>
        <w:t xml:space="preserve"> and demographic factors influencing mutual fund investment decisions among teachers in semi-rural North-East India</w:t>
      </w:r>
      <w:r w:rsidR="001304D3">
        <w:rPr>
          <w:rFonts w:ascii="Times New Roman" w:hAnsi="Times New Roman" w:cs="Times New Roman"/>
          <w:sz w:val="24"/>
          <w:szCs w:val="24"/>
        </w:rPr>
        <w:t>, an under-research</w:t>
      </w:r>
      <w:r w:rsidRPr="00B25D0F">
        <w:rPr>
          <w:rFonts w:ascii="Times New Roman" w:hAnsi="Times New Roman" w:cs="Times New Roman"/>
          <w:sz w:val="24"/>
          <w:szCs w:val="24"/>
        </w:rPr>
        <w:t xml:space="preserve"> </w:t>
      </w:r>
      <w:r w:rsidR="001304D3">
        <w:rPr>
          <w:rFonts w:ascii="Times New Roman" w:hAnsi="Times New Roman" w:cs="Times New Roman"/>
          <w:sz w:val="24"/>
          <w:szCs w:val="24"/>
        </w:rPr>
        <w:t xml:space="preserve">yet socially influential professional group. </w:t>
      </w:r>
      <w:r w:rsidRPr="00B25D0F">
        <w:rPr>
          <w:rFonts w:ascii="Times New Roman" w:hAnsi="Times New Roman" w:cs="Times New Roman"/>
          <w:sz w:val="24"/>
          <w:szCs w:val="24"/>
        </w:rPr>
        <w:t xml:space="preserve">Drawing </w:t>
      </w:r>
      <w:r w:rsidR="001304D3">
        <w:rPr>
          <w:rFonts w:ascii="Times New Roman" w:hAnsi="Times New Roman" w:cs="Times New Roman"/>
          <w:sz w:val="24"/>
          <w:szCs w:val="24"/>
        </w:rPr>
        <w:t>on</w:t>
      </w:r>
      <w:r w:rsidRPr="00B25D0F">
        <w:rPr>
          <w:rFonts w:ascii="Times New Roman" w:hAnsi="Times New Roman" w:cs="Times New Roman"/>
          <w:sz w:val="24"/>
          <w:szCs w:val="24"/>
        </w:rPr>
        <w:t xml:space="preserve"> </w:t>
      </w:r>
      <w:r w:rsidR="001F3D9B" w:rsidRPr="00B25D0F">
        <w:rPr>
          <w:rFonts w:ascii="Times New Roman" w:hAnsi="Times New Roman" w:cs="Times New Roman"/>
          <w:sz w:val="24"/>
          <w:szCs w:val="24"/>
        </w:rPr>
        <w:t>behavioral</w:t>
      </w:r>
      <w:r w:rsidRPr="00B25D0F">
        <w:rPr>
          <w:rFonts w:ascii="Times New Roman" w:hAnsi="Times New Roman" w:cs="Times New Roman"/>
          <w:sz w:val="24"/>
          <w:szCs w:val="24"/>
        </w:rPr>
        <w:t xml:space="preserve"> finance theory, the </w:t>
      </w:r>
      <w:r w:rsidR="001304D3">
        <w:rPr>
          <w:rFonts w:ascii="Times New Roman" w:hAnsi="Times New Roman" w:cs="Times New Roman"/>
          <w:sz w:val="24"/>
          <w:szCs w:val="24"/>
        </w:rPr>
        <w:t>study</w:t>
      </w:r>
      <w:r w:rsidRPr="00B25D0F">
        <w:rPr>
          <w:rFonts w:ascii="Times New Roman" w:hAnsi="Times New Roman" w:cs="Times New Roman"/>
          <w:sz w:val="24"/>
          <w:szCs w:val="24"/>
        </w:rPr>
        <w:t xml:space="preserve"> </w:t>
      </w:r>
      <w:r w:rsidR="001304D3">
        <w:rPr>
          <w:rFonts w:ascii="Times New Roman" w:hAnsi="Times New Roman" w:cs="Times New Roman"/>
          <w:sz w:val="24"/>
          <w:szCs w:val="24"/>
        </w:rPr>
        <w:t>investigates</w:t>
      </w:r>
      <w:r w:rsidRPr="00B25D0F">
        <w:rPr>
          <w:rFonts w:ascii="Times New Roman" w:hAnsi="Times New Roman" w:cs="Times New Roman"/>
          <w:sz w:val="24"/>
          <w:szCs w:val="24"/>
        </w:rPr>
        <w:t xml:space="preserve"> herding </w:t>
      </w:r>
      <w:r w:rsidR="001F3D9B" w:rsidRPr="00B25D0F">
        <w:rPr>
          <w:rFonts w:ascii="Times New Roman" w:hAnsi="Times New Roman" w:cs="Times New Roman"/>
          <w:sz w:val="24"/>
          <w:szCs w:val="24"/>
        </w:rPr>
        <w:t>behavior</w:t>
      </w:r>
      <w:r w:rsidRPr="00B25D0F">
        <w:rPr>
          <w:rFonts w:ascii="Times New Roman" w:hAnsi="Times New Roman" w:cs="Times New Roman"/>
          <w:sz w:val="24"/>
          <w:szCs w:val="24"/>
        </w:rPr>
        <w:t xml:space="preserve">, gender-based differences, and perceived barriers </w:t>
      </w:r>
      <w:r w:rsidR="004915F6">
        <w:rPr>
          <w:rFonts w:ascii="Times New Roman" w:hAnsi="Times New Roman" w:cs="Times New Roman"/>
          <w:sz w:val="24"/>
          <w:szCs w:val="24"/>
        </w:rPr>
        <w:t>affecting mutual fund participation</w:t>
      </w:r>
      <w:r w:rsidRPr="00B25D0F">
        <w:rPr>
          <w:rFonts w:ascii="Times New Roman" w:hAnsi="Times New Roman" w:cs="Times New Roman"/>
          <w:sz w:val="24"/>
          <w:szCs w:val="24"/>
        </w:rPr>
        <w:t xml:space="preserve">. Using a quantitative survey design, data were collected from 125 teachers in </w:t>
      </w:r>
      <w:proofErr w:type="spellStart"/>
      <w:r w:rsidRPr="00B25D0F">
        <w:rPr>
          <w:rFonts w:ascii="Times New Roman" w:hAnsi="Times New Roman" w:cs="Times New Roman"/>
          <w:sz w:val="24"/>
          <w:szCs w:val="24"/>
        </w:rPr>
        <w:t>Namsai</w:t>
      </w:r>
      <w:proofErr w:type="spellEnd"/>
      <w:r w:rsidRPr="00B25D0F">
        <w:rPr>
          <w:rFonts w:ascii="Times New Roman" w:hAnsi="Times New Roman" w:cs="Times New Roman"/>
          <w:sz w:val="24"/>
          <w:szCs w:val="24"/>
        </w:rPr>
        <w:t xml:space="preserve"> district, Arunachal Pradesh. </w:t>
      </w:r>
      <w:r w:rsidR="004915F6">
        <w:rPr>
          <w:rFonts w:ascii="Times New Roman" w:hAnsi="Times New Roman" w:cs="Times New Roman"/>
          <w:sz w:val="24"/>
          <w:szCs w:val="24"/>
        </w:rPr>
        <w:t>R</w:t>
      </w:r>
      <w:r w:rsidRPr="00B25D0F">
        <w:rPr>
          <w:rFonts w:ascii="Times New Roman" w:hAnsi="Times New Roman" w:cs="Times New Roman"/>
          <w:sz w:val="24"/>
          <w:szCs w:val="24"/>
        </w:rPr>
        <w:t>eliability</w:t>
      </w:r>
      <w:r w:rsidR="009A366C">
        <w:rPr>
          <w:rFonts w:ascii="Times New Roman" w:hAnsi="Times New Roman" w:cs="Times New Roman"/>
          <w:sz w:val="24"/>
          <w:szCs w:val="24"/>
        </w:rPr>
        <w:t xml:space="preserve"> analysis confirmed acceptable internal consistency</w:t>
      </w:r>
      <w:r w:rsidRPr="00B25D0F">
        <w:rPr>
          <w:rFonts w:ascii="Times New Roman" w:hAnsi="Times New Roman" w:cs="Times New Roman"/>
          <w:sz w:val="24"/>
          <w:szCs w:val="24"/>
        </w:rPr>
        <w:t xml:space="preserve"> of the herding scale (Cronbach’s α = 0.772). </w:t>
      </w:r>
      <w:r w:rsidR="009A366C">
        <w:rPr>
          <w:rFonts w:ascii="Times New Roman" w:hAnsi="Times New Roman" w:cs="Times New Roman"/>
          <w:sz w:val="24"/>
          <w:szCs w:val="24"/>
        </w:rPr>
        <w:t>Results indicate a moderate level of herding behavior, suggesting that teachers often rely on peer influence when making investment decisions. Non-parametric testing revealed a significant gender difference, with female teachers displaying stronger herding tendencies than males. Among non-investors, lack of financial knowledge and fear of financial loss emerged as key barriers, while financial literacy was significantly associated with trust-related concerns. The findings extend behavioral finance literature by demonstrating that herding tendencies persist even among educated professionals in semi-rural contexts. The study highlights the need for targeted financial literacy initiatives and trust-building mechanisms to promote informed and independent investment behavior among educators and similar professional groups.</w:t>
      </w:r>
    </w:p>
    <w:p w14:paraId="0F5FF8FE" w14:textId="19AFBDD7" w:rsidR="00A9788B" w:rsidRPr="00B25D0F" w:rsidRDefault="003A6BCB" w:rsidP="00B25D0F">
      <w:pPr>
        <w:ind w:left="1134" w:hanging="1134"/>
        <w:rPr>
          <w:rFonts w:ascii="Times New Roman" w:hAnsi="Times New Roman" w:cs="Times New Roman"/>
          <w:b/>
          <w:bCs/>
          <w:sz w:val="24"/>
          <w:szCs w:val="24"/>
          <w:lang w:val="en-IN"/>
        </w:rPr>
      </w:pPr>
      <w:r w:rsidRPr="00B25D0F">
        <w:rPr>
          <w:rFonts w:ascii="Times New Roman" w:hAnsi="Times New Roman" w:cs="Times New Roman"/>
          <w:sz w:val="24"/>
          <w:szCs w:val="24"/>
          <w:lang w:val="en-IN"/>
        </w:rPr>
        <w:t xml:space="preserve">Keywords: </w:t>
      </w:r>
      <w:r w:rsidRPr="00B25D0F">
        <w:rPr>
          <w:rFonts w:ascii="Times New Roman" w:hAnsi="Times New Roman" w:cs="Times New Roman"/>
          <w:sz w:val="24"/>
          <w:szCs w:val="24"/>
        </w:rPr>
        <w:t>Herding behavior, Mutual Fund Adoption, Financial Literacy, Investment Barriers</w:t>
      </w:r>
      <w:r w:rsidR="00276CD0" w:rsidRPr="00B25D0F">
        <w:rPr>
          <w:rFonts w:ascii="Times New Roman" w:hAnsi="Times New Roman" w:cs="Times New Roman"/>
          <w:sz w:val="24"/>
          <w:szCs w:val="24"/>
        </w:rPr>
        <w:t>, Gender Differences.</w:t>
      </w:r>
    </w:p>
    <w:p w14:paraId="7012A6CC" w14:textId="77777777" w:rsidR="00A9788B" w:rsidRPr="00B25D0F" w:rsidRDefault="00A9788B" w:rsidP="00B25D0F">
      <w:pPr>
        <w:rPr>
          <w:rFonts w:ascii="Times New Roman" w:hAnsi="Times New Roman" w:cs="Times New Roman"/>
          <w:b/>
          <w:bCs/>
          <w:sz w:val="24"/>
          <w:szCs w:val="24"/>
          <w:lang w:val="en-IN"/>
        </w:rPr>
      </w:pPr>
    </w:p>
    <w:p w14:paraId="5C2653DD" w14:textId="77777777" w:rsidR="00AD7B49" w:rsidRPr="00B25D0F" w:rsidRDefault="00AD7B49" w:rsidP="00B25D0F">
      <w:pPr>
        <w:rPr>
          <w:rFonts w:ascii="Times New Roman" w:hAnsi="Times New Roman" w:cs="Times New Roman"/>
          <w:b/>
          <w:bCs/>
          <w:sz w:val="24"/>
          <w:szCs w:val="24"/>
          <w:lang w:val="en-IN"/>
        </w:rPr>
      </w:pPr>
    </w:p>
    <w:p w14:paraId="615FEFDF" w14:textId="77777777" w:rsidR="00AD7B49" w:rsidRPr="00B25D0F" w:rsidRDefault="00AD7B49" w:rsidP="00B25D0F">
      <w:pPr>
        <w:rPr>
          <w:rFonts w:ascii="Times New Roman" w:hAnsi="Times New Roman" w:cs="Times New Roman"/>
          <w:b/>
          <w:bCs/>
          <w:sz w:val="24"/>
          <w:szCs w:val="24"/>
          <w:lang w:val="en-IN"/>
        </w:rPr>
      </w:pPr>
    </w:p>
    <w:p w14:paraId="73D6A0F9" w14:textId="77777777" w:rsidR="00AD7B49" w:rsidRPr="00B25D0F" w:rsidRDefault="00AD7B49" w:rsidP="00B25D0F">
      <w:pPr>
        <w:rPr>
          <w:rFonts w:ascii="Times New Roman" w:hAnsi="Times New Roman" w:cs="Times New Roman"/>
          <w:b/>
          <w:bCs/>
          <w:sz w:val="24"/>
          <w:szCs w:val="24"/>
          <w:lang w:val="en-IN"/>
        </w:rPr>
      </w:pPr>
    </w:p>
    <w:p w14:paraId="31C11F4B" w14:textId="77777777" w:rsidR="00B25D0F" w:rsidRDefault="00B25D0F" w:rsidP="00B25D0F">
      <w:pPr>
        <w:ind w:left="0"/>
        <w:rPr>
          <w:rFonts w:ascii="Times New Roman" w:hAnsi="Times New Roman" w:cs="Times New Roman"/>
          <w:b/>
          <w:bCs/>
          <w:sz w:val="24"/>
          <w:szCs w:val="24"/>
          <w:lang w:val="en-IN"/>
        </w:rPr>
      </w:pPr>
    </w:p>
    <w:p w14:paraId="5271DD11" w14:textId="19356DC7" w:rsidR="00AD7B49" w:rsidRPr="00B25D0F" w:rsidRDefault="00AD7B49" w:rsidP="00B25D0F">
      <w:pPr>
        <w:ind w:left="0"/>
        <w:rPr>
          <w:rFonts w:ascii="Times New Roman" w:hAnsi="Times New Roman" w:cs="Times New Roman"/>
          <w:b/>
          <w:bCs/>
          <w:sz w:val="24"/>
          <w:szCs w:val="24"/>
          <w:lang w:val="en-IN"/>
        </w:rPr>
      </w:pPr>
      <w:r w:rsidRPr="00B25D0F">
        <w:rPr>
          <w:rFonts w:ascii="Times New Roman" w:hAnsi="Times New Roman" w:cs="Times New Roman"/>
          <w:b/>
          <w:bCs/>
          <w:sz w:val="24"/>
          <w:szCs w:val="24"/>
          <w:lang w:val="en-IN"/>
        </w:rPr>
        <w:t>Introduction</w:t>
      </w:r>
    </w:p>
    <w:p w14:paraId="262C6227" w14:textId="77777777" w:rsidR="002234F7" w:rsidRPr="00B25D0F" w:rsidRDefault="002234F7" w:rsidP="00B25D0F">
      <w:pPr>
        <w:ind w:left="0"/>
        <w:rPr>
          <w:rFonts w:ascii="Times New Roman" w:hAnsi="Times New Roman" w:cs="Times New Roman"/>
          <w:sz w:val="24"/>
          <w:szCs w:val="24"/>
        </w:rPr>
      </w:pPr>
      <w:r w:rsidRPr="00B25D0F">
        <w:rPr>
          <w:rFonts w:ascii="Times New Roman" w:hAnsi="Times New Roman" w:cs="Times New Roman"/>
          <w:sz w:val="24"/>
          <w:szCs w:val="24"/>
        </w:rPr>
        <w:t xml:space="preserve">Mutual funds have become an increasingly common investment option for retail investors because they offer professional management, diversification, and a relatively simple way to participate in financial markets (Rehan et al., 2018; Ghimire &amp; Adhikari, 2023). However, </w:t>
      </w:r>
      <w:r w:rsidRPr="00B25D0F">
        <w:rPr>
          <w:rFonts w:ascii="Times New Roman" w:hAnsi="Times New Roman" w:cs="Times New Roman"/>
          <w:sz w:val="24"/>
          <w:szCs w:val="24"/>
        </w:rPr>
        <w:lastRenderedPageBreak/>
        <w:t xml:space="preserve">participation in mutual funds remains uneven in many semi-rural areas of India. Even when people are aware of investment options, their decisions are often shaped by </w:t>
      </w:r>
      <w:proofErr w:type="spellStart"/>
      <w:r w:rsidRPr="00B25D0F">
        <w:rPr>
          <w:rFonts w:ascii="Times New Roman" w:hAnsi="Times New Roman" w:cs="Times New Roman"/>
          <w:sz w:val="24"/>
          <w:szCs w:val="24"/>
        </w:rPr>
        <w:t>behavioural</w:t>
      </w:r>
      <w:proofErr w:type="spellEnd"/>
      <w:r w:rsidRPr="00B25D0F">
        <w:rPr>
          <w:rFonts w:ascii="Times New Roman" w:hAnsi="Times New Roman" w:cs="Times New Roman"/>
          <w:sz w:val="24"/>
          <w:szCs w:val="24"/>
        </w:rPr>
        <w:t xml:space="preserve"> factors rather than only by financial knowledge or rational evaluation.</w:t>
      </w:r>
    </w:p>
    <w:p w14:paraId="185241CD" w14:textId="77777777" w:rsidR="002234F7" w:rsidRPr="00B25D0F" w:rsidRDefault="002234F7" w:rsidP="00B25D0F">
      <w:pPr>
        <w:ind w:left="0"/>
        <w:rPr>
          <w:rFonts w:ascii="Times New Roman" w:hAnsi="Times New Roman" w:cs="Times New Roman"/>
          <w:sz w:val="24"/>
          <w:szCs w:val="24"/>
        </w:rPr>
      </w:pPr>
      <w:r w:rsidRPr="00B25D0F">
        <w:rPr>
          <w:rFonts w:ascii="Times New Roman" w:hAnsi="Times New Roman" w:cs="Times New Roman"/>
          <w:sz w:val="24"/>
          <w:szCs w:val="24"/>
        </w:rPr>
        <w:t xml:space="preserve">One such </w:t>
      </w:r>
      <w:proofErr w:type="spellStart"/>
      <w:r w:rsidRPr="00B25D0F">
        <w:rPr>
          <w:rFonts w:ascii="Times New Roman" w:hAnsi="Times New Roman" w:cs="Times New Roman"/>
          <w:sz w:val="24"/>
          <w:szCs w:val="24"/>
        </w:rPr>
        <w:t>behavioural</w:t>
      </w:r>
      <w:proofErr w:type="spellEnd"/>
      <w:r w:rsidRPr="00B25D0F">
        <w:rPr>
          <w:rFonts w:ascii="Times New Roman" w:hAnsi="Times New Roman" w:cs="Times New Roman"/>
          <w:sz w:val="24"/>
          <w:szCs w:val="24"/>
        </w:rPr>
        <w:t xml:space="preserve"> factor is herding </w:t>
      </w:r>
      <w:proofErr w:type="spellStart"/>
      <w:r w:rsidRPr="00B25D0F">
        <w:rPr>
          <w:rFonts w:ascii="Times New Roman" w:hAnsi="Times New Roman" w:cs="Times New Roman"/>
          <w:sz w:val="24"/>
          <w:szCs w:val="24"/>
        </w:rPr>
        <w:t>behaviour</w:t>
      </w:r>
      <w:proofErr w:type="spellEnd"/>
      <w:r w:rsidRPr="00B25D0F">
        <w:rPr>
          <w:rFonts w:ascii="Times New Roman" w:hAnsi="Times New Roman" w:cs="Times New Roman"/>
          <w:sz w:val="24"/>
          <w:szCs w:val="24"/>
        </w:rPr>
        <w:t>, which occurs when individuals follow the investment choices of others instead of making independent decisions. In environments where people have limited access to expert financial advice or feel unsure about evaluating investment information, they may depend heavily on friends, colleagues, or community members (Ainia &amp; Lutfi, 2019; Nguyen et al., 2019). This pattern is especially visible in semi-rural regions, where information gaps and uncertainty may encourage individuals to rely on social influence rather than personal judgment (Waheed et al., 2020). Teachers, as educated and respected community members, are an important group to study because their choices can influence others around them.</w:t>
      </w:r>
    </w:p>
    <w:p w14:paraId="340FADC4" w14:textId="55ABEF58" w:rsidR="002234F7" w:rsidRPr="00B25D0F" w:rsidRDefault="002234F7" w:rsidP="00B25D0F">
      <w:pPr>
        <w:ind w:left="0"/>
        <w:rPr>
          <w:rFonts w:ascii="Times New Roman" w:hAnsi="Times New Roman" w:cs="Times New Roman"/>
          <w:sz w:val="24"/>
          <w:szCs w:val="24"/>
        </w:rPr>
      </w:pPr>
      <w:r w:rsidRPr="00B25D0F">
        <w:rPr>
          <w:rFonts w:ascii="Times New Roman" w:hAnsi="Times New Roman" w:cs="Times New Roman"/>
          <w:sz w:val="24"/>
          <w:szCs w:val="24"/>
        </w:rPr>
        <w:t xml:space="preserve">Another key area of </w:t>
      </w:r>
      <w:proofErr w:type="spellStart"/>
      <w:r w:rsidRPr="00B25D0F">
        <w:rPr>
          <w:rFonts w:ascii="Times New Roman" w:hAnsi="Times New Roman" w:cs="Times New Roman"/>
          <w:sz w:val="24"/>
          <w:szCs w:val="24"/>
        </w:rPr>
        <w:t>behavioural</w:t>
      </w:r>
      <w:proofErr w:type="spellEnd"/>
      <w:r w:rsidRPr="00B25D0F">
        <w:rPr>
          <w:rFonts w:ascii="Times New Roman" w:hAnsi="Times New Roman" w:cs="Times New Roman"/>
          <w:sz w:val="24"/>
          <w:szCs w:val="24"/>
        </w:rPr>
        <w:t xml:space="preserve"> finance relates to gender differences in financial decision making. Several studies show that women are generally more risk-averse, seek more reassurance, and rely more on social networks while making financial choices (Dickason &amp; Ferreira, 2018; Lawrenson &amp; Dickason-Koekemoer, 2020). These tendencies can lead to stronger herding </w:t>
      </w:r>
      <w:proofErr w:type="spellStart"/>
      <w:r w:rsidRPr="00B25D0F">
        <w:rPr>
          <w:rFonts w:ascii="Times New Roman" w:hAnsi="Times New Roman" w:cs="Times New Roman"/>
          <w:sz w:val="24"/>
          <w:szCs w:val="24"/>
        </w:rPr>
        <w:t>behaviour</w:t>
      </w:r>
      <w:proofErr w:type="spellEnd"/>
      <w:r w:rsidRPr="00B25D0F">
        <w:rPr>
          <w:rFonts w:ascii="Times New Roman" w:hAnsi="Times New Roman" w:cs="Times New Roman"/>
          <w:sz w:val="24"/>
          <w:szCs w:val="24"/>
        </w:rPr>
        <w:t xml:space="preserve"> among female investors. Understanding such gender-based differences is important for designing financial education programs and improving investment participation.</w:t>
      </w:r>
    </w:p>
    <w:p w14:paraId="2A5A59CA" w14:textId="77777777" w:rsidR="002234F7" w:rsidRPr="00B25D0F" w:rsidRDefault="002234F7" w:rsidP="00B25D0F">
      <w:pPr>
        <w:ind w:left="0"/>
        <w:rPr>
          <w:rFonts w:ascii="Times New Roman" w:hAnsi="Times New Roman" w:cs="Times New Roman"/>
          <w:sz w:val="24"/>
          <w:szCs w:val="24"/>
        </w:rPr>
      </w:pPr>
      <w:r w:rsidRPr="00B25D0F">
        <w:rPr>
          <w:rFonts w:ascii="Times New Roman" w:hAnsi="Times New Roman" w:cs="Times New Roman"/>
          <w:sz w:val="24"/>
          <w:szCs w:val="24"/>
        </w:rPr>
        <w:t xml:space="preserve">Teachers are an interesting group of investors because they possess higher educational levels yet still experience the same </w:t>
      </w:r>
      <w:proofErr w:type="spellStart"/>
      <w:r w:rsidRPr="00B25D0F">
        <w:rPr>
          <w:rFonts w:ascii="Times New Roman" w:hAnsi="Times New Roman" w:cs="Times New Roman"/>
          <w:sz w:val="24"/>
          <w:szCs w:val="24"/>
        </w:rPr>
        <w:t>behavioural</w:t>
      </w:r>
      <w:proofErr w:type="spellEnd"/>
      <w:r w:rsidRPr="00B25D0F">
        <w:rPr>
          <w:rFonts w:ascii="Times New Roman" w:hAnsi="Times New Roman" w:cs="Times New Roman"/>
          <w:sz w:val="24"/>
          <w:szCs w:val="24"/>
        </w:rPr>
        <w:t xml:space="preserve"> biases and uncertainties that affect typical retail investors. Their financial choices are shaped by their social environment, access to information, and personal confidence in financial matters. Studying their </w:t>
      </w:r>
      <w:proofErr w:type="spellStart"/>
      <w:r w:rsidRPr="00B25D0F">
        <w:rPr>
          <w:rFonts w:ascii="Times New Roman" w:hAnsi="Times New Roman" w:cs="Times New Roman"/>
          <w:sz w:val="24"/>
          <w:szCs w:val="24"/>
        </w:rPr>
        <w:t>behaviour</w:t>
      </w:r>
      <w:proofErr w:type="spellEnd"/>
      <w:r w:rsidRPr="00B25D0F">
        <w:rPr>
          <w:rFonts w:ascii="Times New Roman" w:hAnsi="Times New Roman" w:cs="Times New Roman"/>
          <w:sz w:val="24"/>
          <w:szCs w:val="24"/>
        </w:rPr>
        <w:t xml:space="preserve"> can therefore provide insight into how educated individuals in semi-rural areas approach investment decisions.</w:t>
      </w:r>
    </w:p>
    <w:p w14:paraId="73C870BA" w14:textId="7F0D1DC9" w:rsidR="00E4705E" w:rsidRPr="00B25D0F" w:rsidRDefault="002234F7" w:rsidP="001F1BE7">
      <w:pPr>
        <w:ind w:left="0"/>
        <w:rPr>
          <w:rFonts w:ascii="Times New Roman" w:hAnsi="Times New Roman" w:cs="Times New Roman"/>
          <w:sz w:val="24"/>
          <w:szCs w:val="24"/>
        </w:rPr>
      </w:pPr>
      <w:r w:rsidRPr="00B25D0F">
        <w:rPr>
          <w:rFonts w:ascii="Times New Roman" w:hAnsi="Times New Roman" w:cs="Times New Roman"/>
          <w:sz w:val="24"/>
          <w:szCs w:val="24"/>
        </w:rPr>
        <w:t xml:space="preserve">Although </w:t>
      </w:r>
      <w:r w:rsidR="001F1BE7">
        <w:rPr>
          <w:rFonts w:ascii="Times New Roman" w:hAnsi="Times New Roman" w:cs="Times New Roman"/>
          <w:sz w:val="24"/>
          <w:szCs w:val="24"/>
        </w:rPr>
        <w:t xml:space="preserve">behavioral finance literature has widely examined herding, risk perception, and gender differences, most studies focus on urban investors or general retail populations, very limited research has investigated educated professional groups such as teachers in semi-rural settings. Teachers are financially aware individuals who also influence community financial behavior, making them an important yet under-explored group. Furthermore, previous studies rarely integrate herding behavior, gender differences, and perceived investment barriers within </w:t>
      </w:r>
      <w:r w:rsidR="001F1BE7">
        <w:rPr>
          <w:rFonts w:ascii="Times New Roman" w:hAnsi="Times New Roman" w:cs="Times New Roman"/>
          <w:sz w:val="24"/>
          <w:szCs w:val="24"/>
        </w:rPr>
        <w:lastRenderedPageBreak/>
        <w:t xml:space="preserve">a single </w:t>
      </w:r>
      <w:r w:rsidR="00C95964">
        <w:rPr>
          <w:rFonts w:ascii="Times New Roman" w:hAnsi="Times New Roman" w:cs="Times New Roman"/>
          <w:sz w:val="24"/>
          <w:szCs w:val="24"/>
        </w:rPr>
        <w:t>empirical framework. This study addresses this gap by examining these dimensions together in a semi-rural Indian context.</w:t>
      </w:r>
    </w:p>
    <w:p w14:paraId="4788F1C2" w14:textId="0AF4E709" w:rsidR="005C1073" w:rsidRPr="00B25D0F" w:rsidRDefault="003C36C1" w:rsidP="00B25D0F">
      <w:pPr>
        <w:ind w:left="0"/>
        <w:rPr>
          <w:rFonts w:ascii="Times New Roman" w:hAnsi="Times New Roman" w:cs="Times New Roman"/>
          <w:b/>
          <w:bCs/>
          <w:sz w:val="24"/>
          <w:szCs w:val="24"/>
          <w:lang w:val="en-IN"/>
        </w:rPr>
      </w:pPr>
      <w:r w:rsidRPr="00B25D0F">
        <w:rPr>
          <w:rFonts w:ascii="Times New Roman" w:hAnsi="Times New Roman" w:cs="Times New Roman"/>
          <w:b/>
          <w:bCs/>
          <w:sz w:val="24"/>
          <w:szCs w:val="24"/>
        </w:rPr>
        <w:t>O</w:t>
      </w:r>
      <w:r w:rsidR="00BC4FF1" w:rsidRPr="00B25D0F">
        <w:rPr>
          <w:rFonts w:ascii="Times New Roman" w:hAnsi="Times New Roman" w:cs="Times New Roman"/>
          <w:b/>
          <w:bCs/>
          <w:sz w:val="24"/>
          <w:szCs w:val="24"/>
        </w:rPr>
        <w:t>bjectives:</w:t>
      </w:r>
    </w:p>
    <w:p w14:paraId="6BAF7CE9" w14:textId="77777777" w:rsidR="005C1073" w:rsidRPr="00B25D0F" w:rsidRDefault="005C1073" w:rsidP="00B25D0F">
      <w:pPr>
        <w:numPr>
          <w:ilvl w:val="0"/>
          <w:numId w:val="3"/>
        </w:numPr>
        <w:spacing w:after="0"/>
        <w:rPr>
          <w:rFonts w:ascii="Times New Roman" w:hAnsi="Times New Roman" w:cs="Times New Roman"/>
          <w:sz w:val="24"/>
          <w:szCs w:val="24"/>
          <w:lang w:val="en-IN"/>
        </w:rPr>
      </w:pPr>
      <w:r w:rsidRPr="00B25D0F">
        <w:rPr>
          <w:rFonts w:ascii="Times New Roman" w:hAnsi="Times New Roman" w:cs="Times New Roman"/>
          <w:sz w:val="24"/>
          <w:szCs w:val="24"/>
          <w:lang w:val="en-IN"/>
        </w:rPr>
        <w:t>To measure the impact of herding behaviour on mutual fund investments among teachers.</w:t>
      </w:r>
    </w:p>
    <w:p w14:paraId="1E76C9A5" w14:textId="12FCD0E5" w:rsidR="00E175FE" w:rsidRPr="00B25D0F" w:rsidRDefault="005C1073" w:rsidP="00B25D0F">
      <w:pPr>
        <w:numPr>
          <w:ilvl w:val="0"/>
          <w:numId w:val="3"/>
        </w:numPr>
        <w:spacing w:after="0"/>
        <w:rPr>
          <w:rFonts w:ascii="Times New Roman" w:hAnsi="Times New Roman" w:cs="Times New Roman"/>
          <w:sz w:val="24"/>
          <w:szCs w:val="24"/>
          <w:lang w:val="en-IN"/>
        </w:rPr>
      </w:pPr>
      <w:r w:rsidRPr="00B25D0F">
        <w:rPr>
          <w:rFonts w:ascii="Times New Roman" w:hAnsi="Times New Roman" w:cs="Times New Roman"/>
          <w:sz w:val="24"/>
          <w:szCs w:val="24"/>
          <w:lang w:val="en-IN"/>
        </w:rPr>
        <w:t>To examine whether herding behaviour differs significantly across gender.</w:t>
      </w:r>
    </w:p>
    <w:p w14:paraId="4A3255C0" w14:textId="7964A848" w:rsidR="00D57B9D" w:rsidRPr="00B25D0F" w:rsidRDefault="00D57B9D" w:rsidP="00B25D0F">
      <w:pPr>
        <w:pStyle w:val="NormalWeb"/>
        <w:numPr>
          <w:ilvl w:val="0"/>
          <w:numId w:val="3"/>
        </w:numPr>
        <w:spacing w:before="0" w:beforeAutospacing="0" w:line="360" w:lineRule="auto"/>
        <w:jc w:val="both"/>
      </w:pPr>
      <w:r w:rsidRPr="00B25D0F">
        <w:rPr>
          <w:lang w:val="en-US"/>
        </w:rPr>
        <w:t>To identify barriers among non-investors.</w:t>
      </w:r>
    </w:p>
    <w:p w14:paraId="5CF75E79" w14:textId="4F567A33" w:rsidR="0081326D" w:rsidRPr="00B25D0F" w:rsidRDefault="0081326D" w:rsidP="00B25D0F">
      <w:pPr>
        <w:ind w:left="0"/>
        <w:rPr>
          <w:rFonts w:ascii="Times New Roman" w:hAnsi="Times New Roman" w:cs="Times New Roman"/>
          <w:b/>
          <w:bCs/>
          <w:sz w:val="24"/>
          <w:szCs w:val="24"/>
        </w:rPr>
      </w:pPr>
      <w:r w:rsidRPr="00B25D0F">
        <w:rPr>
          <w:rFonts w:ascii="Times New Roman" w:hAnsi="Times New Roman" w:cs="Times New Roman"/>
          <w:b/>
          <w:bCs/>
          <w:sz w:val="24"/>
          <w:szCs w:val="24"/>
        </w:rPr>
        <w:t>Literature Review</w:t>
      </w:r>
    </w:p>
    <w:p w14:paraId="27889D2E" w14:textId="3C9CD9F1" w:rsidR="0081326D" w:rsidRPr="00B25D0F" w:rsidRDefault="0081326D" w:rsidP="00B25D0F">
      <w:pPr>
        <w:spacing w:after="0"/>
        <w:ind w:left="0"/>
        <w:rPr>
          <w:rFonts w:ascii="Times New Roman" w:hAnsi="Times New Roman" w:cs="Times New Roman"/>
          <w:b/>
          <w:bCs/>
          <w:sz w:val="24"/>
          <w:szCs w:val="24"/>
        </w:rPr>
      </w:pPr>
      <w:r w:rsidRPr="00B25D0F">
        <w:rPr>
          <w:rFonts w:ascii="Times New Roman" w:hAnsi="Times New Roman" w:cs="Times New Roman"/>
          <w:b/>
          <w:bCs/>
          <w:sz w:val="24"/>
          <w:szCs w:val="24"/>
        </w:rPr>
        <w:t>Herding Behavior and Mutual Fund Investments</w:t>
      </w:r>
    </w:p>
    <w:p w14:paraId="45157230" w14:textId="7E518881" w:rsidR="00D4550B" w:rsidRPr="00B25D0F" w:rsidRDefault="0081326D" w:rsidP="00B25D0F">
      <w:pPr>
        <w:ind w:left="0"/>
        <w:rPr>
          <w:rFonts w:ascii="Times New Roman" w:hAnsi="Times New Roman" w:cs="Times New Roman"/>
          <w:sz w:val="24"/>
          <w:szCs w:val="24"/>
        </w:rPr>
      </w:pPr>
      <w:r w:rsidRPr="00B25D0F">
        <w:rPr>
          <w:rFonts w:ascii="Times New Roman" w:hAnsi="Times New Roman" w:cs="Times New Roman"/>
          <w:sz w:val="24"/>
          <w:szCs w:val="24"/>
        </w:rPr>
        <w:t>A key concept in behavioral finance is herding, which refers to how investors mimic the behavior of others instead of coming to their own conclusions. Studies show that herding reduces decision-making effort under uncertainty but often results in suboptimal financial outcomes.</w:t>
      </w:r>
      <w:r w:rsidR="00134C09" w:rsidRPr="00B25D0F">
        <w:rPr>
          <w:rFonts w:ascii="Times New Roman" w:hAnsi="Times New Roman" w:cs="Times New Roman"/>
          <w:sz w:val="24"/>
          <w:szCs w:val="24"/>
        </w:rPr>
        <w:t xml:space="preserve"> According to Ainia and Lutfi (2019) and Nguyen et al. (2019), people tend to follow peers they believe to be more knowledgeable rather than seeking professional advice, especially in developing markets. According to Waheed et al. (2020), this tendency is particularly strong in situations where advisory systems are weak and financial information is asymmetrical. According to Bikhchandani et al. (1992), informational cycles in the mutual fund industry demonstrate how prior inflows and popularity draw in more investors despite underlying fundamentals. Herding is both a coping mechanism and a hindrance to logical investment evaluation for semi-rural communities, like teachers.</w:t>
      </w:r>
    </w:p>
    <w:p w14:paraId="78F0434B" w14:textId="7A8E0A88" w:rsidR="00334D1E" w:rsidRPr="00B25D0F" w:rsidRDefault="00D4550B" w:rsidP="00B25D0F">
      <w:pPr>
        <w:pStyle w:val="NormalWeb"/>
        <w:spacing w:before="0" w:beforeAutospacing="0" w:line="360" w:lineRule="auto"/>
        <w:jc w:val="both"/>
      </w:pPr>
      <w:r w:rsidRPr="00B25D0F">
        <w:rPr>
          <w:rStyle w:val="Strong"/>
          <w:rFonts w:eastAsiaTheme="majorEastAsia"/>
        </w:rPr>
        <w:t>H1:</w:t>
      </w:r>
      <w:r w:rsidRPr="00B25D0F">
        <w:t xml:space="preserve"> Teachers exhibit a measurable level of herding behaviour in their mutual fund investment decisions.</w:t>
      </w:r>
    </w:p>
    <w:p w14:paraId="6D7B4E19" w14:textId="0CD7E9A3" w:rsidR="00F52A15" w:rsidRPr="00B25D0F" w:rsidRDefault="00F52A15" w:rsidP="00B25D0F">
      <w:pPr>
        <w:pStyle w:val="NormalWeb"/>
        <w:spacing w:before="0" w:beforeAutospacing="0" w:after="0" w:afterAutospacing="0" w:line="360" w:lineRule="auto"/>
        <w:jc w:val="both"/>
        <w:rPr>
          <w:b/>
          <w:bCs/>
        </w:rPr>
      </w:pPr>
      <w:r w:rsidRPr="00B25D0F">
        <w:rPr>
          <w:b/>
          <w:bCs/>
        </w:rPr>
        <w:t>Gender Differences in Behavioural Biases</w:t>
      </w:r>
    </w:p>
    <w:p w14:paraId="30C736D0" w14:textId="186F7CD6" w:rsidR="00F52A15" w:rsidRPr="00B25D0F" w:rsidRDefault="00F52A15" w:rsidP="00B25D0F">
      <w:pPr>
        <w:pStyle w:val="NormalWeb"/>
        <w:spacing w:before="0" w:beforeAutospacing="0" w:after="240" w:afterAutospacing="0" w:line="360" w:lineRule="auto"/>
        <w:jc w:val="both"/>
      </w:pPr>
      <w:r w:rsidRPr="00B25D0F">
        <w:t>One known factor influencing financial behaviour is gender.</w:t>
      </w:r>
      <w:r w:rsidR="00E20BF2" w:rsidRPr="00B25D0F">
        <w:t xml:space="preserve"> According to empirical evidence women tend to be more risk averse and are more likely to rely on social networks for financial decisions than men (Dickason &amp; Ferreira, 2018; Lawrenson &amp; Dickason-Koekemoer, 2020). This dependence raises the probability that female investors will engage in herd mentality. According to Brooks et al. (2018), gender and age have a combined influence on decision-making through perceived financial security and time horizons.</w:t>
      </w:r>
      <w:r w:rsidR="008B3B7A" w:rsidRPr="00B25D0F">
        <w:t xml:space="preserve"> It is essential to understand these gendered behavioural patterns to create inclusive</w:t>
      </w:r>
      <w:r w:rsidR="0023360E" w:rsidRPr="00B25D0F">
        <w:t>.</w:t>
      </w:r>
    </w:p>
    <w:p w14:paraId="047D31CF" w14:textId="4EDF6F71" w:rsidR="00E811D9" w:rsidRPr="00B25D0F" w:rsidRDefault="00D4550B" w:rsidP="00B25D0F">
      <w:pPr>
        <w:pStyle w:val="NormalWeb"/>
        <w:spacing w:before="0" w:beforeAutospacing="0" w:line="360" w:lineRule="auto"/>
      </w:pPr>
      <w:r w:rsidRPr="00B25D0F">
        <w:rPr>
          <w:rStyle w:val="Strong"/>
          <w:rFonts w:eastAsiaTheme="majorEastAsia"/>
        </w:rPr>
        <w:lastRenderedPageBreak/>
        <w:t>H2:</w:t>
      </w:r>
      <w:r w:rsidRPr="00B25D0F">
        <w:t xml:space="preserve"> There is a significant difference in herding behaviour between male and female teachers.</w:t>
      </w:r>
    </w:p>
    <w:p w14:paraId="21C12635" w14:textId="01C52DDD" w:rsidR="002F4C9C" w:rsidRPr="00B25D0F" w:rsidRDefault="002F4C9C" w:rsidP="00B25D0F">
      <w:pPr>
        <w:pStyle w:val="NormalWeb"/>
        <w:spacing w:before="0" w:beforeAutospacing="0" w:after="0" w:afterAutospacing="0" w:line="360" w:lineRule="auto"/>
        <w:rPr>
          <w:b/>
          <w:bCs/>
          <w:lang w:val="en-US"/>
        </w:rPr>
      </w:pPr>
      <w:r w:rsidRPr="00B25D0F">
        <w:rPr>
          <w:b/>
          <w:bCs/>
          <w:lang w:val="en-US"/>
        </w:rPr>
        <w:t>Financial Literacy and Perceived Barriers</w:t>
      </w:r>
    </w:p>
    <w:p w14:paraId="3D32832D" w14:textId="45DE5450" w:rsidR="008B3B7A" w:rsidRPr="00B25D0F" w:rsidRDefault="002F4C9C" w:rsidP="00B25D0F">
      <w:pPr>
        <w:pStyle w:val="NormalWeb"/>
        <w:spacing w:before="0" w:beforeAutospacing="0" w:after="240" w:afterAutospacing="0" w:line="360" w:lineRule="auto"/>
        <w:jc w:val="both"/>
      </w:pPr>
      <w:r w:rsidRPr="00B25D0F">
        <w:t xml:space="preserve">The adoption of mutual funds is significantly hindered by behavioural biases as well as barriers like lack of financial knowledge, mistrust of financial institutions, limited savings, and fear of loss. Ahmed et al. (2021), Song et al. (2023), and Kanagasabai &amp; Aggarwal (2020) find that financial literacy improves investment planning but is insufficient without confidence and trust. Owusu et al. (2023) show that mistrust of financial intermediaries reduces participation despite adequate knowledge. </w:t>
      </w:r>
      <w:proofErr w:type="spellStart"/>
      <w:r w:rsidRPr="00B25D0F">
        <w:t>Nosita</w:t>
      </w:r>
      <w:proofErr w:type="spellEnd"/>
      <w:r w:rsidRPr="00B25D0F">
        <w:t xml:space="preserve"> et al. (2020) show that inadequate savings act as a structural barrier, and Rahman (2020) associates fear of financial loss with avoiding equity-related products.</w:t>
      </w:r>
    </w:p>
    <w:p w14:paraId="0A6CDF46" w14:textId="20C03BA4" w:rsidR="00FC0392" w:rsidRPr="00B25D0F" w:rsidRDefault="00FC0392" w:rsidP="00B25D0F">
      <w:pPr>
        <w:pStyle w:val="NormalWeb"/>
        <w:spacing w:before="0" w:beforeAutospacing="0" w:line="360" w:lineRule="auto"/>
        <w:jc w:val="both"/>
      </w:pPr>
      <w:r w:rsidRPr="00B25D0F">
        <w:rPr>
          <w:rStyle w:val="Strong"/>
          <w:rFonts w:eastAsiaTheme="majorEastAsia"/>
        </w:rPr>
        <w:t>H3:</w:t>
      </w:r>
      <w:r w:rsidRPr="00B25D0F">
        <w:t xml:space="preserve"> Perceived barriers such as lack of knowledge, savings, trust, and fear of financial loss significantly influence the likelihood of non-investment in mutual funds. </w:t>
      </w:r>
    </w:p>
    <w:p w14:paraId="557FAF91" w14:textId="0CB6CB1A" w:rsidR="0076735D" w:rsidRPr="00B25D0F" w:rsidRDefault="0076735D" w:rsidP="00B25D0F">
      <w:pPr>
        <w:pStyle w:val="NormalWeb"/>
        <w:spacing w:before="0" w:beforeAutospacing="0" w:line="360" w:lineRule="auto"/>
        <w:jc w:val="both"/>
        <w:rPr>
          <w:b/>
          <w:bCs/>
        </w:rPr>
      </w:pPr>
      <w:r w:rsidRPr="00B25D0F">
        <w:rPr>
          <w:b/>
          <w:bCs/>
        </w:rPr>
        <w:t>Theoretical Framework</w:t>
      </w:r>
    </w:p>
    <w:p w14:paraId="4909A2FA" w14:textId="2BC07C0D" w:rsidR="0076735D" w:rsidRPr="00B25D0F" w:rsidRDefault="0076735D" w:rsidP="00B25D0F">
      <w:pPr>
        <w:pStyle w:val="NormalWeb"/>
        <w:spacing w:line="360" w:lineRule="auto"/>
        <w:jc w:val="both"/>
      </w:pPr>
      <w:r w:rsidRPr="00B25D0F">
        <w:rPr>
          <w:rStyle w:val="Strong"/>
          <w:b w:val="0"/>
          <w:bCs w:val="0"/>
        </w:rPr>
        <w:t xml:space="preserve">This study is grounded in the principles of </w:t>
      </w:r>
      <w:proofErr w:type="spellStart"/>
      <w:r w:rsidRPr="00B25D0F">
        <w:rPr>
          <w:rStyle w:val="Strong"/>
          <w:b w:val="0"/>
          <w:bCs w:val="0"/>
        </w:rPr>
        <w:t>Behavioral</w:t>
      </w:r>
      <w:proofErr w:type="spellEnd"/>
      <w:r w:rsidRPr="00B25D0F">
        <w:rPr>
          <w:rStyle w:val="Strong"/>
          <w:b w:val="0"/>
          <w:bCs w:val="0"/>
        </w:rPr>
        <w:t xml:space="preserve"> Finance Theory, which suggests that investors don’t always make logical decisions. Rather, their </w:t>
      </w:r>
      <w:r w:rsidR="0043563F" w:rsidRPr="00B25D0F">
        <w:rPr>
          <w:rStyle w:val="Strong"/>
          <w:b w:val="0"/>
          <w:bCs w:val="0"/>
        </w:rPr>
        <w:t xml:space="preserve">financial </w:t>
      </w:r>
      <w:proofErr w:type="spellStart"/>
      <w:r w:rsidR="0043563F" w:rsidRPr="00B25D0F">
        <w:rPr>
          <w:rStyle w:val="Strong"/>
          <w:b w:val="0"/>
          <w:bCs w:val="0"/>
        </w:rPr>
        <w:t>behavior</w:t>
      </w:r>
      <w:proofErr w:type="spellEnd"/>
      <w:r w:rsidR="0043563F" w:rsidRPr="00B25D0F">
        <w:rPr>
          <w:rStyle w:val="Strong"/>
          <w:b w:val="0"/>
          <w:bCs w:val="0"/>
        </w:rPr>
        <w:t xml:space="preserve"> is shaped by psychological, social, and emotional aspects (Bikhchandani et al., 1992). </w:t>
      </w:r>
      <w:r w:rsidR="0043563F" w:rsidRPr="00B25D0F">
        <w:t xml:space="preserve">Herding </w:t>
      </w:r>
      <w:proofErr w:type="spellStart"/>
      <w:r w:rsidR="0043563F" w:rsidRPr="00B25D0F">
        <w:t>behavior</w:t>
      </w:r>
      <w:proofErr w:type="spellEnd"/>
      <w:r w:rsidR="0043563F" w:rsidRPr="00B25D0F">
        <w:t>, which characterizes the tendency of individuals to mimic the acts of others while making investment decisions, particularly in circumstances of uncertainty or incomplete information, is crucial in this context.</w:t>
      </w:r>
    </w:p>
    <w:p w14:paraId="3E52F9F3" w14:textId="6C71F7CF" w:rsidR="001A74C4" w:rsidRPr="00B25D0F" w:rsidRDefault="001A74C4" w:rsidP="00B25D0F">
      <w:pPr>
        <w:pStyle w:val="NormalWeb"/>
        <w:spacing w:line="360" w:lineRule="auto"/>
        <w:jc w:val="both"/>
      </w:pPr>
      <w:r w:rsidRPr="00B25D0F">
        <w:t xml:space="preserve">Such </w:t>
      </w:r>
      <w:proofErr w:type="spellStart"/>
      <w:r w:rsidRPr="00B25D0F">
        <w:t>behavior</w:t>
      </w:r>
      <w:proofErr w:type="spellEnd"/>
      <w:r w:rsidRPr="00B25D0F">
        <w:t xml:space="preserve"> becomes more prevalent in semi-rural financial environments where access to professional advice is limited, as investors rely on the actions and perceived wisdom of their peers (Ainia &amp; Lutfi, 2019; Waheed et al., 2020). This is consistent with the study’s primary goal, which </w:t>
      </w:r>
      <w:r w:rsidR="00084EA4" w:rsidRPr="00B25D0F">
        <w:t xml:space="preserve">examines the presence and strength of herding </w:t>
      </w:r>
      <w:proofErr w:type="spellStart"/>
      <w:r w:rsidR="00084EA4" w:rsidRPr="00B25D0F">
        <w:t>behavior</w:t>
      </w:r>
      <w:proofErr w:type="spellEnd"/>
      <w:r w:rsidR="00084EA4" w:rsidRPr="00B25D0F">
        <w:t xml:space="preserve"> among teachers.</w:t>
      </w:r>
    </w:p>
    <w:p w14:paraId="4AA0B222" w14:textId="74F4F885" w:rsidR="00084EA4" w:rsidRPr="00B25D0F" w:rsidRDefault="00084EA4" w:rsidP="00B25D0F">
      <w:pPr>
        <w:pStyle w:val="NormalWeb"/>
        <w:spacing w:line="360" w:lineRule="auto"/>
        <w:jc w:val="both"/>
      </w:pPr>
      <w:r w:rsidRPr="00B25D0F">
        <w:t xml:space="preserve">The framework also makes use of Gender Socialization Theory, which describes how societal and cultural factors affect men’s and women’s risk tolerance and financial </w:t>
      </w:r>
      <w:proofErr w:type="spellStart"/>
      <w:r w:rsidRPr="00B25D0F">
        <w:t>behavior</w:t>
      </w:r>
      <w:proofErr w:type="spellEnd"/>
      <w:r w:rsidRPr="00B25D0F">
        <w:t>. According to earlier research, women tend to be more cautious and rely more on the opinions of their peers and group judgment when making financial decisions (Lawrenson &amp; Dickason-Koekemoer, 2020).</w:t>
      </w:r>
      <w:r w:rsidR="008B65C2" w:rsidRPr="00B25D0F">
        <w:t xml:space="preserve"> The second objective of the study which examines whether gender has a substantial impact on herding tendencies, is supported by this theoretical framework.</w:t>
      </w:r>
    </w:p>
    <w:p w14:paraId="0E6D0A00" w14:textId="2CF94877" w:rsidR="008B65C2" w:rsidRPr="00B25D0F" w:rsidRDefault="008B65C2" w:rsidP="00B25D0F">
      <w:pPr>
        <w:pStyle w:val="NormalWeb"/>
        <w:spacing w:line="360" w:lineRule="auto"/>
        <w:jc w:val="both"/>
      </w:pPr>
      <w:r w:rsidRPr="00B25D0F">
        <w:lastRenderedPageBreak/>
        <w:t xml:space="preserve">Together, these theories explain how </w:t>
      </w:r>
      <w:proofErr w:type="spellStart"/>
      <w:r w:rsidRPr="00B25D0F">
        <w:t>behavioral</w:t>
      </w:r>
      <w:proofErr w:type="spellEnd"/>
      <w:r w:rsidRPr="00B25D0F">
        <w:t xml:space="preserve"> bias and demographic factors interact to influence mutual fund investment decisions among teachers. The conceptual model connects the study’s objectives and hypotheses as shown in Figure 1</w:t>
      </w:r>
      <w:r w:rsidR="004536DA" w:rsidRPr="00B25D0F">
        <w:t>.</w:t>
      </w:r>
    </w:p>
    <w:p w14:paraId="10E06F74" w14:textId="2FB08331" w:rsidR="004536DA" w:rsidRPr="00B25D0F" w:rsidRDefault="004536DA" w:rsidP="00B25D0F">
      <w:pPr>
        <w:pStyle w:val="NormalWeb"/>
        <w:spacing w:line="360" w:lineRule="auto"/>
        <w:jc w:val="both"/>
      </w:pPr>
      <w:r w:rsidRPr="00B25D0F">
        <w:rPr>
          <w:noProof/>
          <w14:ligatures w14:val="standardContextual"/>
        </w:rPr>
        <w:drawing>
          <wp:inline distT="0" distB="0" distL="0" distR="0" wp14:anchorId="21A5BFA7" wp14:editId="6FF08791">
            <wp:extent cx="5717768" cy="3791243"/>
            <wp:effectExtent l="0" t="0" r="0" b="0"/>
            <wp:docPr id="1889256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256582" name="Picture 1889256582"/>
                    <pic:cNvPicPr/>
                  </pic:nvPicPr>
                  <pic:blipFill rotWithShape="1">
                    <a:blip r:embed="rId8" cstate="print">
                      <a:extLst>
                        <a:ext uri="{28A0092B-C50C-407E-A947-70E740481C1C}">
                          <a14:useLocalDpi xmlns:a14="http://schemas.microsoft.com/office/drawing/2010/main" val="0"/>
                        </a:ext>
                      </a:extLst>
                    </a:blip>
                    <a:srcRect t="28992"/>
                    <a:stretch>
                      <a:fillRect/>
                    </a:stretch>
                  </pic:blipFill>
                  <pic:spPr bwMode="auto">
                    <a:xfrm>
                      <a:off x="0" y="0"/>
                      <a:ext cx="5797392" cy="3844039"/>
                    </a:xfrm>
                    <a:prstGeom prst="rect">
                      <a:avLst/>
                    </a:prstGeom>
                    <a:ln>
                      <a:noFill/>
                    </a:ln>
                    <a:extLst>
                      <a:ext uri="{53640926-AAD7-44D8-BBD7-CCE9431645EC}">
                        <a14:shadowObscured xmlns:a14="http://schemas.microsoft.com/office/drawing/2010/main"/>
                      </a:ext>
                    </a:extLst>
                  </pic:spPr>
                </pic:pic>
              </a:graphicData>
            </a:graphic>
          </wp:inline>
        </w:drawing>
      </w:r>
    </w:p>
    <w:p w14:paraId="260F334E" w14:textId="1C42D0D8" w:rsidR="001A74C4" w:rsidRPr="00B25D0F" w:rsidRDefault="004536DA" w:rsidP="00B25D0F">
      <w:pPr>
        <w:pStyle w:val="NormalWeb"/>
        <w:spacing w:line="360" w:lineRule="auto"/>
        <w:jc w:val="both"/>
        <w:rPr>
          <w:rStyle w:val="Strong"/>
          <w:b w:val="0"/>
          <w:bCs w:val="0"/>
        </w:rPr>
      </w:pPr>
      <w:r w:rsidRPr="00B25D0F">
        <w:rPr>
          <w:lang w:val="en-US"/>
        </w:rPr>
        <w:t>Figure 1: Theoretical Framework Showing Objectives and Hypotheses</w:t>
      </w:r>
    </w:p>
    <w:p w14:paraId="616D4F4D" w14:textId="5744A931" w:rsidR="00D4550B" w:rsidRPr="00B25D0F" w:rsidRDefault="009159B8" w:rsidP="00B25D0F">
      <w:pPr>
        <w:pStyle w:val="NormalWeb"/>
        <w:spacing w:before="0" w:beforeAutospacing="0" w:line="360" w:lineRule="auto"/>
        <w:jc w:val="both"/>
        <w:rPr>
          <w:b/>
          <w:bCs/>
        </w:rPr>
      </w:pPr>
      <w:r w:rsidRPr="00B25D0F">
        <w:rPr>
          <w:b/>
          <w:bCs/>
        </w:rPr>
        <w:t>Research Methodology</w:t>
      </w:r>
    </w:p>
    <w:p w14:paraId="648FDE61" w14:textId="77777777" w:rsidR="0023360E" w:rsidRPr="00B25D0F" w:rsidRDefault="0023360E" w:rsidP="00B25D0F">
      <w:pPr>
        <w:pStyle w:val="NormalWeb"/>
        <w:spacing w:before="0" w:beforeAutospacing="0" w:line="360" w:lineRule="auto"/>
        <w:jc w:val="both"/>
        <w:rPr>
          <w:lang w:val="en-US"/>
        </w:rPr>
      </w:pPr>
      <w:r w:rsidRPr="00B25D0F">
        <w:rPr>
          <w:lang w:val="en-US"/>
        </w:rPr>
        <w:t xml:space="preserve">The study used a quantitative survey design and collected data from 125 teachers in </w:t>
      </w:r>
      <w:proofErr w:type="spellStart"/>
      <w:r w:rsidRPr="00B25D0F">
        <w:rPr>
          <w:lang w:val="en-US"/>
        </w:rPr>
        <w:t>Namsai</w:t>
      </w:r>
      <w:proofErr w:type="spellEnd"/>
      <w:r w:rsidRPr="00B25D0F">
        <w:rPr>
          <w:lang w:val="en-US"/>
        </w:rPr>
        <w:t xml:space="preserve"> district, Arunachal Pradesh. Because teachers were selected based on their availability and willingness to respond, the study followed a convenience sampling technique. Out of 125 respondents, 93 were investors in mutual funds and 32 were non-investors. The questionnaire included demographic details, herding </w:t>
      </w:r>
      <w:proofErr w:type="spellStart"/>
      <w:r w:rsidRPr="00B25D0F">
        <w:rPr>
          <w:lang w:val="en-US"/>
        </w:rPr>
        <w:t>behaviour</w:t>
      </w:r>
      <w:proofErr w:type="spellEnd"/>
      <w:r w:rsidRPr="00B25D0F">
        <w:rPr>
          <w:lang w:val="en-US"/>
        </w:rPr>
        <w:t xml:space="preserve"> questions, and financial literacy measures. While convenience sampling limits the generalization of results, it is suitable for exploratory studies like this, especially when access to the population is limited.</w:t>
      </w:r>
    </w:p>
    <w:p w14:paraId="62019F19" w14:textId="1541DD82" w:rsidR="00420E0C" w:rsidRPr="00B25D0F" w:rsidRDefault="00420E0C" w:rsidP="00B25D0F">
      <w:pPr>
        <w:pStyle w:val="NormalWeb"/>
        <w:spacing w:before="0" w:beforeAutospacing="0" w:line="360" w:lineRule="auto"/>
        <w:jc w:val="both"/>
        <w:rPr>
          <w:lang w:val="en-US"/>
        </w:rPr>
      </w:pPr>
      <w:r w:rsidRPr="00B25D0F">
        <w:rPr>
          <w:lang w:val="en-US"/>
        </w:rPr>
        <w:t xml:space="preserve">A total of 150 questionnaires were distributed, both physically and through online mode, of which 125 valid responses were received, resulting in an effective response rate of </w:t>
      </w:r>
      <w:r w:rsidRPr="00B25D0F">
        <w:rPr>
          <w:lang w:val="en-US"/>
        </w:rPr>
        <w:lastRenderedPageBreak/>
        <w:t>approximately 83%. This mixed-mode approach ensured wider coverage and improved participation from teachers.</w:t>
      </w:r>
    </w:p>
    <w:p w14:paraId="61509493" w14:textId="1CB4F10A" w:rsidR="00B77E89" w:rsidRPr="00B25D0F" w:rsidRDefault="00F2278D" w:rsidP="00B25D0F">
      <w:pPr>
        <w:pStyle w:val="NormalWeb"/>
        <w:spacing w:before="0" w:beforeAutospacing="0" w:line="360" w:lineRule="auto"/>
        <w:jc w:val="both"/>
      </w:pPr>
      <w:r w:rsidRPr="00B25D0F">
        <w:t>Cronbach's alpha, which evaluates internal consistency across several items, was used to assess the herding construct's reliability. The equation is:</w:t>
      </w:r>
    </w:p>
    <w:p w14:paraId="5626F693" w14:textId="6B60ADA2" w:rsidR="00F2278D" w:rsidRPr="00B25D0F" w:rsidRDefault="006E6D6A" w:rsidP="00B25D0F">
      <w:pPr>
        <w:pStyle w:val="NormalWeb"/>
        <w:spacing w:before="0" w:beforeAutospacing="0" w:line="360" w:lineRule="auto"/>
        <w:jc w:val="both"/>
      </w:pPr>
      <m:oMath>
        <m:r>
          <w:rPr>
            <w:rFonts w:ascii="Cambria Math" w:hAnsi="Cambria Math"/>
          </w:rPr>
          <m:t>α=</m:t>
        </m:r>
        <m:f>
          <m:fPr>
            <m:ctrlPr>
              <w:rPr>
                <w:rFonts w:ascii="Cambria Math" w:hAnsi="Cambria Math"/>
                <w:i/>
              </w:rPr>
            </m:ctrlPr>
          </m:fPr>
          <m:num>
            <m:r>
              <w:rPr>
                <w:rFonts w:ascii="Cambria Math" w:hAnsi="Cambria Math"/>
              </w:rPr>
              <m:t>k</m:t>
            </m:r>
          </m:num>
          <m:den>
            <m:r>
              <w:rPr>
                <w:rFonts w:ascii="Cambria Math" w:hAnsi="Cambria Math"/>
              </w:rPr>
              <m:t>k-1</m:t>
            </m:r>
          </m:den>
        </m:f>
        <m:d>
          <m:dPr>
            <m:ctrlPr>
              <w:rPr>
                <w:rFonts w:ascii="Cambria Math" w:hAnsi="Cambria Math"/>
                <w:i/>
              </w:rPr>
            </m:ctrlPr>
          </m:dPr>
          <m:e>
            <m:r>
              <w:rPr>
                <w:rFonts w:ascii="Cambria Math" w:hAnsi="Cambria Math"/>
              </w:rPr>
              <m:t>1-</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k</m:t>
                    </m:r>
                  </m:sup>
                  <m:e>
                    <m:sSubSup>
                      <m:sSubSupPr>
                        <m:ctrlPr>
                          <w:rPr>
                            <w:rFonts w:ascii="Cambria Math" w:hAnsi="Cambria Math"/>
                            <w:i/>
                          </w:rPr>
                        </m:ctrlPr>
                      </m:sSubSupPr>
                      <m:e>
                        <m:r>
                          <w:rPr>
                            <w:rFonts w:ascii="Cambria Math" w:hAnsi="Cambria Math"/>
                          </w:rPr>
                          <m:t>σ</m:t>
                        </m:r>
                      </m:e>
                      <m:sub>
                        <m:r>
                          <w:rPr>
                            <w:rFonts w:ascii="Cambria Math" w:hAnsi="Cambria Math"/>
                          </w:rPr>
                          <m:t>i</m:t>
                        </m:r>
                      </m:sub>
                      <m:sup>
                        <m:r>
                          <w:rPr>
                            <w:rFonts w:ascii="Cambria Math" w:hAnsi="Cambria Math"/>
                          </w:rPr>
                          <m:t>2</m:t>
                        </m:r>
                      </m:sup>
                    </m:sSubSup>
                  </m:e>
                </m:nary>
              </m:num>
              <m:den>
                <m:sSubSup>
                  <m:sSubSupPr>
                    <m:ctrlPr>
                      <w:rPr>
                        <w:rFonts w:ascii="Cambria Math" w:hAnsi="Cambria Math"/>
                        <w:i/>
                      </w:rPr>
                    </m:ctrlPr>
                  </m:sSubSupPr>
                  <m:e>
                    <m:r>
                      <w:rPr>
                        <w:rFonts w:ascii="Cambria Math" w:hAnsi="Cambria Math"/>
                      </w:rPr>
                      <m:t>σ</m:t>
                    </m:r>
                  </m:e>
                  <m:sub>
                    <m:r>
                      <w:rPr>
                        <w:rFonts w:ascii="Cambria Math" w:hAnsi="Cambria Math"/>
                      </w:rPr>
                      <m:t>t</m:t>
                    </m:r>
                  </m:sub>
                  <m:sup>
                    <m:r>
                      <w:rPr>
                        <w:rFonts w:ascii="Cambria Math" w:hAnsi="Cambria Math"/>
                      </w:rPr>
                      <m:t>2</m:t>
                    </m:r>
                  </m:sup>
                </m:sSubSup>
              </m:den>
            </m:f>
          </m:e>
        </m:d>
      </m:oMath>
      <w:r w:rsidR="00B77E89" w:rsidRPr="00B25D0F">
        <w:t xml:space="preserve"> </w:t>
      </w:r>
    </w:p>
    <w:p w14:paraId="3CC56475" w14:textId="35706B16" w:rsidR="00B77E89" w:rsidRPr="00B25D0F" w:rsidRDefault="00B77E89" w:rsidP="00B25D0F">
      <w:pPr>
        <w:pStyle w:val="NormalWeb"/>
        <w:spacing w:before="0" w:beforeAutospacing="0" w:line="360" w:lineRule="auto"/>
        <w:jc w:val="both"/>
        <w:rPr>
          <w:lang w:val="en-US"/>
        </w:rPr>
      </w:pPr>
      <w:r w:rsidRPr="00B25D0F">
        <w:t xml:space="preserve">Where ‘k’ is the </w:t>
      </w:r>
      <w:r w:rsidR="004E1FB0" w:rsidRPr="00B25D0F">
        <w:t xml:space="preserve">number of items, and </w:t>
      </w:r>
      <m:oMath>
        <m:sSubSup>
          <m:sSubSupPr>
            <m:ctrlPr>
              <w:rPr>
                <w:rFonts w:ascii="Cambria Math" w:hAnsi="Cambria Math"/>
                <w:i/>
              </w:rPr>
            </m:ctrlPr>
          </m:sSubSupPr>
          <m:e>
            <m:r>
              <w:rPr>
                <w:rFonts w:ascii="Cambria Math" w:hAnsi="Cambria Math"/>
              </w:rPr>
              <m:t>σ</m:t>
            </m:r>
          </m:e>
          <m:sub>
            <m:r>
              <w:rPr>
                <w:rFonts w:ascii="Cambria Math" w:hAnsi="Cambria Math"/>
              </w:rPr>
              <m:t>i</m:t>
            </m:r>
          </m:sub>
          <m:sup>
            <m:r>
              <w:rPr>
                <w:rFonts w:ascii="Cambria Math" w:hAnsi="Cambria Math"/>
              </w:rPr>
              <m:t>2</m:t>
            </m:r>
          </m:sup>
        </m:sSubSup>
      </m:oMath>
      <w:r w:rsidR="004E1FB0" w:rsidRPr="00B25D0F">
        <w:t xml:space="preserve"> is the variance of the total score. The obtained value (</w:t>
      </w:r>
      <w:r w:rsidR="004E1FB0" w:rsidRPr="00B25D0F">
        <w:rPr>
          <w:lang w:val="en-US"/>
        </w:rPr>
        <w:t>α = 0.772) exceeded the recommended threshold of 0.70, confirming the scale’s reliability.</w:t>
      </w:r>
    </w:p>
    <w:p w14:paraId="1EEACFA1" w14:textId="70D7EC48" w:rsidR="004E1FB0" w:rsidRPr="00B25D0F" w:rsidRDefault="00C2311D" w:rsidP="00B25D0F">
      <w:pPr>
        <w:pStyle w:val="NormalWeb"/>
        <w:spacing w:before="0" w:beforeAutospacing="0" w:line="360" w:lineRule="auto"/>
        <w:jc w:val="both"/>
        <w:rPr>
          <w:lang w:val="en-US"/>
        </w:rPr>
      </w:pPr>
      <w:r w:rsidRPr="00B25D0F">
        <w:rPr>
          <w:lang w:val="en-US"/>
        </w:rPr>
        <w:t>To test gender-based differences in herding behavior, b</w:t>
      </w:r>
      <w:r w:rsidR="004E1FB0" w:rsidRPr="00B25D0F">
        <w:rPr>
          <w:lang w:val="en-US"/>
        </w:rPr>
        <w:t>oth the Shapiro-wilk and Kolmogorov-Smirnov tests were used to test for normality of the composite herding score (HERD_SCORE); the Shapiro</w:t>
      </w:r>
      <w:r w:rsidR="00433F23" w:rsidRPr="00B25D0F">
        <w:rPr>
          <w:lang w:val="en-US"/>
        </w:rPr>
        <w:t>-Wilk is better suited for small to medium samples. The equation is:</w:t>
      </w:r>
    </w:p>
    <w:p w14:paraId="0B6B437F" w14:textId="5ECD6E8D" w:rsidR="00433F23" w:rsidRPr="00B25D0F" w:rsidRDefault="00433F23" w:rsidP="00B25D0F">
      <w:pPr>
        <w:pStyle w:val="NormalWeb"/>
        <w:spacing w:before="0" w:beforeAutospacing="0" w:line="360" w:lineRule="auto"/>
        <w:jc w:val="both"/>
        <w:rPr>
          <w:lang w:val="en-US"/>
        </w:rPr>
      </w:pPr>
      <m:oMath>
        <m:r>
          <w:rPr>
            <w:rFonts w:ascii="Cambria Math" w:hAnsi="Cambria Math"/>
            <w:lang w:val="en-US"/>
          </w:rPr>
          <m:t>w=</m:t>
        </m:r>
        <m:f>
          <m:fPr>
            <m:ctrlPr>
              <w:rPr>
                <w:rFonts w:ascii="Cambria Math" w:hAnsi="Cambria Math"/>
                <w:i/>
                <w:lang w:val="en-US"/>
              </w:rPr>
            </m:ctrlPr>
          </m:fPr>
          <m:num>
            <m:r>
              <w:rPr>
                <w:rFonts w:ascii="Cambria Math" w:hAnsi="Cambria Math"/>
                <w:lang w:val="en-US"/>
              </w:rPr>
              <m:t>(</m:t>
            </m:r>
            <m:nary>
              <m:naryPr>
                <m:chr m:val="∑"/>
                <m:limLoc m:val="undOvr"/>
                <m:ctrlPr>
                  <w:rPr>
                    <w:rFonts w:ascii="Cambria Math" w:hAnsi="Cambria Math"/>
                    <w:i/>
                    <w:lang w:val="en-US"/>
                  </w:rPr>
                </m:ctrlPr>
              </m:naryPr>
              <m:sub>
                <m:r>
                  <w:rPr>
                    <w:rFonts w:ascii="Cambria Math" w:hAnsi="Cambria Math"/>
                    <w:lang w:val="en-US"/>
                  </w:rPr>
                  <m:t>i=1</m:t>
                </m:r>
              </m:sub>
              <m:sup>
                <m:r>
                  <w:rPr>
                    <w:rFonts w:ascii="Cambria Math" w:hAnsi="Cambria Math"/>
                    <w:lang w:val="en-US"/>
                  </w:rPr>
                  <m:t>n</m:t>
                </m:r>
              </m:sup>
              <m:e>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i</m:t>
                    </m:r>
                  </m:sub>
                </m:sSub>
              </m:e>
            </m:nary>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(i)</m:t>
                </m:r>
              </m:sub>
            </m:sSub>
            <m:sSup>
              <m:sSupPr>
                <m:ctrlPr>
                  <w:rPr>
                    <w:rFonts w:ascii="Cambria Math" w:hAnsi="Cambria Math"/>
                    <w:i/>
                    <w:lang w:val="en-US"/>
                  </w:rPr>
                </m:ctrlPr>
              </m:sSupPr>
              <m:e>
                <m:r>
                  <w:rPr>
                    <w:rFonts w:ascii="Cambria Math" w:hAnsi="Cambria Math"/>
                    <w:lang w:val="en-US"/>
                  </w:rPr>
                  <m:t>)</m:t>
                </m:r>
              </m:e>
              <m:sup>
                <m:r>
                  <w:rPr>
                    <w:rFonts w:ascii="Cambria Math" w:hAnsi="Cambria Math"/>
                    <w:lang w:val="en-US"/>
                  </w:rPr>
                  <m:t>2</m:t>
                </m:r>
              </m:sup>
            </m:sSup>
          </m:num>
          <m:den>
            <m:nary>
              <m:naryPr>
                <m:chr m:val="∑"/>
                <m:limLoc m:val="undOvr"/>
                <m:ctrlPr>
                  <w:rPr>
                    <w:rFonts w:ascii="Cambria Math" w:hAnsi="Cambria Math"/>
                    <w:i/>
                    <w:lang w:val="en-US"/>
                  </w:rPr>
                </m:ctrlPr>
              </m:naryPr>
              <m:sub>
                <m:r>
                  <w:rPr>
                    <w:rFonts w:ascii="Cambria Math" w:hAnsi="Cambria Math"/>
                    <w:lang w:val="en-US"/>
                  </w:rPr>
                  <m:t>i=1</m:t>
                </m:r>
              </m:sub>
              <m:sup>
                <m:r>
                  <w:rPr>
                    <w:rFonts w:ascii="Cambria Math" w:hAnsi="Cambria Math"/>
                    <w:lang w:val="en-US"/>
                  </w:rPr>
                  <m:t>n</m:t>
                </m:r>
              </m:sup>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i</m:t>
                    </m:r>
                  </m:sub>
                </m:sSub>
              </m:e>
            </m:nary>
            <m:r>
              <w:rPr>
                <w:rFonts w:ascii="Cambria Math" w:hAnsi="Cambria Math"/>
                <w:lang w:val="en-US"/>
              </w:rPr>
              <m:t xml:space="preserve">- </m:t>
            </m:r>
            <m:acc>
              <m:accPr>
                <m:chr m:val="̅"/>
                <m:ctrlPr>
                  <w:rPr>
                    <w:rFonts w:ascii="Cambria Math" w:hAnsi="Cambria Math"/>
                    <w:i/>
                    <w:lang w:val="en-US"/>
                  </w:rPr>
                </m:ctrlPr>
              </m:accPr>
              <m:e>
                <m:r>
                  <w:rPr>
                    <w:rFonts w:ascii="Cambria Math" w:hAnsi="Cambria Math"/>
                    <w:lang w:val="en-US"/>
                  </w:rPr>
                  <m:t>x</m:t>
                </m:r>
              </m:e>
            </m:acc>
            <m:sSup>
              <m:sSupPr>
                <m:ctrlPr>
                  <w:rPr>
                    <w:rFonts w:ascii="Cambria Math" w:hAnsi="Cambria Math"/>
                    <w:i/>
                    <w:lang w:val="en-US"/>
                  </w:rPr>
                </m:ctrlPr>
              </m:sSupPr>
              <m:e>
                <m:r>
                  <w:rPr>
                    <w:rFonts w:ascii="Cambria Math" w:hAnsi="Cambria Math"/>
                    <w:lang w:val="en-US"/>
                  </w:rPr>
                  <m:t>)</m:t>
                </m:r>
              </m:e>
              <m:sup>
                <m:r>
                  <w:rPr>
                    <w:rFonts w:ascii="Cambria Math" w:hAnsi="Cambria Math"/>
                    <w:lang w:val="en-US"/>
                  </w:rPr>
                  <m:t>2</m:t>
                </m:r>
              </m:sup>
            </m:sSup>
          </m:den>
        </m:f>
      </m:oMath>
      <w:r w:rsidR="00C710B9" w:rsidRPr="00B25D0F">
        <w:rPr>
          <w:lang w:val="en-US"/>
        </w:rPr>
        <w:t xml:space="preserve"> </w:t>
      </w:r>
    </w:p>
    <w:p w14:paraId="29D5D618" w14:textId="77777777" w:rsidR="00C2311D" w:rsidRPr="00B25D0F" w:rsidRDefault="00C710B9" w:rsidP="00B25D0F">
      <w:pPr>
        <w:pStyle w:val="NormalWeb"/>
        <w:spacing w:before="0" w:beforeAutospacing="0" w:line="360" w:lineRule="auto"/>
        <w:jc w:val="both"/>
        <w:rPr>
          <w:lang w:val="en-US"/>
        </w:rPr>
      </w:pPr>
      <w:r w:rsidRPr="00B25D0F">
        <w:rPr>
          <w:lang w:val="en-US"/>
        </w:rPr>
        <w:t xml:space="preserve">Where </w:t>
      </w:r>
      <m:oMath>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(i)</m:t>
            </m:r>
          </m:sub>
        </m:sSub>
      </m:oMath>
      <w:r w:rsidRPr="00B25D0F">
        <w:rPr>
          <w:lang w:val="en-US"/>
        </w:rPr>
        <w:t xml:space="preserve"> are ordered sample values, </w:t>
      </w:r>
      <m:oMath>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i</m:t>
            </m:r>
          </m:sub>
        </m:sSub>
      </m:oMath>
      <w:r w:rsidRPr="00B25D0F">
        <w:rPr>
          <w:lang w:val="en-US"/>
        </w:rPr>
        <w:t xml:space="preserve"> are constants derived from expected order statistics, and </w:t>
      </w:r>
      <m:oMath>
        <m:acc>
          <m:accPr>
            <m:chr m:val="̅"/>
            <m:ctrlPr>
              <w:rPr>
                <w:rFonts w:ascii="Cambria Math" w:hAnsi="Cambria Math"/>
                <w:i/>
                <w:lang w:val="en-US"/>
              </w:rPr>
            </m:ctrlPr>
          </m:accPr>
          <m:e>
            <m:r>
              <w:rPr>
                <w:rFonts w:ascii="Cambria Math" w:hAnsi="Cambria Math"/>
                <w:lang w:val="en-US"/>
              </w:rPr>
              <m:t>x</m:t>
            </m:r>
          </m:e>
        </m:acc>
      </m:oMath>
      <w:r w:rsidRPr="00B25D0F">
        <w:rPr>
          <w:lang w:val="en-US"/>
        </w:rPr>
        <w:t xml:space="preserve"> is the sample mean. </w:t>
      </w:r>
      <w:r w:rsidR="00C2311D" w:rsidRPr="00B25D0F">
        <w:rPr>
          <w:lang w:val="en-US"/>
        </w:rPr>
        <w:t>Results indicated that HERD_SCORE distributions for both male and female groups were not normally distributed (Shapiro–Wilk p &lt; 0.05; see Appendix Table A1).</w:t>
      </w:r>
    </w:p>
    <w:p w14:paraId="308E54C5" w14:textId="014C9B49" w:rsidR="00367E14" w:rsidRPr="00B25D0F" w:rsidRDefault="00C2311D" w:rsidP="00B25D0F">
      <w:pPr>
        <w:pStyle w:val="NormalWeb"/>
        <w:spacing w:before="0" w:beforeAutospacing="0" w:line="360" w:lineRule="auto"/>
        <w:jc w:val="both"/>
        <w:rPr>
          <w:lang w:val="en-US"/>
        </w:rPr>
      </w:pPr>
      <w:r w:rsidRPr="00B25D0F">
        <w:rPr>
          <w:lang w:val="en-US"/>
        </w:rPr>
        <w:t>As a result</w:t>
      </w:r>
      <w:r w:rsidR="00367E14" w:rsidRPr="00B25D0F">
        <w:rPr>
          <w:lang w:val="en-US"/>
        </w:rPr>
        <w:t>, the Mann-Whitney U test was applied. This test compares the distribution of scores between two independent groups and is calculated as:</w:t>
      </w:r>
    </w:p>
    <w:p w14:paraId="1F252343" w14:textId="568CA29B" w:rsidR="00367E14" w:rsidRPr="00B25D0F" w:rsidRDefault="00367E14" w:rsidP="00B25D0F">
      <w:pPr>
        <w:pStyle w:val="NormalWeb"/>
        <w:spacing w:before="0" w:beforeAutospacing="0" w:line="360" w:lineRule="auto"/>
        <w:jc w:val="both"/>
        <w:rPr>
          <w:lang w:val="en-US"/>
        </w:rPr>
      </w:pPr>
      <m:oMath>
        <m:r>
          <w:rPr>
            <w:rFonts w:ascii="Cambria Math" w:hAnsi="Cambria Math"/>
            <w:lang w:val="en-US"/>
          </w:rPr>
          <m:t>U=</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1</m:t>
            </m:r>
          </m:sub>
        </m:s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1</m:t>
                </m:r>
              </m:sub>
            </m:sSub>
            <m:r>
              <w:rPr>
                <w:rFonts w:ascii="Cambria Math" w:hAnsi="Cambria Math"/>
                <w:lang w:val="en-US"/>
              </w:rPr>
              <m:t>+1)</m:t>
            </m:r>
          </m:num>
          <m:den>
            <m:r>
              <w:rPr>
                <w:rFonts w:ascii="Cambria Math" w:hAnsi="Cambria Math"/>
                <w:lang w:val="en-US"/>
              </w:rPr>
              <m:t>2</m:t>
            </m:r>
          </m:den>
        </m:f>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1</m:t>
            </m:r>
          </m:sub>
        </m:sSub>
      </m:oMath>
      <w:r w:rsidRPr="00B25D0F">
        <w:rPr>
          <w:lang w:val="en-US"/>
        </w:rPr>
        <w:t xml:space="preserve"> </w:t>
      </w:r>
    </w:p>
    <w:p w14:paraId="7B94D228" w14:textId="4F944769" w:rsidR="00367E14" w:rsidRPr="00B25D0F" w:rsidRDefault="00367E14" w:rsidP="00B25D0F">
      <w:pPr>
        <w:pStyle w:val="NormalWeb"/>
        <w:spacing w:before="0" w:beforeAutospacing="0" w:line="360" w:lineRule="auto"/>
        <w:jc w:val="both"/>
        <w:rPr>
          <w:lang w:val="en-US"/>
        </w:rPr>
      </w:pPr>
      <w:r w:rsidRPr="00B25D0F">
        <w:rPr>
          <w:lang w:val="en-US"/>
        </w:rPr>
        <w:t xml:space="preserve">Where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1</m:t>
            </m:r>
          </m:sub>
        </m:sSub>
      </m:oMath>
      <w:r w:rsidRPr="00B25D0F">
        <w:rPr>
          <w:lang w:val="en-US"/>
        </w:rPr>
        <w:t xml:space="preserve"> and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oMath>
      <w:r w:rsidRPr="00B25D0F">
        <w:rPr>
          <w:lang w:val="en-US"/>
        </w:rPr>
        <w:t xml:space="preserve"> are the group sample sizes, and </w:t>
      </w:r>
      <m:oMath>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1</m:t>
            </m:r>
          </m:sub>
        </m:sSub>
      </m:oMath>
      <w:r w:rsidRPr="00B25D0F">
        <w:rPr>
          <w:lang w:val="en-US"/>
        </w:rPr>
        <w:t xml:space="preserve"> is the sum of ranks for group 1.</w:t>
      </w:r>
    </w:p>
    <w:p w14:paraId="41F49C16" w14:textId="6E426FA2" w:rsidR="00197599" w:rsidRPr="00B25D0F" w:rsidRDefault="00197599" w:rsidP="00B25D0F">
      <w:pPr>
        <w:pStyle w:val="NormalWeb"/>
        <w:spacing w:before="0" w:beforeAutospacing="0" w:line="360" w:lineRule="auto"/>
        <w:jc w:val="both"/>
        <w:rPr>
          <w:lang w:val="en-US"/>
        </w:rPr>
      </w:pPr>
      <w:r w:rsidRPr="00B25D0F">
        <w:rPr>
          <w:lang w:val="en-US"/>
        </w:rPr>
        <w:t>For non-investors, barrier frequencies were computed, followed by Chi-square tests of independence to assess the relationship between financial literacy and reported barriers. The equation for Chi-square tests is:</w:t>
      </w:r>
    </w:p>
    <w:p w14:paraId="6A7D13AA" w14:textId="6A909C1B" w:rsidR="00197599" w:rsidRPr="00B25D0F" w:rsidRDefault="00000000" w:rsidP="00B25D0F">
      <w:pPr>
        <w:pStyle w:val="NormalWeb"/>
        <w:spacing w:before="0" w:beforeAutospacing="0" w:line="360" w:lineRule="auto"/>
        <w:jc w:val="both"/>
        <w:rPr>
          <w:lang w:val="en-US"/>
        </w:rPr>
      </w:pPr>
      <m:oMath>
        <m:sSup>
          <m:sSupPr>
            <m:ctrlPr>
              <w:rPr>
                <w:rFonts w:ascii="Cambria Math" w:hAnsi="Cambria Math"/>
                <w:i/>
                <w:lang w:val="en-US"/>
              </w:rPr>
            </m:ctrlPr>
          </m:sSupPr>
          <m:e>
            <m:r>
              <w:rPr>
                <w:rFonts w:ascii="Cambria Math" w:hAnsi="Cambria Math"/>
                <w:lang w:val="en-US"/>
              </w:rPr>
              <m:t>X</m:t>
            </m:r>
          </m:e>
          <m:sup>
            <m:r>
              <w:rPr>
                <w:rFonts w:ascii="Cambria Math" w:hAnsi="Cambria Math"/>
                <w:lang w:val="en-US"/>
              </w:rPr>
              <m:t>2</m:t>
            </m:r>
          </m:sup>
        </m:sSup>
        <m:r>
          <w:rPr>
            <w:rFonts w:ascii="Cambria Math" w:hAnsi="Cambria Math"/>
            <w:lang w:val="en-US"/>
          </w:rPr>
          <m:t xml:space="preserve">= </m:t>
        </m:r>
        <m:nary>
          <m:naryPr>
            <m:chr m:val="∑"/>
            <m:limLoc m:val="undOvr"/>
            <m:subHide m:val="1"/>
            <m:supHide m:val="1"/>
            <m:ctrlPr>
              <w:rPr>
                <w:rFonts w:ascii="Cambria Math" w:hAnsi="Cambria Math"/>
                <w:i/>
                <w:lang w:val="en-US"/>
              </w:rPr>
            </m:ctrlPr>
          </m:naryPr>
          <m:sub/>
          <m:sup/>
          <m:e>
            <m:f>
              <m:fPr>
                <m:ctrlPr>
                  <w:rPr>
                    <w:rFonts w:ascii="Cambria Math" w:hAnsi="Cambria Math"/>
                    <w:i/>
                    <w:lang w:val="en-US"/>
                  </w:rPr>
                </m:ctrlPr>
              </m:fPr>
              <m:num>
                <m:r>
                  <w:rPr>
                    <w:rFonts w:ascii="Cambria Math" w:hAnsi="Cambria Math"/>
                    <w:lang w:val="en-US"/>
                  </w:rPr>
                  <m:t>(</m:t>
                </m:r>
                <m:sSub>
                  <m:sSubPr>
                    <m:ctrlPr>
                      <w:rPr>
                        <w:rFonts w:ascii="Cambria Math" w:hAnsi="Cambria Math"/>
                        <w:i/>
                        <w:lang w:val="en-US"/>
                      </w:rPr>
                    </m:ctrlPr>
                  </m:sSubPr>
                  <m:e>
                    <m:r>
                      <w:rPr>
                        <w:rFonts w:ascii="Cambria Math" w:hAnsi="Cambria Math"/>
                        <w:lang w:val="en-US"/>
                      </w:rPr>
                      <m:t>O</m:t>
                    </m:r>
                  </m:e>
                  <m:sub>
                    <m:r>
                      <w:rPr>
                        <w:rFonts w:ascii="Cambria Math" w:hAnsi="Cambria Math"/>
                        <w:lang w:val="en-US"/>
                      </w:rPr>
                      <m:t>ij</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ij</m:t>
                    </m:r>
                  </m:sub>
                </m:sSub>
                <m:sSup>
                  <m:sSupPr>
                    <m:ctrlPr>
                      <w:rPr>
                        <w:rFonts w:ascii="Cambria Math" w:hAnsi="Cambria Math"/>
                        <w:i/>
                        <w:lang w:val="en-US"/>
                      </w:rPr>
                    </m:ctrlPr>
                  </m:sSupPr>
                  <m:e>
                    <m:r>
                      <w:rPr>
                        <w:rFonts w:ascii="Cambria Math" w:hAnsi="Cambria Math"/>
                        <w:lang w:val="en-US"/>
                      </w:rPr>
                      <m:t>)</m:t>
                    </m:r>
                  </m:e>
                  <m:sup>
                    <m:r>
                      <w:rPr>
                        <w:rFonts w:ascii="Cambria Math" w:hAnsi="Cambria Math"/>
                        <w:lang w:val="en-US"/>
                      </w:rPr>
                      <m:t>2</m:t>
                    </m:r>
                  </m:sup>
                </m:sSup>
              </m:num>
              <m:den>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ij</m:t>
                    </m:r>
                  </m:sub>
                </m:sSub>
              </m:den>
            </m:f>
          </m:e>
        </m:nary>
      </m:oMath>
      <w:r w:rsidR="00197599" w:rsidRPr="00B25D0F">
        <w:rPr>
          <w:lang w:val="en-US"/>
        </w:rPr>
        <w:t xml:space="preserve"> </w:t>
      </w:r>
    </w:p>
    <w:p w14:paraId="263BB144" w14:textId="7121CD24" w:rsidR="001923AB" w:rsidRPr="00B25D0F" w:rsidRDefault="00197599" w:rsidP="00B25D0F">
      <w:pPr>
        <w:pStyle w:val="NormalWeb"/>
        <w:spacing w:before="0" w:beforeAutospacing="0" w:line="360" w:lineRule="auto"/>
        <w:jc w:val="both"/>
        <w:rPr>
          <w:lang w:val="en-US"/>
        </w:rPr>
      </w:pPr>
      <w:r w:rsidRPr="00B25D0F">
        <w:rPr>
          <w:lang w:val="en-US"/>
        </w:rPr>
        <w:lastRenderedPageBreak/>
        <w:t xml:space="preserve">Where </w:t>
      </w:r>
      <m:oMath>
        <m:sSub>
          <m:sSubPr>
            <m:ctrlPr>
              <w:rPr>
                <w:rFonts w:ascii="Cambria Math" w:hAnsi="Cambria Math"/>
                <w:i/>
                <w:lang w:val="en-US"/>
              </w:rPr>
            </m:ctrlPr>
          </m:sSubPr>
          <m:e>
            <m:r>
              <w:rPr>
                <w:rFonts w:ascii="Cambria Math" w:hAnsi="Cambria Math"/>
                <w:lang w:val="en-US"/>
              </w:rPr>
              <m:t>O</m:t>
            </m:r>
          </m:e>
          <m:sub>
            <m:r>
              <w:rPr>
                <w:rFonts w:ascii="Cambria Math" w:hAnsi="Cambria Math"/>
                <w:lang w:val="en-US"/>
              </w:rPr>
              <m:t>ij</m:t>
            </m:r>
          </m:sub>
        </m:sSub>
      </m:oMath>
      <w:r w:rsidRPr="00B25D0F">
        <w:rPr>
          <w:lang w:val="en-US"/>
        </w:rPr>
        <w:t xml:space="preserve"> is the observed frequency and </w:t>
      </w:r>
      <m:oMath>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ij</m:t>
            </m:r>
          </m:sub>
        </m:sSub>
      </m:oMath>
      <w:r w:rsidRPr="00B25D0F">
        <w:rPr>
          <w:lang w:val="en-US"/>
        </w:rPr>
        <w:t xml:space="preserve"> is the expected frequency in cell (i, j). Effect sizes</w:t>
      </w:r>
      <w:r w:rsidR="00004E0E" w:rsidRPr="00B25D0F">
        <w:rPr>
          <w:lang w:val="en-US"/>
        </w:rPr>
        <w:t xml:space="preserve"> (Cramer’s V, Phi) were also reported to measure association strength.</w:t>
      </w:r>
    </w:p>
    <w:p w14:paraId="79E6E977" w14:textId="649AF3CF" w:rsidR="00433F23" w:rsidRPr="00B25D0F" w:rsidRDefault="00924D04" w:rsidP="00B25D0F">
      <w:pPr>
        <w:pStyle w:val="NormalWeb"/>
        <w:spacing w:before="0" w:beforeAutospacing="0" w:line="360" w:lineRule="auto"/>
        <w:jc w:val="both"/>
        <w:rPr>
          <w:b/>
          <w:bCs/>
        </w:rPr>
      </w:pPr>
      <w:r w:rsidRPr="00B25D0F">
        <w:rPr>
          <w:b/>
          <w:bCs/>
        </w:rPr>
        <w:t>Data Analysis</w:t>
      </w:r>
      <w:r w:rsidR="00DC03EE" w:rsidRPr="00B25D0F">
        <w:rPr>
          <w:b/>
          <w:bCs/>
        </w:rPr>
        <w:t xml:space="preserve"> and Interpretation</w:t>
      </w:r>
    </w:p>
    <w:p w14:paraId="74E7A9B2" w14:textId="14B7F180" w:rsidR="00924D04" w:rsidRPr="00B25D0F" w:rsidRDefault="00924D04" w:rsidP="00B25D0F">
      <w:pPr>
        <w:pStyle w:val="NormalWeb"/>
        <w:spacing w:before="0" w:beforeAutospacing="0" w:line="360" w:lineRule="auto"/>
        <w:jc w:val="both"/>
      </w:pPr>
      <w:r w:rsidRPr="00B25D0F">
        <w:t>The three stated objectives were followed in conducting the analysis. To guarantee methodological accuracy, reliability and normality checks were performed before hypothesis testing. The findings are shown in a step-by-step manner, starting with the measurement of herding behaviour, then gender-based comparisons, and ending with the evaluation of barriers among non-investors.</w:t>
      </w:r>
    </w:p>
    <w:p w14:paraId="16AE69D8" w14:textId="024AA6DA" w:rsidR="007D753C" w:rsidRPr="00B25D0F" w:rsidRDefault="007D753C" w:rsidP="00B25D0F">
      <w:pPr>
        <w:pStyle w:val="NormalWeb"/>
        <w:spacing w:before="0" w:beforeAutospacing="0" w:line="360" w:lineRule="auto"/>
        <w:jc w:val="both"/>
      </w:pPr>
      <w:r w:rsidRPr="00B25D0F">
        <w:t xml:space="preserve">Objective 1: To measure the impact of herding behaviour </w:t>
      </w:r>
    </w:p>
    <w:p w14:paraId="1458A34D" w14:textId="3E8E00F7" w:rsidR="003572F6" w:rsidRDefault="00C47448" w:rsidP="00BE4B87">
      <w:pPr>
        <w:pStyle w:val="NormalWeb"/>
        <w:spacing w:before="0" w:beforeAutospacing="0" w:line="360" w:lineRule="auto"/>
        <w:jc w:val="both"/>
      </w:pPr>
      <w:r w:rsidRPr="00B25D0F">
        <w:t>First, a reliability analysis was performed using Cronbach's alpha to determine the herding construct's internal consistency. The alpha coefficient for the five Likert-scale items measuring peer influence and associated behavioural tendencies was 0.772, above the suggested cut-off of 0.70</w:t>
      </w:r>
      <w:r w:rsidR="00940721" w:rsidRPr="00B25D0F">
        <w:t xml:space="preserve"> (see Table 1)</w:t>
      </w:r>
      <w:r w:rsidRPr="00B25D0F">
        <w:t>. This demonstrates that the items can be effectively combined to create a composite index (HERD_SCORE) and measure a cohesive construct when taken as a whole.</w:t>
      </w:r>
    </w:p>
    <w:p w14:paraId="73AD9ED6" w14:textId="6512912F" w:rsidR="00D529C8" w:rsidRPr="00B25D0F" w:rsidRDefault="00D529C8" w:rsidP="00B25D0F">
      <w:pPr>
        <w:pStyle w:val="NormalWeb"/>
        <w:spacing w:before="0" w:beforeAutospacing="0" w:after="0" w:afterAutospacing="0" w:line="360" w:lineRule="auto"/>
        <w:jc w:val="both"/>
        <w:rPr>
          <w:lang w:val="en-US"/>
        </w:rPr>
      </w:pPr>
      <w:r w:rsidRPr="00B25D0F">
        <w:rPr>
          <w:b/>
          <w:bCs/>
          <w:lang w:val="en-US"/>
        </w:rPr>
        <w:t>Table 1:</w:t>
      </w:r>
      <w:r w:rsidRPr="00B25D0F">
        <w:rPr>
          <w:lang w:val="en-US"/>
        </w:rPr>
        <w:t xml:space="preserve"> Reliability of Herding Behavior Scale</w:t>
      </w:r>
    </w:p>
    <w:tbl>
      <w:tblPr>
        <w:tblStyle w:val="TableGridLight"/>
        <w:tblpPr w:leftFromText="180" w:rightFromText="180" w:vertAnchor="text" w:horzAnchor="page" w:tblpX="6048" w:tblpY="466"/>
        <w:tblW w:w="3146" w:type="dxa"/>
        <w:tblLayout w:type="fixed"/>
        <w:tblLook w:val="0000" w:firstRow="0" w:lastRow="0" w:firstColumn="0" w:lastColumn="0" w:noHBand="0" w:noVBand="0"/>
      </w:tblPr>
      <w:tblGrid>
        <w:gridCol w:w="1766"/>
        <w:gridCol w:w="1380"/>
      </w:tblGrid>
      <w:tr w:rsidR="00A97BA8" w:rsidRPr="00B25D0F" w14:paraId="0F5776FE" w14:textId="77777777" w:rsidTr="00A97BA8">
        <w:trPr>
          <w:trHeight w:val="487"/>
        </w:trPr>
        <w:tc>
          <w:tcPr>
            <w:tcW w:w="3146" w:type="dxa"/>
            <w:gridSpan w:val="2"/>
          </w:tcPr>
          <w:p w14:paraId="14795FA8" w14:textId="77777777" w:rsidR="00A97BA8" w:rsidRPr="00B25D0F" w:rsidRDefault="00A97BA8" w:rsidP="00B25D0F">
            <w:pPr>
              <w:pStyle w:val="NormalWeb"/>
              <w:spacing w:before="0" w:beforeAutospacing="0" w:line="360" w:lineRule="auto"/>
              <w:jc w:val="both"/>
            </w:pPr>
            <w:r w:rsidRPr="00B25D0F">
              <w:rPr>
                <w:b/>
                <w:bCs/>
              </w:rPr>
              <w:t>Reliability Statistics</w:t>
            </w:r>
          </w:p>
        </w:tc>
      </w:tr>
      <w:tr w:rsidR="00A97BA8" w:rsidRPr="00B25D0F" w14:paraId="5E4731DB" w14:textId="77777777" w:rsidTr="00A97BA8">
        <w:trPr>
          <w:trHeight w:val="987"/>
        </w:trPr>
        <w:tc>
          <w:tcPr>
            <w:tcW w:w="1766" w:type="dxa"/>
          </w:tcPr>
          <w:p w14:paraId="297CA246" w14:textId="77777777" w:rsidR="00A97BA8" w:rsidRPr="00B25D0F" w:rsidRDefault="00A97BA8" w:rsidP="00B25D0F">
            <w:pPr>
              <w:pStyle w:val="NormalWeb"/>
              <w:spacing w:before="0" w:beforeAutospacing="0" w:line="360" w:lineRule="auto"/>
              <w:jc w:val="both"/>
            </w:pPr>
            <w:r w:rsidRPr="00B25D0F">
              <w:t>Cronbach's Alpha</w:t>
            </w:r>
          </w:p>
        </w:tc>
        <w:tc>
          <w:tcPr>
            <w:tcW w:w="1380" w:type="dxa"/>
          </w:tcPr>
          <w:p w14:paraId="2D6A3385" w14:textId="77777777" w:rsidR="00A97BA8" w:rsidRPr="00B25D0F" w:rsidRDefault="00A97BA8" w:rsidP="00B25D0F">
            <w:pPr>
              <w:pStyle w:val="NormalWeb"/>
              <w:spacing w:before="0" w:beforeAutospacing="0" w:line="360" w:lineRule="auto"/>
              <w:jc w:val="both"/>
            </w:pPr>
            <w:r w:rsidRPr="00B25D0F">
              <w:t>N of Items</w:t>
            </w:r>
          </w:p>
        </w:tc>
      </w:tr>
      <w:tr w:rsidR="00A97BA8" w:rsidRPr="00B25D0F" w14:paraId="77D2883F" w14:textId="77777777" w:rsidTr="00A97BA8">
        <w:trPr>
          <w:trHeight w:val="487"/>
        </w:trPr>
        <w:tc>
          <w:tcPr>
            <w:tcW w:w="1766" w:type="dxa"/>
          </w:tcPr>
          <w:p w14:paraId="6C5095C4" w14:textId="77777777" w:rsidR="00A97BA8" w:rsidRPr="00B25D0F" w:rsidRDefault="00A97BA8" w:rsidP="00B25D0F">
            <w:pPr>
              <w:pStyle w:val="NormalWeb"/>
              <w:spacing w:before="0" w:beforeAutospacing="0" w:line="360" w:lineRule="auto"/>
              <w:jc w:val="both"/>
            </w:pPr>
            <w:r w:rsidRPr="00B25D0F">
              <w:t>.772</w:t>
            </w:r>
          </w:p>
        </w:tc>
        <w:tc>
          <w:tcPr>
            <w:tcW w:w="1380" w:type="dxa"/>
          </w:tcPr>
          <w:p w14:paraId="6A8E8007" w14:textId="77777777" w:rsidR="00A97BA8" w:rsidRPr="00B25D0F" w:rsidRDefault="00A97BA8" w:rsidP="00B25D0F">
            <w:pPr>
              <w:pStyle w:val="NormalWeb"/>
              <w:spacing w:before="0" w:beforeAutospacing="0" w:line="360" w:lineRule="auto"/>
              <w:jc w:val="both"/>
            </w:pPr>
            <w:r w:rsidRPr="00B25D0F">
              <w:t>7</w:t>
            </w:r>
          </w:p>
        </w:tc>
      </w:tr>
    </w:tbl>
    <w:p w14:paraId="4BA0EE0A" w14:textId="2CF925C9" w:rsidR="00D529C8" w:rsidRPr="00B25D0F" w:rsidRDefault="00D529C8" w:rsidP="00B25D0F">
      <w:pPr>
        <w:pStyle w:val="NormalWeb"/>
        <w:spacing w:before="0" w:beforeAutospacing="0" w:after="240" w:afterAutospacing="0" w:line="360" w:lineRule="auto"/>
        <w:jc w:val="both"/>
        <w:rPr>
          <w:i/>
          <w:iCs/>
        </w:rPr>
      </w:pPr>
      <w:r w:rsidRPr="00B25D0F">
        <w:rPr>
          <w:b/>
          <w:bCs/>
          <w:i/>
          <w:iCs/>
          <w:lang w:val="en-US"/>
        </w:rPr>
        <w:t>Source:</w:t>
      </w:r>
      <w:r w:rsidRPr="00B25D0F">
        <w:rPr>
          <w:i/>
          <w:iCs/>
          <w:lang w:val="en-US"/>
        </w:rPr>
        <w:t xml:space="preserve"> Compiled by author using SPSS output</w:t>
      </w:r>
    </w:p>
    <w:tbl>
      <w:tblPr>
        <w:tblStyle w:val="TableGridLight"/>
        <w:tblpPr w:leftFromText="180" w:rightFromText="180" w:vertAnchor="text" w:tblpY="1"/>
        <w:tblOverlap w:val="never"/>
        <w:tblW w:w="4073" w:type="dxa"/>
        <w:tblLayout w:type="fixed"/>
        <w:tblLook w:val="0000" w:firstRow="0" w:lastRow="0" w:firstColumn="0" w:lastColumn="0" w:noHBand="0" w:noVBand="0"/>
      </w:tblPr>
      <w:tblGrid>
        <w:gridCol w:w="860"/>
        <w:gridCol w:w="1153"/>
        <w:gridCol w:w="1030"/>
        <w:gridCol w:w="1030"/>
      </w:tblGrid>
      <w:tr w:rsidR="00C47448" w:rsidRPr="00B25D0F" w14:paraId="534DADDA" w14:textId="77777777" w:rsidTr="00C47448">
        <w:tc>
          <w:tcPr>
            <w:tcW w:w="4073" w:type="dxa"/>
            <w:gridSpan w:val="4"/>
          </w:tcPr>
          <w:p w14:paraId="61960514" w14:textId="77777777" w:rsidR="00C47448" w:rsidRPr="00B25D0F" w:rsidRDefault="00C47448" w:rsidP="00B25D0F">
            <w:pPr>
              <w:pStyle w:val="NormalWeb"/>
              <w:spacing w:before="0" w:beforeAutospacing="0" w:line="360" w:lineRule="auto"/>
              <w:jc w:val="both"/>
            </w:pPr>
            <w:r w:rsidRPr="00B25D0F">
              <w:rPr>
                <w:b/>
                <w:bCs/>
              </w:rPr>
              <w:t>Case Processing Summary</w:t>
            </w:r>
          </w:p>
        </w:tc>
      </w:tr>
      <w:tr w:rsidR="00C47448" w:rsidRPr="00B25D0F" w14:paraId="06771C32" w14:textId="77777777" w:rsidTr="00C47448">
        <w:tc>
          <w:tcPr>
            <w:tcW w:w="2013" w:type="dxa"/>
            <w:gridSpan w:val="2"/>
          </w:tcPr>
          <w:p w14:paraId="66135903" w14:textId="77777777" w:rsidR="00C47448" w:rsidRPr="00B25D0F" w:rsidRDefault="00C47448" w:rsidP="00B25D0F">
            <w:pPr>
              <w:pStyle w:val="NormalWeb"/>
              <w:spacing w:before="0" w:beforeAutospacing="0" w:line="360" w:lineRule="auto"/>
              <w:jc w:val="both"/>
            </w:pPr>
          </w:p>
        </w:tc>
        <w:tc>
          <w:tcPr>
            <w:tcW w:w="1030" w:type="dxa"/>
          </w:tcPr>
          <w:p w14:paraId="0F4AB99C" w14:textId="77777777" w:rsidR="00C47448" w:rsidRPr="00B25D0F" w:rsidRDefault="00C47448" w:rsidP="00B25D0F">
            <w:pPr>
              <w:pStyle w:val="NormalWeb"/>
              <w:spacing w:before="0" w:beforeAutospacing="0" w:line="360" w:lineRule="auto"/>
              <w:jc w:val="both"/>
            </w:pPr>
            <w:r w:rsidRPr="00B25D0F">
              <w:t>N</w:t>
            </w:r>
          </w:p>
        </w:tc>
        <w:tc>
          <w:tcPr>
            <w:tcW w:w="1030" w:type="dxa"/>
          </w:tcPr>
          <w:p w14:paraId="40BF5044" w14:textId="77777777" w:rsidR="00C47448" w:rsidRPr="00B25D0F" w:rsidRDefault="00C47448" w:rsidP="00B25D0F">
            <w:pPr>
              <w:pStyle w:val="NormalWeb"/>
              <w:spacing w:before="0" w:beforeAutospacing="0" w:line="360" w:lineRule="auto"/>
              <w:jc w:val="both"/>
            </w:pPr>
            <w:r w:rsidRPr="00B25D0F">
              <w:t>%</w:t>
            </w:r>
          </w:p>
        </w:tc>
      </w:tr>
      <w:tr w:rsidR="00C47448" w:rsidRPr="00B25D0F" w14:paraId="5F615BA1" w14:textId="77777777" w:rsidTr="00C47448">
        <w:tc>
          <w:tcPr>
            <w:tcW w:w="860" w:type="dxa"/>
            <w:vMerge w:val="restart"/>
          </w:tcPr>
          <w:p w14:paraId="22815553" w14:textId="77777777" w:rsidR="00C47448" w:rsidRPr="00B25D0F" w:rsidRDefault="00C47448" w:rsidP="00B25D0F">
            <w:pPr>
              <w:pStyle w:val="NormalWeb"/>
              <w:spacing w:before="0" w:beforeAutospacing="0" w:line="360" w:lineRule="auto"/>
              <w:jc w:val="both"/>
            </w:pPr>
            <w:r w:rsidRPr="00B25D0F">
              <w:t>Cases</w:t>
            </w:r>
          </w:p>
        </w:tc>
        <w:tc>
          <w:tcPr>
            <w:tcW w:w="1153" w:type="dxa"/>
          </w:tcPr>
          <w:p w14:paraId="56B31C9B" w14:textId="77777777" w:rsidR="00C47448" w:rsidRPr="00B25D0F" w:rsidRDefault="00C47448" w:rsidP="00B25D0F">
            <w:pPr>
              <w:pStyle w:val="NormalWeb"/>
              <w:spacing w:before="0" w:beforeAutospacing="0" w:line="360" w:lineRule="auto"/>
              <w:jc w:val="both"/>
            </w:pPr>
            <w:r w:rsidRPr="00B25D0F">
              <w:t>Valid</w:t>
            </w:r>
          </w:p>
        </w:tc>
        <w:tc>
          <w:tcPr>
            <w:tcW w:w="1030" w:type="dxa"/>
          </w:tcPr>
          <w:p w14:paraId="305D3CC7" w14:textId="77777777" w:rsidR="00C47448" w:rsidRPr="00B25D0F" w:rsidRDefault="00C47448" w:rsidP="00B25D0F">
            <w:pPr>
              <w:pStyle w:val="NormalWeb"/>
              <w:spacing w:before="0" w:beforeAutospacing="0" w:line="360" w:lineRule="auto"/>
              <w:jc w:val="both"/>
            </w:pPr>
            <w:r w:rsidRPr="00B25D0F">
              <w:t>93</w:t>
            </w:r>
          </w:p>
        </w:tc>
        <w:tc>
          <w:tcPr>
            <w:tcW w:w="1030" w:type="dxa"/>
          </w:tcPr>
          <w:p w14:paraId="03F1694D" w14:textId="77777777" w:rsidR="00C47448" w:rsidRPr="00B25D0F" w:rsidRDefault="00C47448" w:rsidP="00B25D0F">
            <w:pPr>
              <w:pStyle w:val="NormalWeb"/>
              <w:spacing w:before="0" w:beforeAutospacing="0" w:line="360" w:lineRule="auto"/>
              <w:jc w:val="both"/>
            </w:pPr>
            <w:r w:rsidRPr="00B25D0F">
              <w:t>74.4</w:t>
            </w:r>
          </w:p>
        </w:tc>
      </w:tr>
      <w:tr w:rsidR="00C47448" w:rsidRPr="00B25D0F" w14:paraId="0FA0C4FD" w14:textId="77777777" w:rsidTr="00C47448">
        <w:tc>
          <w:tcPr>
            <w:tcW w:w="860" w:type="dxa"/>
            <w:vMerge/>
          </w:tcPr>
          <w:p w14:paraId="35051338" w14:textId="77777777" w:rsidR="00C47448" w:rsidRPr="00B25D0F" w:rsidRDefault="00C47448" w:rsidP="00B25D0F">
            <w:pPr>
              <w:pStyle w:val="NormalWeb"/>
              <w:spacing w:before="0" w:beforeAutospacing="0" w:line="360" w:lineRule="auto"/>
              <w:jc w:val="both"/>
            </w:pPr>
          </w:p>
        </w:tc>
        <w:tc>
          <w:tcPr>
            <w:tcW w:w="1153" w:type="dxa"/>
          </w:tcPr>
          <w:p w14:paraId="1EBF1C1E" w14:textId="77777777" w:rsidR="00C47448" w:rsidRPr="00B25D0F" w:rsidRDefault="00C47448" w:rsidP="00B25D0F">
            <w:pPr>
              <w:pStyle w:val="NormalWeb"/>
              <w:spacing w:before="0" w:beforeAutospacing="0" w:line="360" w:lineRule="auto"/>
              <w:jc w:val="both"/>
            </w:pPr>
            <w:proofErr w:type="spellStart"/>
            <w:r w:rsidRPr="00B25D0F">
              <w:t>Excluded</w:t>
            </w:r>
            <w:r w:rsidRPr="00B25D0F">
              <w:rPr>
                <w:vertAlign w:val="superscript"/>
              </w:rPr>
              <w:t>a</w:t>
            </w:r>
            <w:proofErr w:type="spellEnd"/>
          </w:p>
        </w:tc>
        <w:tc>
          <w:tcPr>
            <w:tcW w:w="1030" w:type="dxa"/>
          </w:tcPr>
          <w:p w14:paraId="24A67D65" w14:textId="77777777" w:rsidR="00C47448" w:rsidRPr="00B25D0F" w:rsidRDefault="00C47448" w:rsidP="00B25D0F">
            <w:pPr>
              <w:pStyle w:val="NormalWeb"/>
              <w:spacing w:before="0" w:beforeAutospacing="0" w:line="360" w:lineRule="auto"/>
              <w:jc w:val="both"/>
            </w:pPr>
            <w:r w:rsidRPr="00B25D0F">
              <w:t>32</w:t>
            </w:r>
          </w:p>
        </w:tc>
        <w:tc>
          <w:tcPr>
            <w:tcW w:w="1030" w:type="dxa"/>
          </w:tcPr>
          <w:p w14:paraId="22256502" w14:textId="77777777" w:rsidR="00C47448" w:rsidRPr="00B25D0F" w:rsidRDefault="00C47448" w:rsidP="00B25D0F">
            <w:pPr>
              <w:pStyle w:val="NormalWeb"/>
              <w:spacing w:before="0" w:beforeAutospacing="0" w:line="360" w:lineRule="auto"/>
              <w:jc w:val="both"/>
            </w:pPr>
            <w:r w:rsidRPr="00B25D0F">
              <w:t>25.6</w:t>
            </w:r>
          </w:p>
        </w:tc>
      </w:tr>
      <w:tr w:rsidR="00C47448" w:rsidRPr="00B25D0F" w14:paraId="260F3173" w14:textId="77777777" w:rsidTr="00C47448">
        <w:tc>
          <w:tcPr>
            <w:tcW w:w="860" w:type="dxa"/>
            <w:vMerge/>
          </w:tcPr>
          <w:p w14:paraId="25B1C76C" w14:textId="77777777" w:rsidR="00C47448" w:rsidRPr="00B25D0F" w:rsidRDefault="00C47448" w:rsidP="00B25D0F">
            <w:pPr>
              <w:pStyle w:val="NormalWeb"/>
              <w:spacing w:before="0" w:beforeAutospacing="0" w:line="360" w:lineRule="auto"/>
              <w:jc w:val="both"/>
            </w:pPr>
          </w:p>
        </w:tc>
        <w:tc>
          <w:tcPr>
            <w:tcW w:w="1153" w:type="dxa"/>
          </w:tcPr>
          <w:p w14:paraId="303C45D7" w14:textId="77777777" w:rsidR="00C47448" w:rsidRPr="00B25D0F" w:rsidRDefault="00C47448" w:rsidP="00B25D0F">
            <w:pPr>
              <w:pStyle w:val="NormalWeb"/>
              <w:spacing w:before="0" w:beforeAutospacing="0" w:line="360" w:lineRule="auto"/>
              <w:jc w:val="both"/>
            </w:pPr>
            <w:r w:rsidRPr="00B25D0F">
              <w:t>Total</w:t>
            </w:r>
          </w:p>
        </w:tc>
        <w:tc>
          <w:tcPr>
            <w:tcW w:w="1030" w:type="dxa"/>
          </w:tcPr>
          <w:p w14:paraId="13500726" w14:textId="77777777" w:rsidR="00C47448" w:rsidRPr="00B25D0F" w:rsidRDefault="00C47448" w:rsidP="00B25D0F">
            <w:pPr>
              <w:pStyle w:val="NormalWeb"/>
              <w:spacing w:before="0" w:beforeAutospacing="0" w:line="360" w:lineRule="auto"/>
              <w:jc w:val="both"/>
            </w:pPr>
            <w:r w:rsidRPr="00B25D0F">
              <w:t>125</w:t>
            </w:r>
          </w:p>
        </w:tc>
        <w:tc>
          <w:tcPr>
            <w:tcW w:w="1030" w:type="dxa"/>
          </w:tcPr>
          <w:p w14:paraId="002EFF92" w14:textId="77777777" w:rsidR="00C47448" w:rsidRPr="00B25D0F" w:rsidRDefault="00C47448" w:rsidP="00B25D0F">
            <w:pPr>
              <w:pStyle w:val="NormalWeb"/>
              <w:spacing w:before="0" w:beforeAutospacing="0" w:line="360" w:lineRule="auto"/>
              <w:jc w:val="both"/>
            </w:pPr>
            <w:r w:rsidRPr="00B25D0F">
              <w:t>100.0</w:t>
            </w:r>
          </w:p>
        </w:tc>
      </w:tr>
      <w:tr w:rsidR="00C47448" w:rsidRPr="00B25D0F" w14:paraId="0EF824C3" w14:textId="77777777" w:rsidTr="00C47448">
        <w:tc>
          <w:tcPr>
            <w:tcW w:w="4073" w:type="dxa"/>
            <w:gridSpan w:val="4"/>
          </w:tcPr>
          <w:p w14:paraId="2FE8BF1A" w14:textId="77777777" w:rsidR="00C47448" w:rsidRPr="00B25D0F" w:rsidRDefault="00C47448" w:rsidP="00B25D0F">
            <w:pPr>
              <w:pStyle w:val="NormalWeb"/>
              <w:spacing w:before="0" w:beforeAutospacing="0" w:line="360" w:lineRule="auto"/>
              <w:jc w:val="both"/>
            </w:pPr>
            <w:r w:rsidRPr="00B25D0F">
              <w:t>a. Listwise deletion based on all variables in the procedure.</w:t>
            </w:r>
          </w:p>
        </w:tc>
      </w:tr>
    </w:tbl>
    <w:p w14:paraId="09C5B9DF" w14:textId="77777777" w:rsidR="00C47448" w:rsidRPr="00B25D0F" w:rsidRDefault="00C47448" w:rsidP="00B25D0F">
      <w:pPr>
        <w:pStyle w:val="NormalWeb"/>
        <w:spacing w:before="0" w:beforeAutospacing="0" w:line="360" w:lineRule="auto"/>
        <w:jc w:val="both"/>
      </w:pPr>
    </w:p>
    <w:p w14:paraId="3AE24F35" w14:textId="77777777" w:rsidR="00C47448" w:rsidRPr="00B25D0F" w:rsidRDefault="00C47448" w:rsidP="00B25D0F">
      <w:pPr>
        <w:pStyle w:val="NormalWeb"/>
        <w:spacing w:before="0" w:beforeAutospacing="0" w:line="360" w:lineRule="auto"/>
        <w:jc w:val="both"/>
      </w:pPr>
    </w:p>
    <w:p w14:paraId="5AD9F4CC" w14:textId="77777777" w:rsidR="00C47448" w:rsidRPr="00B25D0F" w:rsidRDefault="00C47448" w:rsidP="00B25D0F">
      <w:pPr>
        <w:pStyle w:val="NormalWeb"/>
        <w:spacing w:before="0" w:beforeAutospacing="0" w:line="360" w:lineRule="auto"/>
        <w:jc w:val="both"/>
      </w:pPr>
    </w:p>
    <w:p w14:paraId="3C2E4E15" w14:textId="77777777" w:rsidR="003329D4" w:rsidRPr="00B25D0F" w:rsidRDefault="00C47448" w:rsidP="00B25D0F">
      <w:pPr>
        <w:pStyle w:val="NormalWeb"/>
        <w:spacing w:before="0" w:beforeAutospacing="0" w:line="360" w:lineRule="auto"/>
        <w:contextualSpacing/>
        <w:jc w:val="both"/>
      </w:pPr>
      <w:r w:rsidRPr="00B25D0F">
        <w:br w:type="textWrapping" w:clear="all"/>
      </w:r>
    </w:p>
    <w:p w14:paraId="5E637DBF" w14:textId="364FD693" w:rsidR="00053640" w:rsidRPr="00B25D0F" w:rsidRDefault="003329D4" w:rsidP="00B25D0F">
      <w:pPr>
        <w:pStyle w:val="NormalWeb"/>
        <w:spacing w:before="0" w:beforeAutospacing="0" w:line="360" w:lineRule="auto"/>
        <w:jc w:val="both"/>
      </w:pPr>
      <w:r w:rsidRPr="00B25D0F">
        <w:t>On a five-point scale, the mean score for HERD_SCORE was 3.30 (SD = 0.62), with scores ranging from 1.71 to 4.14, according to descriptive statistics</w:t>
      </w:r>
      <w:r w:rsidR="00940721" w:rsidRPr="00B25D0F">
        <w:t xml:space="preserve"> (see Table 2)</w:t>
      </w:r>
      <w:r w:rsidRPr="00B25D0F">
        <w:t xml:space="preserve">. This implies that when it comes to their mutual fund investment choices, teachers generally display a moderate </w:t>
      </w:r>
      <w:r w:rsidRPr="00B25D0F">
        <w:lastRenderedPageBreak/>
        <w:t>level of herding behaviour. With fewer extreme instances of very low or very high herding, the comparatively narrow spread suggests that responses are grouped around the moderate level.</w:t>
      </w:r>
    </w:p>
    <w:p w14:paraId="22674B0D" w14:textId="3ADA5B29" w:rsidR="00D529C8" w:rsidRPr="00B25D0F" w:rsidRDefault="00D529C8" w:rsidP="00B25D0F">
      <w:pPr>
        <w:pStyle w:val="NormalWeb"/>
        <w:spacing w:before="0" w:beforeAutospacing="0" w:after="0" w:afterAutospacing="0" w:line="360" w:lineRule="auto"/>
        <w:jc w:val="both"/>
        <w:rPr>
          <w:lang w:val="en-US"/>
        </w:rPr>
      </w:pPr>
      <w:r w:rsidRPr="00B25D0F">
        <w:rPr>
          <w:b/>
          <w:bCs/>
          <w:lang w:val="en-US"/>
        </w:rPr>
        <w:t>Table 2:</w:t>
      </w:r>
      <w:r w:rsidRPr="00B25D0F">
        <w:rPr>
          <w:lang w:val="en-US"/>
        </w:rPr>
        <w:t xml:space="preserve"> Descriptive Statistics of HERD_SCORE</w:t>
      </w:r>
    </w:p>
    <w:p w14:paraId="7ECAA747" w14:textId="56B5C0AA" w:rsidR="00D529C8" w:rsidRPr="00B25D0F" w:rsidRDefault="00D529C8" w:rsidP="00B25D0F">
      <w:pPr>
        <w:pStyle w:val="NormalWeb"/>
        <w:spacing w:before="0" w:beforeAutospacing="0" w:after="240" w:afterAutospacing="0" w:line="360" w:lineRule="auto"/>
        <w:jc w:val="both"/>
        <w:rPr>
          <w:i/>
          <w:iCs/>
        </w:rPr>
      </w:pPr>
      <w:r w:rsidRPr="00B25D0F">
        <w:rPr>
          <w:b/>
          <w:bCs/>
          <w:i/>
          <w:iCs/>
          <w:lang w:val="en-US"/>
        </w:rPr>
        <w:t>Source:</w:t>
      </w:r>
      <w:r w:rsidRPr="00B25D0F">
        <w:rPr>
          <w:i/>
          <w:iCs/>
          <w:lang w:val="en-US"/>
        </w:rPr>
        <w:t xml:space="preserve"> Compiled by author using survey data</w:t>
      </w:r>
    </w:p>
    <w:tbl>
      <w:tblPr>
        <w:tblW w:w="73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6"/>
        <w:gridCol w:w="1029"/>
        <w:gridCol w:w="1077"/>
        <w:gridCol w:w="1107"/>
        <w:gridCol w:w="1030"/>
        <w:gridCol w:w="1445"/>
      </w:tblGrid>
      <w:tr w:rsidR="00053640" w:rsidRPr="00B25D0F" w14:paraId="764E5C89" w14:textId="77777777" w:rsidTr="007D753C">
        <w:trPr>
          <w:cantSplit/>
        </w:trPr>
        <w:tc>
          <w:tcPr>
            <w:tcW w:w="7394" w:type="dxa"/>
            <w:gridSpan w:val="6"/>
            <w:tcBorders>
              <w:top w:val="nil"/>
              <w:left w:val="nil"/>
              <w:bottom w:val="nil"/>
              <w:right w:val="nil"/>
            </w:tcBorders>
            <w:shd w:val="clear" w:color="auto" w:fill="FFFFFF"/>
            <w:vAlign w:val="center"/>
          </w:tcPr>
          <w:p w14:paraId="29DBF4E2" w14:textId="77777777" w:rsidR="00053640" w:rsidRPr="00B25D0F" w:rsidRDefault="00053640" w:rsidP="00B25D0F">
            <w:pPr>
              <w:pStyle w:val="NormalWeb"/>
              <w:spacing w:before="0" w:beforeAutospacing="0" w:line="360" w:lineRule="auto"/>
              <w:jc w:val="both"/>
            </w:pPr>
            <w:r w:rsidRPr="00B25D0F">
              <w:rPr>
                <w:b/>
                <w:bCs/>
              </w:rPr>
              <w:t>Descriptive Statistics</w:t>
            </w:r>
          </w:p>
        </w:tc>
      </w:tr>
      <w:tr w:rsidR="00053640" w:rsidRPr="00B25D0F" w14:paraId="37870460" w14:textId="77777777" w:rsidTr="007D753C">
        <w:trPr>
          <w:cantSplit/>
        </w:trPr>
        <w:tc>
          <w:tcPr>
            <w:tcW w:w="1706" w:type="dxa"/>
            <w:tcBorders>
              <w:top w:val="nil"/>
              <w:left w:val="nil"/>
              <w:bottom w:val="single" w:sz="8" w:space="0" w:color="152935"/>
              <w:right w:val="nil"/>
            </w:tcBorders>
            <w:shd w:val="clear" w:color="auto" w:fill="FFFFFF"/>
            <w:vAlign w:val="bottom"/>
          </w:tcPr>
          <w:p w14:paraId="3740FD30" w14:textId="77777777" w:rsidR="00053640" w:rsidRPr="00B25D0F" w:rsidRDefault="00053640" w:rsidP="00B25D0F">
            <w:pPr>
              <w:pStyle w:val="NormalWeb"/>
              <w:spacing w:before="0" w:beforeAutospacing="0" w:line="360" w:lineRule="auto"/>
              <w:jc w:val="both"/>
            </w:pPr>
          </w:p>
        </w:tc>
        <w:tc>
          <w:tcPr>
            <w:tcW w:w="1029" w:type="dxa"/>
            <w:tcBorders>
              <w:top w:val="nil"/>
              <w:left w:val="nil"/>
              <w:bottom w:val="single" w:sz="8" w:space="0" w:color="152935"/>
              <w:right w:val="single" w:sz="8" w:space="0" w:color="E0E0E0"/>
            </w:tcBorders>
            <w:shd w:val="clear" w:color="auto" w:fill="FFFFFF"/>
            <w:vAlign w:val="bottom"/>
          </w:tcPr>
          <w:p w14:paraId="533DF95F" w14:textId="77777777" w:rsidR="00053640" w:rsidRPr="00B25D0F" w:rsidRDefault="00053640" w:rsidP="00B25D0F">
            <w:pPr>
              <w:pStyle w:val="NormalWeb"/>
              <w:spacing w:before="0" w:beforeAutospacing="0" w:line="360" w:lineRule="auto"/>
              <w:jc w:val="both"/>
            </w:pPr>
            <w:r w:rsidRPr="00B25D0F">
              <w:t>N</w:t>
            </w:r>
          </w:p>
        </w:tc>
        <w:tc>
          <w:tcPr>
            <w:tcW w:w="1077" w:type="dxa"/>
            <w:tcBorders>
              <w:top w:val="nil"/>
              <w:left w:val="single" w:sz="8" w:space="0" w:color="E0E0E0"/>
              <w:bottom w:val="single" w:sz="8" w:space="0" w:color="152935"/>
              <w:right w:val="single" w:sz="8" w:space="0" w:color="E0E0E0"/>
            </w:tcBorders>
            <w:shd w:val="clear" w:color="auto" w:fill="FFFFFF"/>
            <w:vAlign w:val="bottom"/>
          </w:tcPr>
          <w:p w14:paraId="0B9490AD" w14:textId="77777777" w:rsidR="00053640" w:rsidRPr="00B25D0F" w:rsidRDefault="00053640" w:rsidP="00B25D0F">
            <w:pPr>
              <w:pStyle w:val="NormalWeb"/>
              <w:spacing w:before="0" w:beforeAutospacing="0" w:line="360" w:lineRule="auto"/>
              <w:jc w:val="both"/>
            </w:pPr>
            <w:r w:rsidRPr="00B25D0F">
              <w:t>Minimum</w:t>
            </w:r>
          </w:p>
        </w:tc>
        <w:tc>
          <w:tcPr>
            <w:tcW w:w="1107" w:type="dxa"/>
            <w:tcBorders>
              <w:top w:val="nil"/>
              <w:left w:val="single" w:sz="8" w:space="0" w:color="E0E0E0"/>
              <w:bottom w:val="single" w:sz="8" w:space="0" w:color="152935"/>
              <w:right w:val="single" w:sz="8" w:space="0" w:color="E0E0E0"/>
            </w:tcBorders>
            <w:shd w:val="clear" w:color="auto" w:fill="FFFFFF"/>
            <w:vAlign w:val="bottom"/>
          </w:tcPr>
          <w:p w14:paraId="5D7EE42F" w14:textId="77777777" w:rsidR="00053640" w:rsidRPr="00B25D0F" w:rsidRDefault="00053640" w:rsidP="00B25D0F">
            <w:pPr>
              <w:pStyle w:val="NormalWeb"/>
              <w:spacing w:before="0" w:beforeAutospacing="0" w:line="360" w:lineRule="auto"/>
              <w:jc w:val="both"/>
            </w:pPr>
            <w:r w:rsidRPr="00B25D0F">
              <w:t>Maximum</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6804C6C6" w14:textId="77777777" w:rsidR="00053640" w:rsidRPr="00B25D0F" w:rsidRDefault="00053640" w:rsidP="00B25D0F">
            <w:pPr>
              <w:pStyle w:val="NormalWeb"/>
              <w:spacing w:before="0" w:beforeAutospacing="0" w:line="360" w:lineRule="auto"/>
              <w:jc w:val="both"/>
            </w:pPr>
            <w:r w:rsidRPr="00B25D0F">
              <w:t>Mean</w:t>
            </w:r>
          </w:p>
        </w:tc>
        <w:tc>
          <w:tcPr>
            <w:tcW w:w="1445" w:type="dxa"/>
            <w:tcBorders>
              <w:top w:val="nil"/>
              <w:left w:val="single" w:sz="8" w:space="0" w:color="E0E0E0"/>
              <w:bottom w:val="single" w:sz="8" w:space="0" w:color="152935"/>
              <w:right w:val="nil"/>
            </w:tcBorders>
            <w:shd w:val="clear" w:color="auto" w:fill="FFFFFF"/>
            <w:vAlign w:val="bottom"/>
          </w:tcPr>
          <w:p w14:paraId="1A4A82C2" w14:textId="77777777" w:rsidR="00053640" w:rsidRPr="00B25D0F" w:rsidRDefault="00053640" w:rsidP="00B25D0F">
            <w:pPr>
              <w:pStyle w:val="NormalWeb"/>
              <w:spacing w:before="0" w:beforeAutospacing="0" w:line="360" w:lineRule="auto"/>
              <w:jc w:val="both"/>
            </w:pPr>
            <w:r w:rsidRPr="00B25D0F">
              <w:t>Std. Deviation</w:t>
            </w:r>
          </w:p>
        </w:tc>
      </w:tr>
      <w:tr w:rsidR="00053640" w:rsidRPr="00B25D0F" w14:paraId="6B9C52E2" w14:textId="77777777" w:rsidTr="007D753C">
        <w:trPr>
          <w:cantSplit/>
        </w:trPr>
        <w:tc>
          <w:tcPr>
            <w:tcW w:w="1706" w:type="dxa"/>
            <w:tcBorders>
              <w:top w:val="single" w:sz="8" w:space="0" w:color="152935"/>
              <w:left w:val="nil"/>
              <w:bottom w:val="single" w:sz="8" w:space="0" w:color="AEAEAE"/>
              <w:right w:val="nil"/>
            </w:tcBorders>
            <w:shd w:val="clear" w:color="auto" w:fill="E0E0E0"/>
          </w:tcPr>
          <w:p w14:paraId="51BF9DAE" w14:textId="77777777" w:rsidR="00053640" w:rsidRPr="00B25D0F" w:rsidRDefault="00053640" w:rsidP="00B25D0F">
            <w:pPr>
              <w:pStyle w:val="NormalWeb"/>
              <w:spacing w:before="0" w:beforeAutospacing="0" w:line="360" w:lineRule="auto"/>
              <w:jc w:val="both"/>
            </w:pPr>
            <w:r w:rsidRPr="00B25D0F">
              <w:t>HERD_SCORE</w:t>
            </w:r>
          </w:p>
        </w:tc>
        <w:tc>
          <w:tcPr>
            <w:tcW w:w="1029" w:type="dxa"/>
            <w:tcBorders>
              <w:top w:val="single" w:sz="8" w:space="0" w:color="152935"/>
              <w:left w:val="nil"/>
              <w:bottom w:val="single" w:sz="8" w:space="0" w:color="AEAEAE"/>
              <w:right w:val="single" w:sz="8" w:space="0" w:color="E0E0E0"/>
            </w:tcBorders>
            <w:shd w:val="clear" w:color="auto" w:fill="FFFFFF"/>
          </w:tcPr>
          <w:p w14:paraId="3F110F00" w14:textId="77777777" w:rsidR="00053640" w:rsidRPr="00B25D0F" w:rsidRDefault="00053640" w:rsidP="00B25D0F">
            <w:pPr>
              <w:pStyle w:val="NormalWeb"/>
              <w:spacing w:before="0" w:beforeAutospacing="0" w:line="360" w:lineRule="auto"/>
              <w:jc w:val="both"/>
            </w:pPr>
            <w:r w:rsidRPr="00B25D0F">
              <w:t>93</w:t>
            </w:r>
          </w:p>
        </w:tc>
        <w:tc>
          <w:tcPr>
            <w:tcW w:w="1077" w:type="dxa"/>
            <w:tcBorders>
              <w:top w:val="single" w:sz="8" w:space="0" w:color="152935"/>
              <w:left w:val="single" w:sz="8" w:space="0" w:color="E0E0E0"/>
              <w:bottom w:val="single" w:sz="8" w:space="0" w:color="AEAEAE"/>
              <w:right w:val="single" w:sz="8" w:space="0" w:color="E0E0E0"/>
            </w:tcBorders>
            <w:shd w:val="clear" w:color="auto" w:fill="FFFFFF"/>
          </w:tcPr>
          <w:p w14:paraId="0C795755" w14:textId="77777777" w:rsidR="00053640" w:rsidRPr="00B25D0F" w:rsidRDefault="00053640" w:rsidP="00B25D0F">
            <w:pPr>
              <w:pStyle w:val="NormalWeb"/>
              <w:spacing w:before="0" w:beforeAutospacing="0" w:line="360" w:lineRule="auto"/>
              <w:jc w:val="both"/>
            </w:pPr>
            <w:r w:rsidRPr="00B25D0F">
              <w:t>1.71</w:t>
            </w:r>
          </w:p>
        </w:tc>
        <w:tc>
          <w:tcPr>
            <w:tcW w:w="1107" w:type="dxa"/>
            <w:tcBorders>
              <w:top w:val="single" w:sz="8" w:space="0" w:color="152935"/>
              <w:left w:val="single" w:sz="8" w:space="0" w:color="E0E0E0"/>
              <w:bottom w:val="single" w:sz="8" w:space="0" w:color="AEAEAE"/>
              <w:right w:val="single" w:sz="8" w:space="0" w:color="E0E0E0"/>
            </w:tcBorders>
            <w:shd w:val="clear" w:color="auto" w:fill="FFFFFF"/>
          </w:tcPr>
          <w:p w14:paraId="261813AC" w14:textId="77777777" w:rsidR="00053640" w:rsidRPr="00B25D0F" w:rsidRDefault="00053640" w:rsidP="00B25D0F">
            <w:pPr>
              <w:pStyle w:val="NormalWeb"/>
              <w:spacing w:before="0" w:beforeAutospacing="0" w:line="360" w:lineRule="auto"/>
              <w:jc w:val="both"/>
            </w:pPr>
            <w:r w:rsidRPr="00B25D0F">
              <w:t>4.14</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04B78561" w14:textId="77777777" w:rsidR="00053640" w:rsidRPr="00B25D0F" w:rsidRDefault="00053640" w:rsidP="00B25D0F">
            <w:pPr>
              <w:pStyle w:val="NormalWeb"/>
              <w:spacing w:before="0" w:beforeAutospacing="0" w:line="360" w:lineRule="auto"/>
              <w:jc w:val="both"/>
            </w:pPr>
            <w:r w:rsidRPr="00B25D0F">
              <w:t>3.3026</w:t>
            </w:r>
          </w:p>
        </w:tc>
        <w:tc>
          <w:tcPr>
            <w:tcW w:w="1445" w:type="dxa"/>
            <w:tcBorders>
              <w:top w:val="single" w:sz="8" w:space="0" w:color="152935"/>
              <w:left w:val="single" w:sz="8" w:space="0" w:color="E0E0E0"/>
              <w:bottom w:val="single" w:sz="8" w:space="0" w:color="AEAEAE"/>
              <w:right w:val="nil"/>
            </w:tcBorders>
            <w:shd w:val="clear" w:color="auto" w:fill="FFFFFF"/>
          </w:tcPr>
          <w:p w14:paraId="0F849031" w14:textId="77777777" w:rsidR="00053640" w:rsidRPr="00B25D0F" w:rsidRDefault="00053640" w:rsidP="00B25D0F">
            <w:pPr>
              <w:pStyle w:val="NormalWeb"/>
              <w:spacing w:before="0" w:beforeAutospacing="0" w:line="360" w:lineRule="auto"/>
              <w:jc w:val="both"/>
            </w:pPr>
            <w:r w:rsidRPr="00B25D0F">
              <w:t>.61728</w:t>
            </w:r>
          </w:p>
        </w:tc>
      </w:tr>
      <w:tr w:rsidR="00053640" w:rsidRPr="00B25D0F" w14:paraId="1274BAEE" w14:textId="77777777" w:rsidTr="007D753C">
        <w:trPr>
          <w:cantSplit/>
        </w:trPr>
        <w:tc>
          <w:tcPr>
            <w:tcW w:w="1706" w:type="dxa"/>
            <w:tcBorders>
              <w:top w:val="single" w:sz="8" w:space="0" w:color="AEAEAE"/>
              <w:left w:val="nil"/>
              <w:bottom w:val="single" w:sz="8" w:space="0" w:color="152935"/>
              <w:right w:val="nil"/>
            </w:tcBorders>
            <w:shd w:val="clear" w:color="auto" w:fill="E0E0E0"/>
          </w:tcPr>
          <w:p w14:paraId="672492F2" w14:textId="77777777" w:rsidR="00053640" w:rsidRPr="00B25D0F" w:rsidRDefault="00053640" w:rsidP="00B25D0F">
            <w:pPr>
              <w:pStyle w:val="NormalWeb"/>
              <w:spacing w:before="0" w:beforeAutospacing="0" w:line="360" w:lineRule="auto"/>
              <w:jc w:val="both"/>
            </w:pPr>
            <w:r w:rsidRPr="00B25D0F">
              <w:t>Valid N (listwise)</w:t>
            </w:r>
          </w:p>
        </w:tc>
        <w:tc>
          <w:tcPr>
            <w:tcW w:w="1029" w:type="dxa"/>
            <w:tcBorders>
              <w:top w:val="single" w:sz="8" w:space="0" w:color="AEAEAE"/>
              <w:left w:val="nil"/>
              <w:bottom w:val="single" w:sz="8" w:space="0" w:color="152935"/>
              <w:right w:val="single" w:sz="8" w:space="0" w:color="E0E0E0"/>
            </w:tcBorders>
            <w:shd w:val="clear" w:color="auto" w:fill="FFFFFF"/>
          </w:tcPr>
          <w:p w14:paraId="01264F05" w14:textId="77777777" w:rsidR="00053640" w:rsidRPr="00B25D0F" w:rsidRDefault="00053640" w:rsidP="00B25D0F">
            <w:pPr>
              <w:pStyle w:val="NormalWeb"/>
              <w:spacing w:before="0" w:beforeAutospacing="0" w:line="360" w:lineRule="auto"/>
              <w:jc w:val="both"/>
            </w:pPr>
            <w:r w:rsidRPr="00B25D0F">
              <w:t>93</w:t>
            </w:r>
          </w:p>
        </w:tc>
        <w:tc>
          <w:tcPr>
            <w:tcW w:w="107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5B22505" w14:textId="77777777" w:rsidR="00053640" w:rsidRPr="00B25D0F" w:rsidRDefault="00053640" w:rsidP="00B25D0F">
            <w:pPr>
              <w:pStyle w:val="NormalWeb"/>
              <w:spacing w:before="0" w:beforeAutospacing="0" w:line="360" w:lineRule="auto"/>
              <w:jc w:val="both"/>
            </w:pPr>
          </w:p>
        </w:tc>
        <w:tc>
          <w:tcPr>
            <w:tcW w:w="110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0E42FF1F" w14:textId="77777777" w:rsidR="00053640" w:rsidRPr="00B25D0F" w:rsidRDefault="00053640" w:rsidP="00B25D0F">
            <w:pPr>
              <w:pStyle w:val="NormalWeb"/>
              <w:spacing w:before="0" w:beforeAutospacing="0" w:line="360" w:lineRule="auto"/>
              <w:jc w:val="both"/>
            </w:pPr>
          </w:p>
        </w:tc>
        <w:tc>
          <w:tcPr>
            <w:tcW w:w="103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B420015" w14:textId="77777777" w:rsidR="00053640" w:rsidRPr="00B25D0F" w:rsidRDefault="00053640" w:rsidP="00B25D0F">
            <w:pPr>
              <w:pStyle w:val="NormalWeb"/>
              <w:spacing w:before="0" w:beforeAutospacing="0" w:line="360" w:lineRule="auto"/>
              <w:jc w:val="both"/>
            </w:pPr>
          </w:p>
        </w:tc>
        <w:tc>
          <w:tcPr>
            <w:tcW w:w="1445" w:type="dxa"/>
            <w:tcBorders>
              <w:top w:val="single" w:sz="8" w:space="0" w:color="AEAEAE"/>
              <w:left w:val="single" w:sz="8" w:space="0" w:color="E0E0E0"/>
              <w:bottom w:val="single" w:sz="8" w:space="0" w:color="152935"/>
              <w:right w:val="nil"/>
            </w:tcBorders>
            <w:shd w:val="clear" w:color="auto" w:fill="FFFFFF"/>
            <w:vAlign w:val="center"/>
          </w:tcPr>
          <w:p w14:paraId="6E0A0BD4" w14:textId="77777777" w:rsidR="00053640" w:rsidRPr="00B25D0F" w:rsidRDefault="00053640" w:rsidP="00B25D0F">
            <w:pPr>
              <w:pStyle w:val="NormalWeb"/>
              <w:spacing w:before="0" w:beforeAutospacing="0" w:line="360" w:lineRule="auto"/>
              <w:jc w:val="both"/>
            </w:pPr>
          </w:p>
        </w:tc>
      </w:tr>
    </w:tbl>
    <w:p w14:paraId="2333FA21" w14:textId="4A5DFCB0" w:rsidR="00053640" w:rsidRPr="00B25D0F" w:rsidRDefault="007D753C" w:rsidP="00B25D0F">
      <w:pPr>
        <w:pStyle w:val="NormalWeb"/>
        <w:spacing w:before="240" w:beforeAutospacing="0" w:line="360" w:lineRule="auto"/>
        <w:jc w:val="both"/>
      </w:pPr>
      <w:r w:rsidRPr="00B25D0F">
        <w:rPr>
          <w:b/>
          <w:bCs/>
        </w:rPr>
        <w:t>Interpretation:</w:t>
      </w:r>
      <w:r w:rsidRPr="00B25D0F">
        <w:t xml:space="preserve"> According to findings, one noteworthy aspect of teachers' mutual fund behaviour in semi-rural settings is herding. In line with behavioural finance research that highlights the importance of social influence in investment decisions, teachers frequently seem to rely more on the behaviour of their peers, colleagues, or community members than on their own judgement.</w:t>
      </w:r>
    </w:p>
    <w:p w14:paraId="269ECE85" w14:textId="5E7ACBBA" w:rsidR="00381714" w:rsidRPr="00B25D0F" w:rsidRDefault="00ED7E65" w:rsidP="00B25D0F">
      <w:pPr>
        <w:pStyle w:val="NormalWeb"/>
        <w:spacing w:before="240" w:beforeAutospacing="0" w:line="360" w:lineRule="auto"/>
        <w:jc w:val="both"/>
      </w:pPr>
      <w:r w:rsidRPr="00B25D0F">
        <w:t xml:space="preserve">So, </w:t>
      </w:r>
      <w:r w:rsidRPr="00B25D0F">
        <w:rPr>
          <w:b/>
          <w:bCs/>
          <w:i/>
          <w:iCs/>
        </w:rPr>
        <w:t>H1:</w:t>
      </w:r>
      <w:r w:rsidRPr="00B25D0F">
        <w:t xml:space="preserve"> Teachers shows significant herding behaviour in mutual fund investments is supported, as the overall mean score lies well above the neutral midpoint of 3.0, indicating inclination towards herding tendencies.</w:t>
      </w:r>
    </w:p>
    <w:p w14:paraId="7A76962A" w14:textId="0E43D1E0" w:rsidR="00053640" w:rsidRPr="00B25D0F" w:rsidRDefault="00C74BA0" w:rsidP="00B25D0F">
      <w:pPr>
        <w:pStyle w:val="NormalWeb"/>
        <w:spacing w:before="0" w:beforeAutospacing="0" w:line="360" w:lineRule="auto"/>
        <w:jc w:val="both"/>
      </w:pPr>
      <w:r w:rsidRPr="00B25D0F">
        <w:t xml:space="preserve">Objective 2: To examine gender differences in herding behaviour. </w:t>
      </w:r>
    </w:p>
    <w:p w14:paraId="12C68558" w14:textId="726F3C78" w:rsidR="00053640" w:rsidRPr="00B25D0F" w:rsidRDefault="00AD050B" w:rsidP="00B25D0F">
      <w:pPr>
        <w:pStyle w:val="NormalWeb"/>
        <w:spacing w:before="0" w:beforeAutospacing="0" w:line="360" w:lineRule="auto"/>
        <w:jc w:val="both"/>
      </w:pPr>
      <w:r w:rsidRPr="00B25D0F">
        <w:t>To test for gender differences in herding descriptive statistics were first calculated independently for male and female respondents. The mean HERD_SCORE for male teachers was 3.16 (SD=0.65), whereas the mean for female teachers was higher at 3.49 (SD=0.52)</w:t>
      </w:r>
      <w:r w:rsidR="00940721" w:rsidRPr="00B25D0F">
        <w:t xml:space="preserve"> (</w:t>
      </w:r>
      <w:r w:rsidR="00940721" w:rsidRPr="00B25D0F">
        <w:rPr>
          <w:i/>
          <w:iCs/>
        </w:rPr>
        <w:t>see Table A2</w:t>
      </w:r>
      <w:r w:rsidR="00940721" w:rsidRPr="00B25D0F">
        <w:t>)</w:t>
      </w:r>
      <w:r w:rsidRPr="00B25D0F">
        <w:t xml:space="preserve">. The pattern suggested </w:t>
      </w:r>
      <w:r w:rsidR="00C7014C" w:rsidRPr="00B25D0F">
        <w:t xml:space="preserve">a stronger tendency for herding among females, </w:t>
      </w:r>
      <w:r w:rsidR="0064192E" w:rsidRPr="00B25D0F">
        <w:t>even though</w:t>
      </w:r>
      <w:r w:rsidR="00C7014C" w:rsidRPr="00B25D0F">
        <w:t xml:space="preserve"> the variance was marginally greater for males.</w:t>
      </w:r>
    </w:p>
    <w:p w14:paraId="724C5640" w14:textId="277D71AE" w:rsidR="00FB0547" w:rsidRPr="003572F6" w:rsidRDefault="00C7014C" w:rsidP="003572F6">
      <w:pPr>
        <w:pStyle w:val="NormalWeb"/>
        <w:spacing w:before="0" w:beforeAutospacing="0" w:line="360" w:lineRule="auto"/>
        <w:jc w:val="both"/>
      </w:pPr>
      <w:r w:rsidRPr="00B25D0F">
        <w:t>The Mann-Whitney U test was used to compare the two independent groups because both groups' normality assumptions were violated (Shapiro-Wilk p &lt; 0.05)</w:t>
      </w:r>
      <w:r w:rsidR="00940721" w:rsidRPr="00B25D0F">
        <w:t xml:space="preserve"> (</w:t>
      </w:r>
      <w:r w:rsidR="00940721" w:rsidRPr="00B25D0F">
        <w:rPr>
          <w:i/>
          <w:iCs/>
        </w:rPr>
        <w:t>see Table A1, Fig1)</w:t>
      </w:r>
      <w:r w:rsidRPr="00B25D0F">
        <w:t>. At the 5% significance level, the test's U-value of 760.5, Z statistic of -2.335, and associated p-value of 0.020 showed a statistically significant difference between male and female teachers</w:t>
      </w:r>
      <w:r w:rsidR="00FF480A" w:rsidRPr="00B25D0F">
        <w:t xml:space="preserve"> (</w:t>
      </w:r>
      <w:r w:rsidR="00FF480A" w:rsidRPr="00B25D0F">
        <w:rPr>
          <w:i/>
          <w:iCs/>
        </w:rPr>
        <w:t>see Table 3)</w:t>
      </w:r>
      <w:r w:rsidRPr="00B25D0F">
        <w:t>.</w:t>
      </w:r>
    </w:p>
    <w:p w14:paraId="20F795A4" w14:textId="5CBDA413" w:rsidR="00D529C8" w:rsidRPr="00B25D0F" w:rsidRDefault="00D529C8" w:rsidP="00B25D0F">
      <w:pPr>
        <w:pStyle w:val="NormalWeb"/>
        <w:spacing w:before="0" w:beforeAutospacing="0" w:line="360" w:lineRule="auto"/>
      </w:pPr>
      <w:r w:rsidRPr="00B25D0F">
        <w:rPr>
          <w:b/>
          <w:bCs/>
          <w:lang w:val="en-US"/>
        </w:rPr>
        <w:lastRenderedPageBreak/>
        <w:t xml:space="preserve">Table 3: </w:t>
      </w:r>
      <w:r w:rsidRPr="00B25D0F">
        <w:rPr>
          <w:lang w:val="en-US"/>
        </w:rPr>
        <w:t>Mann–Whitney U Test Results for Gender Differences in Herding Behavior</w:t>
      </w:r>
      <w:r w:rsidRPr="00B25D0F">
        <w:rPr>
          <w:lang w:val="en-US"/>
        </w:rPr>
        <w:br/>
      </w:r>
      <w:r w:rsidRPr="00B25D0F">
        <w:rPr>
          <w:b/>
          <w:bCs/>
          <w:i/>
          <w:iCs/>
          <w:lang w:val="en-US"/>
        </w:rPr>
        <w:t>Source:</w:t>
      </w:r>
      <w:r w:rsidRPr="00B25D0F">
        <w:rPr>
          <w:i/>
          <w:iCs/>
          <w:lang w:val="en-US"/>
        </w:rPr>
        <w:t xml:space="preserve"> Compiled by author using SPSS output</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147"/>
        <w:gridCol w:w="1547"/>
      </w:tblGrid>
      <w:tr w:rsidR="005761BC" w:rsidRPr="00B25D0F" w14:paraId="30754D0E" w14:textId="77777777" w:rsidTr="005761BC">
        <w:trPr>
          <w:cantSplit/>
        </w:trPr>
        <w:tc>
          <w:tcPr>
            <w:tcW w:w="0" w:type="auto"/>
            <w:gridSpan w:val="2"/>
            <w:tcBorders>
              <w:top w:val="nil"/>
              <w:left w:val="nil"/>
              <w:bottom w:val="nil"/>
              <w:right w:val="nil"/>
            </w:tcBorders>
            <w:shd w:val="clear" w:color="auto" w:fill="FFFFFF"/>
            <w:vAlign w:val="center"/>
          </w:tcPr>
          <w:p w14:paraId="3E3C7585" w14:textId="77777777" w:rsidR="005761BC" w:rsidRPr="00B25D0F" w:rsidRDefault="005761BC" w:rsidP="00B25D0F">
            <w:pPr>
              <w:pStyle w:val="NormalWeb"/>
              <w:spacing w:before="0" w:beforeAutospacing="0" w:line="360" w:lineRule="auto"/>
              <w:jc w:val="both"/>
            </w:pPr>
            <w:r w:rsidRPr="00B25D0F">
              <w:rPr>
                <w:b/>
                <w:bCs/>
              </w:rPr>
              <w:t xml:space="preserve">Test </w:t>
            </w:r>
            <w:proofErr w:type="spellStart"/>
            <w:r w:rsidRPr="00B25D0F">
              <w:rPr>
                <w:b/>
                <w:bCs/>
              </w:rPr>
              <w:t>Statistics</w:t>
            </w:r>
            <w:r w:rsidRPr="00B25D0F">
              <w:rPr>
                <w:b/>
                <w:bCs/>
                <w:vertAlign w:val="superscript"/>
              </w:rPr>
              <w:t>a</w:t>
            </w:r>
            <w:proofErr w:type="spellEnd"/>
          </w:p>
        </w:tc>
      </w:tr>
      <w:tr w:rsidR="005761BC" w:rsidRPr="00B25D0F" w14:paraId="411733ED" w14:textId="77777777" w:rsidTr="005761BC">
        <w:trPr>
          <w:cantSplit/>
        </w:trPr>
        <w:tc>
          <w:tcPr>
            <w:tcW w:w="0" w:type="auto"/>
            <w:tcBorders>
              <w:top w:val="nil"/>
              <w:left w:val="nil"/>
              <w:bottom w:val="single" w:sz="8" w:space="0" w:color="152935"/>
              <w:right w:val="nil"/>
            </w:tcBorders>
            <w:shd w:val="clear" w:color="auto" w:fill="FFFFFF"/>
            <w:vAlign w:val="bottom"/>
          </w:tcPr>
          <w:p w14:paraId="1F19CE7B" w14:textId="77777777" w:rsidR="005761BC" w:rsidRPr="00B25D0F" w:rsidRDefault="005761BC" w:rsidP="00B25D0F">
            <w:pPr>
              <w:pStyle w:val="NormalWeb"/>
              <w:spacing w:before="0" w:beforeAutospacing="0" w:line="360" w:lineRule="auto"/>
              <w:jc w:val="both"/>
            </w:pPr>
          </w:p>
        </w:tc>
        <w:tc>
          <w:tcPr>
            <w:tcW w:w="0" w:type="auto"/>
            <w:tcBorders>
              <w:top w:val="nil"/>
              <w:left w:val="nil"/>
              <w:bottom w:val="single" w:sz="8" w:space="0" w:color="152935"/>
              <w:right w:val="nil"/>
            </w:tcBorders>
            <w:shd w:val="clear" w:color="auto" w:fill="FFFFFF"/>
            <w:vAlign w:val="bottom"/>
          </w:tcPr>
          <w:p w14:paraId="3C130798" w14:textId="77777777" w:rsidR="005761BC" w:rsidRPr="00B25D0F" w:rsidRDefault="005761BC" w:rsidP="00B25D0F">
            <w:pPr>
              <w:pStyle w:val="NormalWeb"/>
              <w:spacing w:before="0" w:beforeAutospacing="0" w:line="360" w:lineRule="auto"/>
              <w:jc w:val="both"/>
            </w:pPr>
            <w:r w:rsidRPr="00B25D0F">
              <w:t>HERD_SCORE</w:t>
            </w:r>
          </w:p>
        </w:tc>
      </w:tr>
      <w:tr w:rsidR="005761BC" w:rsidRPr="00B25D0F" w14:paraId="14B6B530" w14:textId="77777777" w:rsidTr="005761BC">
        <w:trPr>
          <w:cantSplit/>
        </w:trPr>
        <w:tc>
          <w:tcPr>
            <w:tcW w:w="0" w:type="auto"/>
            <w:tcBorders>
              <w:top w:val="single" w:sz="8" w:space="0" w:color="152935"/>
              <w:left w:val="nil"/>
              <w:bottom w:val="single" w:sz="8" w:space="0" w:color="AEAEAE"/>
              <w:right w:val="nil"/>
            </w:tcBorders>
            <w:shd w:val="clear" w:color="auto" w:fill="E0E0E0"/>
          </w:tcPr>
          <w:p w14:paraId="322FDF8B" w14:textId="77777777" w:rsidR="005761BC" w:rsidRPr="00B25D0F" w:rsidRDefault="005761BC" w:rsidP="00B25D0F">
            <w:pPr>
              <w:pStyle w:val="NormalWeb"/>
              <w:spacing w:before="0" w:beforeAutospacing="0" w:line="360" w:lineRule="auto"/>
              <w:jc w:val="both"/>
            </w:pPr>
            <w:r w:rsidRPr="00B25D0F">
              <w:t>Mann-Whitney U</w:t>
            </w:r>
          </w:p>
        </w:tc>
        <w:tc>
          <w:tcPr>
            <w:tcW w:w="0" w:type="auto"/>
            <w:tcBorders>
              <w:top w:val="single" w:sz="8" w:space="0" w:color="152935"/>
              <w:left w:val="nil"/>
              <w:bottom w:val="single" w:sz="8" w:space="0" w:color="AEAEAE"/>
              <w:right w:val="nil"/>
            </w:tcBorders>
            <w:shd w:val="clear" w:color="auto" w:fill="FFFFFF"/>
          </w:tcPr>
          <w:p w14:paraId="719FA62B" w14:textId="77777777" w:rsidR="005761BC" w:rsidRPr="00B25D0F" w:rsidRDefault="005761BC" w:rsidP="00B25D0F">
            <w:pPr>
              <w:pStyle w:val="NormalWeb"/>
              <w:spacing w:before="0" w:beforeAutospacing="0" w:line="360" w:lineRule="auto"/>
              <w:jc w:val="both"/>
            </w:pPr>
            <w:r w:rsidRPr="00B25D0F">
              <w:t>760.500</w:t>
            </w:r>
          </w:p>
        </w:tc>
      </w:tr>
      <w:tr w:rsidR="005761BC" w:rsidRPr="00B25D0F" w14:paraId="1C76BFD2" w14:textId="77777777" w:rsidTr="005761BC">
        <w:trPr>
          <w:cantSplit/>
        </w:trPr>
        <w:tc>
          <w:tcPr>
            <w:tcW w:w="0" w:type="auto"/>
            <w:tcBorders>
              <w:top w:val="single" w:sz="8" w:space="0" w:color="AEAEAE"/>
              <w:left w:val="nil"/>
              <w:bottom w:val="single" w:sz="8" w:space="0" w:color="AEAEAE"/>
              <w:right w:val="nil"/>
            </w:tcBorders>
            <w:shd w:val="clear" w:color="auto" w:fill="E0E0E0"/>
          </w:tcPr>
          <w:p w14:paraId="4051A5C4" w14:textId="77777777" w:rsidR="005761BC" w:rsidRPr="00B25D0F" w:rsidRDefault="005761BC" w:rsidP="00B25D0F">
            <w:pPr>
              <w:pStyle w:val="NormalWeb"/>
              <w:spacing w:before="0" w:beforeAutospacing="0" w:line="360" w:lineRule="auto"/>
              <w:jc w:val="both"/>
            </w:pPr>
            <w:r w:rsidRPr="00B25D0F">
              <w:t>Wilcoxon W</w:t>
            </w:r>
          </w:p>
        </w:tc>
        <w:tc>
          <w:tcPr>
            <w:tcW w:w="0" w:type="auto"/>
            <w:tcBorders>
              <w:top w:val="single" w:sz="8" w:space="0" w:color="AEAEAE"/>
              <w:left w:val="nil"/>
              <w:bottom w:val="single" w:sz="8" w:space="0" w:color="AEAEAE"/>
              <w:right w:val="nil"/>
            </w:tcBorders>
            <w:shd w:val="clear" w:color="auto" w:fill="FFFFFF"/>
          </w:tcPr>
          <w:p w14:paraId="175113F1" w14:textId="77777777" w:rsidR="005761BC" w:rsidRPr="00B25D0F" w:rsidRDefault="005761BC" w:rsidP="00B25D0F">
            <w:pPr>
              <w:pStyle w:val="NormalWeb"/>
              <w:spacing w:before="0" w:beforeAutospacing="0" w:after="0" w:afterAutospacing="0" w:line="360" w:lineRule="auto"/>
              <w:jc w:val="both"/>
            </w:pPr>
            <w:r w:rsidRPr="00B25D0F">
              <w:t>2191.500</w:t>
            </w:r>
          </w:p>
        </w:tc>
      </w:tr>
      <w:tr w:rsidR="005761BC" w:rsidRPr="00B25D0F" w14:paraId="7D09E0D2" w14:textId="77777777" w:rsidTr="005761BC">
        <w:trPr>
          <w:cantSplit/>
        </w:trPr>
        <w:tc>
          <w:tcPr>
            <w:tcW w:w="0" w:type="auto"/>
            <w:tcBorders>
              <w:top w:val="single" w:sz="8" w:space="0" w:color="AEAEAE"/>
              <w:left w:val="nil"/>
              <w:bottom w:val="single" w:sz="8" w:space="0" w:color="AEAEAE"/>
              <w:right w:val="nil"/>
            </w:tcBorders>
            <w:shd w:val="clear" w:color="auto" w:fill="E0E0E0"/>
          </w:tcPr>
          <w:p w14:paraId="12A9A8C5" w14:textId="77777777" w:rsidR="005761BC" w:rsidRPr="00B25D0F" w:rsidRDefault="005761BC" w:rsidP="00B25D0F">
            <w:pPr>
              <w:pStyle w:val="NormalWeb"/>
              <w:spacing w:before="0" w:beforeAutospacing="0" w:line="360" w:lineRule="auto"/>
              <w:jc w:val="both"/>
            </w:pPr>
            <w:r w:rsidRPr="00B25D0F">
              <w:t>Z</w:t>
            </w:r>
          </w:p>
        </w:tc>
        <w:tc>
          <w:tcPr>
            <w:tcW w:w="0" w:type="auto"/>
            <w:tcBorders>
              <w:top w:val="single" w:sz="8" w:space="0" w:color="AEAEAE"/>
              <w:left w:val="nil"/>
              <w:bottom w:val="single" w:sz="8" w:space="0" w:color="AEAEAE"/>
              <w:right w:val="nil"/>
            </w:tcBorders>
            <w:shd w:val="clear" w:color="auto" w:fill="FFFFFF"/>
          </w:tcPr>
          <w:p w14:paraId="11BC3A01" w14:textId="77777777" w:rsidR="005761BC" w:rsidRPr="00B25D0F" w:rsidRDefault="005761BC" w:rsidP="00B25D0F">
            <w:pPr>
              <w:pStyle w:val="NormalWeb"/>
              <w:spacing w:before="0" w:beforeAutospacing="0" w:line="360" w:lineRule="auto"/>
              <w:jc w:val="both"/>
            </w:pPr>
            <w:r w:rsidRPr="00B25D0F">
              <w:t>-2.335</w:t>
            </w:r>
          </w:p>
        </w:tc>
      </w:tr>
      <w:tr w:rsidR="005761BC" w:rsidRPr="00B25D0F" w14:paraId="1904A0F1" w14:textId="77777777" w:rsidTr="005761BC">
        <w:trPr>
          <w:cantSplit/>
        </w:trPr>
        <w:tc>
          <w:tcPr>
            <w:tcW w:w="0" w:type="auto"/>
            <w:tcBorders>
              <w:top w:val="single" w:sz="8" w:space="0" w:color="AEAEAE"/>
              <w:left w:val="nil"/>
              <w:bottom w:val="single" w:sz="8" w:space="0" w:color="152935"/>
              <w:right w:val="nil"/>
            </w:tcBorders>
            <w:shd w:val="clear" w:color="auto" w:fill="E0E0E0"/>
          </w:tcPr>
          <w:p w14:paraId="7F02DBC9" w14:textId="77777777" w:rsidR="005761BC" w:rsidRPr="00B25D0F" w:rsidRDefault="005761BC" w:rsidP="00B25D0F">
            <w:pPr>
              <w:pStyle w:val="NormalWeb"/>
              <w:spacing w:before="0" w:beforeAutospacing="0" w:line="360" w:lineRule="auto"/>
              <w:jc w:val="both"/>
            </w:pPr>
            <w:proofErr w:type="spellStart"/>
            <w:r w:rsidRPr="00B25D0F">
              <w:t>Asymp</w:t>
            </w:r>
            <w:proofErr w:type="spellEnd"/>
            <w:r w:rsidRPr="00B25D0F">
              <w:t>. Sig. (2-tailed)</w:t>
            </w:r>
          </w:p>
        </w:tc>
        <w:tc>
          <w:tcPr>
            <w:tcW w:w="0" w:type="auto"/>
            <w:tcBorders>
              <w:top w:val="single" w:sz="8" w:space="0" w:color="AEAEAE"/>
              <w:left w:val="nil"/>
              <w:bottom w:val="single" w:sz="8" w:space="0" w:color="152935"/>
              <w:right w:val="nil"/>
            </w:tcBorders>
            <w:shd w:val="clear" w:color="auto" w:fill="FFFFFF"/>
          </w:tcPr>
          <w:p w14:paraId="2BB6A5D5" w14:textId="77777777" w:rsidR="005761BC" w:rsidRPr="00B25D0F" w:rsidRDefault="005761BC" w:rsidP="00B25D0F">
            <w:pPr>
              <w:pStyle w:val="NormalWeb"/>
              <w:spacing w:before="0" w:beforeAutospacing="0" w:line="360" w:lineRule="auto"/>
              <w:jc w:val="both"/>
            </w:pPr>
            <w:r w:rsidRPr="00B25D0F">
              <w:t>.020</w:t>
            </w:r>
          </w:p>
        </w:tc>
      </w:tr>
      <w:tr w:rsidR="005761BC" w:rsidRPr="00B25D0F" w14:paraId="2AB97DE5" w14:textId="77777777" w:rsidTr="005761BC">
        <w:trPr>
          <w:cantSplit/>
        </w:trPr>
        <w:tc>
          <w:tcPr>
            <w:tcW w:w="0" w:type="auto"/>
            <w:gridSpan w:val="2"/>
            <w:tcBorders>
              <w:top w:val="nil"/>
              <w:left w:val="nil"/>
              <w:bottom w:val="nil"/>
              <w:right w:val="nil"/>
            </w:tcBorders>
            <w:shd w:val="clear" w:color="auto" w:fill="FFFFFF"/>
          </w:tcPr>
          <w:p w14:paraId="619EF8BE" w14:textId="77777777" w:rsidR="005761BC" w:rsidRPr="00B25D0F" w:rsidRDefault="005761BC" w:rsidP="00B25D0F">
            <w:pPr>
              <w:pStyle w:val="NormalWeb"/>
              <w:spacing w:before="0" w:beforeAutospacing="0" w:line="360" w:lineRule="auto"/>
              <w:jc w:val="both"/>
            </w:pPr>
            <w:r w:rsidRPr="00B25D0F">
              <w:t>a. Grouping Variable: gender</w:t>
            </w:r>
          </w:p>
        </w:tc>
      </w:tr>
    </w:tbl>
    <w:p w14:paraId="436DE65B" w14:textId="05097042" w:rsidR="00B12285" w:rsidRDefault="00FA431E" w:rsidP="00B12285">
      <w:pPr>
        <w:pStyle w:val="NormalWeb"/>
        <w:spacing w:before="240" w:beforeAutospacing="0" w:line="360" w:lineRule="auto"/>
        <w:jc w:val="both"/>
        <w:rPr>
          <w:lang w:val="en-US"/>
        </w:rPr>
      </w:pPr>
      <w:r w:rsidRPr="00B25D0F">
        <w:rPr>
          <w:b/>
          <w:bCs/>
        </w:rPr>
        <w:t>Interpretation:</w:t>
      </w:r>
      <w:r w:rsidRPr="00B25D0F">
        <w:t xml:space="preserve"> The findings indicate that compared to their male colleagues, female teachers are noticeably more likely to engage in herding behaviour. </w:t>
      </w:r>
      <w:r w:rsidR="00B12285" w:rsidRPr="00B12285">
        <w:rPr>
          <w:lang w:val="en-US"/>
        </w:rPr>
        <w:t>The finding that female teachers demonstrate stronger herding behavior reinforces behavioral finance theory, particularly gender-based differences in risk perception and social learning mechanisms. It suggests that educational attainment alone does not eliminate behavioral biases, but rather that social and psychological factors continue to shape financial decision-making even among professionals.</w:t>
      </w:r>
    </w:p>
    <w:p w14:paraId="7B293FD6" w14:textId="27856484" w:rsidR="00225627" w:rsidRPr="00B25D0F" w:rsidRDefault="00ED7E65" w:rsidP="00B12285">
      <w:pPr>
        <w:pStyle w:val="NormalWeb"/>
        <w:spacing w:before="240" w:beforeAutospacing="0" w:line="360" w:lineRule="auto"/>
        <w:jc w:val="both"/>
      </w:pPr>
      <w:r w:rsidRPr="00B25D0F">
        <w:t xml:space="preserve">These interpretations confirm </w:t>
      </w:r>
      <w:r w:rsidRPr="00B25D0F">
        <w:rPr>
          <w:b/>
          <w:bCs/>
          <w:i/>
          <w:iCs/>
        </w:rPr>
        <w:t>H2:</w:t>
      </w:r>
      <w:r w:rsidRPr="00B25D0F">
        <w:t xml:space="preserve"> There is significant gender difference in herding behaviour, with females showing stronger herding tendencies, which is supported by the analysis.</w:t>
      </w:r>
    </w:p>
    <w:p w14:paraId="00202A75" w14:textId="77F6CB41" w:rsidR="00C7014C" w:rsidRPr="00B25D0F" w:rsidRDefault="009C45F2" w:rsidP="00B25D0F">
      <w:pPr>
        <w:pStyle w:val="NormalWeb"/>
        <w:spacing w:before="0" w:beforeAutospacing="0" w:line="360" w:lineRule="auto"/>
        <w:jc w:val="both"/>
      </w:pPr>
      <w:r w:rsidRPr="00B25D0F">
        <w:t xml:space="preserve">Objective 3: </w:t>
      </w:r>
      <w:r w:rsidRPr="00B25D0F">
        <w:rPr>
          <w:lang w:val="en-US"/>
        </w:rPr>
        <w:t>To identify barriers among non-investors</w:t>
      </w:r>
    </w:p>
    <w:p w14:paraId="05F7D992" w14:textId="5BECF468" w:rsidR="00C7014C" w:rsidRPr="00B25D0F" w:rsidRDefault="005E653D" w:rsidP="00B25D0F">
      <w:pPr>
        <w:pStyle w:val="NormalWeb"/>
        <w:spacing w:before="0" w:beforeAutospacing="0" w:line="360" w:lineRule="auto"/>
        <w:jc w:val="both"/>
      </w:pPr>
      <w:r w:rsidRPr="00B25D0F">
        <w:t>To determine the perceived obstacles to mutual fund participation, 32 valid responses from the 33 non-investors were examined. According to the frequencies, the most frequent obstacle was lack of knowledge (46.9%), which was followed by fear of financial losses (31.3%), lack of savings (15.6%), lack of trust in financial institutions (6.3%)</w:t>
      </w:r>
      <w:r w:rsidR="009638FE" w:rsidRPr="00B25D0F">
        <w:t xml:space="preserve"> (</w:t>
      </w:r>
      <w:r w:rsidR="009638FE" w:rsidRPr="00B25D0F">
        <w:rPr>
          <w:i/>
          <w:iCs/>
        </w:rPr>
        <w:t>see Table 5)</w:t>
      </w:r>
      <w:r w:rsidRPr="00B25D0F">
        <w:t>. These results highlight the dominance of informational and psychological factors over purely financial constraints.</w:t>
      </w:r>
    </w:p>
    <w:p w14:paraId="4FB6F061" w14:textId="15C72A50" w:rsidR="00A839E2" w:rsidRPr="00B25D0F" w:rsidRDefault="00A839E2" w:rsidP="00B25D0F">
      <w:pPr>
        <w:pStyle w:val="NormalWeb"/>
        <w:spacing w:before="0" w:beforeAutospacing="0" w:line="360" w:lineRule="auto"/>
      </w:pPr>
      <w:r w:rsidRPr="00B25D0F">
        <w:rPr>
          <w:b/>
          <w:bCs/>
          <w:lang w:val="en-US"/>
        </w:rPr>
        <w:t xml:space="preserve">Table </w:t>
      </w:r>
      <w:r w:rsidR="005E2A0C">
        <w:rPr>
          <w:b/>
          <w:bCs/>
          <w:lang w:val="en-US"/>
        </w:rPr>
        <w:t>4</w:t>
      </w:r>
      <w:r w:rsidRPr="00B25D0F">
        <w:rPr>
          <w:b/>
          <w:bCs/>
          <w:lang w:val="en-US"/>
        </w:rPr>
        <w:t xml:space="preserve">: </w:t>
      </w:r>
      <w:r w:rsidRPr="00B25D0F">
        <w:rPr>
          <w:lang w:val="en-US"/>
        </w:rPr>
        <w:t>Frequency Distribution of Barriers to Mutual Fund Investment</w:t>
      </w:r>
      <w:r w:rsidRPr="00B25D0F">
        <w:rPr>
          <w:lang w:val="en-US"/>
        </w:rPr>
        <w:br/>
      </w:r>
      <w:r w:rsidRPr="00B25D0F">
        <w:rPr>
          <w:b/>
          <w:bCs/>
          <w:i/>
          <w:iCs/>
          <w:lang w:val="en-US"/>
        </w:rPr>
        <w:t>Source:</w:t>
      </w:r>
      <w:r w:rsidRPr="00B25D0F">
        <w:rPr>
          <w:i/>
          <w:iCs/>
          <w:lang w:val="en-US"/>
        </w:rPr>
        <w:t xml:space="preserve"> Compiled by author using SPSS output</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232"/>
        <w:gridCol w:w="2083"/>
        <w:gridCol w:w="1218"/>
        <w:gridCol w:w="1728"/>
        <w:gridCol w:w="1765"/>
      </w:tblGrid>
      <w:tr w:rsidR="00881C3A" w:rsidRPr="00B25D0F" w14:paraId="3EF74682" w14:textId="77777777" w:rsidTr="00881C3A">
        <w:trPr>
          <w:cantSplit/>
        </w:trPr>
        <w:tc>
          <w:tcPr>
            <w:tcW w:w="0" w:type="auto"/>
            <w:gridSpan w:val="5"/>
            <w:tcBorders>
              <w:top w:val="nil"/>
              <w:left w:val="nil"/>
              <w:bottom w:val="nil"/>
              <w:right w:val="nil"/>
            </w:tcBorders>
            <w:shd w:val="clear" w:color="auto" w:fill="FFFFFF"/>
            <w:vAlign w:val="center"/>
          </w:tcPr>
          <w:p w14:paraId="7899CA6A" w14:textId="77777777" w:rsidR="00881C3A" w:rsidRPr="00B25D0F" w:rsidRDefault="00881C3A" w:rsidP="00B25D0F">
            <w:pPr>
              <w:spacing w:after="0"/>
              <w:jc w:val="left"/>
              <w:rPr>
                <w:sz w:val="24"/>
                <w:szCs w:val="24"/>
                <w:lang w:val="en-IN"/>
              </w:rPr>
            </w:pPr>
            <w:r w:rsidRPr="00B25D0F">
              <w:rPr>
                <w:b/>
                <w:bCs/>
                <w:sz w:val="24"/>
                <w:szCs w:val="24"/>
                <w:lang w:val="en-IN"/>
              </w:rPr>
              <w:t>$</w:t>
            </w:r>
            <w:proofErr w:type="spellStart"/>
            <w:r w:rsidRPr="00B25D0F">
              <w:rPr>
                <w:b/>
                <w:bCs/>
                <w:sz w:val="24"/>
                <w:szCs w:val="24"/>
                <w:lang w:val="en-IN"/>
              </w:rPr>
              <w:t>BarriersSet</w:t>
            </w:r>
            <w:proofErr w:type="spellEnd"/>
            <w:r w:rsidRPr="00B25D0F">
              <w:rPr>
                <w:b/>
                <w:bCs/>
                <w:sz w:val="24"/>
                <w:szCs w:val="24"/>
                <w:lang w:val="en-IN"/>
              </w:rPr>
              <w:t xml:space="preserve"> Frequencies</w:t>
            </w:r>
          </w:p>
        </w:tc>
      </w:tr>
      <w:tr w:rsidR="00881C3A" w:rsidRPr="00B25D0F" w14:paraId="28F9226B" w14:textId="77777777" w:rsidTr="00881C3A">
        <w:trPr>
          <w:cantSplit/>
        </w:trPr>
        <w:tc>
          <w:tcPr>
            <w:tcW w:w="0" w:type="auto"/>
            <w:gridSpan w:val="2"/>
            <w:vMerge w:val="restart"/>
            <w:tcBorders>
              <w:top w:val="nil"/>
              <w:left w:val="nil"/>
              <w:bottom w:val="nil"/>
              <w:right w:val="nil"/>
            </w:tcBorders>
            <w:shd w:val="clear" w:color="auto" w:fill="FFFFFF"/>
            <w:vAlign w:val="bottom"/>
          </w:tcPr>
          <w:p w14:paraId="2F58C8C3" w14:textId="77777777" w:rsidR="00881C3A" w:rsidRPr="00B25D0F" w:rsidRDefault="00881C3A" w:rsidP="00B25D0F">
            <w:pPr>
              <w:spacing w:after="0"/>
              <w:jc w:val="left"/>
              <w:rPr>
                <w:sz w:val="24"/>
                <w:szCs w:val="24"/>
                <w:lang w:val="en-IN"/>
              </w:rPr>
            </w:pPr>
          </w:p>
        </w:tc>
        <w:tc>
          <w:tcPr>
            <w:tcW w:w="0" w:type="auto"/>
            <w:gridSpan w:val="2"/>
            <w:tcBorders>
              <w:top w:val="nil"/>
              <w:left w:val="nil"/>
              <w:bottom w:val="nil"/>
              <w:right w:val="nil"/>
            </w:tcBorders>
            <w:shd w:val="clear" w:color="auto" w:fill="FFFFFF"/>
            <w:vAlign w:val="bottom"/>
          </w:tcPr>
          <w:p w14:paraId="7C1AAB04" w14:textId="77777777" w:rsidR="00881C3A" w:rsidRPr="00B25D0F" w:rsidRDefault="00881C3A" w:rsidP="00B25D0F">
            <w:pPr>
              <w:spacing w:after="0"/>
              <w:jc w:val="left"/>
              <w:rPr>
                <w:sz w:val="24"/>
                <w:szCs w:val="24"/>
                <w:lang w:val="en-IN"/>
              </w:rPr>
            </w:pPr>
            <w:r w:rsidRPr="00B25D0F">
              <w:rPr>
                <w:sz w:val="24"/>
                <w:szCs w:val="24"/>
                <w:lang w:val="en-IN"/>
              </w:rPr>
              <w:t>Responses</w:t>
            </w:r>
          </w:p>
        </w:tc>
        <w:tc>
          <w:tcPr>
            <w:tcW w:w="0" w:type="auto"/>
            <w:vMerge w:val="restart"/>
            <w:tcBorders>
              <w:top w:val="nil"/>
              <w:left w:val="single" w:sz="8" w:space="0" w:color="E0E0E0"/>
              <w:bottom w:val="nil"/>
              <w:right w:val="nil"/>
            </w:tcBorders>
            <w:shd w:val="clear" w:color="auto" w:fill="FFFFFF"/>
            <w:vAlign w:val="bottom"/>
          </w:tcPr>
          <w:p w14:paraId="261FB1EA" w14:textId="77777777" w:rsidR="00881C3A" w:rsidRPr="00B25D0F" w:rsidRDefault="00881C3A" w:rsidP="00B25D0F">
            <w:pPr>
              <w:spacing w:after="0"/>
              <w:jc w:val="left"/>
              <w:rPr>
                <w:sz w:val="24"/>
                <w:szCs w:val="24"/>
                <w:lang w:val="en-IN"/>
              </w:rPr>
            </w:pPr>
            <w:r w:rsidRPr="00B25D0F">
              <w:rPr>
                <w:sz w:val="24"/>
                <w:szCs w:val="24"/>
                <w:lang w:val="en-IN"/>
              </w:rPr>
              <w:t>Percent of Cases</w:t>
            </w:r>
          </w:p>
        </w:tc>
      </w:tr>
      <w:tr w:rsidR="00881C3A" w:rsidRPr="00B25D0F" w14:paraId="6B9DAF8C" w14:textId="77777777" w:rsidTr="00881C3A">
        <w:trPr>
          <w:cantSplit/>
        </w:trPr>
        <w:tc>
          <w:tcPr>
            <w:tcW w:w="0" w:type="auto"/>
            <w:gridSpan w:val="2"/>
            <w:vMerge/>
            <w:tcBorders>
              <w:top w:val="nil"/>
              <w:left w:val="nil"/>
              <w:bottom w:val="nil"/>
              <w:right w:val="nil"/>
            </w:tcBorders>
            <w:shd w:val="clear" w:color="auto" w:fill="FFFFFF"/>
            <w:vAlign w:val="bottom"/>
          </w:tcPr>
          <w:p w14:paraId="78AA367D" w14:textId="77777777" w:rsidR="00881C3A" w:rsidRPr="00B25D0F" w:rsidRDefault="00881C3A" w:rsidP="00B25D0F">
            <w:pPr>
              <w:spacing w:after="0"/>
              <w:jc w:val="left"/>
              <w:rPr>
                <w:sz w:val="24"/>
                <w:szCs w:val="24"/>
                <w:lang w:val="en-IN"/>
              </w:rPr>
            </w:pPr>
          </w:p>
        </w:tc>
        <w:tc>
          <w:tcPr>
            <w:tcW w:w="0" w:type="auto"/>
            <w:tcBorders>
              <w:top w:val="nil"/>
              <w:left w:val="nil"/>
              <w:bottom w:val="single" w:sz="8" w:space="0" w:color="152935"/>
              <w:right w:val="nil"/>
            </w:tcBorders>
            <w:shd w:val="clear" w:color="auto" w:fill="FFFFFF"/>
            <w:vAlign w:val="bottom"/>
          </w:tcPr>
          <w:p w14:paraId="34F94E86" w14:textId="77777777" w:rsidR="00881C3A" w:rsidRPr="00B25D0F" w:rsidRDefault="00881C3A" w:rsidP="00B25D0F">
            <w:pPr>
              <w:spacing w:after="0"/>
              <w:jc w:val="left"/>
              <w:rPr>
                <w:sz w:val="24"/>
                <w:szCs w:val="24"/>
                <w:lang w:val="en-IN"/>
              </w:rPr>
            </w:pPr>
            <w:r w:rsidRPr="00B25D0F">
              <w:rPr>
                <w:sz w:val="24"/>
                <w:szCs w:val="24"/>
                <w:lang w:val="en-IN"/>
              </w:rPr>
              <w:t>N</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5B4640EC" w14:textId="77777777" w:rsidR="00881C3A" w:rsidRPr="00B25D0F" w:rsidRDefault="00881C3A" w:rsidP="00B25D0F">
            <w:pPr>
              <w:spacing w:after="0"/>
              <w:jc w:val="left"/>
              <w:rPr>
                <w:sz w:val="24"/>
                <w:szCs w:val="24"/>
                <w:lang w:val="en-IN"/>
              </w:rPr>
            </w:pPr>
            <w:r w:rsidRPr="00B25D0F">
              <w:rPr>
                <w:sz w:val="24"/>
                <w:szCs w:val="24"/>
                <w:lang w:val="en-IN"/>
              </w:rPr>
              <w:t>Percent</w:t>
            </w:r>
          </w:p>
        </w:tc>
        <w:tc>
          <w:tcPr>
            <w:tcW w:w="0" w:type="auto"/>
            <w:vMerge/>
            <w:tcBorders>
              <w:top w:val="nil"/>
              <w:left w:val="single" w:sz="8" w:space="0" w:color="E0E0E0"/>
              <w:bottom w:val="nil"/>
              <w:right w:val="nil"/>
            </w:tcBorders>
            <w:shd w:val="clear" w:color="auto" w:fill="FFFFFF"/>
            <w:vAlign w:val="bottom"/>
          </w:tcPr>
          <w:p w14:paraId="31357A32" w14:textId="77777777" w:rsidR="00881C3A" w:rsidRPr="00B25D0F" w:rsidRDefault="00881C3A" w:rsidP="00B25D0F">
            <w:pPr>
              <w:spacing w:after="0"/>
              <w:jc w:val="left"/>
              <w:rPr>
                <w:sz w:val="24"/>
                <w:szCs w:val="24"/>
                <w:lang w:val="en-IN"/>
              </w:rPr>
            </w:pPr>
          </w:p>
        </w:tc>
      </w:tr>
      <w:tr w:rsidR="00881C3A" w:rsidRPr="00B25D0F" w14:paraId="576AD18E" w14:textId="77777777" w:rsidTr="00881C3A">
        <w:trPr>
          <w:cantSplit/>
        </w:trPr>
        <w:tc>
          <w:tcPr>
            <w:tcW w:w="0" w:type="auto"/>
            <w:vMerge w:val="restart"/>
            <w:tcBorders>
              <w:top w:val="single" w:sz="8" w:space="0" w:color="152935"/>
              <w:left w:val="nil"/>
              <w:bottom w:val="single" w:sz="8" w:space="0" w:color="AEAEAE"/>
              <w:right w:val="nil"/>
            </w:tcBorders>
            <w:shd w:val="clear" w:color="auto" w:fill="E0E0E0"/>
          </w:tcPr>
          <w:p w14:paraId="1B647078" w14:textId="77777777" w:rsidR="00881C3A" w:rsidRPr="00B25D0F" w:rsidRDefault="00881C3A" w:rsidP="00B25D0F">
            <w:pPr>
              <w:spacing w:after="0"/>
              <w:jc w:val="left"/>
              <w:rPr>
                <w:sz w:val="24"/>
                <w:szCs w:val="24"/>
                <w:lang w:val="en-IN"/>
              </w:rPr>
            </w:pPr>
            <w:r w:rsidRPr="00B25D0F">
              <w:rPr>
                <w:sz w:val="24"/>
                <w:szCs w:val="24"/>
                <w:lang w:val="en-IN"/>
              </w:rPr>
              <w:t>$</w:t>
            </w:r>
            <w:proofErr w:type="spellStart"/>
            <w:r w:rsidRPr="00B25D0F">
              <w:rPr>
                <w:sz w:val="24"/>
                <w:szCs w:val="24"/>
                <w:lang w:val="en-IN"/>
              </w:rPr>
              <w:t>BarriersSet</w:t>
            </w:r>
            <w:r w:rsidRPr="00B25D0F">
              <w:rPr>
                <w:sz w:val="24"/>
                <w:szCs w:val="24"/>
                <w:vertAlign w:val="superscript"/>
                <w:lang w:val="en-IN"/>
              </w:rPr>
              <w:t>a</w:t>
            </w:r>
            <w:proofErr w:type="spellEnd"/>
          </w:p>
        </w:tc>
        <w:tc>
          <w:tcPr>
            <w:tcW w:w="0" w:type="auto"/>
            <w:tcBorders>
              <w:top w:val="single" w:sz="8" w:space="0" w:color="152935"/>
              <w:left w:val="nil"/>
              <w:bottom w:val="single" w:sz="8" w:space="0" w:color="AEAEAE"/>
              <w:right w:val="nil"/>
            </w:tcBorders>
            <w:shd w:val="clear" w:color="auto" w:fill="E0E0E0"/>
          </w:tcPr>
          <w:p w14:paraId="773B6091" w14:textId="77777777" w:rsidR="00881C3A" w:rsidRPr="00B25D0F" w:rsidRDefault="00881C3A" w:rsidP="00B25D0F">
            <w:pPr>
              <w:spacing w:after="0"/>
              <w:jc w:val="left"/>
              <w:rPr>
                <w:sz w:val="24"/>
                <w:szCs w:val="24"/>
                <w:lang w:val="en-IN"/>
              </w:rPr>
            </w:pPr>
            <w:r w:rsidRPr="00B25D0F">
              <w:rPr>
                <w:sz w:val="24"/>
                <w:szCs w:val="24"/>
                <w:lang w:val="en-IN"/>
              </w:rPr>
              <w:t>knowledge barriers</w:t>
            </w:r>
          </w:p>
        </w:tc>
        <w:tc>
          <w:tcPr>
            <w:tcW w:w="0" w:type="auto"/>
            <w:tcBorders>
              <w:top w:val="single" w:sz="8" w:space="0" w:color="152935"/>
              <w:left w:val="nil"/>
              <w:bottom w:val="single" w:sz="8" w:space="0" w:color="AEAEAE"/>
              <w:right w:val="nil"/>
            </w:tcBorders>
            <w:shd w:val="clear" w:color="auto" w:fill="FFFFFF"/>
          </w:tcPr>
          <w:p w14:paraId="3BF484A0" w14:textId="77777777" w:rsidR="00881C3A" w:rsidRPr="00B25D0F" w:rsidRDefault="00881C3A" w:rsidP="00B25D0F">
            <w:pPr>
              <w:spacing w:after="0"/>
              <w:jc w:val="left"/>
              <w:rPr>
                <w:sz w:val="24"/>
                <w:szCs w:val="24"/>
                <w:lang w:val="en-IN"/>
              </w:rPr>
            </w:pPr>
            <w:r w:rsidRPr="00B25D0F">
              <w:rPr>
                <w:sz w:val="24"/>
                <w:szCs w:val="24"/>
                <w:lang w:val="en-IN"/>
              </w:rPr>
              <w:t>15</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2E90C1F9" w14:textId="77777777" w:rsidR="00881C3A" w:rsidRPr="00B25D0F" w:rsidRDefault="00881C3A" w:rsidP="00B25D0F">
            <w:pPr>
              <w:spacing w:after="0"/>
              <w:jc w:val="left"/>
              <w:rPr>
                <w:sz w:val="24"/>
                <w:szCs w:val="24"/>
                <w:lang w:val="en-IN"/>
              </w:rPr>
            </w:pPr>
            <w:r w:rsidRPr="00B25D0F">
              <w:rPr>
                <w:sz w:val="24"/>
                <w:szCs w:val="24"/>
                <w:lang w:val="en-IN"/>
              </w:rPr>
              <w:t>46.9%</w:t>
            </w:r>
          </w:p>
        </w:tc>
        <w:tc>
          <w:tcPr>
            <w:tcW w:w="0" w:type="auto"/>
            <w:tcBorders>
              <w:top w:val="single" w:sz="8" w:space="0" w:color="152935"/>
              <w:left w:val="single" w:sz="8" w:space="0" w:color="E0E0E0"/>
              <w:bottom w:val="single" w:sz="8" w:space="0" w:color="AEAEAE"/>
              <w:right w:val="nil"/>
            </w:tcBorders>
            <w:shd w:val="clear" w:color="auto" w:fill="FFFFFF"/>
          </w:tcPr>
          <w:p w14:paraId="026E2AC1" w14:textId="77777777" w:rsidR="00881C3A" w:rsidRPr="00B25D0F" w:rsidRDefault="00881C3A" w:rsidP="00B25D0F">
            <w:pPr>
              <w:spacing w:after="0"/>
              <w:jc w:val="left"/>
              <w:rPr>
                <w:sz w:val="24"/>
                <w:szCs w:val="24"/>
                <w:lang w:val="en-IN"/>
              </w:rPr>
            </w:pPr>
            <w:r w:rsidRPr="00B25D0F">
              <w:rPr>
                <w:sz w:val="24"/>
                <w:szCs w:val="24"/>
                <w:lang w:val="en-IN"/>
              </w:rPr>
              <w:t>46.9%</w:t>
            </w:r>
          </w:p>
        </w:tc>
      </w:tr>
      <w:tr w:rsidR="00881C3A" w:rsidRPr="00B25D0F" w14:paraId="11D0CF1D" w14:textId="77777777" w:rsidTr="00881C3A">
        <w:trPr>
          <w:cantSplit/>
        </w:trPr>
        <w:tc>
          <w:tcPr>
            <w:tcW w:w="0" w:type="auto"/>
            <w:vMerge/>
            <w:tcBorders>
              <w:top w:val="single" w:sz="8" w:space="0" w:color="152935"/>
              <w:left w:val="nil"/>
              <w:bottom w:val="single" w:sz="8" w:space="0" w:color="AEAEAE"/>
              <w:right w:val="nil"/>
            </w:tcBorders>
            <w:shd w:val="clear" w:color="auto" w:fill="E0E0E0"/>
          </w:tcPr>
          <w:p w14:paraId="37F60B35" w14:textId="77777777" w:rsidR="00881C3A" w:rsidRPr="00B25D0F" w:rsidRDefault="00881C3A" w:rsidP="00B25D0F">
            <w:pPr>
              <w:spacing w:after="0"/>
              <w:jc w:val="left"/>
              <w:rPr>
                <w:sz w:val="24"/>
                <w:szCs w:val="24"/>
                <w:lang w:val="en-IN"/>
              </w:rPr>
            </w:pPr>
          </w:p>
        </w:tc>
        <w:tc>
          <w:tcPr>
            <w:tcW w:w="0" w:type="auto"/>
            <w:tcBorders>
              <w:top w:val="single" w:sz="8" w:space="0" w:color="AEAEAE"/>
              <w:left w:val="nil"/>
              <w:bottom w:val="single" w:sz="8" w:space="0" w:color="AEAEAE"/>
              <w:right w:val="nil"/>
            </w:tcBorders>
            <w:shd w:val="clear" w:color="auto" w:fill="E0E0E0"/>
          </w:tcPr>
          <w:p w14:paraId="7518B9D5" w14:textId="77777777" w:rsidR="00881C3A" w:rsidRPr="00B25D0F" w:rsidRDefault="00881C3A" w:rsidP="00B25D0F">
            <w:pPr>
              <w:spacing w:after="0"/>
              <w:jc w:val="left"/>
              <w:rPr>
                <w:sz w:val="24"/>
                <w:szCs w:val="24"/>
                <w:lang w:val="en-IN"/>
              </w:rPr>
            </w:pPr>
            <w:r w:rsidRPr="00B25D0F">
              <w:rPr>
                <w:sz w:val="24"/>
                <w:szCs w:val="24"/>
                <w:lang w:val="en-IN"/>
              </w:rPr>
              <w:t>savings barriers</w:t>
            </w:r>
          </w:p>
        </w:tc>
        <w:tc>
          <w:tcPr>
            <w:tcW w:w="0" w:type="auto"/>
            <w:tcBorders>
              <w:top w:val="single" w:sz="8" w:space="0" w:color="AEAEAE"/>
              <w:left w:val="nil"/>
              <w:bottom w:val="single" w:sz="8" w:space="0" w:color="AEAEAE"/>
              <w:right w:val="nil"/>
            </w:tcBorders>
            <w:shd w:val="clear" w:color="auto" w:fill="FFFFFF"/>
          </w:tcPr>
          <w:p w14:paraId="509E0874" w14:textId="77777777" w:rsidR="00881C3A" w:rsidRPr="00B25D0F" w:rsidRDefault="00881C3A" w:rsidP="00B25D0F">
            <w:pPr>
              <w:spacing w:after="0"/>
              <w:jc w:val="left"/>
              <w:rPr>
                <w:sz w:val="24"/>
                <w:szCs w:val="24"/>
                <w:lang w:val="en-IN"/>
              </w:rPr>
            </w:pPr>
            <w:r w:rsidRPr="00B25D0F">
              <w:rPr>
                <w:sz w:val="24"/>
                <w:szCs w:val="24"/>
                <w:lang w:val="en-IN"/>
              </w:rPr>
              <w:t>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9B72F84" w14:textId="77777777" w:rsidR="00881C3A" w:rsidRPr="00B25D0F" w:rsidRDefault="00881C3A" w:rsidP="00B25D0F">
            <w:pPr>
              <w:spacing w:after="0"/>
              <w:jc w:val="left"/>
              <w:rPr>
                <w:sz w:val="24"/>
                <w:szCs w:val="24"/>
                <w:lang w:val="en-IN"/>
              </w:rPr>
            </w:pPr>
            <w:r w:rsidRPr="00B25D0F">
              <w:rPr>
                <w:sz w:val="24"/>
                <w:szCs w:val="24"/>
                <w:lang w:val="en-IN"/>
              </w:rPr>
              <w:t>15.6%</w:t>
            </w:r>
          </w:p>
        </w:tc>
        <w:tc>
          <w:tcPr>
            <w:tcW w:w="0" w:type="auto"/>
            <w:tcBorders>
              <w:top w:val="single" w:sz="8" w:space="0" w:color="AEAEAE"/>
              <w:left w:val="single" w:sz="8" w:space="0" w:color="E0E0E0"/>
              <w:bottom w:val="single" w:sz="8" w:space="0" w:color="AEAEAE"/>
              <w:right w:val="nil"/>
            </w:tcBorders>
            <w:shd w:val="clear" w:color="auto" w:fill="FFFFFF"/>
          </w:tcPr>
          <w:p w14:paraId="63A6D1F0" w14:textId="77777777" w:rsidR="00881C3A" w:rsidRPr="00B25D0F" w:rsidRDefault="00881C3A" w:rsidP="00B25D0F">
            <w:pPr>
              <w:spacing w:after="0"/>
              <w:jc w:val="left"/>
              <w:rPr>
                <w:sz w:val="24"/>
                <w:szCs w:val="24"/>
                <w:lang w:val="en-IN"/>
              </w:rPr>
            </w:pPr>
            <w:r w:rsidRPr="00B25D0F">
              <w:rPr>
                <w:sz w:val="24"/>
                <w:szCs w:val="24"/>
                <w:lang w:val="en-IN"/>
              </w:rPr>
              <w:t>15.6%</w:t>
            </w:r>
          </w:p>
        </w:tc>
      </w:tr>
      <w:tr w:rsidR="00881C3A" w:rsidRPr="00B25D0F" w14:paraId="6FB96A4B" w14:textId="77777777" w:rsidTr="00881C3A">
        <w:trPr>
          <w:cantSplit/>
        </w:trPr>
        <w:tc>
          <w:tcPr>
            <w:tcW w:w="0" w:type="auto"/>
            <w:vMerge/>
            <w:tcBorders>
              <w:top w:val="single" w:sz="8" w:space="0" w:color="152935"/>
              <w:left w:val="nil"/>
              <w:bottom w:val="single" w:sz="8" w:space="0" w:color="AEAEAE"/>
              <w:right w:val="nil"/>
            </w:tcBorders>
            <w:shd w:val="clear" w:color="auto" w:fill="E0E0E0"/>
          </w:tcPr>
          <w:p w14:paraId="12A646BB" w14:textId="77777777" w:rsidR="00881C3A" w:rsidRPr="00B25D0F" w:rsidRDefault="00881C3A" w:rsidP="00B25D0F">
            <w:pPr>
              <w:spacing w:after="0"/>
              <w:jc w:val="left"/>
              <w:rPr>
                <w:sz w:val="24"/>
                <w:szCs w:val="24"/>
                <w:lang w:val="en-IN"/>
              </w:rPr>
            </w:pPr>
          </w:p>
        </w:tc>
        <w:tc>
          <w:tcPr>
            <w:tcW w:w="0" w:type="auto"/>
            <w:tcBorders>
              <w:top w:val="single" w:sz="8" w:space="0" w:color="AEAEAE"/>
              <w:left w:val="nil"/>
              <w:bottom w:val="single" w:sz="8" w:space="0" w:color="AEAEAE"/>
              <w:right w:val="nil"/>
            </w:tcBorders>
            <w:shd w:val="clear" w:color="auto" w:fill="E0E0E0"/>
          </w:tcPr>
          <w:p w14:paraId="0FF43A72" w14:textId="77777777" w:rsidR="00881C3A" w:rsidRPr="00B25D0F" w:rsidRDefault="00881C3A" w:rsidP="00B25D0F">
            <w:pPr>
              <w:spacing w:after="0"/>
              <w:jc w:val="left"/>
              <w:rPr>
                <w:sz w:val="24"/>
                <w:szCs w:val="24"/>
                <w:lang w:val="en-IN"/>
              </w:rPr>
            </w:pPr>
            <w:r w:rsidRPr="00B25D0F">
              <w:rPr>
                <w:sz w:val="24"/>
                <w:szCs w:val="24"/>
                <w:lang w:val="en-IN"/>
              </w:rPr>
              <w:t>trust barriers</w:t>
            </w:r>
          </w:p>
        </w:tc>
        <w:tc>
          <w:tcPr>
            <w:tcW w:w="0" w:type="auto"/>
            <w:tcBorders>
              <w:top w:val="single" w:sz="8" w:space="0" w:color="AEAEAE"/>
              <w:left w:val="nil"/>
              <w:bottom w:val="single" w:sz="8" w:space="0" w:color="AEAEAE"/>
              <w:right w:val="nil"/>
            </w:tcBorders>
            <w:shd w:val="clear" w:color="auto" w:fill="FFFFFF"/>
          </w:tcPr>
          <w:p w14:paraId="2772D7F8" w14:textId="77777777" w:rsidR="00881C3A" w:rsidRPr="00B25D0F" w:rsidRDefault="00881C3A" w:rsidP="00B25D0F">
            <w:pPr>
              <w:spacing w:after="0"/>
              <w:jc w:val="left"/>
              <w:rPr>
                <w:sz w:val="24"/>
                <w:szCs w:val="24"/>
                <w:lang w:val="en-IN"/>
              </w:rPr>
            </w:pPr>
            <w:r w:rsidRPr="00B25D0F">
              <w:rPr>
                <w:sz w:val="24"/>
                <w:szCs w:val="24"/>
                <w:lang w:val="en-IN"/>
              </w:rPr>
              <w:t>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BD4138A" w14:textId="77777777" w:rsidR="00881C3A" w:rsidRPr="00B25D0F" w:rsidRDefault="00881C3A" w:rsidP="00B25D0F">
            <w:pPr>
              <w:spacing w:after="0"/>
              <w:jc w:val="left"/>
              <w:rPr>
                <w:sz w:val="24"/>
                <w:szCs w:val="24"/>
                <w:lang w:val="en-IN"/>
              </w:rPr>
            </w:pPr>
            <w:r w:rsidRPr="00B25D0F">
              <w:rPr>
                <w:sz w:val="24"/>
                <w:szCs w:val="24"/>
                <w:lang w:val="en-IN"/>
              </w:rPr>
              <w:t>6.3%</w:t>
            </w:r>
          </w:p>
        </w:tc>
        <w:tc>
          <w:tcPr>
            <w:tcW w:w="0" w:type="auto"/>
            <w:tcBorders>
              <w:top w:val="single" w:sz="8" w:space="0" w:color="AEAEAE"/>
              <w:left w:val="single" w:sz="8" w:space="0" w:color="E0E0E0"/>
              <w:bottom w:val="single" w:sz="8" w:space="0" w:color="AEAEAE"/>
              <w:right w:val="nil"/>
            </w:tcBorders>
            <w:shd w:val="clear" w:color="auto" w:fill="FFFFFF"/>
          </w:tcPr>
          <w:p w14:paraId="11FE9C28" w14:textId="77777777" w:rsidR="00881C3A" w:rsidRPr="00B25D0F" w:rsidRDefault="00881C3A" w:rsidP="00B25D0F">
            <w:pPr>
              <w:spacing w:after="0"/>
              <w:jc w:val="left"/>
              <w:rPr>
                <w:sz w:val="24"/>
                <w:szCs w:val="24"/>
                <w:lang w:val="en-IN"/>
              </w:rPr>
            </w:pPr>
            <w:r w:rsidRPr="00B25D0F">
              <w:rPr>
                <w:sz w:val="24"/>
                <w:szCs w:val="24"/>
                <w:lang w:val="en-IN"/>
              </w:rPr>
              <w:t>6.3%</w:t>
            </w:r>
          </w:p>
        </w:tc>
      </w:tr>
      <w:tr w:rsidR="00881C3A" w:rsidRPr="00B25D0F" w14:paraId="06E59E83" w14:textId="77777777" w:rsidTr="00881C3A">
        <w:trPr>
          <w:cantSplit/>
        </w:trPr>
        <w:tc>
          <w:tcPr>
            <w:tcW w:w="0" w:type="auto"/>
            <w:vMerge/>
            <w:tcBorders>
              <w:top w:val="single" w:sz="8" w:space="0" w:color="152935"/>
              <w:left w:val="nil"/>
              <w:bottom w:val="single" w:sz="8" w:space="0" w:color="AEAEAE"/>
              <w:right w:val="nil"/>
            </w:tcBorders>
            <w:shd w:val="clear" w:color="auto" w:fill="E0E0E0"/>
          </w:tcPr>
          <w:p w14:paraId="372FAF31" w14:textId="77777777" w:rsidR="00881C3A" w:rsidRPr="00B25D0F" w:rsidRDefault="00881C3A" w:rsidP="00B25D0F">
            <w:pPr>
              <w:spacing w:after="0"/>
              <w:jc w:val="left"/>
              <w:rPr>
                <w:sz w:val="24"/>
                <w:szCs w:val="24"/>
                <w:lang w:val="en-IN"/>
              </w:rPr>
            </w:pPr>
          </w:p>
        </w:tc>
        <w:tc>
          <w:tcPr>
            <w:tcW w:w="0" w:type="auto"/>
            <w:tcBorders>
              <w:top w:val="single" w:sz="8" w:space="0" w:color="AEAEAE"/>
              <w:left w:val="nil"/>
              <w:bottom w:val="single" w:sz="8" w:space="0" w:color="AEAEAE"/>
              <w:right w:val="nil"/>
            </w:tcBorders>
            <w:shd w:val="clear" w:color="auto" w:fill="E0E0E0"/>
          </w:tcPr>
          <w:p w14:paraId="3B60ACAA" w14:textId="77777777" w:rsidR="00881C3A" w:rsidRPr="00B25D0F" w:rsidRDefault="00881C3A" w:rsidP="00B25D0F">
            <w:pPr>
              <w:spacing w:after="0"/>
              <w:jc w:val="left"/>
              <w:rPr>
                <w:sz w:val="24"/>
                <w:szCs w:val="24"/>
                <w:lang w:val="en-IN"/>
              </w:rPr>
            </w:pPr>
            <w:r w:rsidRPr="00B25D0F">
              <w:rPr>
                <w:sz w:val="24"/>
                <w:szCs w:val="24"/>
                <w:lang w:val="en-IN"/>
              </w:rPr>
              <w:t>financial loss barriers</w:t>
            </w:r>
          </w:p>
        </w:tc>
        <w:tc>
          <w:tcPr>
            <w:tcW w:w="0" w:type="auto"/>
            <w:tcBorders>
              <w:top w:val="single" w:sz="8" w:space="0" w:color="AEAEAE"/>
              <w:left w:val="nil"/>
              <w:bottom w:val="single" w:sz="8" w:space="0" w:color="AEAEAE"/>
              <w:right w:val="nil"/>
            </w:tcBorders>
            <w:shd w:val="clear" w:color="auto" w:fill="FFFFFF"/>
          </w:tcPr>
          <w:p w14:paraId="06CCC2A3" w14:textId="77777777" w:rsidR="00881C3A" w:rsidRPr="00B25D0F" w:rsidRDefault="00881C3A" w:rsidP="00B25D0F">
            <w:pPr>
              <w:spacing w:after="0"/>
              <w:jc w:val="left"/>
              <w:rPr>
                <w:sz w:val="24"/>
                <w:szCs w:val="24"/>
                <w:lang w:val="en-IN"/>
              </w:rPr>
            </w:pPr>
            <w:r w:rsidRPr="00B25D0F">
              <w:rPr>
                <w:sz w:val="24"/>
                <w:szCs w:val="24"/>
                <w:lang w:val="en-IN"/>
              </w:rPr>
              <w:t>10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853A8A0" w14:textId="77777777" w:rsidR="00881C3A" w:rsidRPr="00B25D0F" w:rsidRDefault="00881C3A" w:rsidP="00B25D0F">
            <w:pPr>
              <w:spacing w:after="0"/>
              <w:jc w:val="left"/>
              <w:rPr>
                <w:sz w:val="24"/>
                <w:szCs w:val="24"/>
                <w:lang w:val="en-IN"/>
              </w:rPr>
            </w:pPr>
            <w:r w:rsidRPr="00B25D0F">
              <w:rPr>
                <w:sz w:val="24"/>
                <w:szCs w:val="24"/>
                <w:lang w:val="en-IN"/>
              </w:rPr>
              <w:t>31.3%</w:t>
            </w:r>
          </w:p>
        </w:tc>
        <w:tc>
          <w:tcPr>
            <w:tcW w:w="0" w:type="auto"/>
            <w:tcBorders>
              <w:top w:val="single" w:sz="8" w:space="0" w:color="AEAEAE"/>
              <w:left w:val="single" w:sz="8" w:space="0" w:color="E0E0E0"/>
              <w:bottom w:val="single" w:sz="8" w:space="0" w:color="AEAEAE"/>
              <w:right w:val="nil"/>
            </w:tcBorders>
            <w:shd w:val="clear" w:color="auto" w:fill="FFFFFF"/>
          </w:tcPr>
          <w:p w14:paraId="3C78F1EB" w14:textId="77777777" w:rsidR="00881C3A" w:rsidRPr="00B25D0F" w:rsidRDefault="00881C3A" w:rsidP="00B25D0F">
            <w:pPr>
              <w:spacing w:after="0"/>
              <w:jc w:val="left"/>
              <w:rPr>
                <w:sz w:val="24"/>
                <w:szCs w:val="24"/>
                <w:lang w:val="en-IN"/>
              </w:rPr>
            </w:pPr>
            <w:r w:rsidRPr="00B25D0F">
              <w:rPr>
                <w:sz w:val="24"/>
                <w:szCs w:val="24"/>
                <w:lang w:val="en-IN"/>
              </w:rPr>
              <w:t>31.3%</w:t>
            </w:r>
          </w:p>
        </w:tc>
      </w:tr>
      <w:tr w:rsidR="00881C3A" w:rsidRPr="00B25D0F" w14:paraId="406C209F" w14:textId="77777777" w:rsidTr="00881C3A">
        <w:trPr>
          <w:cantSplit/>
        </w:trPr>
        <w:tc>
          <w:tcPr>
            <w:tcW w:w="0" w:type="auto"/>
            <w:gridSpan w:val="2"/>
            <w:tcBorders>
              <w:top w:val="single" w:sz="8" w:space="0" w:color="AEAEAE"/>
              <w:left w:val="nil"/>
              <w:bottom w:val="single" w:sz="8" w:space="0" w:color="152935"/>
              <w:right w:val="nil"/>
            </w:tcBorders>
            <w:shd w:val="clear" w:color="auto" w:fill="E0E0E0"/>
          </w:tcPr>
          <w:p w14:paraId="31FECEC6" w14:textId="77777777" w:rsidR="00881C3A" w:rsidRPr="00B25D0F" w:rsidRDefault="00881C3A" w:rsidP="00B25D0F">
            <w:pPr>
              <w:spacing w:after="0"/>
              <w:jc w:val="left"/>
              <w:rPr>
                <w:sz w:val="24"/>
                <w:szCs w:val="24"/>
                <w:lang w:val="en-IN"/>
              </w:rPr>
            </w:pPr>
            <w:r w:rsidRPr="00B25D0F">
              <w:rPr>
                <w:sz w:val="24"/>
                <w:szCs w:val="24"/>
                <w:lang w:val="en-IN"/>
              </w:rPr>
              <w:t>Total</w:t>
            </w:r>
          </w:p>
        </w:tc>
        <w:tc>
          <w:tcPr>
            <w:tcW w:w="0" w:type="auto"/>
            <w:tcBorders>
              <w:top w:val="single" w:sz="8" w:space="0" w:color="AEAEAE"/>
              <w:left w:val="nil"/>
              <w:bottom w:val="single" w:sz="8" w:space="0" w:color="152935"/>
              <w:right w:val="nil"/>
            </w:tcBorders>
            <w:shd w:val="clear" w:color="auto" w:fill="FFFFFF"/>
          </w:tcPr>
          <w:p w14:paraId="174F4AD6" w14:textId="77777777" w:rsidR="00881C3A" w:rsidRPr="00B25D0F" w:rsidRDefault="00881C3A" w:rsidP="00B25D0F">
            <w:pPr>
              <w:spacing w:after="0"/>
              <w:jc w:val="left"/>
              <w:rPr>
                <w:sz w:val="24"/>
                <w:szCs w:val="24"/>
                <w:lang w:val="en-IN"/>
              </w:rPr>
            </w:pPr>
            <w:r w:rsidRPr="00B25D0F">
              <w:rPr>
                <w:sz w:val="24"/>
                <w:szCs w:val="24"/>
                <w:lang w:val="en-IN"/>
              </w:rPr>
              <w:t>32</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57F6C377" w14:textId="77777777" w:rsidR="00881C3A" w:rsidRPr="00B25D0F" w:rsidRDefault="00881C3A" w:rsidP="00B25D0F">
            <w:pPr>
              <w:spacing w:after="0"/>
              <w:jc w:val="left"/>
              <w:rPr>
                <w:sz w:val="24"/>
                <w:szCs w:val="24"/>
                <w:lang w:val="en-IN"/>
              </w:rPr>
            </w:pPr>
            <w:r w:rsidRPr="00B25D0F">
              <w:rPr>
                <w:sz w:val="24"/>
                <w:szCs w:val="24"/>
                <w:lang w:val="en-IN"/>
              </w:rPr>
              <w:t>100.0%</w:t>
            </w:r>
          </w:p>
        </w:tc>
        <w:tc>
          <w:tcPr>
            <w:tcW w:w="0" w:type="auto"/>
            <w:tcBorders>
              <w:top w:val="single" w:sz="8" w:space="0" w:color="AEAEAE"/>
              <w:left w:val="single" w:sz="8" w:space="0" w:color="E0E0E0"/>
              <w:bottom w:val="single" w:sz="8" w:space="0" w:color="152935"/>
              <w:right w:val="nil"/>
            </w:tcBorders>
            <w:shd w:val="clear" w:color="auto" w:fill="FFFFFF"/>
          </w:tcPr>
          <w:p w14:paraId="30B59043" w14:textId="77777777" w:rsidR="00881C3A" w:rsidRPr="00B25D0F" w:rsidRDefault="00881C3A" w:rsidP="00B25D0F">
            <w:pPr>
              <w:spacing w:after="0"/>
              <w:jc w:val="left"/>
              <w:rPr>
                <w:sz w:val="24"/>
                <w:szCs w:val="24"/>
                <w:lang w:val="en-IN"/>
              </w:rPr>
            </w:pPr>
            <w:r w:rsidRPr="00B25D0F">
              <w:rPr>
                <w:sz w:val="24"/>
                <w:szCs w:val="24"/>
                <w:lang w:val="en-IN"/>
              </w:rPr>
              <w:t>100.0%</w:t>
            </w:r>
          </w:p>
        </w:tc>
      </w:tr>
      <w:tr w:rsidR="00881C3A" w:rsidRPr="00B25D0F" w14:paraId="33D78587" w14:textId="77777777" w:rsidTr="00881C3A">
        <w:trPr>
          <w:cantSplit/>
        </w:trPr>
        <w:tc>
          <w:tcPr>
            <w:tcW w:w="0" w:type="auto"/>
            <w:gridSpan w:val="5"/>
            <w:tcBorders>
              <w:top w:val="nil"/>
              <w:left w:val="nil"/>
              <w:bottom w:val="nil"/>
              <w:right w:val="nil"/>
            </w:tcBorders>
            <w:shd w:val="clear" w:color="auto" w:fill="FFFFFF"/>
          </w:tcPr>
          <w:p w14:paraId="0F2C5C24" w14:textId="77777777" w:rsidR="00881C3A" w:rsidRPr="00B25D0F" w:rsidRDefault="00881C3A" w:rsidP="00B25D0F">
            <w:pPr>
              <w:spacing w:after="0"/>
              <w:jc w:val="left"/>
              <w:rPr>
                <w:sz w:val="24"/>
                <w:szCs w:val="24"/>
                <w:lang w:val="en-IN"/>
              </w:rPr>
            </w:pPr>
            <w:r w:rsidRPr="00B25D0F">
              <w:rPr>
                <w:sz w:val="24"/>
                <w:szCs w:val="24"/>
                <w:lang w:val="en-IN"/>
              </w:rPr>
              <w:t>a. Dichotomy group tabulated at value 1.</w:t>
            </w:r>
          </w:p>
        </w:tc>
      </w:tr>
    </w:tbl>
    <w:p w14:paraId="6209A5D5" w14:textId="497A961F" w:rsidR="00827AC5" w:rsidRPr="00B25D0F" w:rsidRDefault="009E0EE9" w:rsidP="00B25D0F">
      <w:pPr>
        <w:pStyle w:val="NormalWeb"/>
        <w:spacing w:before="240" w:beforeAutospacing="0" w:line="360" w:lineRule="auto"/>
        <w:jc w:val="both"/>
      </w:pPr>
      <w:r w:rsidRPr="00B25D0F">
        <w:t>To investigate whether financial literacy affects the likelihood of reporting particular barriers the Chi-square tests of independence were used.</w:t>
      </w:r>
      <w:r w:rsidR="00A2581F" w:rsidRPr="00B25D0F">
        <w:t xml:space="preserve"> Although a moderate effect size indicated a possible relationship, the association between literacy and lack of knowledge was not statistically significant (χ²(2) = 4.62, p = 0.099). Financial loss barriers did not reach the 5% threshold, but they did exhibit a trend towards significance (χ²(2) = 4.71, p = 0.095). Financial loss barriers did not reach the 5% threshold, but they did exhibit a trend towards significance (χ²(2) = 4.71, p = 0.095). But </w:t>
      </w:r>
      <w:r w:rsidR="007F3B18" w:rsidRPr="00B25D0F">
        <w:t>a significant relationship emerged</w:t>
      </w:r>
      <w:r w:rsidR="00A2581F" w:rsidRPr="00B25D0F">
        <w:t xml:space="preserve"> between financial literacy and trust barriers (χ²(2) = 6.40, p = 0.041)</w:t>
      </w:r>
      <w:r w:rsidR="00AA2D38" w:rsidRPr="00B25D0F">
        <w:t xml:space="preserve"> (</w:t>
      </w:r>
      <w:r w:rsidR="00AA2D38" w:rsidRPr="00B25D0F">
        <w:rPr>
          <w:i/>
          <w:iCs/>
        </w:rPr>
        <w:t>see Table 6)</w:t>
      </w:r>
      <w:r w:rsidR="00A2581F" w:rsidRPr="00B25D0F">
        <w:t>, with respondents with intermediate literacy levels more likely to express mistrust of institutions.</w:t>
      </w:r>
    </w:p>
    <w:p w14:paraId="11B47175" w14:textId="19364BCE" w:rsidR="00A839E2" w:rsidRPr="00B25D0F" w:rsidRDefault="00A839E2" w:rsidP="00B25D0F">
      <w:pPr>
        <w:pStyle w:val="NormalWeb"/>
        <w:spacing w:before="0" w:beforeAutospacing="0" w:after="0" w:afterAutospacing="0" w:line="360" w:lineRule="auto"/>
        <w:jc w:val="both"/>
      </w:pPr>
      <w:r w:rsidRPr="00B25D0F">
        <w:rPr>
          <w:b/>
          <w:bCs/>
          <w:lang w:val="en-US"/>
        </w:rPr>
        <w:t xml:space="preserve">Table </w:t>
      </w:r>
      <w:r w:rsidR="005E2A0C">
        <w:rPr>
          <w:b/>
          <w:bCs/>
          <w:lang w:val="en-US"/>
        </w:rPr>
        <w:t>5</w:t>
      </w:r>
      <w:r w:rsidRPr="00B25D0F">
        <w:rPr>
          <w:b/>
          <w:bCs/>
          <w:lang w:val="en-US"/>
        </w:rPr>
        <w:t xml:space="preserve">: </w:t>
      </w:r>
      <w:r w:rsidRPr="00B25D0F">
        <w:rPr>
          <w:lang w:val="en-US"/>
        </w:rPr>
        <w:t>Chi-Square Tests of Association between Financial Literacy and Trust Barriers</w:t>
      </w:r>
      <w:r w:rsidRPr="00B25D0F">
        <w:rPr>
          <w:lang w:val="en-US"/>
        </w:rPr>
        <w:br/>
      </w:r>
      <w:r w:rsidRPr="00B25D0F">
        <w:rPr>
          <w:b/>
          <w:bCs/>
          <w:i/>
          <w:iCs/>
          <w:lang w:val="en-US"/>
        </w:rPr>
        <w:t>Source:</w:t>
      </w:r>
      <w:r w:rsidRPr="00B25D0F">
        <w:rPr>
          <w:i/>
          <w:iCs/>
          <w:lang w:val="en-US"/>
        </w:rPr>
        <w:t xml:space="preserve"> Compiled by author using SPSS output</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418"/>
        <w:gridCol w:w="747"/>
        <w:gridCol w:w="264"/>
        <w:gridCol w:w="3982"/>
      </w:tblGrid>
      <w:tr w:rsidR="00827AC5" w:rsidRPr="00B25D0F" w14:paraId="53E8E948" w14:textId="77777777" w:rsidTr="00827AC5">
        <w:trPr>
          <w:cantSplit/>
        </w:trPr>
        <w:tc>
          <w:tcPr>
            <w:tcW w:w="0" w:type="auto"/>
            <w:gridSpan w:val="4"/>
            <w:tcBorders>
              <w:top w:val="nil"/>
              <w:left w:val="nil"/>
              <w:bottom w:val="nil"/>
              <w:right w:val="nil"/>
            </w:tcBorders>
            <w:shd w:val="clear" w:color="auto" w:fill="FFFFFF"/>
            <w:vAlign w:val="center"/>
          </w:tcPr>
          <w:p w14:paraId="272BBC70" w14:textId="77777777" w:rsidR="00827AC5" w:rsidRPr="00B25D0F" w:rsidRDefault="00827AC5" w:rsidP="00B25D0F">
            <w:pPr>
              <w:pStyle w:val="NormalWeb"/>
              <w:spacing w:before="0" w:beforeAutospacing="0" w:after="0" w:afterAutospacing="0" w:line="360" w:lineRule="auto"/>
              <w:jc w:val="both"/>
            </w:pPr>
            <w:r w:rsidRPr="00B25D0F">
              <w:rPr>
                <w:b/>
                <w:bCs/>
              </w:rPr>
              <w:t>Chi-Square Tests</w:t>
            </w:r>
          </w:p>
        </w:tc>
      </w:tr>
      <w:tr w:rsidR="00827AC5" w:rsidRPr="00B25D0F" w14:paraId="35F7A09C" w14:textId="77777777" w:rsidTr="00827AC5">
        <w:trPr>
          <w:cantSplit/>
        </w:trPr>
        <w:tc>
          <w:tcPr>
            <w:tcW w:w="0" w:type="auto"/>
            <w:tcBorders>
              <w:top w:val="nil"/>
              <w:left w:val="nil"/>
              <w:bottom w:val="single" w:sz="8" w:space="0" w:color="152935"/>
              <w:right w:val="nil"/>
            </w:tcBorders>
            <w:shd w:val="clear" w:color="auto" w:fill="FFFFFF"/>
            <w:vAlign w:val="bottom"/>
          </w:tcPr>
          <w:p w14:paraId="294A4BC5" w14:textId="77777777" w:rsidR="00827AC5" w:rsidRPr="00B25D0F" w:rsidRDefault="00827AC5" w:rsidP="00B25D0F">
            <w:pPr>
              <w:pStyle w:val="NormalWeb"/>
              <w:spacing w:before="0" w:beforeAutospacing="0" w:after="0" w:afterAutospacing="0" w:line="360" w:lineRule="auto"/>
              <w:jc w:val="both"/>
            </w:pPr>
          </w:p>
        </w:tc>
        <w:tc>
          <w:tcPr>
            <w:tcW w:w="0" w:type="auto"/>
            <w:tcBorders>
              <w:top w:val="nil"/>
              <w:left w:val="nil"/>
              <w:bottom w:val="single" w:sz="8" w:space="0" w:color="152935"/>
              <w:right w:val="single" w:sz="8" w:space="0" w:color="E0E0E0"/>
            </w:tcBorders>
            <w:shd w:val="clear" w:color="auto" w:fill="FFFFFF"/>
            <w:vAlign w:val="bottom"/>
          </w:tcPr>
          <w:p w14:paraId="22498B87" w14:textId="77777777" w:rsidR="00827AC5" w:rsidRPr="00B25D0F" w:rsidRDefault="00827AC5" w:rsidP="00B25D0F">
            <w:pPr>
              <w:pStyle w:val="NormalWeb"/>
              <w:spacing w:before="0" w:beforeAutospacing="0" w:after="0" w:afterAutospacing="0" w:line="360" w:lineRule="auto"/>
              <w:jc w:val="both"/>
            </w:pPr>
            <w:r w:rsidRPr="00B25D0F">
              <w:t>Value</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7A7A6E0A" w14:textId="77777777" w:rsidR="00827AC5" w:rsidRPr="00B25D0F" w:rsidRDefault="00827AC5" w:rsidP="00B25D0F">
            <w:pPr>
              <w:pStyle w:val="NormalWeb"/>
              <w:spacing w:before="0" w:beforeAutospacing="0" w:after="0" w:afterAutospacing="0" w:line="360" w:lineRule="auto"/>
              <w:jc w:val="both"/>
            </w:pPr>
            <w:proofErr w:type="spellStart"/>
            <w:r w:rsidRPr="00B25D0F">
              <w:t>df</w:t>
            </w:r>
            <w:proofErr w:type="spellEnd"/>
          </w:p>
        </w:tc>
        <w:tc>
          <w:tcPr>
            <w:tcW w:w="0" w:type="auto"/>
            <w:tcBorders>
              <w:top w:val="nil"/>
              <w:left w:val="single" w:sz="8" w:space="0" w:color="E0E0E0"/>
              <w:bottom w:val="single" w:sz="8" w:space="0" w:color="152935"/>
              <w:right w:val="nil"/>
            </w:tcBorders>
            <w:shd w:val="clear" w:color="auto" w:fill="FFFFFF"/>
            <w:vAlign w:val="bottom"/>
          </w:tcPr>
          <w:p w14:paraId="45DC7815" w14:textId="77777777" w:rsidR="00827AC5" w:rsidRPr="00B25D0F" w:rsidRDefault="00827AC5" w:rsidP="00B25D0F">
            <w:pPr>
              <w:pStyle w:val="NormalWeb"/>
              <w:spacing w:before="0" w:beforeAutospacing="0" w:after="0" w:afterAutospacing="0" w:line="360" w:lineRule="auto"/>
              <w:jc w:val="both"/>
            </w:pPr>
            <w:r w:rsidRPr="00B25D0F">
              <w:t>Asymptotic Significance (2-sided)</w:t>
            </w:r>
          </w:p>
        </w:tc>
      </w:tr>
      <w:tr w:rsidR="00827AC5" w:rsidRPr="00B25D0F" w14:paraId="01619B94" w14:textId="77777777" w:rsidTr="00827AC5">
        <w:trPr>
          <w:cantSplit/>
        </w:trPr>
        <w:tc>
          <w:tcPr>
            <w:tcW w:w="0" w:type="auto"/>
            <w:tcBorders>
              <w:top w:val="single" w:sz="8" w:space="0" w:color="152935"/>
              <w:left w:val="nil"/>
              <w:bottom w:val="single" w:sz="8" w:space="0" w:color="AEAEAE"/>
              <w:right w:val="nil"/>
            </w:tcBorders>
            <w:shd w:val="clear" w:color="auto" w:fill="E0E0E0"/>
          </w:tcPr>
          <w:p w14:paraId="77D9587C" w14:textId="77777777" w:rsidR="00827AC5" w:rsidRPr="00B25D0F" w:rsidRDefault="00827AC5" w:rsidP="00B25D0F">
            <w:pPr>
              <w:pStyle w:val="NormalWeb"/>
              <w:spacing w:before="0" w:beforeAutospacing="0" w:after="0" w:afterAutospacing="0" w:line="360" w:lineRule="auto"/>
              <w:jc w:val="both"/>
            </w:pPr>
            <w:r w:rsidRPr="00B25D0F">
              <w:t>Pearson Chi-Square</w:t>
            </w:r>
          </w:p>
        </w:tc>
        <w:tc>
          <w:tcPr>
            <w:tcW w:w="0" w:type="auto"/>
            <w:tcBorders>
              <w:top w:val="single" w:sz="8" w:space="0" w:color="152935"/>
              <w:left w:val="nil"/>
              <w:bottom w:val="single" w:sz="8" w:space="0" w:color="AEAEAE"/>
              <w:right w:val="single" w:sz="8" w:space="0" w:color="E0E0E0"/>
            </w:tcBorders>
            <w:shd w:val="clear" w:color="auto" w:fill="FFFFFF"/>
          </w:tcPr>
          <w:p w14:paraId="682488C0" w14:textId="77777777" w:rsidR="00827AC5" w:rsidRPr="00B25D0F" w:rsidRDefault="00827AC5" w:rsidP="00B25D0F">
            <w:pPr>
              <w:pStyle w:val="NormalWeb"/>
              <w:spacing w:before="0" w:beforeAutospacing="0" w:after="0" w:afterAutospacing="0" w:line="360" w:lineRule="auto"/>
              <w:jc w:val="both"/>
            </w:pPr>
            <w:r w:rsidRPr="00B25D0F">
              <w:t>6.400</w:t>
            </w:r>
            <w:r w:rsidRPr="00B25D0F">
              <w:rPr>
                <w:vertAlign w:val="superscript"/>
              </w:rPr>
              <w:t>a</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5C9F29C1" w14:textId="77777777" w:rsidR="00827AC5" w:rsidRPr="00B25D0F" w:rsidRDefault="00827AC5" w:rsidP="00B25D0F">
            <w:pPr>
              <w:pStyle w:val="NormalWeb"/>
              <w:spacing w:before="0" w:beforeAutospacing="0" w:after="0" w:afterAutospacing="0" w:line="360" w:lineRule="auto"/>
              <w:jc w:val="both"/>
            </w:pPr>
            <w:r w:rsidRPr="00B25D0F">
              <w:t>2</w:t>
            </w:r>
          </w:p>
        </w:tc>
        <w:tc>
          <w:tcPr>
            <w:tcW w:w="0" w:type="auto"/>
            <w:tcBorders>
              <w:top w:val="single" w:sz="8" w:space="0" w:color="152935"/>
              <w:left w:val="single" w:sz="8" w:space="0" w:color="E0E0E0"/>
              <w:bottom w:val="single" w:sz="8" w:space="0" w:color="AEAEAE"/>
              <w:right w:val="nil"/>
            </w:tcBorders>
            <w:shd w:val="clear" w:color="auto" w:fill="FFFFFF"/>
          </w:tcPr>
          <w:p w14:paraId="6111C28E" w14:textId="77777777" w:rsidR="00827AC5" w:rsidRPr="00B25D0F" w:rsidRDefault="00827AC5" w:rsidP="00B25D0F">
            <w:pPr>
              <w:pStyle w:val="NormalWeb"/>
              <w:spacing w:before="0" w:beforeAutospacing="0" w:after="0" w:afterAutospacing="0" w:line="360" w:lineRule="auto"/>
              <w:jc w:val="both"/>
            </w:pPr>
            <w:r w:rsidRPr="00B25D0F">
              <w:t>.041</w:t>
            </w:r>
          </w:p>
        </w:tc>
      </w:tr>
      <w:tr w:rsidR="00827AC5" w:rsidRPr="00B25D0F" w14:paraId="53F958E1" w14:textId="77777777" w:rsidTr="00827AC5">
        <w:trPr>
          <w:cantSplit/>
        </w:trPr>
        <w:tc>
          <w:tcPr>
            <w:tcW w:w="0" w:type="auto"/>
            <w:tcBorders>
              <w:top w:val="single" w:sz="8" w:space="0" w:color="AEAEAE"/>
              <w:left w:val="nil"/>
              <w:bottom w:val="single" w:sz="8" w:space="0" w:color="AEAEAE"/>
              <w:right w:val="nil"/>
            </w:tcBorders>
            <w:shd w:val="clear" w:color="auto" w:fill="E0E0E0"/>
          </w:tcPr>
          <w:p w14:paraId="189A3603" w14:textId="77777777" w:rsidR="00827AC5" w:rsidRPr="00B25D0F" w:rsidRDefault="00827AC5" w:rsidP="00B25D0F">
            <w:pPr>
              <w:pStyle w:val="NormalWeb"/>
              <w:spacing w:before="0" w:beforeAutospacing="0" w:after="0" w:afterAutospacing="0" w:line="360" w:lineRule="auto"/>
              <w:jc w:val="both"/>
            </w:pPr>
            <w:r w:rsidRPr="00B25D0F">
              <w:t>Likelihood Ratio</w:t>
            </w:r>
          </w:p>
        </w:tc>
        <w:tc>
          <w:tcPr>
            <w:tcW w:w="0" w:type="auto"/>
            <w:tcBorders>
              <w:top w:val="single" w:sz="8" w:space="0" w:color="AEAEAE"/>
              <w:left w:val="nil"/>
              <w:bottom w:val="single" w:sz="8" w:space="0" w:color="AEAEAE"/>
              <w:right w:val="single" w:sz="8" w:space="0" w:color="E0E0E0"/>
            </w:tcBorders>
            <w:shd w:val="clear" w:color="auto" w:fill="FFFFFF"/>
          </w:tcPr>
          <w:p w14:paraId="6F16E23C" w14:textId="77777777" w:rsidR="00827AC5" w:rsidRPr="00B25D0F" w:rsidRDefault="00827AC5" w:rsidP="00B25D0F">
            <w:pPr>
              <w:pStyle w:val="NormalWeb"/>
              <w:spacing w:before="0" w:beforeAutospacing="0" w:after="0" w:afterAutospacing="0" w:line="360" w:lineRule="auto"/>
              <w:jc w:val="both"/>
            </w:pPr>
            <w:r w:rsidRPr="00B25D0F">
              <w:t>5.965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BF218A2" w14:textId="77777777" w:rsidR="00827AC5" w:rsidRPr="00B25D0F" w:rsidRDefault="00827AC5" w:rsidP="00B25D0F">
            <w:pPr>
              <w:pStyle w:val="NormalWeb"/>
              <w:spacing w:before="0" w:beforeAutospacing="0" w:after="0" w:afterAutospacing="0" w:line="360" w:lineRule="auto"/>
              <w:jc w:val="both"/>
            </w:pPr>
            <w:r w:rsidRPr="00B25D0F">
              <w:t>2</w:t>
            </w:r>
          </w:p>
        </w:tc>
        <w:tc>
          <w:tcPr>
            <w:tcW w:w="0" w:type="auto"/>
            <w:tcBorders>
              <w:top w:val="single" w:sz="8" w:space="0" w:color="AEAEAE"/>
              <w:left w:val="single" w:sz="8" w:space="0" w:color="E0E0E0"/>
              <w:bottom w:val="single" w:sz="8" w:space="0" w:color="AEAEAE"/>
              <w:right w:val="nil"/>
            </w:tcBorders>
            <w:shd w:val="clear" w:color="auto" w:fill="FFFFFF"/>
          </w:tcPr>
          <w:p w14:paraId="71A7F89B" w14:textId="77777777" w:rsidR="00827AC5" w:rsidRPr="00B25D0F" w:rsidRDefault="00827AC5" w:rsidP="00B25D0F">
            <w:pPr>
              <w:pStyle w:val="NormalWeb"/>
              <w:spacing w:before="0" w:beforeAutospacing="0" w:after="0" w:afterAutospacing="0" w:line="360" w:lineRule="auto"/>
              <w:jc w:val="both"/>
            </w:pPr>
            <w:r w:rsidRPr="00B25D0F">
              <w:t>.051</w:t>
            </w:r>
          </w:p>
        </w:tc>
      </w:tr>
      <w:tr w:rsidR="00827AC5" w:rsidRPr="00B25D0F" w14:paraId="15C3C355" w14:textId="77777777" w:rsidTr="00827AC5">
        <w:trPr>
          <w:cantSplit/>
        </w:trPr>
        <w:tc>
          <w:tcPr>
            <w:tcW w:w="0" w:type="auto"/>
            <w:tcBorders>
              <w:top w:val="single" w:sz="8" w:space="0" w:color="AEAEAE"/>
              <w:left w:val="nil"/>
              <w:bottom w:val="single" w:sz="8" w:space="0" w:color="AEAEAE"/>
              <w:right w:val="nil"/>
            </w:tcBorders>
            <w:shd w:val="clear" w:color="auto" w:fill="E0E0E0"/>
          </w:tcPr>
          <w:p w14:paraId="1FD39245" w14:textId="77777777" w:rsidR="00827AC5" w:rsidRPr="00B25D0F" w:rsidRDefault="00827AC5" w:rsidP="00B25D0F">
            <w:pPr>
              <w:pStyle w:val="NormalWeb"/>
              <w:spacing w:before="0" w:beforeAutospacing="0" w:after="0" w:afterAutospacing="0" w:line="360" w:lineRule="auto"/>
              <w:jc w:val="both"/>
            </w:pPr>
            <w:r w:rsidRPr="00B25D0F">
              <w:t>Linear-by-Linear Association</w:t>
            </w:r>
          </w:p>
        </w:tc>
        <w:tc>
          <w:tcPr>
            <w:tcW w:w="0" w:type="auto"/>
            <w:tcBorders>
              <w:top w:val="single" w:sz="8" w:space="0" w:color="AEAEAE"/>
              <w:left w:val="nil"/>
              <w:bottom w:val="single" w:sz="8" w:space="0" w:color="AEAEAE"/>
              <w:right w:val="single" w:sz="8" w:space="0" w:color="E0E0E0"/>
            </w:tcBorders>
            <w:shd w:val="clear" w:color="auto" w:fill="FFFFFF"/>
          </w:tcPr>
          <w:p w14:paraId="129F3570" w14:textId="77777777" w:rsidR="00827AC5" w:rsidRPr="00B25D0F" w:rsidRDefault="00827AC5" w:rsidP="00B25D0F">
            <w:pPr>
              <w:pStyle w:val="NormalWeb"/>
              <w:spacing w:before="0" w:beforeAutospacing="0" w:after="0" w:afterAutospacing="0" w:line="360" w:lineRule="auto"/>
              <w:jc w:val="both"/>
            </w:pPr>
            <w:r w:rsidRPr="00B25D0F">
              <w:t>2.246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0D1D166" w14:textId="77777777" w:rsidR="00827AC5" w:rsidRPr="00B25D0F" w:rsidRDefault="00827AC5" w:rsidP="00B25D0F">
            <w:pPr>
              <w:pStyle w:val="NormalWeb"/>
              <w:spacing w:before="0" w:beforeAutospacing="0" w:after="0" w:afterAutospacing="0" w:line="360" w:lineRule="auto"/>
              <w:jc w:val="both"/>
            </w:pPr>
            <w:r w:rsidRPr="00B25D0F">
              <w:t>1</w:t>
            </w:r>
          </w:p>
        </w:tc>
        <w:tc>
          <w:tcPr>
            <w:tcW w:w="0" w:type="auto"/>
            <w:tcBorders>
              <w:top w:val="single" w:sz="8" w:space="0" w:color="AEAEAE"/>
              <w:left w:val="single" w:sz="8" w:space="0" w:color="E0E0E0"/>
              <w:bottom w:val="single" w:sz="8" w:space="0" w:color="AEAEAE"/>
              <w:right w:val="nil"/>
            </w:tcBorders>
            <w:shd w:val="clear" w:color="auto" w:fill="FFFFFF"/>
          </w:tcPr>
          <w:p w14:paraId="0C5AE304" w14:textId="77777777" w:rsidR="00827AC5" w:rsidRPr="00B25D0F" w:rsidRDefault="00827AC5" w:rsidP="00B25D0F">
            <w:pPr>
              <w:pStyle w:val="NormalWeb"/>
              <w:spacing w:before="0" w:beforeAutospacing="0" w:after="0" w:afterAutospacing="0" w:line="360" w:lineRule="auto"/>
              <w:jc w:val="both"/>
            </w:pPr>
            <w:r w:rsidRPr="00B25D0F">
              <w:t>.134</w:t>
            </w:r>
          </w:p>
        </w:tc>
      </w:tr>
      <w:tr w:rsidR="00827AC5" w:rsidRPr="00B25D0F" w14:paraId="177CBC4C" w14:textId="77777777" w:rsidTr="00827AC5">
        <w:trPr>
          <w:cantSplit/>
        </w:trPr>
        <w:tc>
          <w:tcPr>
            <w:tcW w:w="0" w:type="auto"/>
            <w:tcBorders>
              <w:top w:val="single" w:sz="8" w:space="0" w:color="AEAEAE"/>
              <w:left w:val="nil"/>
              <w:bottom w:val="single" w:sz="8" w:space="0" w:color="152935"/>
              <w:right w:val="nil"/>
            </w:tcBorders>
            <w:shd w:val="clear" w:color="auto" w:fill="E0E0E0"/>
          </w:tcPr>
          <w:p w14:paraId="12295FAC" w14:textId="77777777" w:rsidR="00827AC5" w:rsidRPr="00B25D0F" w:rsidRDefault="00827AC5" w:rsidP="00B25D0F">
            <w:pPr>
              <w:pStyle w:val="NormalWeb"/>
              <w:spacing w:before="0" w:beforeAutospacing="0" w:after="0" w:afterAutospacing="0" w:line="360" w:lineRule="auto"/>
              <w:jc w:val="both"/>
            </w:pPr>
            <w:r w:rsidRPr="00B25D0F">
              <w:t>N of Valid Cases</w:t>
            </w:r>
          </w:p>
        </w:tc>
        <w:tc>
          <w:tcPr>
            <w:tcW w:w="0" w:type="auto"/>
            <w:tcBorders>
              <w:top w:val="single" w:sz="8" w:space="0" w:color="AEAEAE"/>
              <w:left w:val="nil"/>
              <w:bottom w:val="single" w:sz="8" w:space="0" w:color="152935"/>
              <w:right w:val="single" w:sz="8" w:space="0" w:color="E0E0E0"/>
            </w:tcBorders>
            <w:shd w:val="clear" w:color="auto" w:fill="FFFFFF"/>
          </w:tcPr>
          <w:p w14:paraId="584805C3" w14:textId="77777777" w:rsidR="00827AC5" w:rsidRPr="00B25D0F" w:rsidRDefault="00827AC5" w:rsidP="00B25D0F">
            <w:pPr>
              <w:pStyle w:val="NormalWeb"/>
              <w:spacing w:before="0" w:beforeAutospacing="0" w:after="0" w:afterAutospacing="0" w:line="360" w:lineRule="auto"/>
              <w:jc w:val="both"/>
            </w:pPr>
            <w:r w:rsidRPr="00B25D0F">
              <w:t>32</w:t>
            </w:r>
          </w:p>
        </w:tc>
        <w:tc>
          <w:tcPr>
            <w:tcW w:w="0" w:type="auto"/>
            <w:tcBorders>
              <w:top w:val="single" w:sz="8" w:space="0" w:color="AEAEAE"/>
              <w:left w:val="single" w:sz="8" w:space="0" w:color="E0E0E0"/>
              <w:bottom w:val="single" w:sz="8" w:space="0" w:color="152935"/>
              <w:right w:val="single" w:sz="8" w:space="0" w:color="E0E0E0"/>
            </w:tcBorders>
            <w:shd w:val="clear" w:color="auto" w:fill="FFFFFF"/>
            <w:vAlign w:val="center"/>
          </w:tcPr>
          <w:p w14:paraId="5E11FBD7" w14:textId="77777777" w:rsidR="00827AC5" w:rsidRPr="00B25D0F" w:rsidRDefault="00827AC5" w:rsidP="00B25D0F">
            <w:pPr>
              <w:pStyle w:val="NormalWeb"/>
              <w:spacing w:before="0" w:beforeAutospacing="0" w:after="0" w:afterAutospacing="0" w:line="360" w:lineRule="auto"/>
              <w:jc w:val="both"/>
            </w:pPr>
          </w:p>
        </w:tc>
        <w:tc>
          <w:tcPr>
            <w:tcW w:w="0" w:type="auto"/>
            <w:tcBorders>
              <w:top w:val="single" w:sz="8" w:space="0" w:color="AEAEAE"/>
              <w:left w:val="single" w:sz="8" w:space="0" w:color="E0E0E0"/>
              <w:bottom w:val="single" w:sz="8" w:space="0" w:color="152935"/>
              <w:right w:val="nil"/>
            </w:tcBorders>
            <w:shd w:val="clear" w:color="auto" w:fill="FFFFFF"/>
            <w:vAlign w:val="center"/>
          </w:tcPr>
          <w:p w14:paraId="72F76223" w14:textId="77777777" w:rsidR="00827AC5" w:rsidRPr="00B25D0F" w:rsidRDefault="00827AC5" w:rsidP="00B25D0F">
            <w:pPr>
              <w:pStyle w:val="NormalWeb"/>
              <w:spacing w:before="0" w:beforeAutospacing="0" w:after="0" w:afterAutospacing="0" w:line="360" w:lineRule="auto"/>
              <w:jc w:val="both"/>
            </w:pPr>
          </w:p>
        </w:tc>
      </w:tr>
      <w:tr w:rsidR="00827AC5" w:rsidRPr="00B25D0F" w14:paraId="54463A06" w14:textId="77777777" w:rsidTr="00827AC5">
        <w:trPr>
          <w:cantSplit/>
        </w:trPr>
        <w:tc>
          <w:tcPr>
            <w:tcW w:w="0" w:type="auto"/>
            <w:gridSpan w:val="4"/>
            <w:tcBorders>
              <w:top w:val="nil"/>
              <w:left w:val="nil"/>
              <w:bottom w:val="nil"/>
              <w:right w:val="nil"/>
            </w:tcBorders>
            <w:shd w:val="clear" w:color="auto" w:fill="FFFFFF"/>
          </w:tcPr>
          <w:p w14:paraId="27507286" w14:textId="77777777" w:rsidR="00827AC5" w:rsidRPr="00B25D0F" w:rsidRDefault="00827AC5" w:rsidP="00B25D0F">
            <w:pPr>
              <w:pStyle w:val="NormalWeb"/>
              <w:spacing w:before="0" w:beforeAutospacing="0" w:after="0" w:afterAutospacing="0" w:line="360" w:lineRule="auto"/>
              <w:jc w:val="both"/>
            </w:pPr>
            <w:r w:rsidRPr="00B25D0F">
              <w:lastRenderedPageBreak/>
              <w:t>a. 4 cells (66.7%) have expected count less than 5. The minimum expected count is .13.</w:t>
            </w:r>
          </w:p>
        </w:tc>
      </w:tr>
    </w:tbl>
    <w:p w14:paraId="252CCCA0" w14:textId="71E4C2CD" w:rsidR="00827AC5" w:rsidRPr="00B25D0F" w:rsidRDefault="00827AC5" w:rsidP="00B25D0F">
      <w:pPr>
        <w:pStyle w:val="NormalWeb"/>
        <w:spacing w:before="240" w:beforeAutospacing="0" w:line="360" w:lineRule="auto"/>
        <w:jc w:val="both"/>
      </w:pPr>
      <w:r w:rsidRPr="00B25D0F">
        <w:rPr>
          <w:b/>
          <w:bCs/>
        </w:rPr>
        <w:t>Interpretation:</w:t>
      </w:r>
      <w:r w:rsidRPr="00B25D0F">
        <w:t xml:space="preserve"> Although perceptions of knowledge and risk are common issues, the analysis shows that people with limited financial literacy are especially concerned about the lack of trust in financial institutions. This points to a paradoxical effect: while moderate literacy may lead to doubt without always resulting in participation, low financial awareness lowers participation because of ignorance. These results highlight the necessity of literacy campaigns and trust-building initiatives to encourage greater participation in mutual funds.</w:t>
      </w:r>
    </w:p>
    <w:p w14:paraId="50C6EFC3" w14:textId="5536805D" w:rsidR="005B3121" w:rsidRPr="00B25D0F" w:rsidRDefault="00ED7E65" w:rsidP="00B25D0F">
      <w:pPr>
        <w:pStyle w:val="NormalWeb"/>
        <w:spacing w:before="240" w:beforeAutospacing="0" w:line="360" w:lineRule="auto"/>
        <w:jc w:val="both"/>
      </w:pPr>
      <w:r w:rsidRPr="00B25D0F">
        <w:rPr>
          <w:b/>
          <w:bCs/>
        </w:rPr>
        <w:t xml:space="preserve">H3: </w:t>
      </w:r>
      <w:r w:rsidR="00F20E35" w:rsidRPr="00B25D0F">
        <w:t>Perceived barriers (knowledge, savings, trust, financial loss) significantly influence non-investors’ adoption of mutual funds is partially supported. Among the barriers, only the trust factors showed a statistically significant association.</w:t>
      </w:r>
    </w:p>
    <w:p w14:paraId="7CBBF075" w14:textId="0985A8C2" w:rsidR="007F3B18" w:rsidRPr="00B25D0F" w:rsidRDefault="001804CB" w:rsidP="00B25D0F">
      <w:pPr>
        <w:pStyle w:val="NormalWeb"/>
        <w:spacing w:before="0" w:beforeAutospacing="0" w:after="240" w:afterAutospacing="0" w:line="360" w:lineRule="auto"/>
        <w:jc w:val="both"/>
        <w:rPr>
          <w:b/>
          <w:bCs/>
        </w:rPr>
      </w:pPr>
      <w:r w:rsidRPr="00B25D0F">
        <w:rPr>
          <w:b/>
          <w:bCs/>
          <w:lang w:val="en-US"/>
        </w:rPr>
        <w:t>Findings and Discussion</w:t>
      </w:r>
    </w:p>
    <w:p w14:paraId="645C49D5" w14:textId="1BF43B4F" w:rsidR="007F3B18" w:rsidRPr="00B25D0F" w:rsidRDefault="00EF2EA0" w:rsidP="00B25D0F">
      <w:pPr>
        <w:pStyle w:val="NormalWeb"/>
        <w:spacing w:before="0" w:beforeAutospacing="0" w:after="240" w:afterAutospacing="0" w:line="360" w:lineRule="auto"/>
        <w:jc w:val="both"/>
      </w:pPr>
      <w:r w:rsidRPr="00B25D0F">
        <w:t xml:space="preserve">The present study examined the behavioural aspects of mutual funds investing among teachers in </w:t>
      </w:r>
      <w:proofErr w:type="spellStart"/>
      <w:r w:rsidRPr="00B25D0F">
        <w:t>Namsai</w:t>
      </w:r>
      <w:proofErr w:type="spellEnd"/>
      <w:r w:rsidRPr="00B25D0F">
        <w:t>, Arunachal Pradesh, India, with particular attention to gender disparities, herding tendencies, and the obstacles that keep non investors from adopting. The findings offer several significant important insights.</w:t>
      </w:r>
    </w:p>
    <w:p w14:paraId="673162BB" w14:textId="31966B99" w:rsidR="00EF2EA0" w:rsidRPr="00B25D0F" w:rsidRDefault="00EF2EA0" w:rsidP="00B25D0F">
      <w:pPr>
        <w:pStyle w:val="NormalWeb"/>
        <w:spacing w:before="0" w:beforeAutospacing="0" w:after="240" w:afterAutospacing="0" w:line="360" w:lineRule="auto"/>
        <w:jc w:val="both"/>
      </w:pPr>
      <w:r w:rsidRPr="00B25D0F">
        <w:t>First, a moderate level of herding was found overall (M = 3.30, SD = 0.62) based on the analysis of herding behaviour. This suggests that when making investment decisions, teachers generally rely heavily on peer pressure and general trends. The findings align with the literature on behavioural finance, which has repeatedly demonstrated that investors are not entirely logical agents and are frequently influenced by informational streams and behavioural signals (Ainia &amp; Lutfi, 2019; Nguyen et al., 2019).</w:t>
      </w:r>
      <w:r w:rsidR="00CC2699" w:rsidRPr="00B25D0F">
        <w:t xml:space="preserve"> Many investors perceive that instead of spending money on financial advisors or taking expert guidance, the better alternative is to simply follow others whom they consider more knowledgeable. This reliance allows them to avoid the effort of conducting their own investment analysis, ultimately leading to a stronger inclination towards herding behaviour.</w:t>
      </w:r>
    </w:p>
    <w:p w14:paraId="0E8CFE99" w14:textId="0292D77E" w:rsidR="00965CDC" w:rsidRPr="00B25D0F" w:rsidRDefault="00965CDC" w:rsidP="00B25D0F">
      <w:pPr>
        <w:pStyle w:val="NormalWeb"/>
        <w:spacing w:before="0" w:beforeAutospacing="0" w:after="240" w:afterAutospacing="0" w:line="360" w:lineRule="auto"/>
        <w:jc w:val="both"/>
      </w:pPr>
      <w:r w:rsidRPr="00B25D0F">
        <w:t xml:space="preserve">Second, a statistically significant gender difference in herding behaviour was found in the study, with female teachers showing stronger herding tendencies than male teachers (Mann–Whitney U = 760.5, p = 0.020). According to earlier studies, women are more likely to be risk averse and, as a result, to follow group decisions when it comes to money (Dickason &amp; Ferreira, 2018; Lawrenson &amp; Dickason-Koekemoer, 2020). Important implications of the findings </w:t>
      </w:r>
      <w:r w:rsidRPr="00B25D0F">
        <w:lastRenderedPageBreak/>
        <w:t>include the need for financial inclusion strategies</w:t>
      </w:r>
      <w:r w:rsidR="00864BAB" w:rsidRPr="00B25D0F">
        <w:t>,</w:t>
      </w:r>
      <w:r w:rsidRPr="00B25D0F">
        <w:t xml:space="preserve"> to recognise gendered differences in financial behaviour and create solutions that address women's dependence on peer networks while also empowering them with the ability to make independent financial decisions.</w:t>
      </w:r>
    </w:p>
    <w:p w14:paraId="4C757BC3" w14:textId="5705540F" w:rsidR="00965CDC" w:rsidRPr="00B25D0F" w:rsidRDefault="00965CDC" w:rsidP="00B25D0F">
      <w:pPr>
        <w:pStyle w:val="NormalWeb"/>
        <w:spacing w:before="0" w:beforeAutospacing="0" w:after="240" w:afterAutospacing="0" w:line="360" w:lineRule="auto"/>
        <w:jc w:val="both"/>
      </w:pPr>
      <w:r w:rsidRPr="00B25D0F">
        <w:t>Third, among respondents who did not invest, the most frequent obstacles were lack of knowledge (46.9%) and fear of financial loss (31.3%). Fewer respondents mentioned a lack of savings (15.6%) or a lack of trust (6.3%). This pattern demonstrates that psychological and informational barriers, are the main barriers to the adoption of mutual fund rather than just financial ones. Furthermore, the chi-square analysis showed a significant correlation between financial literacy levels and trust barriers (χ²(2) = 6.40, p = 0.041). It's interesting to note that respondents with intermediate literacy levels were more likely to express mistrust, indicating that having only a limited understanding of finance can lead to suspicion rather than confidence. According to behavioural finance research, "a little knowledge" can occasionally amplify uncertainty or mistrust, echoing this paradox (Waheed et al., 2020).</w:t>
      </w:r>
    </w:p>
    <w:p w14:paraId="3D6EF8DD" w14:textId="5814E6AB" w:rsidR="00823F3B" w:rsidRPr="00B25D0F" w:rsidRDefault="00823F3B" w:rsidP="00B25D0F">
      <w:pPr>
        <w:pStyle w:val="NormalWeb"/>
        <w:spacing w:before="0" w:beforeAutospacing="0" w:after="240" w:afterAutospacing="0" w:line="360" w:lineRule="auto"/>
        <w:jc w:val="both"/>
      </w:pPr>
      <w:r w:rsidRPr="00B25D0F">
        <w:t xml:space="preserve">Overall, the results show that teachers in semi-rural North-East India face contextual constraints (knowledge and trust barriers) and behavioural biases (herding) when making financial decisions. This identifies two major policy </w:t>
      </w:r>
      <w:r w:rsidR="00B61F9E" w:rsidRPr="00B25D0F">
        <w:t>priorities (</w:t>
      </w:r>
      <w:proofErr w:type="spellStart"/>
      <w:r w:rsidRPr="00B25D0F">
        <w:t>i</w:t>
      </w:r>
      <w:proofErr w:type="spellEnd"/>
      <w:r w:rsidRPr="00B25D0F">
        <w:t>) enhancing structured financial literacy programs that go beyond basic knowledge to develop analytical and evaluative skills, and (ii) creating mechanisms that increase trust, like transparent financial advisory systems and community-level awareness campaigns, that prevent an excessive dependence on unofficial peer networks.</w:t>
      </w:r>
    </w:p>
    <w:p w14:paraId="76200DCA" w14:textId="1EB9B57C" w:rsidR="00823F3B" w:rsidRPr="00B25D0F" w:rsidRDefault="00823F3B" w:rsidP="00B25D0F">
      <w:pPr>
        <w:pStyle w:val="NormalWeb"/>
        <w:spacing w:before="0" w:beforeAutospacing="0" w:after="240" w:afterAutospacing="0" w:line="360" w:lineRule="auto"/>
        <w:jc w:val="both"/>
      </w:pPr>
      <w:r w:rsidRPr="00B25D0F">
        <w:t>To sum up, this study not only provides empirical support for the behavioural finance literature, but it also provides useful advice on how to enable educators, who have a significant impact on how society behaves, to make autonomous and well-informed financial decisions. Achieving inclusive financial participation in India's semi-rural areas will require addressing herding tendencies, closing literacy gaps, and addressing trust deficits.</w:t>
      </w:r>
    </w:p>
    <w:p w14:paraId="1E2FC78A" w14:textId="50B109FD" w:rsidR="000940CD" w:rsidRPr="00B25D0F" w:rsidRDefault="000940CD" w:rsidP="00B25D0F">
      <w:pPr>
        <w:pStyle w:val="NormalWeb"/>
        <w:spacing w:before="0" w:beforeAutospacing="0" w:after="240" w:afterAutospacing="0" w:line="360" w:lineRule="auto"/>
        <w:jc w:val="both"/>
        <w:rPr>
          <w:b/>
          <w:bCs/>
        </w:rPr>
      </w:pPr>
      <w:r w:rsidRPr="00B25D0F">
        <w:rPr>
          <w:b/>
          <w:bCs/>
        </w:rPr>
        <w:t>Conclusion</w:t>
      </w:r>
    </w:p>
    <w:p w14:paraId="4F1132CE" w14:textId="63344CF0" w:rsidR="000940CD" w:rsidRPr="00B25D0F" w:rsidRDefault="0027739B" w:rsidP="00B25D0F">
      <w:pPr>
        <w:pStyle w:val="NormalWeb"/>
        <w:spacing w:before="0" w:beforeAutospacing="0" w:after="240" w:afterAutospacing="0" w:line="360" w:lineRule="auto"/>
        <w:jc w:val="both"/>
      </w:pPr>
      <w:r w:rsidRPr="00B25D0F">
        <w:t xml:space="preserve">This study looked at how teachers in semi-rural North-East India make mutual fund investment decisions based on perceived barriers, gender disparities, and </w:t>
      </w:r>
      <w:proofErr w:type="spellStart"/>
      <w:r w:rsidRPr="00B25D0F">
        <w:t>behavioral</w:t>
      </w:r>
      <w:proofErr w:type="spellEnd"/>
      <w:r w:rsidRPr="00B25D0F">
        <w:t xml:space="preserve"> biases. It examined gender-based disparities, herding tendencies, and the things that discourage non-investors from investing in mutual funds by drawing on </w:t>
      </w:r>
      <w:proofErr w:type="spellStart"/>
      <w:r w:rsidRPr="00B25D0F">
        <w:t>behavioral</w:t>
      </w:r>
      <w:proofErr w:type="spellEnd"/>
      <w:r w:rsidRPr="00B25D0F">
        <w:t xml:space="preserve"> finance theory.</w:t>
      </w:r>
    </w:p>
    <w:p w14:paraId="08C3A711" w14:textId="77777777" w:rsidR="0027739B" w:rsidRPr="00B25D0F" w:rsidRDefault="0027739B" w:rsidP="00B25D0F">
      <w:pPr>
        <w:pStyle w:val="NormalWeb"/>
        <w:spacing w:after="240" w:line="360" w:lineRule="auto"/>
        <w:jc w:val="both"/>
      </w:pPr>
      <w:r w:rsidRPr="00B25D0F">
        <w:lastRenderedPageBreak/>
        <w:t xml:space="preserve">The findings showed that teachers exhibited a moderate degree of herding </w:t>
      </w:r>
      <w:proofErr w:type="spellStart"/>
      <w:r w:rsidRPr="00B25D0F">
        <w:t>behavior</w:t>
      </w:r>
      <w:proofErr w:type="spellEnd"/>
      <w:r w:rsidRPr="00B25D0F">
        <w:t xml:space="preserve">, suggesting that many of them rely on peers and colleagues when making investment decisions. This research emphasizes the impact of social learning and group </w:t>
      </w:r>
      <w:proofErr w:type="spellStart"/>
      <w:r w:rsidRPr="00B25D0F">
        <w:t>behavior</w:t>
      </w:r>
      <w:proofErr w:type="spellEnd"/>
      <w:r w:rsidRPr="00B25D0F">
        <w:t xml:space="preserve"> in settings with limited access to trustworthy market information and financial advising support. Additionally, it lends validity to </w:t>
      </w:r>
      <w:proofErr w:type="spellStart"/>
      <w:r w:rsidRPr="00B25D0F">
        <w:t>behavioral</w:t>
      </w:r>
      <w:proofErr w:type="spellEnd"/>
      <w:r w:rsidRPr="00B25D0F">
        <w:t xml:space="preserve"> finance theory, which contends that investors frequently make decisions based more on emotional and psychological cues than on pure reason.</w:t>
      </w:r>
    </w:p>
    <w:p w14:paraId="5E44EB79" w14:textId="77777777" w:rsidR="00FF35B0" w:rsidRPr="00B25D0F" w:rsidRDefault="00FF35B0" w:rsidP="00B25D0F">
      <w:pPr>
        <w:pStyle w:val="NormalWeb"/>
        <w:spacing w:after="240" w:line="360" w:lineRule="auto"/>
        <w:jc w:val="both"/>
      </w:pPr>
      <w:r w:rsidRPr="00B25D0F">
        <w:t>Herding tendencies were shown to differ significantly by gender, with female teachers exhibiting a greater reliance on social opinions than male teachers. This finding is consistent with other research demonstrating that, in financial situations, women typically exhibit more risk aversion and a larger dependence on social validation. The results imply that gender-sensitive financial literacy initiatives could support female investors' confidence and autonomous decision-making.</w:t>
      </w:r>
    </w:p>
    <w:p w14:paraId="2CCF1B9C" w14:textId="77777777" w:rsidR="00F85E63" w:rsidRPr="00B25D0F" w:rsidRDefault="00F85E63" w:rsidP="00B25D0F">
      <w:pPr>
        <w:pStyle w:val="NormalWeb"/>
        <w:spacing w:after="240" w:line="360" w:lineRule="auto"/>
        <w:jc w:val="both"/>
      </w:pPr>
      <w:r w:rsidRPr="00B25D0F">
        <w:t>Lack of financial understanding and fear of financial loss were the most often mentioned obstacles among non-investors, followed by insufficient savings and mistrust of financial institutions. Interestingly, trust obstacles were found to be substantially correlated with financial literacy, indicating that a lack of understanding could result in mistrust regarding formal investing possibilities.</w:t>
      </w:r>
    </w:p>
    <w:p w14:paraId="3AF8E736" w14:textId="77777777" w:rsidR="00F85E63" w:rsidRPr="00B25D0F" w:rsidRDefault="00F85E63" w:rsidP="00B25D0F">
      <w:pPr>
        <w:pStyle w:val="NormalWeb"/>
        <w:spacing w:after="240" w:line="360" w:lineRule="auto"/>
        <w:jc w:val="both"/>
      </w:pPr>
      <w:r w:rsidRPr="00B25D0F">
        <w:t xml:space="preserve">The study's overall findings indicate that teachers in semi-rural India have psychological and </w:t>
      </w:r>
      <w:proofErr w:type="spellStart"/>
      <w:r w:rsidRPr="00B25D0F">
        <w:t>behavioral</w:t>
      </w:r>
      <w:proofErr w:type="spellEnd"/>
      <w:r w:rsidRPr="00B25D0F">
        <w:t xml:space="preserve"> obstacles when trying to participate in mutual funds. Reducing herding tendencies and improving educators' ability to make well-informed financial decisions can be achieved by boosting financial literacy, encouraging confidence in financial systems, and offering clear, trustworthy investing advice.</w:t>
      </w:r>
    </w:p>
    <w:p w14:paraId="0A40C73C" w14:textId="77777777" w:rsidR="00FB0547" w:rsidRPr="00B25D0F" w:rsidRDefault="00FB0547" w:rsidP="00B25D0F">
      <w:pPr>
        <w:pStyle w:val="NormalWeb"/>
        <w:spacing w:after="240" w:line="360" w:lineRule="auto"/>
        <w:jc w:val="both"/>
        <w:rPr>
          <w:b/>
          <w:bCs/>
        </w:rPr>
      </w:pPr>
    </w:p>
    <w:p w14:paraId="0153CEA2" w14:textId="77777777" w:rsidR="00FB0547" w:rsidRPr="00B25D0F" w:rsidRDefault="00FB0547" w:rsidP="00B25D0F">
      <w:pPr>
        <w:pStyle w:val="NormalWeb"/>
        <w:spacing w:after="240" w:line="360" w:lineRule="auto"/>
        <w:jc w:val="both"/>
        <w:rPr>
          <w:b/>
          <w:bCs/>
        </w:rPr>
      </w:pPr>
    </w:p>
    <w:p w14:paraId="11BD6A39" w14:textId="77777777" w:rsidR="00FB0547" w:rsidRPr="00B25D0F" w:rsidRDefault="00FB0547" w:rsidP="00B25D0F">
      <w:pPr>
        <w:pStyle w:val="NormalWeb"/>
        <w:spacing w:after="240" w:line="360" w:lineRule="auto"/>
        <w:jc w:val="both"/>
        <w:rPr>
          <w:b/>
          <w:bCs/>
        </w:rPr>
      </w:pPr>
    </w:p>
    <w:p w14:paraId="77EBFF49" w14:textId="77777777" w:rsidR="00FB0547" w:rsidRPr="00B25D0F" w:rsidRDefault="00FB0547" w:rsidP="00B25D0F">
      <w:pPr>
        <w:pStyle w:val="NormalWeb"/>
        <w:spacing w:after="240" w:line="360" w:lineRule="auto"/>
        <w:jc w:val="both"/>
        <w:rPr>
          <w:b/>
          <w:bCs/>
        </w:rPr>
      </w:pPr>
    </w:p>
    <w:p w14:paraId="26ED9437" w14:textId="77777777" w:rsidR="003572F6" w:rsidRDefault="003572F6" w:rsidP="00B25D0F">
      <w:pPr>
        <w:pStyle w:val="NormalWeb"/>
        <w:spacing w:after="240" w:line="360" w:lineRule="auto"/>
        <w:jc w:val="both"/>
        <w:rPr>
          <w:b/>
          <w:bCs/>
        </w:rPr>
      </w:pPr>
    </w:p>
    <w:p w14:paraId="723B84EE" w14:textId="77777777" w:rsidR="003572F6" w:rsidRDefault="003572F6" w:rsidP="00B25D0F">
      <w:pPr>
        <w:pStyle w:val="NormalWeb"/>
        <w:spacing w:after="240" w:line="360" w:lineRule="auto"/>
        <w:jc w:val="both"/>
        <w:rPr>
          <w:b/>
          <w:bCs/>
        </w:rPr>
      </w:pPr>
    </w:p>
    <w:p w14:paraId="4F7011D6" w14:textId="77777777" w:rsidR="003572F6" w:rsidRDefault="003572F6" w:rsidP="00B25D0F">
      <w:pPr>
        <w:pStyle w:val="NormalWeb"/>
        <w:spacing w:after="240" w:line="360" w:lineRule="auto"/>
        <w:jc w:val="both"/>
        <w:rPr>
          <w:b/>
          <w:bCs/>
        </w:rPr>
      </w:pPr>
    </w:p>
    <w:p w14:paraId="70091BFD" w14:textId="77777777" w:rsidR="003572F6" w:rsidRDefault="003572F6" w:rsidP="00B25D0F">
      <w:pPr>
        <w:pStyle w:val="NormalWeb"/>
        <w:spacing w:after="240" w:line="360" w:lineRule="auto"/>
        <w:jc w:val="both"/>
        <w:rPr>
          <w:b/>
          <w:bCs/>
        </w:rPr>
      </w:pPr>
    </w:p>
    <w:p w14:paraId="5D6A816C" w14:textId="77777777" w:rsidR="003572F6" w:rsidRDefault="003572F6" w:rsidP="00B25D0F">
      <w:pPr>
        <w:pStyle w:val="NormalWeb"/>
        <w:spacing w:after="240" w:line="360" w:lineRule="auto"/>
        <w:jc w:val="both"/>
        <w:rPr>
          <w:b/>
          <w:bCs/>
        </w:rPr>
      </w:pPr>
    </w:p>
    <w:p w14:paraId="7FD93586" w14:textId="77777777" w:rsidR="003572F6" w:rsidRDefault="003572F6" w:rsidP="00B25D0F">
      <w:pPr>
        <w:pStyle w:val="NormalWeb"/>
        <w:spacing w:after="240" w:line="360" w:lineRule="auto"/>
        <w:jc w:val="both"/>
        <w:rPr>
          <w:b/>
          <w:bCs/>
        </w:rPr>
      </w:pPr>
    </w:p>
    <w:p w14:paraId="272178EC" w14:textId="77777777" w:rsidR="003572F6" w:rsidRDefault="003572F6" w:rsidP="00B25D0F">
      <w:pPr>
        <w:pStyle w:val="NormalWeb"/>
        <w:spacing w:after="240" w:line="360" w:lineRule="auto"/>
        <w:jc w:val="both"/>
        <w:rPr>
          <w:b/>
          <w:bCs/>
        </w:rPr>
      </w:pPr>
    </w:p>
    <w:p w14:paraId="1948BC3E" w14:textId="77777777" w:rsidR="003572F6" w:rsidRDefault="003572F6" w:rsidP="00B25D0F">
      <w:pPr>
        <w:pStyle w:val="NormalWeb"/>
        <w:spacing w:after="240" w:line="360" w:lineRule="auto"/>
        <w:jc w:val="both"/>
        <w:rPr>
          <w:b/>
          <w:bCs/>
        </w:rPr>
      </w:pPr>
    </w:p>
    <w:p w14:paraId="0909F821" w14:textId="77777777" w:rsidR="003572F6" w:rsidRDefault="003572F6" w:rsidP="00B25D0F">
      <w:pPr>
        <w:pStyle w:val="NormalWeb"/>
        <w:spacing w:after="240" w:line="360" w:lineRule="auto"/>
        <w:jc w:val="both"/>
        <w:rPr>
          <w:b/>
          <w:bCs/>
        </w:rPr>
      </w:pPr>
    </w:p>
    <w:p w14:paraId="0C8F68CB" w14:textId="77777777" w:rsidR="003572F6" w:rsidRDefault="003572F6" w:rsidP="00B25D0F">
      <w:pPr>
        <w:pStyle w:val="NormalWeb"/>
        <w:spacing w:after="240" w:line="360" w:lineRule="auto"/>
        <w:jc w:val="both"/>
        <w:rPr>
          <w:b/>
          <w:bCs/>
        </w:rPr>
      </w:pPr>
    </w:p>
    <w:p w14:paraId="35302214" w14:textId="77777777" w:rsidR="003572F6" w:rsidRDefault="003572F6" w:rsidP="00B25D0F">
      <w:pPr>
        <w:pStyle w:val="NormalWeb"/>
        <w:spacing w:after="240" w:line="360" w:lineRule="auto"/>
        <w:jc w:val="both"/>
        <w:rPr>
          <w:b/>
          <w:bCs/>
        </w:rPr>
      </w:pPr>
    </w:p>
    <w:p w14:paraId="718BFFE5" w14:textId="77777777" w:rsidR="003572F6" w:rsidRDefault="003572F6" w:rsidP="00B25D0F">
      <w:pPr>
        <w:pStyle w:val="NormalWeb"/>
        <w:spacing w:after="240" w:line="360" w:lineRule="auto"/>
        <w:jc w:val="both"/>
        <w:rPr>
          <w:b/>
          <w:bCs/>
        </w:rPr>
      </w:pPr>
    </w:p>
    <w:p w14:paraId="4321E837" w14:textId="77777777" w:rsidR="003572F6" w:rsidRDefault="003572F6" w:rsidP="00B25D0F">
      <w:pPr>
        <w:pStyle w:val="NormalWeb"/>
        <w:spacing w:after="240" w:line="360" w:lineRule="auto"/>
        <w:jc w:val="both"/>
        <w:rPr>
          <w:b/>
          <w:bCs/>
        </w:rPr>
      </w:pPr>
    </w:p>
    <w:p w14:paraId="6ABC1AB9" w14:textId="77777777" w:rsidR="003572F6" w:rsidRDefault="003572F6" w:rsidP="00B25D0F">
      <w:pPr>
        <w:pStyle w:val="NormalWeb"/>
        <w:spacing w:after="240" w:line="360" w:lineRule="auto"/>
        <w:jc w:val="both"/>
        <w:rPr>
          <w:b/>
          <w:bCs/>
        </w:rPr>
      </w:pPr>
    </w:p>
    <w:p w14:paraId="1657574B" w14:textId="77777777" w:rsidR="003572F6" w:rsidRDefault="003572F6" w:rsidP="00B25D0F">
      <w:pPr>
        <w:pStyle w:val="NormalWeb"/>
        <w:spacing w:after="240" w:line="360" w:lineRule="auto"/>
        <w:jc w:val="both"/>
        <w:rPr>
          <w:b/>
          <w:bCs/>
        </w:rPr>
      </w:pPr>
    </w:p>
    <w:p w14:paraId="2315DA38" w14:textId="4D5A2557" w:rsidR="005C12D3" w:rsidRPr="00B25D0F" w:rsidRDefault="005C12D3" w:rsidP="00B25D0F">
      <w:pPr>
        <w:pStyle w:val="NormalWeb"/>
        <w:spacing w:after="240" w:line="360" w:lineRule="auto"/>
        <w:jc w:val="both"/>
      </w:pPr>
      <w:r w:rsidRPr="00B25D0F">
        <w:rPr>
          <w:b/>
          <w:bCs/>
        </w:rPr>
        <w:t>References:</w:t>
      </w:r>
    </w:p>
    <w:p w14:paraId="1D2B69F9" w14:textId="77777777" w:rsidR="000C0E36" w:rsidRPr="00B25D0F" w:rsidRDefault="000C0E36" w:rsidP="00B25D0F">
      <w:pPr>
        <w:ind w:left="0"/>
        <w:rPr>
          <w:rFonts w:ascii="Times New Roman" w:hAnsi="Times New Roman" w:cs="Times New Roman"/>
          <w:sz w:val="24"/>
          <w:szCs w:val="24"/>
          <w:lang w:val="en-IN"/>
        </w:rPr>
      </w:pPr>
      <w:r w:rsidRPr="00B25D0F">
        <w:rPr>
          <w:rFonts w:ascii="Times New Roman" w:hAnsi="Times New Roman" w:cs="Times New Roman"/>
          <w:sz w:val="24"/>
          <w:szCs w:val="24"/>
          <w:lang w:val="en-IN"/>
        </w:rPr>
        <w:t xml:space="preserve">Adil, M., Singh, Y., &amp; Ansari, M. S. (2022). How financial literacy moderate the association between behaviour biases and investment decision?. </w:t>
      </w:r>
      <w:r w:rsidRPr="00B25D0F">
        <w:rPr>
          <w:rFonts w:ascii="Times New Roman" w:hAnsi="Times New Roman" w:cs="Times New Roman"/>
          <w:i/>
          <w:iCs/>
          <w:sz w:val="24"/>
          <w:szCs w:val="24"/>
          <w:lang w:val="en-IN"/>
        </w:rPr>
        <w:t>Asian Journal of Accounting Research</w:t>
      </w:r>
      <w:r w:rsidRPr="00B25D0F">
        <w:rPr>
          <w:rFonts w:ascii="Times New Roman" w:hAnsi="Times New Roman" w:cs="Times New Roman"/>
          <w:sz w:val="24"/>
          <w:szCs w:val="24"/>
          <w:lang w:val="en-IN"/>
        </w:rPr>
        <w:t xml:space="preserve">, </w:t>
      </w:r>
      <w:r w:rsidRPr="00B25D0F">
        <w:rPr>
          <w:rFonts w:ascii="Times New Roman" w:hAnsi="Times New Roman" w:cs="Times New Roman"/>
          <w:i/>
          <w:iCs/>
          <w:sz w:val="24"/>
          <w:szCs w:val="24"/>
          <w:lang w:val="en-IN"/>
        </w:rPr>
        <w:t>7</w:t>
      </w:r>
      <w:r w:rsidRPr="00B25D0F">
        <w:rPr>
          <w:rFonts w:ascii="Times New Roman" w:hAnsi="Times New Roman" w:cs="Times New Roman"/>
          <w:sz w:val="24"/>
          <w:szCs w:val="24"/>
          <w:lang w:val="en-IN"/>
        </w:rPr>
        <w:t>(1), 17-30.</w:t>
      </w:r>
    </w:p>
    <w:p w14:paraId="258D2BA2" w14:textId="77777777" w:rsidR="000C0E36" w:rsidRPr="00B25D0F" w:rsidRDefault="000C0E36" w:rsidP="00B25D0F">
      <w:pPr>
        <w:ind w:left="0"/>
        <w:rPr>
          <w:rFonts w:ascii="Times New Roman" w:hAnsi="Times New Roman" w:cs="Times New Roman"/>
          <w:sz w:val="24"/>
          <w:szCs w:val="24"/>
          <w:lang w:val="en-IN"/>
        </w:rPr>
      </w:pPr>
      <w:r w:rsidRPr="00B25D0F">
        <w:rPr>
          <w:rFonts w:ascii="Times New Roman" w:hAnsi="Times New Roman" w:cs="Times New Roman"/>
          <w:sz w:val="24"/>
          <w:szCs w:val="24"/>
          <w:lang w:val="en-IN"/>
        </w:rPr>
        <w:t xml:space="preserve">Ahmad, M., &amp; Shah, S. Z. A. (2022). Overconfidence heuristic-driven bias in investment decision-making and performance: mediating effects of risk perception and moderating effects of financial literacy. </w:t>
      </w:r>
      <w:r w:rsidRPr="00B25D0F">
        <w:rPr>
          <w:rFonts w:ascii="Times New Roman" w:hAnsi="Times New Roman" w:cs="Times New Roman"/>
          <w:i/>
          <w:iCs/>
          <w:sz w:val="24"/>
          <w:szCs w:val="24"/>
          <w:lang w:val="en-IN"/>
        </w:rPr>
        <w:t>Journal of Economic and Administrative Sciences</w:t>
      </w:r>
      <w:r w:rsidRPr="00B25D0F">
        <w:rPr>
          <w:rFonts w:ascii="Times New Roman" w:hAnsi="Times New Roman" w:cs="Times New Roman"/>
          <w:sz w:val="24"/>
          <w:szCs w:val="24"/>
          <w:lang w:val="en-IN"/>
        </w:rPr>
        <w:t xml:space="preserve">, </w:t>
      </w:r>
      <w:r w:rsidRPr="00B25D0F">
        <w:rPr>
          <w:rFonts w:ascii="Times New Roman" w:hAnsi="Times New Roman" w:cs="Times New Roman"/>
          <w:i/>
          <w:iCs/>
          <w:sz w:val="24"/>
          <w:szCs w:val="24"/>
          <w:lang w:val="en-IN"/>
        </w:rPr>
        <w:t>38</w:t>
      </w:r>
      <w:r w:rsidRPr="00B25D0F">
        <w:rPr>
          <w:rFonts w:ascii="Times New Roman" w:hAnsi="Times New Roman" w:cs="Times New Roman"/>
          <w:sz w:val="24"/>
          <w:szCs w:val="24"/>
          <w:lang w:val="en-IN"/>
        </w:rPr>
        <w:t>(1), 60-90.</w:t>
      </w:r>
    </w:p>
    <w:p w14:paraId="33CFA5D7" w14:textId="77777777" w:rsidR="000C0E36" w:rsidRPr="00B25D0F" w:rsidRDefault="000C0E36" w:rsidP="00B25D0F">
      <w:pPr>
        <w:ind w:left="0"/>
        <w:rPr>
          <w:rFonts w:ascii="Times New Roman" w:hAnsi="Times New Roman" w:cs="Times New Roman"/>
          <w:sz w:val="24"/>
          <w:szCs w:val="24"/>
          <w:lang w:val="en-IN"/>
        </w:rPr>
      </w:pPr>
      <w:r w:rsidRPr="00B25D0F">
        <w:rPr>
          <w:rFonts w:ascii="Times New Roman" w:hAnsi="Times New Roman" w:cs="Times New Roman"/>
          <w:sz w:val="24"/>
          <w:szCs w:val="24"/>
          <w:lang w:val="en-IN"/>
        </w:rPr>
        <w:lastRenderedPageBreak/>
        <w:t xml:space="preserve">Ahmad, M., Shah, S. Z. A., &amp; Abbass, Y. (2021). The role of heuristic-driven biases in entrepreneurial strategic decision-making: evidence from an emerging economy. </w:t>
      </w:r>
      <w:r w:rsidRPr="00B25D0F">
        <w:rPr>
          <w:rFonts w:ascii="Times New Roman" w:hAnsi="Times New Roman" w:cs="Times New Roman"/>
          <w:i/>
          <w:iCs/>
          <w:sz w:val="24"/>
          <w:szCs w:val="24"/>
          <w:lang w:val="en-IN"/>
        </w:rPr>
        <w:t>Management Decision</w:t>
      </w:r>
      <w:r w:rsidRPr="00B25D0F">
        <w:rPr>
          <w:rFonts w:ascii="Times New Roman" w:hAnsi="Times New Roman" w:cs="Times New Roman"/>
          <w:sz w:val="24"/>
          <w:szCs w:val="24"/>
          <w:lang w:val="en-IN"/>
        </w:rPr>
        <w:t xml:space="preserve">, </w:t>
      </w:r>
      <w:r w:rsidRPr="00B25D0F">
        <w:rPr>
          <w:rFonts w:ascii="Times New Roman" w:hAnsi="Times New Roman" w:cs="Times New Roman"/>
          <w:i/>
          <w:iCs/>
          <w:sz w:val="24"/>
          <w:szCs w:val="24"/>
          <w:lang w:val="en-IN"/>
        </w:rPr>
        <w:t>59</w:t>
      </w:r>
      <w:r w:rsidRPr="00B25D0F">
        <w:rPr>
          <w:rFonts w:ascii="Times New Roman" w:hAnsi="Times New Roman" w:cs="Times New Roman"/>
          <w:sz w:val="24"/>
          <w:szCs w:val="24"/>
          <w:lang w:val="en-IN"/>
        </w:rPr>
        <w:t>(3), 669-691.</w:t>
      </w:r>
    </w:p>
    <w:p w14:paraId="401A0797" w14:textId="77777777" w:rsidR="000C0E36" w:rsidRPr="00B25D0F" w:rsidRDefault="000C0E36" w:rsidP="00B25D0F">
      <w:pPr>
        <w:ind w:left="0"/>
        <w:rPr>
          <w:rFonts w:ascii="Times New Roman" w:hAnsi="Times New Roman" w:cs="Times New Roman"/>
          <w:sz w:val="24"/>
          <w:szCs w:val="24"/>
        </w:rPr>
      </w:pPr>
      <w:r w:rsidRPr="00B25D0F">
        <w:rPr>
          <w:rFonts w:ascii="Times New Roman" w:hAnsi="Times New Roman" w:cs="Times New Roman"/>
          <w:sz w:val="24"/>
          <w:szCs w:val="24"/>
        </w:rPr>
        <w:t xml:space="preserve">Ahmed, Z., Noreen, U., Ramakrishnan, S. A., &amp; Abdullah, D. F. B. (2021). What explains the investment decision-making </w:t>
      </w:r>
      <w:proofErr w:type="spellStart"/>
      <w:r w:rsidRPr="00B25D0F">
        <w:rPr>
          <w:rFonts w:ascii="Times New Roman" w:hAnsi="Times New Roman" w:cs="Times New Roman"/>
          <w:sz w:val="24"/>
          <w:szCs w:val="24"/>
        </w:rPr>
        <w:t>behaviour</w:t>
      </w:r>
      <w:proofErr w:type="spellEnd"/>
      <w:r w:rsidRPr="00B25D0F">
        <w:rPr>
          <w:rFonts w:ascii="Times New Roman" w:hAnsi="Times New Roman" w:cs="Times New Roman"/>
          <w:sz w:val="24"/>
          <w:szCs w:val="24"/>
        </w:rPr>
        <w:t xml:space="preserve">? The role of financial literacy and financial risk tolerance. </w:t>
      </w:r>
      <w:r w:rsidRPr="00B25D0F">
        <w:rPr>
          <w:rFonts w:ascii="Times New Roman" w:hAnsi="Times New Roman" w:cs="Times New Roman"/>
          <w:i/>
          <w:iCs/>
          <w:sz w:val="24"/>
          <w:szCs w:val="24"/>
        </w:rPr>
        <w:t>Afro-Asian Journal of Finance and Accounting</w:t>
      </w:r>
      <w:r w:rsidRPr="00B25D0F">
        <w:rPr>
          <w:rFonts w:ascii="Times New Roman" w:hAnsi="Times New Roman" w:cs="Times New Roman"/>
          <w:sz w:val="24"/>
          <w:szCs w:val="24"/>
        </w:rPr>
        <w:t xml:space="preserve">, </w:t>
      </w:r>
      <w:r w:rsidRPr="00B25D0F">
        <w:rPr>
          <w:rFonts w:ascii="Times New Roman" w:hAnsi="Times New Roman" w:cs="Times New Roman"/>
          <w:i/>
          <w:iCs/>
          <w:sz w:val="24"/>
          <w:szCs w:val="24"/>
        </w:rPr>
        <w:t>11</w:t>
      </w:r>
      <w:r w:rsidRPr="00B25D0F">
        <w:rPr>
          <w:rFonts w:ascii="Times New Roman" w:hAnsi="Times New Roman" w:cs="Times New Roman"/>
          <w:sz w:val="24"/>
          <w:szCs w:val="24"/>
        </w:rPr>
        <w:t>(1), 1-19.</w:t>
      </w:r>
    </w:p>
    <w:p w14:paraId="41A20791" w14:textId="77777777" w:rsidR="000C0E36" w:rsidRPr="00B25D0F" w:rsidRDefault="000C0E36" w:rsidP="00B25D0F">
      <w:pPr>
        <w:ind w:left="0"/>
        <w:rPr>
          <w:rFonts w:ascii="Times New Roman" w:hAnsi="Times New Roman" w:cs="Times New Roman"/>
          <w:sz w:val="24"/>
          <w:szCs w:val="24"/>
        </w:rPr>
      </w:pPr>
      <w:r w:rsidRPr="00B25D0F">
        <w:rPr>
          <w:rFonts w:ascii="Times New Roman" w:hAnsi="Times New Roman" w:cs="Times New Roman"/>
          <w:sz w:val="24"/>
          <w:szCs w:val="24"/>
        </w:rPr>
        <w:t xml:space="preserve">Ainia, N. S. N., &amp; Lutfi, L. (2019). The influence of risk perception, risk tolerance, overconfidence, and loss aversion towards investment decision making. </w:t>
      </w:r>
      <w:r w:rsidRPr="00B25D0F">
        <w:rPr>
          <w:rFonts w:ascii="Times New Roman" w:hAnsi="Times New Roman" w:cs="Times New Roman"/>
          <w:i/>
          <w:iCs/>
          <w:sz w:val="24"/>
          <w:szCs w:val="24"/>
        </w:rPr>
        <w:t>Journal of Economics, Business, &amp; Accountancy Ventura</w:t>
      </w:r>
      <w:r w:rsidRPr="00B25D0F">
        <w:rPr>
          <w:rFonts w:ascii="Times New Roman" w:hAnsi="Times New Roman" w:cs="Times New Roman"/>
          <w:sz w:val="24"/>
          <w:szCs w:val="24"/>
        </w:rPr>
        <w:t xml:space="preserve">, </w:t>
      </w:r>
      <w:r w:rsidRPr="00B25D0F">
        <w:rPr>
          <w:rFonts w:ascii="Times New Roman" w:hAnsi="Times New Roman" w:cs="Times New Roman"/>
          <w:i/>
          <w:iCs/>
          <w:sz w:val="24"/>
          <w:szCs w:val="24"/>
        </w:rPr>
        <w:t>21</w:t>
      </w:r>
      <w:r w:rsidRPr="00B25D0F">
        <w:rPr>
          <w:rFonts w:ascii="Times New Roman" w:hAnsi="Times New Roman" w:cs="Times New Roman"/>
          <w:sz w:val="24"/>
          <w:szCs w:val="24"/>
        </w:rPr>
        <w:t>(3), 401-413.</w:t>
      </w:r>
    </w:p>
    <w:p w14:paraId="00092C1B" w14:textId="77777777" w:rsidR="000C0E36" w:rsidRPr="00B25D0F" w:rsidRDefault="000C0E36" w:rsidP="00B25D0F">
      <w:pPr>
        <w:ind w:left="0"/>
        <w:rPr>
          <w:rFonts w:ascii="Times New Roman" w:hAnsi="Times New Roman" w:cs="Times New Roman"/>
          <w:sz w:val="24"/>
          <w:szCs w:val="24"/>
        </w:rPr>
      </w:pPr>
      <w:proofErr w:type="spellStart"/>
      <w:r w:rsidRPr="00B25D0F">
        <w:rPr>
          <w:rFonts w:ascii="Times New Roman" w:hAnsi="Times New Roman" w:cs="Times New Roman"/>
          <w:sz w:val="24"/>
          <w:szCs w:val="24"/>
        </w:rPr>
        <w:t>Alquraan</w:t>
      </w:r>
      <w:proofErr w:type="spellEnd"/>
      <w:r w:rsidRPr="00B25D0F">
        <w:rPr>
          <w:rFonts w:ascii="Times New Roman" w:hAnsi="Times New Roman" w:cs="Times New Roman"/>
          <w:sz w:val="24"/>
          <w:szCs w:val="24"/>
        </w:rPr>
        <w:t xml:space="preserve">, T., </w:t>
      </w:r>
      <w:proofErr w:type="spellStart"/>
      <w:r w:rsidRPr="00B25D0F">
        <w:rPr>
          <w:rFonts w:ascii="Times New Roman" w:hAnsi="Times New Roman" w:cs="Times New Roman"/>
          <w:sz w:val="24"/>
          <w:szCs w:val="24"/>
        </w:rPr>
        <w:t>Alqisie</w:t>
      </w:r>
      <w:proofErr w:type="spellEnd"/>
      <w:r w:rsidRPr="00B25D0F">
        <w:rPr>
          <w:rFonts w:ascii="Times New Roman" w:hAnsi="Times New Roman" w:cs="Times New Roman"/>
          <w:sz w:val="24"/>
          <w:szCs w:val="24"/>
        </w:rPr>
        <w:t xml:space="preserve">, A., &amp; Al </w:t>
      </w:r>
      <w:proofErr w:type="spellStart"/>
      <w:r w:rsidRPr="00B25D0F">
        <w:rPr>
          <w:rFonts w:ascii="Times New Roman" w:hAnsi="Times New Roman" w:cs="Times New Roman"/>
          <w:sz w:val="24"/>
          <w:szCs w:val="24"/>
        </w:rPr>
        <w:t>Shorafa</w:t>
      </w:r>
      <w:proofErr w:type="spellEnd"/>
      <w:r w:rsidRPr="00B25D0F">
        <w:rPr>
          <w:rFonts w:ascii="Times New Roman" w:hAnsi="Times New Roman" w:cs="Times New Roman"/>
          <w:sz w:val="24"/>
          <w:szCs w:val="24"/>
        </w:rPr>
        <w:t>, A. (2016). Do behavioral finance factors influence stock investment decisions of individual investors? (Evidences from Saudi Stock Market). Journal of American Science, 12(9), 72-82.</w:t>
      </w:r>
    </w:p>
    <w:p w14:paraId="7AEDC6E5" w14:textId="77777777" w:rsidR="000C0E36" w:rsidRPr="00B25D0F" w:rsidRDefault="000C0E36" w:rsidP="00B25D0F">
      <w:pPr>
        <w:ind w:left="0"/>
        <w:rPr>
          <w:rFonts w:ascii="Times New Roman" w:hAnsi="Times New Roman" w:cs="Times New Roman"/>
          <w:sz w:val="24"/>
          <w:szCs w:val="24"/>
        </w:rPr>
      </w:pPr>
      <w:r w:rsidRPr="00B25D0F">
        <w:rPr>
          <w:rFonts w:ascii="Times New Roman" w:hAnsi="Times New Roman" w:cs="Times New Roman"/>
          <w:sz w:val="24"/>
          <w:szCs w:val="24"/>
        </w:rPr>
        <w:t>Arora, M., &amp; Kumari, S. (2015). Risk taking in financial decisions as a function of age, gender: mediating role of loss aversion and regret. International Journal of Applied Psychology, 5(4), 83-89.</w:t>
      </w:r>
    </w:p>
    <w:p w14:paraId="4ADAA8F4" w14:textId="77777777" w:rsidR="000C0E36" w:rsidRPr="00B25D0F" w:rsidRDefault="000C0E36" w:rsidP="00B25D0F">
      <w:pPr>
        <w:ind w:left="0"/>
        <w:rPr>
          <w:rFonts w:ascii="Times New Roman" w:hAnsi="Times New Roman" w:cs="Times New Roman"/>
          <w:sz w:val="24"/>
          <w:szCs w:val="24"/>
          <w:lang w:val="en-IN"/>
        </w:rPr>
      </w:pPr>
      <w:r w:rsidRPr="00B25D0F">
        <w:rPr>
          <w:rFonts w:ascii="Times New Roman" w:hAnsi="Times New Roman" w:cs="Times New Roman"/>
          <w:sz w:val="24"/>
          <w:szCs w:val="24"/>
          <w:lang w:val="en-IN"/>
        </w:rPr>
        <w:t xml:space="preserve">Aryal, M. (2024). Rationality and </w:t>
      </w:r>
      <w:proofErr w:type="spellStart"/>
      <w:r w:rsidRPr="00B25D0F">
        <w:rPr>
          <w:rFonts w:ascii="Times New Roman" w:hAnsi="Times New Roman" w:cs="Times New Roman"/>
          <w:sz w:val="24"/>
          <w:szCs w:val="24"/>
          <w:lang w:val="en-IN"/>
        </w:rPr>
        <w:t>behavioral</w:t>
      </w:r>
      <w:proofErr w:type="spellEnd"/>
      <w:r w:rsidRPr="00B25D0F">
        <w:rPr>
          <w:rFonts w:ascii="Times New Roman" w:hAnsi="Times New Roman" w:cs="Times New Roman"/>
          <w:sz w:val="24"/>
          <w:szCs w:val="24"/>
          <w:lang w:val="en-IN"/>
        </w:rPr>
        <w:t xml:space="preserve"> biases in investment decision making. </w:t>
      </w:r>
      <w:r w:rsidRPr="00B25D0F">
        <w:rPr>
          <w:rFonts w:ascii="Times New Roman" w:hAnsi="Times New Roman" w:cs="Times New Roman"/>
          <w:i/>
          <w:iCs/>
          <w:sz w:val="24"/>
          <w:szCs w:val="24"/>
          <w:lang w:val="en-IN"/>
        </w:rPr>
        <w:t>Apex Journal of Business and Management</w:t>
      </w:r>
      <w:r w:rsidRPr="00B25D0F">
        <w:rPr>
          <w:rFonts w:ascii="Times New Roman" w:hAnsi="Times New Roman" w:cs="Times New Roman"/>
          <w:sz w:val="24"/>
          <w:szCs w:val="24"/>
          <w:lang w:val="en-IN"/>
        </w:rPr>
        <w:t xml:space="preserve">, </w:t>
      </w:r>
      <w:r w:rsidRPr="00B25D0F">
        <w:rPr>
          <w:rFonts w:ascii="Times New Roman" w:hAnsi="Times New Roman" w:cs="Times New Roman"/>
          <w:i/>
          <w:iCs/>
          <w:sz w:val="24"/>
          <w:szCs w:val="24"/>
          <w:lang w:val="en-IN"/>
        </w:rPr>
        <w:t>3</w:t>
      </w:r>
      <w:r w:rsidRPr="00B25D0F">
        <w:rPr>
          <w:rFonts w:ascii="Times New Roman" w:hAnsi="Times New Roman" w:cs="Times New Roman"/>
          <w:sz w:val="24"/>
          <w:szCs w:val="24"/>
          <w:lang w:val="en-IN"/>
        </w:rPr>
        <w:t>(2), 113-129.</w:t>
      </w:r>
    </w:p>
    <w:p w14:paraId="419083CA" w14:textId="77777777" w:rsidR="000C0E36" w:rsidRPr="00B25D0F" w:rsidRDefault="000C0E36" w:rsidP="00B25D0F">
      <w:pPr>
        <w:ind w:left="0"/>
        <w:rPr>
          <w:rFonts w:ascii="Times New Roman" w:hAnsi="Times New Roman" w:cs="Times New Roman"/>
          <w:sz w:val="24"/>
          <w:szCs w:val="24"/>
          <w:lang w:val="en-IN"/>
        </w:rPr>
      </w:pPr>
      <w:r w:rsidRPr="00B25D0F">
        <w:rPr>
          <w:rFonts w:ascii="Times New Roman" w:hAnsi="Times New Roman" w:cs="Times New Roman"/>
          <w:sz w:val="24"/>
          <w:szCs w:val="24"/>
          <w:lang w:val="en-IN"/>
        </w:rPr>
        <w:t xml:space="preserve">Baker, H. K., Kumar, S., Goyal, N., &amp; Gaur, V. (2019). How financial literacy and demographic variables relate to </w:t>
      </w:r>
      <w:proofErr w:type="spellStart"/>
      <w:r w:rsidRPr="00B25D0F">
        <w:rPr>
          <w:rFonts w:ascii="Times New Roman" w:hAnsi="Times New Roman" w:cs="Times New Roman"/>
          <w:sz w:val="24"/>
          <w:szCs w:val="24"/>
          <w:lang w:val="en-IN"/>
        </w:rPr>
        <w:t>behavioral</w:t>
      </w:r>
      <w:proofErr w:type="spellEnd"/>
      <w:r w:rsidRPr="00B25D0F">
        <w:rPr>
          <w:rFonts w:ascii="Times New Roman" w:hAnsi="Times New Roman" w:cs="Times New Roman"/>
          <w:sz w:val="24"/>
          <w:szCs w:val="24"/>
          <w:lang w:val="en-IN"/>
        </w:rPr>
        <w:t xml:space="preserve"> biases. </w:t>
      </w:r>
      <w:r w:rsidRPr="00B25D0F">
        <w:rPr>
          <w:rFonts w:ascii="Times New Roman" w:hAnsi="Times New Roman" w:cs="Times New Roman"/>
          <w:i/>
          <w:iCs/>
          <w:sz w:val="24"/>
          <w:szCs w:val="24"/>
          <w:lang w:val="en-IN"/>
        </w:rPr>
        <w:t>Managerial Finance</w:t>
      </w:r>
      <w:r w:rsidRPr="00B25D0F">
        <w:rPr>
          <w:rFonts w:ascii="Times New Roman" w:hAnsi="Times New Roman" w:cs="Times New Roman"/>
          <w:sz w:val="24"/>
          <w:szCs w:val="24"/>
          <w:lang w:val="en-IN"/>
        </w:rPr>
        <w:t xml:space="preserve">, </w:t>
      </w:r>
      <w:r w:rsidRPr="00B25D0F">
        <w:rPr>
          <w:rFonts w:ascii="Times New Roman" w:hAnsi="Times New Roman" w:cs="Times New Roman"/>
          <w:i/>
          <w:iCs/>
          <w:sz w:val="24"/>
          <w:szCs w:val="24"/>
          <w:lang w:val="en-IN"/>
        </w:rPr>
        <w:t>45</w:t>
      </w:r>
      <w:r w:rsidRPr="00B25D0F">
        <w:rPr>
          <w:rFonts w:ascii="Times New Roman" w:hAnsi="Times New Roman" w:cs="Times New Roman"/>
          <w:sz w:val="24"/>
          <w:szCs w:val="24"/>
          <w:lang w:val="en-IN"/>
        </w:rPr>
        <w:t>(1), 124-146.</w:t>
      </w:r>
    </w:p>
    <w:p w14:paraId="601CAC7B" w14:textId="77777777" w:rsidR="000C0E36" w:rsidRPr="00B25D0F" w:rsidRDefault="000C0E36" w:rsidP="00B25D0F">
      <w:pPr>
        <w:ind w:left="0"/>
        <w:rPr>
          <w:rFonts w:ascii="Times New Roman" w:hAnsi="Times New Roman" w:cs="Times New Roman"/>
          <w:sz w:val="24"/>
          <w:szCs w:val="24"/>
          <w:lang w:val="en-IN"/>
        </w:rPr>
      </w:pPr>
      <w:r w:rsidRPr="00B25D0F">
        <w:rPr>
          <w:rFonts w:ascii="Times New Roman" w:hAnsi="Times New Roman" w:cs="Times New Roman"/>
          <w:sz w:val="24"/>
          <w:szCs w:val="24"/>
          <w:lang w:val="en-IN"/>
        </w:rPr>
        <w:t xml:space="preserve">Barber, B. M., &amp; Odean, T. (2001). Boys will be boys: Gender, overconfidence, and common stock investment. </w:t>
      </w:r>
      <w:r w:rsidRPr="00B25D0F">
        <w:rPr>
          <w:rFonts w:ascii="Times New Roman" w:hAnsi="Times New Roman" w:cs="Times New Roman"/>
          <w:i/>
          <w:iCs/>
          <w:sz w:val="24"/>
          <w:szCs w:val="24"/>
          <w:lang w:val="en-IN"/>
        </w:rPr>
        <w:t>The quarterly journal of economics</w:t>
      </w:r>
      <w:r w:rsidRPr="00B25D0F">
        <w:rPr>
          <w:rFonts w:ascii="Times New Roman" w:hAnsi="Times New Roman" w:cs="Times New Roman"/>
          <w:sz w:val="24"/>
          <w:szCs w:val="24"/>
          <w:lang w:val="en-IN"/>
        </w:rPr>
        <w:t xml:space="preserve">, </w:t>
      </w:r>
      <w:r w:rsidRPr="00B25D0F">
        <w:rPr>
          <w:rFonts w:ascii="Times New Roman" w:hAnsi="Times New Roman" w:cs="Times New Roman"/>
          <w:i/>
          <w:iCs/>
          <w:sz w:val="24"/>
          <w:szCs w:val="24"/>
          <w:lang w:val="en-IN"/>
        </w:rPr>
        <w:t>116</w:t>
      </w:r>
      <w:r w:rsidRPr="00B25D0F">
        <w:rPr>
          <w:rFonts w:ascii="Times New Roman" w:hAnsi="Times New Roman" w:cs="Times New Roman"/>
          <w:sz w:val="24"/>
          <w:szCs w:val="24"/>
          <w:lang w:val="en-IN"/>
        </w:rPr>
        <w:t>(1), 261-292.</w:t>
      </w:r>
    </w:p>
    <w:p w14:paraId="4711CB31" w14:textId="77777777" w:rsidR="000C0E36" w:rsidRPr="00B25D0F" w:rsidRDefault="000C0E36" w:rsidP="00B25D0F">
      <w:pPr>
        <w:ind w:left="0"/>
        <w:rPr>
          <w:rFonts w:ascii="Times New Roman" w:hAnsi="Times New Roman" w:cs="Times New Roman"/>
          <w:sz w:val="24"/>
          <w:szCs w:val="24"/>
        </w:rPr>
      </w:pPr>
      <w:r w:rsidRPr="00B25D0F">
        <w:rPr>
          <w:rFonts w:ascii="Times New Roman" w:hAnsi="Times New Roman" w:cs="Times New Roman"/>
          <w:sz w:val="24"/>
          <w:szCs w:val="24"/>
        </w:rPr>
        <w:t>Bashir, T., Azam, N., Butt, A. A., Javed, A., &amp; Tanvir, A. (2013). Are behavioral biases influenced by demographic characteristics &amp; personality traits? Evidence from Pakistan. European Scientific Journal, 9(29).</w:t>
      </w:r>
    </w:p>
    <w:p w14:paraId="10ACEED8" w14:textId="77777777" w:rsidR="000C0E36" w:rsidRPr="00B25D0F" w:rsidRDefault="000C0E36" w:rsidP="00B25D0F">
      <w:pPr>
        <w:ind w:left="0"/>
        <w:rPr>
          <w:rFonts w:ascii="Times New Roman" w:hAnsi="Times New Roman" w:cs="Times New Roman"/>
          <w:sz w:val="24"/>
          <w:szCs w:val="24"/>
        </w:rPr>
      </w:pPr>
      <w:r w:rsidRPr="00B25D0F">
        <w:rPr>
          <w:rFonts w:ascii="Times New Roman" w:hAnsi="Times New Roman" w:cs="Times New Roman"/>
          <w:sz w:val="24"/>
          <w:szCs w:val="24"/>
        </w:rPr>
        <w:t xml:space="preserve">Bikhchandani, S., </w:t>
      </w:r>
      <w:proofErr w:type="spellStart"/>
      <w:r w:rsidRPr="00B25D0F">
        <w:rPr>
          <w:rFonts w:ascii="Times New Roman" w:hAnsi="Times New Roman" w:cs="Times New Roman"/>
          <w:sz w:val="24"/>
          <w:szCs w:val="24"/>
        </w:rPr>
        <w:t>Hirshleifer</w:t>
      </w:r>
      <w:proofErr w:type="spellEnd"/>
      <w:r w:rsidRPr="00B25D0F">
        <w:rPr>
          <w:rFonts w:ascii="Times New Roman" w:hAnsi="Times New Roman" w:cs="Times New Roman"/>
          <w:sz w:val="24"/>
          <w:szCs w:val="24"/>
        </w:rPr>
        <w:t>, D., &amp; Welch, I. (1992). A theory of fads, fashion, custom, and cultural change as informational cascades. Journal of political Economy, 100(5), 992-1026.</w:t>
      </w:r>
    </w:p>
    <w:p w14:paraId="5553985A" w14:textId="77777777" w:rsidR="000C0E36" w:rsidRPr="00B25D0F" w:rsidRDefault="000C0E36" w:rsidP="00B25D0F">
      <w:pPr>
        <w:ind w:left="0"/>
        <w:rPr>
          <w:rFonts w:ascii="Times New Roman" w:hAnsi="Times New Roman" w:cs="Times New Roman"/>
          <w:sz w:val="24"/>
          <w:szCs w:val="24"/>
        </w:rPr>
      </w:pPr>
      <w:r w:rsidRPr="00B25D0F">
        <w:rPr>
          <w:rFonts w:ascii="Times New Roman" w:hAnsi="Times New Roman" w:cs="Times New Roman"/>
          <w:sz w:val="24"/>
          <w:szCs w:val="24"/>
        </w:rPr>
        <w:t xml:space="preserve">Brooks, C., Sangiorgi, I., Hillenbrand, C., &amp; Money, K. (2018). Why are older investors less willing to take financial risks?. </w:t>
      </w:r>
      <w:r w:rsidRPr="00B25D0F">
        <w:rPr>
          <w:rFonts w:ascii="Times New Roman" w:hAnsi="Times New Roman" w:cs="Times New Roman"/>
          <w:i/>
          <w:iCs/>
          <w:sz w:val="24"/>
          <w:szCs w:val="24"/>
        </w:rPr>
        <w:t>International Review of Financial Analysis</w:t>
      </w:r>
      <w:r w:rsidRPr="00B25D0F">
        <w:rPr>
          <w:rFonts w:ascii="Times New Roman" w:hAnsi="Times New Roman" w:cs="Times New Roman"/>
          <w:sz w:val="24"/>
          <w:szCs w:val="24"/>
        </w:rPr>
        <w:t xml:space="preserve">, </w:t>
      </w:r>
      <w:r w:rsidRPr="00B25D0F">
        <w:rPr>
          <w:rFonts w:ascii="Times New Roman" w:hAnsi="Times New Roman" w:cs="Times New Roman"/>
          <w:i/>
          <w:iCs/>
          <w:sz w:val="24"/>
          <w:szCs w:val="24"/>
        </w:rPr>
        <w:t>56</w:t>
      </w:r>
      <w:r w:rsidRPr="00B25D0F">
        <w:rPr>
          <w:rFonts w:ascii="Times New Roman" w:hAnsi="Times New Roman" w:cs="Times New Roman"/>
          <w:sz w:val="24"/>
          <w:szCs w:val="24"/>
        </w:rPr>
        <w:t>, 52-72.</w:t>
      </w:r>
    </w:p>
    <w:p w14:paraId="0308A445" w14:textId="77777777" w:rsidR="000C0E36" w:rsidRPr="00B25D0F" w:rsidRDefault="000C0E36" w:rsidP="00B25D0F">
      <w:pPr>
        <w:ind w:left="0"/>
        <w:rPr>
          <w:rFonts w:ascii="Times New Roman" w:hAnsi="Times New Roman" w:cs="Times New Roman"/>
          <w:sz w:val="24"/>
          <w:szCs w:val="24"/>
        </w:rPr>
      </w:pPr>
      <w:r w:rsidRPr="00B25D0F">
        <w:rPr>
          <w:rFonts w:ascii="Times New Roman" w:hAnsi="Times New Roman" w:cs="Times New Roman"/>
          <w:sz w:val="24"/>
          <w:szCs w:val="24"/>
        </w:rPr>
        <w:lastRenderedPageBreak/>
        <w:t>Chawla, D. (2014). An empirical analysis of factors influencing investment in mutual funds in India. Global Business Review, 15(3), 493-503.</w:t>
      </w:r>
    </w:p>
    <w:p w14:paraId="7D9289EF" w14:textId="77777777" w:rsidR="000C0E36" w:rsidRPr="00B25D0F" w:rsidRDefault="000C0E36" w:rsidP="00B25D0F">
      <w:pPr>
        <w:ind w:left="0"/>
        <w:rPr>
          <w:rFonts w:ascii="Times New Roman" w:eastAsia="Times New Roman" w:hAnsi="Times New Roman" w:cs="Times New Roman"/>
          <w:kern w:val="0"/>
          <w:sz w:val="24"/>
          <w:szCs w:val="24"/>
          <w:lang w:eastAsia="en-IN"/>
          <w14:ligatures w14:val="none"/>
        </w:rPr>
      </w:pPr>
      <w:r w:rsidRPr="00B25D0F">
        <w:rPr>
          <w:rFonts w:ascii="Times New Roman" w:eastAsia="Times New Roman" w:hAnsi="Times New Roman" w:cs="Times New Roman"/>
          <w:kern w:val="0"/>
          <w:sz w:val="24"/>
          <w:szCs w:val="24"/>
          <w:lang w:eastAsia="en-IN"/>
          <w14:ligatures w14:val="none"/>
        </w:rPr>
        <w:t xml:space="preserve">Dickason, Z., &amp; Ferreira, S. (2018). Establishing a link between risk tolerance, investor personality and </w:t>
      </w:r>
      <w:proofErr w:type="spellStart"/>
      <w:r w:rsidRPr="00B25D0F">
        <w:rPr>
          <w:rFonts w:ascii="Times New Roman" w:eastAsia="Times New Roman" w:hAnsi="Times New Roman" w:cs="Times New Roman"/>
          <w:kern w:val="0"/>
          <w:sz w:val="24"/>
          <w:szCs w:val="24"/>
          <w:lang w:eastAsia="en-IN"/>
          <w14:ligatures w14:val="none"/>
        </w:rPr>
        <w:t>behavioural</w:t>
      </w:r>
      <w:proofErr w:type="spellEnd"/>
      <w:r w:rsidRPr="00B25D0F">
        <w:rPr>
          <w:rFonts w:ascii="Times New Roman" w:eastAsia="Times New Roman" w:hAnsi="Times New Roman" w:cs="Times New Roman"/>
          <w:kern w:val="0"/>
          <w:sz w:val="24"/>
          <w:szCs w:val="24"/>
          <w:lang w:eastAsia="en-IN"/>
          <w14:ligatures w14:val="none"/>
        </w:rPr>
        <w:t xml:space="preserve"> finance in South Africa. </w:t>
      </w:r>
      <w:r w:rsidRPr="00B25D0F">
        <w:rPr>
          <w:rFonts w:ascii="Times New Roman" w:eastAsia="Times New Roman" w:hAnsi="Times New Roman" w:cs="Times New Roman"/>
          <w:i/>
          <w:iCs/>
          <w:kern w:val="0"/>
          <w:sz w:val="24"/>
          <w:szCs w:val="24"/>
          <w:lang w:eastAsia="en-IN"/>
          <w14:ligatures w14:val="none"/>
        </w:rPr>
        <w:t>Cogent Economics &amp; Finance</w:t>
      </w:r>
      <w:r w:rsidRPr="00B25D0F">
        <w:rPr>
          <w:rFonts w:ascii="Times New Roman" w:eastAsia="Times New Roman" w:hAnsi="Times New Roman" w:cs="Times New Roman"/>
          <w:kern w:val="0"/>
          <w:sz w:val="24"/>
          <w:szCs w:val="24"/>
          <w:lang w:eastAsia="en-IN"/>
          <w14:ligatures w14:val="none"/>
        </w:rPr>
        <w:t xml:space="preserve">, </w:t>
      </w:r>
      <w:r w:rsidRPr="00B25D0F">
        <w:rPr>
          <w:rFonts w:ascii="Times New Roman" w:eastAsia="Times New Roman" w:hAnsi="Times New Roman" w:cs="Times New Roman"/>
          <w:i/>
          <w:iCs/>
          <w:kern w:val="0"/>
          <w:sz w:val="24"/>
          <w:szCs w:val="24"/>
          <w:lang w:eastAsia="en-IN"/>
          <w14:ligatures w14:val="none"/>
        </w:rPr>
        <w:t>6</w:t>
      </w:r>
      <w:r w:rsidRPr="00B25D0F">
        <w:rPr>
          <w:rFonts w:ascii="Times New Roman" w:eastAsia="Times New Roman" w:hAnsi="Times New Roman" w:cs="Times New Roman"/>
          <w:kern w:val="0"/>
          <w:sz w:val="24"/>
          <w:szCs w:val="24"/>
          <w:lang w:eastAsia="en-IN"/>
          <w14:ligatures w14:val="none"/>
        </w:rPr>
        <w:t>(1), 1519898.</w:t>
      </w:r>
    </w:p>
    <w:p w14:paraId="79C28FBB" w14:textId="77777777" w:rsidR="000C0E36" w:rsidRPr="00B25D0F" w:rsidRDefault="000C0E36" w:rsidP="00B25D0F">
      <w:pPr>
        <w:ind w:left="0"/>
        <w:rPr>
          <w:rFonts w:ascii="Times New Roman" w:hAnsi="Times New Roman" w:cs="Times New Roman"/>
          <w:sz w:val="24"/>
          <w:szCs w:val="24"/>
          <w:lang w:val="en-IN"/>
        </w:rPr>
      </w:pPr>
      <w:r w:rsidRPr="00B25D0F">
        <w:rPr>
          <w:rFonts w:ascii="Times New Roman" w:hAnsi="Times New Roman" w:cs="Times New Roman"/>
          <w:sz w:val="24"/>
          <w:szCs w:val="24"/>
          <w:lang w:val="en-IN"/>
        </w:rPr>
        <w:t xml:space="preserve">Garg, A., &amp; Gulati, R. (2013). Do investors herd in Indian market. </w:t>
      </w:r>
      <w:r w:rsidRPr="00B25D0F">
        <w:rPr>
          <w:rFonts w:ascii="Times New Roman" w:hAnsi="Times New Roman" w:cs="Times New Roman"/>
          <w:i/>
          <w:iCs/>
          <w:sz w:val="24"/>
          <w:szCs w:val="24"/>
          <w:lang w:val="en-IN"/>
        </w:rPr>
        <w:t>Decision</w:t>
      </w:r>
      <w:r w:rsidRPr="00B25D0F">
        <w:rPr>
          <w:rFonts w:ascii="Times New Roman" w:hAnsi="Times New Roman" w:cs="Times New Roman"/>
          <w:sz w:val="24"/>
          <w:szCs w:val="24"/>
          <w:lang w:val="en-IN"/>
        </w:rPr>
        <w:t xml:space="preserve">, </w:t>
      </w:r>
      <w:r w:rsidRPr="00B25D0F">
        <w:rPr>
          <w:rFonts w:ascii="Times New Roman" w:hAnsi="Times New Roman" w:cs="Times New Roman"/>
          <w:i/>
          <w:iCs/>
          <w:sz w:val="24"/>
          <w:szCs w:val="24"/>
          <w:lang w:val="en-IN"/>
        </w:rPr>
        <w:t>40</w:t>
      </w:r>
      <w:r w:rsidRPr="00B25D0F">
        <w:rPr>
          <w:rFonts w:ascii="Times New Roman" w:hAnsi="Times New Roman" w:cs="Times New Roman"/>
          <w:sz w:val="24"/>
          <w:szCs w:val="24"/>
          <w:lang w:val="en-IN"/>
        </w:rPr>
        <w:t>(3), 181-196.</w:t>
      </w:r>
    </w:p>
    <w:p w14:paraId="3810FE15" w14:textId="77777777" w:rsidR="000C0E36" w:rsidRPr="00B25D0F" w:rsidRDefault="000C0E36" w:rsidP="00B25D0F">
      <w:pPr>
        <w:ind w:left="0"/>
        <w:rPr>
          <w:rFonts w:ascii="Times New Roman" w:hAnsi="Times New Roman" w:cs="Times New Roman"/>
          <w:sz w:val="24"/>
          <w:szCs w:val="24"/>
        </w:rPr>
      </w:pPr>
      <w:r w:rsidRPr="00B25D0F">
        <w:rPr>
          <w:rFonts w:ascii="Times New Roman" w:hAnsi="Times New Roman" w:cs="Times New Roman"/>
          <w:sz w:val="24"/>
          <w:szCs w:val="24"/>
        </w:rPr>
        <w:t xml:space="preserve">Ghimire, D. M., &amp; Adhikari, M. (2023). Impact assessment of investment motivation toward mutual funds. </w:t>
      </w:r>
      <w:r w:rsidRPr="00B25D0F">
        <w:rPr>
          <w:rFonts w:ascii="Times New Roman" w:hAnsi="Times New Roman" w:cs="Times New Roman"/>
          <w:i/>
          <w:iCs/>
          <w:sz w:val="24"/>
          <w:szCs w:val="24"/>
        </w:rPr>
        <w:t>Journal of Emerging Management Studies</w:t>
      </w:r>
      <w:r w:rsidRPr="00B25D0F">
        <w:rPr>
          <w:rFonts w:ascii="Times New Roman" w:hAnsi="Times New Roman" w:cs="Times New Roman"/>
          <w:sz w:val="24"/>
          <w:szCs w:val="24"/>
        </w:rPr>
        <w:t xml:space="preserve">, </w:t>
      </w:r>
      <w:r w:rsidRPr="00B25D0F">
        <w:rPr>
          <w:rFonts w:ascii="Times New Roman" w:hAnsi="Times New Roman" w:cs="Times New Roman"/>
          <w:i/>
          <w:iCs/>
          <w:sz w:val="24"/>
          <w:szCs w:val="24"/>
        </w:rPr>
        <w:t>1</w:t>
      </w:r>
      <w:r w:rsidRPr="00B25D0F">
        <w:rPr>
          <w:rFonts w:ascii="Times New Roman" w:hAnsi="Times New Roman" w:cs="Times New Roman"/>
          <w:sz w:val="24"/>
          <w:szCs w:val="24"/>
        </w:rPr>
        <w:t>(1), 37-51.</w:t>
      </w:r>
    </w:p>
    <w:p w14:paraId="615E2D02" w14:textId="77777777" w:rsidR="000C0E36" w:rsidRPr="00B25D0F" w:rsidRDefault="000C0E36" w:rsidP="00B25D0F">
      <w:pPr>
        <w:ind w:left="0"/>
        <w:rPr>
          <w:rFonts w:ascii="Times New Roman" w:hAnsi="Times New Roman" w:cs="Times New Roman"/>
          <w:sz w:val="24"/>
          <w:szCs w:val="24"/>
        </w:rPr>
      </w:pPr>
      <w:r w:rsidRPr="00B25D0F">
        <w:rPr>
          <w:rFonts w:ascii="Times New Roman" w:hAnsi="Times New Roman" w:cs="Times New Roman"/>
          <w:sz w:val="24"/>
          <w:szCs w:val="24"/>
        </w:rPr>
        <w:t xml:space="preserve">Herawati, N. T., </w:t>
      </w:r>
      <w:proofErr w:type="spellStart"/>
      <w:r w:rsidRPr="00B25D0F">
        <w:rPr>
          <w:rFonts w:ascii="Times New Roman" w:hAnsi="Times New Roman" w:cs="Times New Roman"/>
          <w:sz w:val="24"/>
          <w:szCs w:val="24"/>
        </w:rPr>
        <w:t>Candiasa</w:t>
      </w:r>
      <w:proofErr w:type="spellEnd"/>
      <w:r w:rsidRPr="00B25D0F">
        <w:rPr>
          <w:rFonts w:ascii="Times New Roman" w:hAnsi="Times New Roman" w:cs="Times New Roman"/>
          <w:sz w:val="24"/>
          <w:szCs w:val="24"/>
        </w:rPr>
        <w:t xml:space="preserve">, I. M., Yadnyana, I. K., &amp; </w:t>
      </w:r>
      <w:proofErr w:type="spellStart"/>
      <w:r w:rsidRPr="00B25D0F">
        <w:rPr>
          <w:rFonts w:ascii="Times New Roman" w:hAnsi="Times New Roman" w:cs="Times New Roman"/>
          <w:sz w:val="24"/>
          <w:szCs w:val="24"/>
        </w:rPr>
        <w:t>Suharsono</w:t>
      </w:r>
      <w:proofErr w:type="spellEnd"/>
      <w:r w:rsidRPr="00B25D0F">
        <w:rPr>
          <w:rFonts w:ascii="Times New Roman" w:hAnsi="Times New Roman" w:cs="Times New Roman"/>
          <w:sz w:val="24"/>
          <w:szCs w:val="24"/>
        </w:rPr>
        <w:t>, N. (2018). Factors that influence financial behavior among accounting students in Bali. International Journal of Business Administration, 9(3), 30-38.</w:t>
      </w:r>
    </w:p>
    <w:p w14:paraId="74F1888E" w14:textId="77777777" w:rsidR="000C0E36" w:rsidRPr="00B25D0F" w:rsidRDefault="000C0E36" w:rsidP="00B25D0F">
      <w:pPr>
        <w:ind w:left="0"/>
        <w:rPr>
          <w:rFonts w:ascii="Times New Roman" w:hAnsi="Times New Roman" w:cs="Times New Roman"/>
          <w:sz w:val="24"/>
          <w:szCs w:val="24"/>
        </w:rPr>
      </w:pPr>
      <w:bookmarkStart w:id="0" w:name="kanagasabai2020"/>
      <w:r w:rsidRPr="00B25D0F">
        <w:rPr>
          <w:rFonts w:ascii="Times New Roman" w:hAnsi="Times New Roman" w:cs="Times New Roman"/>
          <w:sz w:val="24"/>
          <w:szCs w:val="24"/>
        </w:rPr>
        <w:t xml:space="preserve">Kanagasabai, B., &amp; Aggarwal, V. (2020). The mediating role of risk tolerance in the relationship between financial literacy and investment performance. </w:t>
      </w:r>
      <w:r w:rsidRPr="00B25D0F">
        <w:rPr>
          <w:rFonts w:ascii="Times New Roman" w:hAnsi="Times New Roman" w:cs="Times New Roman"/>
          <w:i/>
          <w:iCs/>
          <w:sz w:val="24"/>
          <w:szCs w:val="24"/>
        </w:rPr>
        <w:t>Colombo Business Journal</w:t>
      </w:r>
      <w:r w:rsidRPr="00B25D0F">
        <w:rPr>
          <w:rFonts w:ascii="Times New Roman" w:hAnsi="Times New Roman" w:cs="Times New Roman"/>
          <w:sz w:val="24"/>
          <w:szCs w:val="24"/>
        </w:rPr>
        <w:t xml:space="preserve">, </w:t>
      </w:r>
      <w:r w:rsidRPr="00B25D0F">
        <w:rPr>
          <w:rFonts w:ascii="Times New Roman" w:hAnsi="Times New Roman" w:cs="Times New Roman"/>
          <w:i/>
          <w:iCs/>
          <w:sz w:val="24"/>
          <w:szCs w:val="24"/>
        </w:rPr>
        <w:t>11</w:t>
      </w:r>
      <w:r w:rsidRPr="00B25D0F">
        <w:rPr>
          <w:rFonts w:ascii="Times New Roman" w:hAnsi="Times New Roman" w:cs="Times New Roman"/>
          <w:sz w:val="24"/>
          <w:szCs w:val="24"/>
        </w:rPr>
        <w:t>(1).</w:t>
      </w:r>
    </w:p>
    <w:bookmarkEnd w:id="0"/>
    <w:p w14:paraId="71109FD3" w14:textId="77777777" w:rsidR="000C0E36" w:rsidRPr="00B25D0F" w:rsidRDefault="000C0E36" w:rsidP="00B25D0F">
      <w:pPr>
        <w:ind w:left="0"/>
        <w:rPr>
          <w:rFonts w:ascii="Times New Roman" w:hAnsi="Times New Roman" w:cs="Times New Roman"/>
          <w:sz w:val="24"/>
          <w:szCs w:val="24"/>
        </w:rPr>
      </w:pPr>
      <w:proofErr w:type="spellStart"/>
      <w:r w:rsidRPr="00B25D0F">
        <w:rPr>
          <w:rFonts w:ascii="Times New Roman" w:hAnsi="Times New Roman" w:cs="Times New Roman"/>
          <w:sz w:val="24"/>
          <w:szCs w:val="24"/>
        </w:rPr>
        <w:t>Kasoga</w:t>
      </w:r>
      <w:proofErr w:type="spellEnd"/>
      <w:r w:rsidRPr="00B25D0F">
        <w:rPr>
          <w:rFonts w:ascii="Times New Roman" w:hAnsi="Times New Roman" w:cs="Times New Roman"/>
          <w:sz w:val="24"/>
          <w:szCs w:val="24"/>
        </w:rPr>
        <w:t>, P. S. (2021). Heuristic biases and investment decisions: multiple mediation mechanisms of risk tolerance and financial literacy—a survey at the Tanzania stock market. Journal of Money and Business, 1(2), 102-116.</w:t>
      </w:r>
    </w:p>
    <w:p w14:paraId="25D065C1" w14:textId="77777777" w:rsidR="000C0E36" w:rsidRPr="00B25D0F" w:rsidRDefault="000C0E36" w:rsidP="00B25D0F">
      <w:pPr>
        <w:ind w:left="0"/>
        <w:rPr>
          <w:rFonts w:ascii="Times New Roman" w:hAnsi="Times New Roman" w:cs="Times New Roman"/>
          <w:sz w:val="24"/>
          <w:szCs w:val="24"/>
          <w:lang w:val="en-IN"/>
        </w:rPr>
      </w:pPr>
      <w:proofErr w:type="spellStart"/>
      <w:r w:rsidRPr="00B25D0F">
        <w:rPr>
          <w:rFonts w:ascii="Times New Roman" w:hAnsi="Times New Roman" w:cs="Times New Roman"/>
          <w:sz w:val="24"/>
          <w:szCs w:val="24"/>
          <w:lang w:val="en-IN"/>
        </w:rPr>
        <w:t>Kengatharan</w:t>
      </w:r>
      <w:proofErr w:type="spellEnd"/>
      <w:r w:rsidRPr="00B25D0F">
        <w:rPr>
          <w:rFonts w:ascii="Times New Roman" w:hAnsi="Times New Roman" w:cs="Times New Roman"/>
          <w:sz w:val="24"/>
          <w:szCs w:val="24"/>
          <w:lang w:val="en-IN"/>
        </w:rPr>
        <w:t xml:space="preserve">, L., &amp; </w:t>
      </w:r>
      <w:proofErr w:type="spellStart"/>
      <w:r w:rsidRPr="00B25D0F">
        <w:rPr>
          <w:rFonts w:ascii="Times New Roman" w:hAnsi="Times New Roman" w:cs="Times New Roman"/>
          <w:sz w:val="24"/>
          <w:szCs w:val="24"/>
          <w:lang w:val="en-IN"/>
        </w:rPr>
        <w:t>Kengatharan</w:t>
      </w:r>
      <w:proofErr w:type="spellEnd"/>
      <w:r w:rsidRPr="00B25D0F">
        <w:rPr>
          <w:rFonts w:ascii="Times New Roman" w:hAnsi="Times New Roman" w:cs="Times New Roman"/>
          <w:sz w:val="24"/>
          <w:szCs w:val="24"/>
          <w:lang w:val="en-IN"/>
        </w:rPr>
        <w:t xml:space="preserve">, N. (2014). The influence of </w:t>
      </w:r>
      <w:proofErr w:type="spellStart"/>
      <w:r w:rsidRPr="00B25D0F">
        <w:rPr>
          <w:rFonts w:ascii="Times New Roman" w:hAnsi="Times New Roman" w:cs="Times New Roman"/>
          <w:sz w:val="24"/>
          <w:szCs w:val="24"/>
          <w:lang w:val="en-IN"/>
        </w:rPr>
        <w:t>behavioral</w:t>
      </w:r>
      <w:proofErr w:type="spellEnd"/>
      <w:r w:rsidRPr="00B25D0F">
        <w:rPr>
          <w:rFonts w:ascii="Times New Roman" w:hAnsi="Times New Roman" w:cs="Times New Roman"/>
          <w:sz w:val="24"/>
          <w:szCs w:val="24"/>
          <w:lang w:val="en-IN"/>
        </w:rPr>
        <w:t xml:space="preserve"> factors in making investment decisions and performance: Study on investors of Colombo Stock Exchange, Sri Lanka. </w:t>
      </w:r>
      <w:r w:rsidRPr="00B25D0F">
        <w:rPr>
          <w:rFonts w:ascii="Times New Roman" w:hAnsi="Times New Roman" w:cs="Times New Roman"/>
          <w:i/>
          <w:iCs/>
          <w:sz w:val="24"/>
          <w:szCs w:val="24"/>
          <w:lang w:val="en-IN"/>
        </w:rPr>
        <w:t>Asian Journal of Finance &amp; Accounting</w:t>
      </w:r>
      <w:r w:rsidRPr="00B25D0F">
        <w:rPr>
          <w:rFonts w:ascii="Times New Roman" w:hAnsi="Times New Roman" w:cs="Times New Roman"/>
          <w:sz w:val="24"/>
          <w:szCs w:val="24"/>
          <w:lang w:val="en-IN"/>
        </w:rPr>
        <w:t xml:space="preserve">, </w:t>
      </w:r>
      <w:r w:rsidRPr="00B25D0F">
        <w:rPr>
          <w:rFonts w:ascii="Times New Roman" w:hAnsi="Times New Roman" w:cs="Times New Roman"/>
          <w:i/>
          <w:iCs/>
          <w:sz w:val="24"/>
          <w:szCs w:val="24"/>
          <w:lang w:val="en-IN"/>
        </w:rPr>
        <w:t>6</w:t>
      </w:r>
      <w:r w:rsidRPr="00B25D0F">
        <w:rPr>
          <w:rFonts w:ascii="Times New Roman" w:hAnsi="Times New Roman" w:cs="Times New Roman"/>
          <w:sz w:val="24"/>
          <w:szCs w:val="24"/>
          <w:lang w:val="en-IN"/>
        </w:rPr>
        <w:t>(1), 1.</w:t>
      </w:r>
    </w:p>
    <w:p w14:paraId="46DC5995" w14:textId="77777777" w:rsidR="000C0E36" w:rsidRPr="00B25D0F" w:rsidRDefault="000C0E36" w:rsidP="00B25D0F">
      <w:pPr>
        <w:ind w:left="0"/>
        <w:rPr>
          <w:rFonts w:ascii="Times New Roman" w:hAnsi="Times New Roman" w:cs="Times New Roman"/>
          <w:sz w:val="24"/>
          <w:szCs w:val="24"/>
        </w:rPr>
      </w:pPr>
      <w:r w:rsidRPr="00B25D0F">
        <w:rPr>
          <w:rFonts w:ascii="Times New Roman" w:hAnsi="Times New Roman" w:cs="Times New Roman"/>
          <w:sz w:val="24"/>
          <w:szCs w:val="24"/>
        </w:rPr>
        <w:t xml:space="preserve">Lawrenson, J., &amp; Dickason-Koekemoer, Z. (2020). A model for female South African investors’ financial risk tolerance. </w:t>
      </w:r>
      <w:r w:rsidRPr="00B25D0F">
        <w:rPr>
          <w:rFonts w:ascii="Times New Roman" w:hAnsi="Times New Roman" w:cs="Times New Roman"/>
          <w:i/>
          <w:iCs/>
          <w:sz w:val="24"/>
          <w:szCs w:val="24"/>
        </w:rPr>
        <w:t>Cogent Economics &amp; Finance</w:t>
      </w:r>
      <w:r w:rsidRPr="00B25D0F">
        <w:rPr>
          <w:rFonts w:ascii="Times New Roman" w:hAnsi="Times New Roman" w:cs="Times New Roman"/>
          <w:sz w:val="24"/>
          <w:szCs w:val="24"/>
        </w:rPr>
        <w:t xml:space="preserve">, </w:t>
      </w:r>
      <w:r w:rsidRPr="00B25D0F">
        <w:rPr>
          <w:rFonts w:ascii="Times New Roman" w:hAnsi="Times New Roman" w:cs="Times New Roman"/>
          <w:i/>
          <w:iCs/>
          <w:sz w:val="24"/>
          <w:szCs w:val="24"/>
        </w:rPr>
        <w:t>8</w:t>
      </w:r>
      <w:r w:rsidRPr="00B25D0F">
        <w:rPr>
          <w:rFonts w:ascii="Times New Roman" w:hAnsi="Times New Roman" w:cs="Times New Roman"/>
          <w:sz w:val="24"/>
          <w:szCs w:val="24"/>
        </w:rPr>
        <w:t>(1), 1794493.</w:t>
      </w:r>
    </w:p>
    <w:p w14:paraId="0E657303" w14:textId="77777777" w:rsidR="000C0E36" w:rsidRPr="00B25D0F" w:rsidRDefault="000C0E36" w:rsidP="00B25D0F">
      <w:pPr>
        <w:ind w:left="0"/>
        <w:rPr>
          <w:rFonts w:ascii="Times New Roman" w:hAnsi="Times New Roman" w:cs="Times New Roman"/>
          <w:sz w:val="24"/>
          <w:szCs w:val="24"/>
          <w:lang w:val="en-IN"/>
        </w:rPr>
      </w:pPr>
      <w:r w:rsidRPr="00B25D0F">
        <w:rPr>
          <w:rFonts w:ascii="Times New Roman" w:hAnsi="Times New Roman" w:cs="Times New Roman"/>
          <w:sz w:val="24"/>
          <w:szCs w:val="24"/>
          <w:lang w:val="en-IN"/>
        </w:rPr>
        <w:t xml:space="preserve">Lin, H. W. (2011). Elucidating rational investment decisions and </w:t>
      </w:r>
      <w:proofErr w:type="spellStart"/>
      <w:r w:rsidRPr="00B25D0F">
        <w:rPr>
          <w:rFonts w:ascii="Times New Roman" w:hAnsi="Times New Roman" w:cs="Times New Roman"/>
          <w:sz w:val="24"/>
          <w:szCs w:val="24"/>
          <w:lang w:val="en-IN"/>
        </w:rPr>
        <w:t>behavioral</w:t>
      </w:r>
      <w:proofErr w:type="spellEnd"/>
      <w:r w:rsidRPr="00B25D0F">
        <w:rPr>
          <w:rFonts w:ascii="Times New Roman" w:hAnsi="Times New Roman" w:cs="Times New Roman"/>
          <w:sz w:val="24"/>
          <w:szCs w:val="24"/>
          <w:lang w:val="en-IN"/>
        </w:rPr>
        <w:t xml:space="preserve"> biases: Evidence from the Taiwanese stock market. </w:t>
      </w:r>
      <w:r w:rsidRPr="00B25D0F">
        <w:rPr>
          <w:rFonts w:ascii="Times New Roman" w:hAnsi="Times New Roman" w:cs="Times New Roman"/>
          <w:i/>
          <w:iCs/>
          <w:sz w:val="24"/>
          <w:szCs w:val="24"/>
          <w:lang w:val="en-IN"/>
        </w:rPr>
        <w:t>African Journal of Business Management</w:t>
      </w:r>
      <w:r w:rsidRPr="00B25D0F">
        <w:rPr>
          <w:rFonts w:ascii="Times New Roman" w:hAnsi="Times New Roman" w:cs="Times New Roman"/>
          <w:sz w:val="24"/>
          <w:szCs w:val="24"/>
          <w:lang w:val="en-IN"/>
        </w:rPr>
        <w:t xml:space="preserve">, </w:t>
      </w:r>
      <w:r w:rsidRPr="00B25D0F">
        <w:rPr>
          <w:rFonts w:ascii="Times New Roman" w:hAnsi="Times New Roman" w:cs="Times New Roman"/>
          <w:i/>
          <w:iCs/>
          <w:sz w:val="24"/>
          <w:szCs w:val="24"/>
          <w:lang w:val="en-IN"/>
        </w:rPr>
        <w:t>5</w:t>
      </w:r>
      <w:r w:rsidRPr="00B25D0F">
        <w:rPr>
          <w:rFonts w:ascii="Times New Roman" w:hAnsi="Times New Roman" w:cs="Times New Roman"/>
          <w:sz w:val="24"/>
          <w:szCs w:val="24"/>
          <w:lang w:val="en-IN"/>
        </w:rPr>
        <w:t>(5), 1630.</w:t>
      </w:r>
    </w:p>
    <w:p w14:paraId="64F9F14F" w14:textId="77777777" w:rsidR="000C0E36" w:rsidRPr="00B25D0F" w:rsidRDefault="000C0E36" w:rsidP="00B25D0F">
      <w:pPr>
        <w:ind w:left="0"/>
        <w:rPr>
          <w:rFonts w:ascii="Times New Roman" w:eastAsia="Times New Roman" w:hAnsi="Times New Roman" w:cs="Times New Roman"/>
          <w:kern w:val="0"/>
          <w:sz w:val="24"/>
          <w:szCs w:val="24"/>
          <w:lang w:eastAsia="en-IN"/>
          <w14:ligatures w14:val="none"/>
        </w:rPr>
      </w:pPr>
      <w:bookmarkStart w:id="1" w:name="_Ref202713554"/>
      <w:bookmarkStart w:id="2" w:name="nguyen50"/>
      <w:r w:rsidRPr="00B25D0F">
        <w:rPr>
          <w:rFonts w:ascii="Times New Roman" w:eastAsia="Times New Roman" w:hAnsi="Times New Roman" w:cs="Times New Roman"/>
          <w:kern w:val="0"/>
          <w:sz w:val="24"/>
          <w:szCs w:val="24"/>
          <w:lang w:eastAsia="en-IN"/>
          <w14:ligatures w14:val="none"/>
        </w:rPr>
        <w:t xml:space="preserve">Nguyen, L., Gallery, G., &amp; Newton, C. (2019). The joint influence of financial risk perception and risk tolerance on individual investment decision‐making. </w:t>
      </w:r>
      <w:r w:rsidRPr="00B25D0F">
        <w:rPr>
          <w:rFonts w:ascii="Times New Roman" w:eastAsia="Times New Roman" w:hAnsi="Times New Roman" w:cs="Times New Roman"/>
          <w:i/>
          <w:iCs/>
          <w:kern w:val="0"/>
          <w:sz w:val="24"/>
          <w:szCs w:val="24"/>
          <w:lang w:eastAsia="en-IN"/>
          <w14:ligatures w14:val="none"/>
        </w:rPr>
        <w:t>Accounting &amp; Finance</w:t>
      </w:r>
      <w:r w:rsidRPr="00B25D0F">
        <w:rPr>
          <w:rFonts w:ascii="Times New Roman" w:eastAsia="Times New Roman" w:hAnsi="Times New Roman" w:cs="Times New Roman"/>
          <w:kern w:val="0"/>
          <w:sz w:val="24"/>
          <w:szCs w:val="24"/>
          <w:lang w:eastAsia="en-IN"/>
          <w14:ligatures w14:val="none"/>
        </w:rPr>
        <w:t xml:space="preserve">, </w:t>
      </w:r>
      <w:r w:rsidRPr="00B25D0F">
        <w:rPr>
          <w:rFonts w:ascii="Times New Roman" w:eastAsia="Times New Roman" w:hAnsi="Times New Roman" w:cs="Times New Roman"/>
          <w:i/>
          <w:iCs/>
          <w:kern w:val="0"/>
          <w:sz w:val="24"/>
          <w:szCs w:val="24"/>
          <w:lang w:eastAsia="en-IN"/>
          <w14:ligatures w14:val="none"/>
        </w:rPr>
        <w:t>59</w:t>
      </w:r>
      <w:r w:rsidRPr="00B25D0F">
        <w:rPr>
          <w:rFonts w:ascii="Times New Roman" w:eastAsia="Times New Roman" w:hAnsi="Times New Roman" w:cs="Times New Roman"/>
          <w:kern w:val="0"/>
          <w:sz w:val="24"/>
          <w:szCs w:val="24"/>
          <w:lang w:eastAsia="en-IN"/>
          <w14:ligatures w14:val="none"/>
        </w:rPr>
        <w:t>, 747-771.</w:t>
      </w:r>
      <w:bookmarkEnd w:id="1"/>
    </w:p>
    <w:bookmarkEnd w:id="2"/>
    <w:p w14:paraId="63AB5EE1" w14:textId="77777777" w:rsidR="000C0E36" w:rsidRPr="00B25D0F" w:rsidRDefault="000C0E36" w:rsidP="00B25D0F">
      <w:pPr>
        <w:ind w:left="0"/>
        <w:rPr>
          <w:rFonts w:ascii="Times New Roman" w:hAnsi="Times New Roman" w:cs="Times New Roman"/>
          <w:sz w:val="24"/>
          <w:szCs w:val="24"/>
        </w:rPr>
      </w:pPr>
      <w:proofErr w:type="spellStart"/>
      <w:r w:rsidRPr="00B25D0F">
        <w:rPr>
          <w:rFonts w:ascii="Times New Roman" w:hAnsi="Times New Roman" w:cs="Times New Roman"/>
          <w:sz w:val="24"/>
          <w:szCs w:val="24"/>
        </w:rPr>
        <w:lastRenderedPageBreak/>
        <w:t>Nosita</w:t>
      </w:r>
      <w:proofErr w:type="spellEnd"/>
      <w:r w:rsidRPr="00B25D0F">
        <w:rPr>
          <w:rFonts w:ascii="Times New Roman" w:hAnsi="Times New Roman" w:cs="Times New Roman"/>
          <w:sz w:val="24"/>
          <w:szCs w:val="24"/>
        </w:rPr>
        <w:t xml:space="preserve">, F., Pirzada, K., Lestari, T., &amp; Cahyono, R. (2020). Impact of demographic factors on risk tolerance. </w:t>
      </w:r>
      <w:r w:rsidRPr="00B25D0F">
        <w:rPr>
          <w:rFonts w:ascii="Times New Roman" w:hAnsi="Times New Roman" w:cs="Times New Roman"/>
          <w:i/>
          <w:iCs/>
          <w:sz w:val="24"/>
          <w:szCs w:val="24"/>
        </w:rPr>
        <w:t>Journal of Security &amp; Sustainability Issues</w:t>
      </w:r>
      <w:r w:rsidRPr="00B25D0F">
        <w:rPr>
          <w:rFonts w:ascii="Times New Roman" w:hAnsi="Times New Roman" w:cs="Times New Roman"/>
          <w:sz w:val="24"/>
          <w:szCs w:val="24"/>
        </w:rPr>
        <w:t xml:space="preserve">, </w:t>
      </w:r>
      <w:r w:rsidRPr="00B25D0F">
        <w:rPr>
          <w:rFonts w:ascii="Times New Roman" w:hAnsi="Times New Roman" w:cs="Times New Roman"/>
          <w:i/>
          <w:iCs/>
          <w:sz w:val="24"/>
          <w:szCs w:val="24"/>
        </w:rPr>
        <w:t>9</w:t>
      </w:r>
      <w:r w:rsidRPr="00B25D0F">
        <w:rPr>
          <w:rFonts w:ascii="Times New Roman" w:hAnsi="Times New Roman" w:cs="Times New Roman"/>
          <w:sz w:val="24"/>
          <w:szCs w:val="24"/>
        </w:rPr>
        <w:t>(4).</w:t>
      </w:r>
    </w:p>
    <w:p w14:paraId="4063CF41" w14:textId="77777777" w:rsidR="000C0E36" w:rsidRPr="00B25D0F" w:rsidRDefault="000C0E36" w:rsidP="00B25D0F">
      <w:pPr>
        <w:ind w:left="0"/>
        <w:rPr>
          <w:rFonts w:ascii="Times New Roman" w:hAnsi="Times New Roman" w:cs="Times New Roman"/>
          <w:sz w:val="24"/>
          <w:szCs w:val="24"/>
        </w:rPr>
      </w:pPr>
      <w:r w:rsidRPr="00B25D0F">
        <w:rPr>
          <w:rFonts w:ascii="Times New Roman" w:hAnsi="Times New Roman" w:cs="Times New Roman"/>
          <w:sz w:val="24"/>
          <w:szCs w:val="24"/>
        </w:rPr>
        <w:t xml:space="preserve">Owusu, G. M. Y., </w:t>
      </w:r>
      <w:proofErr w:type="spellStart"/>
      <w:r w:rsidRPr="00B25D0F">
        <w:rPr>
          <w:rFonts w:ascii="Times New Roman" w:hAnsi="Times New Roman" w:cs="Times New Roman"/>
          <w:sz w:val="24"/>
          <w:szCs w:val="24"/>
        </w:rPr>
        <w:t>Korankye</w:t>
      </w:r>
      <w:proofErr w:type="spellEnd"/>
      <w:r w:rsidRPr="00B25D0F">
        <w:rPr>
          <w:rFonts w:ascii="Times New Roman" w:hAnsi="Times New Roman" w:cs="Times New Roman"/>
          <w:sz w:val="24"/>
          <w:szCs w:val="24"/>
        </w:rPr>
        <w:t xml:space="preserve">, G., </w:t>
      </w:r>
      <w:proofErr w:type="spellStart"/>
      <w:r w:rsidRPr="00B25D0F">
        <w:rPr>
          <w:rFonts w:ascii="Times New Roman" w:hAnsi="Times New Roman" w:cs="Times New Roman"/>
          <w:sz w:val="24"/>
          <w:szCs w:val="24"/>
        </w:rPr>
        <w:t>Yankah</w:t>
      </w:r>
      <w:proofErr w:type="spellEnd"/>
      <w:r w:rsidRPr="00B25D0F">
        <w:rPr>
          <w:rFonts w:ascii="Times New Roman" w:hAnsi="Times New Roman" w:cs="Times New Roman"/>
          <w:sz w:val="24"/>
          <w:szCs w:val="24"/>
        </w:rPr>
        <w:t xml:space="preserve">, N. Y. M., &amp; Donkor, J. B. A. (2023). Financial risk tolerance and its determinants: The perspective of personnel from security services in Ghana. </w:t>
      </w:r>
      <w:r w:rsidRPr="00B25D0F">
        <w:rPr>
          <w:rFonts w:ascii="Times New Roman" w:hAnsi="Times New Roman" w:cs="Times New Roman"/>
          <w:i/>
          <w:iCs/>
          <w:sz w:val="24"/>
          <w:szCs w:val="24"/>
        </w:rPr>
        <w:t>Borsa Istanbul Review</w:t>
      </w:r>
      <w:r w:rsidRPr="00B25D0F">
        <w:rPr>
          <w:rFonts w:ascii="Times New Roman" w:hAnsi="Times New Roman" w:cs="Times New Roman"/>
          <w:sz w:val="24"/>
          <w:szCs w:val="24"/>
        </w:rPr>
        <w:t xml:space="preserve">, </w:t>
      </w:r>
      <w:r w:rsidRPr="00B25D0F">
        <w:rPr>
          <w:rFonts w:ascii="Times New Roman" w:hAnsi="Times New Roman" w:cs="Times New Roman"/>
          <w:i/>
          <w:iCs/>
          <w:sz w:val="24"/>
          <w:szCs w:val="24"/>
        </w:rPr>
        <w:t>23</w:t>
      </w:r>
      <w:r w:rsidRPr="00B25D0F">
        <w:rPr>
          <w:rFonts w:ascii="Times New Roman" w:hAnsi="Times New Roman" w:cs="Times New Roman"/>
          <w:sz w:val="24"/>
          <w:szCs w:val="24"/>
        </w:rPr>
        <w:t>(4), 852-864.</w:t>
      </w:r>
    </w:p>
    <w:p w14:paraId="5012D192" w14:textId="77777777" w:rsidR="000C0E36" w:rsidRPr="00B25D0F" w:rsidRDefault="000C0E36" w:rsidP="00B25D0F">
      <w:pPr>
        <w:ind w:left="0"/>
        <w:rPr>
          <w:rFonts w:ascii="Times New Roman" w:hAnsi="Times New Roman" w:cs="Times New Roman"/>
          <w:sz w:val="24"/>
          <w:szCs w:val="24"/>
          <w:lang w:val="en-IN"/>
        </w:rPr>
      </w:pPr>
      <w:proofErr w:type="spellStart"/>
      <w:r w:rsidRPr="00B25D0F">
        <w:rPr>
          <w:rFonts w:ascii="Times New Roman" w:hAnsi="Times New Roman" w:cs="Times New Roman"/>
          <w:sz w:val="24"/>
          <w:szCs w:val="24"/>
          <w:lang w:val="en-IN"/>
        </w:rPr>
        <w:t>Prosad</w:t>
      </w:r>
      <w:proofErr w:type="spellEnd"/>
      <w:r w:rsidRPr="00B25D0F">
        <w:rPr>
          <w:rFonts w:ascii="Times New Roman" w:hAnsi="Times New Roman" w:cs="Times New Roman"/>
          <w:sz w:val="24"/>
          <w:szCs w:val="24"/>
          <w:lang w:val="en-IN"/>
        </w:rPr>
        <w:t xml:space="preserve">, J. M., Kapoor, S., &amp; Sengupta, J. (2015). </w:t>
      </w:r>
      <w:proofErr w:type="spellStart"/>
      <w:r w:rsidRPr="00B25D0F">
        <w:rPr>
          <w:rFonts w:ascii="Times New Roman" w:hAnsi="Times New Roman" w:cs="Times New Roman"/>
          <w:sz w:val="24"/>
          <w:szCs w:val="24"/>
          <w:lang w:val="en-IN"/>
        </w:rPr>
        <w:t>Behavioral</w:t>
      </w:r>
      <w:proofErr w:type="spellEnd"/>
      <w:r w:rsidRPr="00B25D0F">
        <w:rPr>
          <w:rFonts w:ascii="Times New Roman" w:hAnsi="Times New Roman" w:cs="Times New Roman"/>
          <w:sz w:val="24"/>
          <w:szCs w:val="24"/>
          <w:lang w:val="en-IN"/>
        </w:rPr>
        <w:t xml:space="preserve"> biases of Indian investors: a survey of Delhi-NCR region. </w:t>
      </w:r>
      <w:r w:rsidRPr="00B25D0F">
        <w:rPr>
          <w:rFonts w:ascii="Times New Roman" w:hAnsi="Times New Roman" w:cs="Times New Roman"/>
          <w:i/>
          <w:iCs/>
          <w:sz w:val="24"/>
          <w:szCs w:val="24"/>
          <w:lang w:val="en-IN"/>
        </w:rPr>
        <w:t>Qualitative research in financial markets</w:t>
      </w:r>
      <w:r w:rsidRPr="00B25D0F">
        <w:rPr>
          <w:rFonts w:ascii="Times New Roman" w:hAnsi="Times New Roman" w:cs="Times New Roman"/>
          <w:sz w:val="24"/>
          <w:szCs w:val="24"/>
          <w:lang w:val="en-IN"/>
        </w:rPr>
        <w:t xml:space="preserve">, </w:t>
      </w:r>
      <w:r w:rsidRPr="00B25D0F">
        <w:rPr>
          <w:rFonts w:ascii="Times New Roman" w:hAnsi="Times New Roman" w:cs="Times New Roman"/>
          <w:i/>
          <w:iCs/>
          <w:sz w:val="24"/>
          <w:szCs w:val="24"/>
          <w:lang w:val="en-IN"/>
        </w:rPr>
        <w:t>7</w:t>
      </w:r>
      <w:r w:rsidRPr="00B25D0F">
        <w:rPr>
          <w:rFonts w:ascii="Times New Roman" w:hAnsi="Times New Roman" w:cs="Times New Roman"/>
          <w:sz w:val="24"/>
          <w:szCs w:val="24"/>
          <w:lang w:val="en-IN"/>
        </w:rPr>
        <w:t>(3), 230-263.</w:t>
      </w:r>
    </w:p>
    <w:p w14:paraId="7CFEA986" w14:textId="77777777" w:rsidR="000C0E36" w:rsidRPr="00B25D0F" w:rsidRDefault="000C0E36" w:rsidP="00B25D0F">
      <w:pPr>
        <w:ind w:left="0"/>
        <w:rPr>
          <w:rFonts w:ascii="Times New Roman" w:hAnsi="Times New Roman" w:cs="Times New Roman"/>
          <w:sz w:val="24"/>
          <w:szCs w:val="24"/>
        </w:rPr>
      </w:pPr>
      <w:bookmarkStart w:id="3" w:name="rahman2020"/>
      <w:r w:rsidRPr="00B25D0F">
        <w:rPr>
          <w:rFonts w:ascii="Times New Roman" w:hAnsi="Times New Roman" w:cs="Times New Roman"/>
          <w:sz w:val="24"/>
          <w:szCs w:val="24"/>
        </w:rPr>
        <w:t xml:space="preserve">Rahman, M. (2020). Propensity toward financial risk tolerance: an analysis using </w:t>
      </w:r>
      <w:proofErr w:type="spellStart"/>
      <w:r w:rsidRPr="00B25D0F">
        <w:rPr>
          <w:rFonts w:ascii="Times New Roman" w:hAnsi="Times New Roman" w:cs="Times New Roman"/>
          <w:sz w:val="24"/>
          <w:szCs w:val="24"/>
        </w:rPr>
        <w:t>behavioural</w:t>
      </w:r>
      <w:proofErr w:type="spellEnd"/>
      <w:r w:rsidRPr="00B25D0F">
        <w:rPr>
          <w:rFonts w:ascii="Times New Roman" w:hAnsi="Times New Roman" w:cs="Times New Roman"/>
          <w:sz w:val="24"/>
          <w:szCs w:val="24"/>
        </w:rPr>
        <w:t xml:space="preserve"> factors. </w:t>
      </w:r>
      <w:r w:rsidRPr="00B25D0F">
        <w:rPr>
          <w:rFonts w:ascii="Times New Roman" w:hAnsi="Times New Roman" w:cs="Times New Roman"/>
          <w:i/>
          <w:iCs/>
          <w:sz w:val="24"/>
          <w:szCs w:val="24"/>
        </w:rPr>
        <w:t>Review of Behavioral Finance</w:t>
      </w:r>
      <w:r w:rsidRPr="00B25D0F">
        <w:rPr>
          <w:rFonts w:ascii="Times New Roman" w:hAnsi="Times New Roman" w:cs="Times New Roman"/>
          <w:sz w:val="24"/>
          <w:szCs w:val="24"/>
        </w:rPr>
        <w:t xml:space="preserve">, </w:t>
      </w:r>
      <w:r w:rsidRPr="00B25D0F">
        <w:rPr>
          <w:rFonts w:ascii="Times New Roman" w:hAnsi="Times New Roman" w:cs="Times New Roman"/>
          <w:i/>
          <w:iCs/>
          <w:sz w:val="24"/>
          <w:szCs w:val="24"/>
        </w:rPr>
        <w:t>12</w:t>
      </w:r>
      <w:r w:rsidRPr="00B25D0F">
        <w:rPr>
          <w:rFonts w:ascii="Times New Roman" w:hAnsi="Times New Roman" w:cs="Times New Roman"/>
          <w:sz w:val="24"/>
          <w:szCs w:val="24"/>
        </w:rPr>
        <w:t>(3), 259-281.</w:t>
      </w:r>
    </w:p>
    <w:bookmarkEnd w:id="3"/>
    <w:p w14:paraId="50BA7190" w14:textId="77777777" w:rsidR="000C0E36" w:rsidRPr="00B25D0F" w:rsidRDefault="000C0E36" w:rsidP="00B25D0F">
      <w:pPr>
        <w:ind w:left="0"/>
        <w:rPr>
          <w:rFonts w:ascii="Times New Roman" w:hAnsi="Times New Roman" w:cs="Times New Roman"/>
          <w:sz w:val="24"/>
          <w:szCs w:val="24"/>
          <w:lang w:val="en-IN"/>
        </w:rPr>
      </w:pPr>
      <w:r w:rsidRPr="00B25D0F">
        <w:rPr>
          <w:rFonts w:ascii="Times New Roman" w:hAnsi="Times New Roman" w:cs="Times New Roman"/>
          <w:sz w:val="24"/>
          <w:szCs w:val="24"/>
          <w:lang w:val="en-IN"/>
        </w:rPr>
        <w:t xml:space="preserve">Rasool, N., &amp; Ullah, S. (2020). Financial literacy and behavioural biases of individual investors: empirical evidence of Pakistan stock exchange. </w:t>
      </w:r>
      <w:r w:rsidRPr="00B25D0F">
        <w:rPr>
          <w:rFonts w:ascii="Times New Roman" w:hAnsi="Times New Roman" w:cs="Times New Roman"/>
          <w:i/>
          <w:iCs/>
          <w:sz w:val="24"/>
          <w:szCs w:val="24"/>
          <w:lang w:val="en-IN"/>
        </w:rPr>
        <w:t>Journal of Economics, Finance and Administrative Science</w:t>
      </w:r>
      <w:r w:rsidRPr="00B25D0F">
        <w:rPr>
          <w:rFonts w:ascii="Times New Roman" w:hAnsi="Times New Roman" w:cs="Times New Roman"/>
          <w:sz w:val="24"/>
          <w:szCs w:val="24"/>
          <w:lang w:val="en-IN"/>
        </w:rPr>
        <w:t xml:space="preserve">, </w:t>
      </w:r>
      <w:r w:rsidRPr="00B25D0F">
        <w:rPr>
          <w:rFonts w:ascii="Times New Roman" w:hAnsi="Times New Roman" w:cs="Times New Roman"/>
          <w:i/>
          <w:iCs/>
          <w:sz w:val="24"/>
          <w:szCs w:val="24"/>
          <w:lang w:val="en-IN"/>
        </w:rPr>
        <w:t>25</w:t>
      </w:r>
      <w:r w:rsidRPr="00B25D0F">
        <w:rPr>
          <w:rFonts w:ascii="Times New Roman" w:hAnsi="Times New Roman" w:cs="Times New Roman"/>
          <w:sz w:val="24"/>
          <w:szCs w:val="24"/>
          <w:lang w:val="en-IN"/>
        </w:rPr>
        <w:t>(50), 261-278.</w:t>
      </w:r>
    </w:p>
    <w:p w14:paraId="1BA39322" w14:textId="77777777" w:rsidR="000C0E36" w:rsidRPr="00B25D0F" w:rsidRDefault="000C0E36" w:rsidP="00B25D0F">
      <w:pPr>
        <w:ind w:left="0"/>
        <w:rPr>
          <w:rFonts w:ascii="Times New Roman" w:hAnsi="Times New Roman" w:cs="Times New Roman"/>
          <w:sz w:val="24"/>
          <w:szCs w:val="24"/>
        </w:rPr>
      </w:pPr>
      <w:bookmarkStart w:id="4" w:name="rehan"/>
      <w:r w:rsidRPr="00B25D0F">
        <w:rPr>
          <w:rFonts w:ascii="Times New Roman" w:hAnsi="Times New Roman" w:cs="Times New Roman"/>
          <w:sz w:val="24"/>
          <w:szCs w:val="24"/>
        </w:rPr>
        <w:t xml:space="preserve">Rehan, R., Naz, S., Umer, I., &amp; Ahmed, O. (2018). Awareness and perception of investors towards mutual funds industry. </w:t>
      </w:r>
      <w:r w:rsidRPr="00B25D0F">
        <w:rPr>
          <w:rFonts w:ascii="Times New Roman" w:hAnsi="Times New Roman" w:cs="Times New Roman"/>
          <w:i/>
          <w:iCs/>
          <w:sz w:val="24"/>
          <w:szCs w:val="24"/>
        </w:rPr>
        <w:t xml:space="preserve">RADS Journal of Social </w:t>
      </w:r>
      <w:proofErr w:type="spellStart"/>
      <w:r w:rsidRPr="00B25D0F">
        <w:rPr>
          <w:rFonts w:ascii="Times New Roman" w:hAnsi="Times New Roman" w:cs="Times New Roman"/>
          <w:i/>
          <w:iCs/>
          <w:sz w:val="24"/>
          <w:szCs w:val="24"/>
        </w:rPr>
        <w:t>Sciencess</w:t>
      </w:r>
      <w:proofErr w:type="spellEnd"/>
      <w:r w:rsidRPr="00B25D0F">
        <w:rPr>
          <w:rFonts w:ascii="Times New Roman" w:hAnsi="Times New Roman" w:cs="Times New Roman"/>
          <w:i/>
          <w:iCs/>
          <w:sz w:val="24"/>
          <w:szCs w:val="24"/>
        </w:rPr>
        <w:t xml:space="preserve"> &amp; Business Management</w:t>
      </w:r>
      <w:r w:rsidRPr="00B25D0F">
        <w:rPr>
          <w:rFonts w:ascii="Times New Roman" w:hAnsi="Times New Roman" w:cs="Times New Roman"/>
          <w:sz w:val="24"/>
          <w:szCs w:val="24"/>
        </w:rPr>
        <w:t xml:space="preserve">, </w:t>
      </w:r>
      <w:r w:rsidRPr="00B25D0F">
        <w:rPr>
          <w:rFonts w:ascii="Times New Roman" w:hAnsi="Times New Roman" w:cs="Times New Roman"/>
          <w:i/>
          <w:iCs/>
          <w:sz w:val="24"/>
          <w:szCs w:val="24"/>
        </w:rPr>
        <w:t>5</w:t>
      </w:r>
      <w:r w:rsidRPr="00B25D0F">
        <w:rPr>
          <w:rFonts w:ascii="Times New Roman" w:hAnsi="Times New Roman" w:cs="Times New Roman"/>
          <w:sz w:val="24"/>
          <w:szCs w:val="24"/>
        </w:rPr>
        <w:t>(1), 01-14.</w:t>
      </w:r>
    </w:p>
    <w:bookmarkEnd w:id="4"/>
    <w:p w14:paraId="6D502F74" w14:textId="77777777" w:rsidR="000C0E36" w:rsidRPr="00B25D0F" w:rsidRDefault="000C0E36" w:rsidP="00B25D0F">
      <w:pPr>
        <w:ind w:left="0"/>
        <w:rPr>
          <w:rFonts w:ascii="Times New Roman" w:hAnsi="Times New Roman" w:cs="Times New Roman"/>
          <w:sz w:val="24"/>
          <w:szCs w:val="24"/>
        </w:rPr>
      </w:pPr>
      <w:r w:rsidRPr="00B25D0F">
        <w:rPr>
          <w:rFonts w:ascii="Times New Roman" w:hAnsi="Times New Roman" w:cs="Times New Roman"/>
          <w:sz w:val="24"/>
          <w:szCs w:val="24"/>
        </w:rPr>
        <w:t xml:space="preserve">Song, C. L., Pan, D., Ayub, A., &amp; Cai, B. (2023). The interplay between financial literacy, financial risk tolerance, and financial </w:t>
      </w:r>
      <w:proofErr w:type="spellStart"/>
      <w:r w:rsidRPr="00B25D0F">
        <w:rPr>
          <w:rFonts w:ascii="Times New Roman" w:hAnsi="Times New Roman" w:cs="Times New Roman"/>
          <w:sz w:val="24"/>
          <w:szCs w:val="24"/>
        </w:rPr>
        <w:t>behaviour</w:t>
      </w:r>
      <w:proofErr w:type="spellEnd"/>
      <w:r w:rsidRPr="00B25D0F">
        <w:rPr>
          <w:rFonts w:ascii="Times New Roman" w:hAnsi="Times New Roman" w:cs="Times New Roman"/>
          <w:sz w:val="24"/>
          <w:szCs w:val="24"/>
        </w:rPr>
        <w:t xml:space="preserve">: the moderator effect of emotional intelligence. </w:t>
      </w:r>
      <w:r w:rsidRPr="00B25D0F">
        <w:rPr>
          <w:rFonts w:ascii="Times New Roman" w:hAnsi="Times New Roman" w:cs="Times New Roman"/>
          <w:i/>
          <w:iCs/>
          <w:sz w:val="24"/>
          <w:szCs w:val="24"/>
        </w:rPr>
        <w:t>Psychology Research and Behavior Management</w:t>
      </w:r>
      <w:r w:rsidRPr="00B25D0F">
        <w:rPr>
          <w:rFonts w:ascii="Times New Roman" w:hAnsi="Times New Roman" w:cs="Times New Roman"/>
          <w:sz w:val="24"/>
          <w:szCs w:val="24"/>
        </w:rPr>
        <w:t>, 535-548.</w:t>
      </w:r>
    </w:p>
    <w:p w14:paraId="38396682" w14:textId="77777777" w:rsidR="000C0E36" w:rsidRPr="00B25D0F" w:rsidRDefault="000C0E36" w:rsidP="00B25D0F">
      <w:pPr>
        <w:ind w:left="0"/>
        <w:rPr>
          <w:rFonts w:ascii="Times New Roman" w:hAnsi="Times New Roman" w:cs="Times New Roman"/>
          <w:sz w:val="24"/>
          <w:szCs w:val="24"/>
        </w:rPr>
      </w:pPr>
      <w:r w:rsidRPr="00B25D0F">
        <w:rPr>
          <w:rFonts w:ascii="Times New Roman" w:hAnsi="Times New Roman" w:cs="Times New Roman"/>
          <w:sz w:val="24"/>
          <w:szCs w:val="24"/>
        </w:rPr>
        <w:t xml:space="preserve">Waheed, H., Ahmed, Z., Saleem, Q., Din, S. M. U., &amp; Ahmed, B. (2020). The mediating role of risk perception in the relationship between financial literacy and investment decision. </w:t>
      </w:r>
      <w:r w:rsidRPr="00B25D0F">
        <w:rPr>
          <w:rFonts w:ascii="Times New Roman" w:hAnsi="Times New Roman" w:cs="Times New Roman"/>
          <w:i/>
          <w:iCs/>
          <w:sz w:val="24"/>
          <w:szCs w:val="24"/>
        </w:rPr>
        <w:t>International Journal of Innovation, Creativity and Change</w:t>
      </w:r>
      <w:r w:rsidRPr="00B25D0F">
        <w:rPr>
          <w:rFonts w:ascii="Times New Roman" w:hAnsi="Times New Roman" w:cs="Times New Roman"/>
          <w:sz w:val="24"/>
          <w:szCs w:val="24"/>
        </w:rPr>
        <w:t xml:space="preserve">, </w:t>
      </w:r>
      <w:r w:rsidRPr="00B25D0F">
        <w:rPr>
          <w:rFonts w:ascii="Times New Roman" w:hAnsi="Times New Roman" w:cs="Times New Roman"/>
          <w:i/>
          <w:iCs/>
          <w:sz w:val="24"/>
          <w:szCs w:val="24"/>
        </w:rPr>
        <w:t>14</w:t>
      </w:r>
      <w:r w:rsidRPr="00B25D0F">
        <w:rPr>
          <w:rFonts w:ascii="Times New Roman" w:hAnsi="Times New Roman" w:cs="Times New Roman"/>
          <w:sz w:val="24"/>
          <w:szCs w:val="24"/>
        </w:rPr>
        <w:t>(4), 112-131.</w:t>
      </w:r>
    </w:p>
    <w:p w14:paraId="022C79F5" w14:textId="2FCF0A15" w:rsidR="007F3B18" w:rsidRPr="00B25D0F" w:rsidRDefault="00E45AD3" w:rsidP="00B25D0F">
      <w:pPr>
        <w:pStyle w:val="NormalWeb"/>
        <w:spacing w:before="0" w:beforeAutospacing="0" w:line="360" w:lineRule="auto"/>
        <w:jc w:val="both"/>
        <w:rPr>
          <w:b/>
          <w:bCs/>
        </w:rPr>
      </w:pPr>
      <w:r w:rsidRPr="00B25D0F">
        <w:rPr>
          <w:b/>
          <w:bCs/>
        </w:rPr>
        <w:t>Appendix</w:t>
      </w:r>
      <w:r w:rsidR="00E249F4" w:rsidRPr="00B25D0F">
        <w:rPr>
          <w:b/>
          <w:bCs/>
        </w:rPr>
        <w:t>:</w:t>
      </w:r>
    </w:p>
    <w:p w14:paraId="77DFC625" w14:textId="34EF7A0E" w:rsidR="00E45AD3" w:rsidRPr="00B25D0F" w:rsidRDefault="00E45AD3" w:rsidP="00B25D0F">
      <w:pPr>
        <w:pStyle w:val="NormalWeb"/>
        <w:spacing w:before="0" w:beforeAutospacing="0" w:after="0" w:afterAutospacing="0" w:line="360" w:lineRule="auto"/>
        <w:jc w:val="both"/>
        <w:rPr>
          <w:lang w:val="en-US"/>
        </w:rPr>
      </w:pPr>
      <w:r w:rsidRPr="00B25D0F">
        <w:rPr>
          <w:b/>
          <w:bCs/>
          <w:lang w:val="en-US"/>
        </w:rPr>
        <w:t>Table A1:</w:t>
      </w:r>
      <w:r w:rsidRPr="00B25D0F">
        <w:rPr>
          <w:lang w:val="en-US"/>
        </w:rPr>
        <w:t xml:space="preserve"> Tests of Normality for HERD_SCORE by Gender</w:t>
      </w:r>
    </w:p>
    <w:p w14:paraId="526180F1" w14:textId="019C743F" w:rsidR="00E45AD3" w:rsidRPr="00B25D0F" w:rsidRDefault="00E45AD3" w:rsidP="00B25D0F">
      <w:pPr>
        <w:pStyle w:val="NormalWeb"/>
        <w:spacing w:before="0" w:beforeAutospacing="0" w:after="240" w:afterAutospacing="0" w:line="360" w:lineRule="auto"/>
        <w:jc w:val="both"/>
        <w:rPr>
          <w:lang w:val="en-US"/>
        </w:rPr>
      </w:pPr>
      <w:r w:rsidRPr="00B25D0F">
        <w:rPr>
          <w:b/>
          <w:bCs/>
          <w:i/>
          <w:iCs/>
          <w:noProof/>
          <w:lang w:val="en-US"/>
        </w:rPr>
        <w:t>Source:</w:t>
      </w:r>
      <w:r w:rsidRPr="00B25D0F">
        <w:rPr>
          <w:i/>
          <w:iCs/>
          <w:noProof/>
          <w:lang w:val="en-US"/>
        </w:rPr>
        <w:t xml:space="preserve"> Compiled by author using SPSS output</w:t>
      </w:r>
    </w:p>
    <w:tbl>
      <w:tblPr>
        <w:tblpPr w:leftFromText="180" w:rightFromText="180" w:vertAnchor="text" w:tblpY="1"/>
        <w:tblOverlap w:val="never"/>
        <w:tblW w:w="7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12"/>
        <w:gridCol w:w="731"/>
        <w:gridCol w:w="846"/>
        <w:gridCol w:w="846"/>
        <w:gridCol w:w="848"/>
        <w:gridCol w:w="846"/>
        <w:gridCol w:w="846"/>
        <w:gridCol w:w="848"/>
        <w:gridCol w:w="7"/>
      </w:tblGrid>
      <w:tr w:rsidR="00E45AD3" w:rsidRPr="00B25D0F" w14:paraId="098C343B" w14:textId="77777777" w:rsidTr="00E45AD3">
        <w:trPr>
          <w:cantSplit/>
          <w:trHeight w:val="300"/>
        </w:trPr>
        <w:tc>
          <w:tcPr>
            <w:tcW w:w="7130" w:type="dxa"/>
            <w:gridSpan w:val="9"/>
            <w:tcBorders>
              <w:top w:val="nil"/>
              <w:left w:val="nil"/>
              <w:bottom w:val="nil"/>
              <w:right w:val="nil"/>
            </w:tcBorders>
            <w:shd w:val="clear" w:color="auto" w:fill="FFFFFF"/>
            <w:vAlign w:val="center"/>
          </w:tcPr>
          <w:p w14:paraId="219C7048" w14:textId="77777777" w:rsidR="00E45AD3" w:rsidRPr="00B25D0F" w:rsidRDefault="00E45AD3" w:rsidP="00B25D0F">
            <w:pPr>
              <w:pStyle w:val="NormalWeb"/>
              <w:spacing w:before="0" w:beforeAutospacing="0" w:line="360" w:lineRule="auto"/>
              <w:jc w:val="both"/>
            </w:pPr>
            <w:r w:rsidRPr="00B25D0F">
              <w:rPr>
                <w:b/>
                <w:bCs/>
              </w:rPr>
              <w:t>Tests of Normality</w:t>
            </w:r>
          </w:p>
        </w:tc>
      </w:tr>
      <w:tr w:rsidR="00E45AD3" w:rsidRPr="00B25D0F" w14:paraId="2EE82BC0" w14:textId="77777777" w:rsidTr="00E45AD3">
        <w:trPr>
          <w:cantSplit/>
          <w:trHeight w:val="309"/>
        </w:trPr>
        <w:tc>
          <w:tcPr>
            <w:tcW w:w="1312" w:type="dxa"/>
          </w:tcPr>
          <w:p w14:paraId="62BC6624" w14:textId="77777777" w:rsidR="00E45AD3" w:rsidRPr="00B25D0F" w:rsidRDefault="00E45AD3" w:rsidP="00B25D0F">
            <w:pPr>
              <w:pStyle w:val="NormalWeb"/>
              <w:spacing w:before="0" w:beforeAutospacing="0" w:line="360" w:lineRule="auto"/>
              <w:jc w:val="both"/>
            </w:pPr>
          </w:p>
        </w:tc>
        <w:tc>
          <w:tcPr>
            <w:tcW w:w="731" w:type="dxa"/>
            <w:vMerge w:val="restart"/>
            <w:tcBorders>
              <w:top w:val="nil"/>
              <w:left w:val="nil"/>
              <w:bottom w:val="nil"/>
              <w:right w:val="nil"/>
            </w:tcBorders>
            <w:shd w:val="clear" w:color="auto" w:fill="FFFFFF"/>
            <w:vAlign w:val="bottom"/>
          </w:tcPr>
          <w:p w14:paraId="70A76172" w14:textId="77777777" w:rsidR="00E45AD3" w:rsidRPr="00B25D0F" w:rsidRDefault="00E45AD3" w:rsidP="00B25D0F">
            <w:pPr>
              <w:pStyle w:val="NormalWeb"/>
              <w:spacing w:before="0" w:beforeAutospacing="0" w:line="360" w:lineRule="auto"/>
              <w:jc w:val="both"/>
            </w:pPr>
            <w:r w:rsidRPr="00B25D0F">
              <w:t>gender</w:t>
            </w:r>
          </w:p>
        </w:tc>
        <w:tc>
          <w:tcPr>
            <w:tcW w:w="2540" w:type="dxa"/>
            <w:gridSpan w:val="3"/>
            <w:tcBorders>
              <w:top w:val="nil"/>
              <w:left w:val="nil"/>
              <w:bottom w:val="nil"/>
              <w:right w:val="nil"/>
            </w:tcBorders>
            <w:shd w:val="clear" w:color="auto" w:fill="FFFFFF"/>
            <w:vAlign w:val="bottom"/>
          </w:tcPr>
          <w:p w14:paraId="6052419B" w14:textId="77777777" w:rsidR="00E45AD3" w:rsidRPr="00B25D0F" w:rsidRDefault="00E45AD3" w:rsidP="00B25D0F">
            <w:pPr>
              <w:pStyle w:val="NormalWeb"/>
              <w:spacing w:before="0" w:beforeAutospacing="0" w:line="360" w:lineRule="auto"/>
              <w:jc w:val="both"/>
            </w:pPr>
            <w:r w:rsidRPr="00B25D0F">
              <w:t>Kolmogorov-Smirnov</w:t>
            </w:r>
            <w:r w:rsidRPr="00B25D0F">
              <w:rPr>
                <w:vertAlign w:val="superscript"/>
              </w:rPr>
              <w:t>a</w:t>
            </w:r>
          </w:p>
        </w:tc>
        <w:tc>
          <w:tcPr>
            <w:tcW w:w="2547" w:type="dxa"/>
            <w:gridSpan w:val="4"/>
            <w:tcBorders>
              <w:top w:val="nil"/>
              <w:left w:val="single" w:sz="8" w:space="0" w:color="E0E0E0"/>
              <w:bottom w:val="nil"/>
              <w:right w:val="nil"/>
            </w:tcBorders>
            <w:shd w:val="clear" w:color="auto" w:fill="FFFFFF"/>
            <w:vAlign w:val="bottom"/>
          </w:tcPr>
          <w:p w14:paraId="4EABC66D" w14:textId="77777777" w:rsidR="00E45AD3" w:rsidRPr="00B25D0F" w:rsidRDefault="00E45AD3" w:rsidP="00B25D0F">
            <w:pPr>
              <w:pStyle w:val="NormalWeb"/>
              <w:spacing w:before="0" w:beforeAutospacing="0" w:line="360" w:lineRule="auto"/>
              <w:jc w:val="both"/>
            </w:pPr>
            <w:r w:rsidRPr="00B25D0F">
              <w:t>Shapiro-Wilk</w:t>
            </w:r>
          </w:p>
        </w:tc>
      </w:tr>
      <w:tr w:rsidR="00E45AD3" w:rsidRPr="00B25D0F" w14:paraId="38230613" w14:textId="77777777" w:rsidTr="00E45AD3">
        <w:trPr>
          <w:gridAfter w:val="1"/>
          <w:wAfter w:w="7" w:type="dxa"/>
          <w:cantSplit/>
          <w:trHeight w:val="300"/>
        </w:trPr>
        <w:tc>
          <w:tcPr>
            <w:tcW w:w="1312" w:type="dxa"/>
          </w:tcPr>
          <w:p w14:paraId="1BE32AA9" w14:textId="77777777" w:rsidR="00E45AD3" w:rsidRPr="00B25D0F" w:rsidRDefault="00E45AD3" w:rsidP="00B25D0F">
            <w:pPr>
              <w:pStyle w:val="NormalWeb"/>
              <w:spacing w:before="0" w:beforeAutospacing="0" w:line="360" w:lineRule="auto"/>
              <w:jc w:val="both"/>
            </w:pPr>
          </w:p>
        </w:tc>
        <w:tc>
          <w:tcPr>
            <w:tcW w:w="731" w:type="dxa"/>
            <w:vMerge/>
            <w:tcBorders>
              <w:top w:val="nil"/>
              <w:left w:val="nil"/>
              <w:bottom w:val="nil"/>
              <w:right w:val="nil"/>
            </w:tcBorders>
            <w:shd w:val="clear" w:color="auto" w:fill="FFFFFF"/>
            <w:vAlign w:val="bottom"/>
          </w:tcPr>
          <w:p w14:paraId="74E85AED" w14:textId="77777777" w:rsidR="00E45AD3" w:rsidRPr="00B25D0F" w:rsidRDefault="00E45AD3" w:rsidP="00B25D0F">
            <w:pPr>
              <w:pStyle w:val="NormalWeb"/>
              <w:spacing w:before="0" w:beforeAutospacing="0" w:line="360" w:lineRule="auto"/>
              <w:jc w:val="both"/>
            </w:pPr>
          </w:p>
        </w:tc>
        <w:tc>
          <w:tcPr>
            <w:tcW w:w="846" w:type="dxa"/>
            <w:tcBorders>
              <w:top w:val="nil"/>
              <w:left w:val="nil"/>
              <w:bottom w:val="single" w:sz="8" w:space="0" w:color="152935"/>
              <w:right w:val="single" w:sz="8" w:space="0" w:color="E0E0E0"/>
            </w:tcBorders>
            <w:shd w:val="clear" w:color="auto" w:fill="FFFFFF"/>
            <w:vAlign w:val="bottom"/>
          </w:tcPr>
          <w:p w14:paraId="10F52585" w14:textId="77777777" w:rsidR="00E45AD3" w:rsidRPr="00B25D0F" w:rsidRDefault="00E45AD3" w:rsidP="00B25D0F">
            <w:pPr>
              <w:pStyle w:val="NormalWeb"/>
              <w:spacing w:before="0" w:beforeAutospacing="0" w:line="360" w:lineRule="auto"/>
              <w:jc w:val="both"/>
            </w:pPr>
            <w:r w:rsidRPr="00B25D0F">
              <w:t>Statistic</w:t>
            </w:r>
          </w:p>
        </w:tc>
        <w:tc>
          <w:tcPr>
            <w:tcW w:w="846" w:type="dxa"/>
            <w:tcBorders>
              <w:top w:val="nil"/>
              <w:left w:val="single" w:sz="8" w:space="0" w:color="E0E0E0"/>
              <w:bottom w:val="single" w:sz="8" w:space="0" w:color="152935"/>
              <w:right w:val="single" w:sz="8" w:space="0" w:color="E0E0E0"/>
            </w:tcBorders>
            <w:shd w:val="clear" w:color="auto" w:fill="FFFFFF"/>
            <w:vAlign w:val="bottom"/>
          </w:tcPr>
          <w:p w14:paraId="27AD16B1" w14:textId="77777777" w:rsidR="00E45AD3" w:rsidRPr="00B25D0F" w:rsidRDefault="00E45AD3" w:rsidP="00B25D0F">
            <w:pPr>
              <w:pStyle w:val="NormalWeb"/>
              <w:spacing w:before="0" w:beforeAutospacing="0" w:line="360" w:lineRule="auto"/>
              <w:jc w:val="both"/>
            </w:pPr>
            <w:proofErr w:type="spellStart"/>
            <w:r w:rsidRPr="00B25D0F">
              <w:t>df</w:t>
            </w:r>
            <w:proofErr w:type="spellEnd"/>
          </w:p>
        </w:tc>
        <w:tc>
          <w:tcPr>
            <w:tcW w:w="848" w:type="dxa"/>
            <w:tcBorders>
              <w:top w:val="nil"/>
              <w:left w:val="single" w:sz="8" w:space="0" w:color="E0E0E0"/>
              <w:bottom w:val="single" w:sz="8" w:space="0" w:color="152935"/>
              <w:right w:val="nil"/>
            </w:tcBorders>
            <w:shd w:val="clear" w:color="auto" w:fill="FFFFFF"/>
            <w:vAlign w:val="bottom"/>
          </w:tcPr>
          <w:p w14:paraId="364C40B2" w14:textId="77777777" w:rsidR="00E45AD3" w:rsidRPr="00B25D0F" w:rsidRDefault="00E45AD3" w:rsidP="00B25D0F">
            <w:pPr>
              <w:pStyle w:val="NormalWeb"/>
              <w:spacing w:before="0" w:beforeAutospacing="0" w:line="360" w:lineRule="auto"/>
              <w:jc w:val="both"/>
            </w:pPr>
            <w:r w:rsidRPr="00B25D0F">
              <w:t>Sig.</w:t>
            </w:r>
          </w:p>
        </w:tc>
        <w:tc>
          <w:tcPr>
            <w:tcW w:w="846" w:type="dxa"/>
            <w:tcBorders>
              <w:top w:val="nil"/>
              <w:left w:val="single" w:sz="8" w:space="0" w:color="E0E0E0"/>
              <w:bottom w:val="single" w:sz="8" w:space="0" w:color="152935"/>
              <w:right w:val="single" w:sz="8" w:space="0" w:color="E0E0E0"/>
            </w:tcBorders>
            <w:shd w:val="clear" w:color="auto" w:fill="FFFFFF"/>
            <w:vAlign w:val="bottom"/>
          </w:tcPr>
          <w:p w14:paraId="265AAF94" w14:textId="77777777" w:rsidR="00E45AD3" w:rsidRPr="00B25D0F" w:rsidRDefault="00E45AD3" w:rsidP="00B25D0F">
            <w:pPr>
              <w:pStyle w:val="NormalWeb"/>
              <w:spacing w:before="0" w:beforeAutospacing="0" w:line="360" w:lineRule="auto"/>
              <w:jc w:val="both"/>
            </w:pPr>
            <w:r w:rsidRPr="00B25D0F">
              <w:t>Statistic</w:t>
            </w:r>
          </w:p>
        </w:tc>
        <w:tc>
          <w:tcPr>
            <w:tcW w:w="846" w:type="dxa"/>
            <w:tcBorders>
              <w:top w:val="nil"/>
              <w:left w:val="single" w:sz="8" w:space="0" w:color="E0E0E0"/>
              <w:bottom w:val="single" w:sz="8" w:space="0" w:color="152935"/>
              <w:right w:val="single" w:sz="8" w:space="0" w:color="E0E0E0"/>
            </w:tcBorders>
            <w:shd w:val="clear" w:color="auto" w:fill="FFFFFF"/>
            <w:vAlign w:val="bottom"/>
          </w:tcPr>
          <w:p w14:paraId="000E7C1D" w14:textId="77777777" w:rsidR="00E45AD3" w:rsidRPr="00B25D0F" w:rsidRDefault="00E45AD3" w:rsidP="00B25D0F">
            <w:pPr>
              <w:pStyle w:val="NormalWeb"/>
              <w:spacing w:before="0" w:beforeAutospacing="0" w:line="360" w:lineRule="auto"/>
              <w:jc w:val="both"/>
            </w:pPr>
            <w:proofErr w:type="spellStart"/>
            <w:r w:rsidRPr="00B25D0F">
              <w:t>df</w:t>
            </w:r>
            <w:proofErr w:type="spellEnd"/>
          </w:p>
        </w:tc>
        <w:tc>
          <w:tcPr>
            <w:tcW w:w="848" w:type="dxa"/>
            <w:tcBorders>
              <w:top w:val="nil"/>
              <w:left w:val="single" w:sz="8" w:space="0" w:color="E0E0E0"/>
              <w:bottom w:val="single" w:sz="8" w:space="0" w:color="152935"/>
              <w:right w:val="nil"/>
            </w:tcBorders>
            <w:shd w:val="clear" w:color="auto" w:fill="FFFFFF"/>
            <w:vAlign w:val="bottom"/>
          </w:tcPr>
          <w:p w14:paraId="46BC129E" w14:textId="77777777" w:rsidR="00E45AD3" w:rsidRPr="00B25D0F" w:rsidRDefault="00E45AD3" w:rsidP="00B25D0F">
            <w:pPr>
              <w:pStyle w:val="NormalWeb"/>
              <w:spacing w:before="0" w:beforeAutospacing="0" w:line="360" w:lineRule="auto"/>
              <w:jc w:val="both"/>
            </w:pPr>
            <w:r w:rsidRPr="00B25D0F">
              <w:t>Sig.</w:t>
            </w:r>
          </w:p>
        </w:tc>
      </w:tr>
      <w:tr w:rsidR="00E45AD3" w:rsidRPr="00B25D0F" w14:paraId="1CF653D5" w14:textId="77777777" w:rsidTr="00E45AD3">
        <w:trPr>
          <w:gridAfter w:val="1"/>
          <w:wAfter w:w="7" w:type="dxa"/>
          <w:cantSplit/>
          <w:trHeight w:val="300"/>
        </w:trPr>
        <w:tc>
          <w:tcPr>
            <w:tcW w:w="1312" w:type="dxa"/>
            <w:vMerge w:val="restart"/>
            <w:tcBorders>
              <w:top w:val="single" w:sz="8" w:space="0" w:color="152935"/>
              <w:left w:val="nil"/>
              <w:bottom w:val="single" w:sz="8" w:space="0" w:color="152935"/>
              <w:right w:val="nil"/>
            </w:tcBorders>
            <w:shd w:val="clear" w:color="auto" w:fill="E0E0E0"/>
          </w:tcPr>
          <w:p w14:paraId="32ACE3BD" w14:textId="77777777" w:rsidR="00E45AD3" w:rsidRPr="00B25D0F" w:rsidRDefault="00E45AD3" w:rsidP="00B25D0F">
            <w:pPr>
              <w:pStyle w:val="NormalWeb"/>
              <w:spacing w:before="0" w:beforeAutospacing="0" w:line="360" w:lineRule="auto"/>
              <w:jc w:val="both"/>
            </w:pPr>
            <w:r w:rsidRPr="00B25D0F">
              <w:lastRenderedPageBreak/>
              <w:t>HERD_SCORE</w:t>
            </w:r>
          </w:p>
        </w:tc>
        <w:tc>
          <w:tcPr>
            <w:tcW w:w="731" w:type="dxa"/>
            <w:tcBorders>
              <w:top w:val="single" w:sz="8" w:space="0" w:color="152935"/>
              <w:left w:val="nil"/>
              <w:bottom w:val="single" w:sz="8" w:space="0" w:color="AEAEAE"/>
              <w:right w:val="nil"/>
            </w:tcBorders>
            <w:shd w:val="clear" w:color="auto" w:fill="E0E0E0"/>
          </w:tcPr>
          <w:p w14:paraId="2DA9A586" w14:textId="77777777" w:rsidR="00E45AD3" w:rsidRPr="00B25D0F" w:rsidRDefault="00E45AD3" w:rsidP="00B25D0F">
            <w:pPr>
              <w:pStyle w:val="NormalWeb"/>
              <w:spacing w:before="0" w:beforeAutospacing="0" w:line="360" w:lineRule="auto"/>
              <w:jc w:val="both"/>
            </w:pPr>
            <w:r w:rsidRPr="00B25D0F">
              <w:t>male</w:t>
            </w:r>
          </w:p>
        </w:tc>
        <w:tc>
          <w:tcPr>
            <w:tcW w:w="846" w:type="dxa"/>
            <w:tcBorders>
              <w:top w:val="single" w:sz="8" w:space="0" w:color="152935"/>
              <w:left w:val="nil"/>
              <w:bottom w:val="single" w:sz="8" w:space="0" w:color="AEAEAE"/>
              <w:right w:val="single" w:sz="8" w:space="0" w:color="E0E0E0"/>
            </w:tcBorders>
            <w:shd w:val="clear" w:color="auto" w:fill="FFFFFF"/>
          </w:tcPr>
          <w:p w14:paraId="603FD3AE" w14:textId="77777777" w:rsidR="00E45AD3" w:rsidRPr="00B25D0F" w:rsidRDefault="00E45AD3" w:rsidP="00B25D0F">
            <w:pPr>
              <w:pStyle w:val="NormalWeb"/>
              <w:spacing w:before="0" w:beforeAutospacing="0" w:line="360" w:lineRule="auto"/>
              <w:jc w:val="both"/>
            </w:pPr>
            <w:r w:rsidRPr="00B25D0F">
              <w:t>.131</w:t>
            </w:r>
          </w:p>
        </w:tc>
        <w:tc>
          <w:tcPr>
            <w:tcW w:w="846" w:type="dxa"/>
            <w:tcBorders>
              <w:top w:val="single" w:sz="8" w:space="0" w:color="152935"/>
              <w:left w:val="single" w:sz="8" w:space="0" w:color="E0E0E0"/>
              <w:bottom w:val="single" w:sz="8" w:space="0" w:color="AEAEAE"/>
              <w:right w:val="single" w:sz="8" w:space="0" w:color="E0E0E0"/>
            </w:tcBorders>
            <w:shd w:val="clear" w:color="auto" w:fill="FFFFFF"/>
          </w:tcPr>
          <w:p w14:paraId="0BA8976D" w14:textId="77777777" w:rsidR="00E45AD3" w:rsidRPr="00B25D0F" w:rsidRDefault="00E45AD3" w:rsidP="00B25D0F">
            <w:pPr>
              <w:pStyle w:val="NormalWeb"/>
              <w:spacing w:before="0" w:beforeAutospacing="0" w:line="360" w:lineRule="auto"/>
              <w:jc w:val="both"/>
            </w:pPr>
            <w:r w:rsidRPr="00B25D0F">
              <w:t>53</w:t>
            </w:r>
          </w:p>
        </w:tc>
        <w:tc>
          <w:tcPr>
            <w:tcW w:w="848" w:type="dxa"/>
            <w:tcBorders>
              <w:top w:val="single" w:sz="8" w:space="0" w:color="152935"/>
              <w:left w:val="single" w:sz="8" w:space="0" w:color="E0E0E0"/>
              <w:bottom w:val="single" w:sz="8" w:space="0" w:color="AEAEAE"/>
              <w:right w:val="nil"/>
            </w:tcBorders>
            <w:shd w:val="clear" w:color="auto" w:fill="FFFFFF"/>
          </w:tcPr>
          <w:p w14:paraId="5DC5E293" w14:textId="77777777" w:rsidR="00E45AD3" w:rsidRPr="00B25D0F" w:rsidRDefault="00E45AD3" w:rsidP="00B25D0F">
            <w:pPr>
              <w:pStyle w:val="NormalWeb"/>
              <w:spacing w:before="0" w:beforeAutospacing="0" w:line="360" w:lineRule="auto"/>
              <w:jc w:val="both"/>
            </w:pPr>
            <w:r w:rsidRPr="00B25D0F">
              <w:t>.023</w:t>
            </w:r>
          </w:p>
        </w:tc>
        <w:tc>
          <w:tcPr>
            <w:tcW w:w="846" w:type="dxa"/>
            <w:tcBorders>
              <w:top w:val="single" w:sz="8" w:space="0" w:color="152935"/>
              <w:left w:val="single" w:sz="8" w:space="0" w:color="E0E0E0"/>
              <w:bottom w:val="single" w:sz="8" w:space="0" w:color="AEAEAE"/>
              <w:right w:val="single" w:sz="8" w:space="0" w:color="E0E0E0"/>
            </w:tcBorders>
            <w:shd w:val="clear" w:color="auto" w:fill="FFFFFF"/>
          </w:tcPr>
          <w:p w14:paraId="0B92012A" w14:textId="77777777" w:rsidR="00E45AD3" w:rsidRPr="00B25D0F" w:rsidRDefault="00E45AD3" w:rsidP="00B25D0F">
            <w:pPr>
              <w:pStyle w:val="NormalWeb"/>
              <w:spacing w:before="0" w:beforeAutospacing="0" w:line="360" w:lineRule="auto"/>
              <w:jc w:val="both"/>
            </w:pPr>
            <w:r w:rsidRPr="00B25D0F">
              <w:t>.943</w:t>
            </w:r>
          </w:p>
        </w:tc>
        <w:tc>
          <w:tcPr>
            <w:tcW w:w="846" w:type="dxa"/>
            <w:tcBorders>
              <w:top w:val="single" w:sz="8" w:space="0" w:color="152935"/>
              <w:left w:val="single" w:sz="8" w:space="0" w:color="E0E0E0"/>
              <w:bottom w:val="single" w:sz="8" w:space="0" w:color="AEAEAE"/>
              <w:right w:val="single" w:sz="8" w:space="0" w:color="E0E0E0"/>
            </w:tcBorders>
            <w:shd w:val="clear" w:color="auto" w:fill="FFFFFF"/>
          </w:tcPr>
          <w:p w14:paraId="7B4360FA" w14:textId="77777777" w:rsidR="00E45AD3" w:rsidRPr="00B25D0F" w:rsidRDefault="00E45AD3" w:rsidP="00B25D0F">
            <w:pPr>
              <w:pStyle w:val="NormalWeb"/>
              <w:spacing w:before="0" w:beforeAutospacing="0" w:line="360" w:lineRule="auto"/>
              <w:jc w:val="both"/>
            </w:pPr>
            <w:r w:rsidRPr="00B25D0F">
              <w:t>53</w:t>
            </w:r>
          </w:p>
        </w:tc>
        <w:tc>
          <w:tcPr>
            <w:tcW w:w="848" w:type="dxa"/>
            <w:tcBorders>
              <w:top w:val="single" w:sz="8" w:space="0" w:color="152935"/>
              <w:left w:val="single" w:sz="8" w:space="0" w:color="E0E0E0"/>
              <w:bottom w:val="single" w:sz="8" w:space="0" w:color="AEAEAE"/>
              <w:right w:val="nil"/>
            </w:tcBorders>
            <w:shd w:val="clear" w:color="auto" w:fill="FFFFFF"/>
          </w:tcPr>
          <w:p w14:paraId="62EC43EA" w14:textId="77777777" w:rsidR="00E45AD3" w:rsidRPr="00B25D0F" w:rsidRDefault="00E45AD3" w:rsidP="00B25D0F">
            <w:pPr>
              <w:pStyle w:val="NormalWeb"/>
              <w:spacing w:before="0" w:beforeAutospacing="0" w:line="360" w:lineRule="auto"/>
              <w:jc w:val="both"/>
            </w:pPr>
            <w:r w:rsidRPr="00B25D0F">
              <w:t>.013</w:t>
            </w:r>
          </w:p>
        </w:tc>
      </w:tr>
      <w:tr w:rsidR="00E45AD3" w:rsidRPr="00B25D0F" w14:paraId="2F9805BC" w14:textId="77777777" w:rsidTr="00E45AD3">
        <w:trPr>
          <w:gridAfter w:val="1"/>
          <w:wAfter w:w="7" w:type="dxa"/>
          <w:cantSplit/>
          <w:trHeight w:val="105"/>
        </w:trPr>
        <w:tc>
          <w:tcPr>
            <w:tcW w:w="1312" w:type="dxa"/>
            <w:vMerge/>
            <w:tcBorders>
              <w:top w:val="single" w:sz="8" w:space="0" w:color="152935"/>
              <w:left w:val="nil"/>
              <w:bottom w:val="single" w:sz="8" w:space="0" w:color="152935"/>
              <w:right w:val="nil"/>
            </w:tcBorders>
            <w:shd w:val="clear" w:color="auto" w:fill="E0E0E0"/>
          </w:tcPr>
          <w:p w14:paraId="30FAD478" w14:textId="77777777" w:rsidR="00E45AD3" w:rsidRPr="00B25D0F" w:rsidRDefault="00E45AD3" w:rsidP="00B25D0F">
            <w:pPr>
              <w:pStyle w:val="NormalWeb"/>
              <w:spacing w:before="0" w:beforeAutospacing="0" w:line="360" w:lineRule="auto"/>
              <w:jc w:val="both"/>
            </w:pPr>
          </w:p>
        </w:tc>
        <w:tc>
          <w:tcPr>
            <w:tcW w:w="731" w:type="dxa"/>
            <w:tcBorders>
              <w:top w:val="single" w:sz="8" w:space="0" w:color="AEAEAE"/>
              <w:left w:val="nil"/>
              <w:bottom w:val="single" w:sz="8" w:space="0" w:color="152935"/>
              <w:right w:val="nil"/>
            </w:tcBorders>
            <w:shd w:val="clear" w:color="auto" w:fill="E0E0E0"/>
          </w:tcPr>
          <w:p w14:paraId="21B5BB04" w14:textId="77777777" w:rsidR="00E45AD3" w:rsidRPr="00B25D0F" w:rsidRDefault="00E45AD3" w:rsidP="00B25D0F">
            <w:pPr>
              <w:pStyle w:val="NormalWeb"/>
              <w:spacing w:before="0" w:beforeAutospacing="0" w:line="360" w:lineRule="auto"/>
              <w:jc w:val="both"/>
            </w:pPr>
            <w:r w:rsidRPr="00B25D0F">
              <w:t>female</w:t>
            </w:r>
          </w:p>
        </w:tc>
        <w:tc>
          <w:tcPr>
            <w:tcW w:w="846" w:type="dxa"/>
            <w:tcBorders>
              <w:top w:val="single" w:sz="8" w:space="0" w:color="AEAEAE"/>
              <w:left w:val="nil"/>
              <w:bottom w:val="single" w:sz="8" w:space="0" w:color="152935"/>
              <w:right w:val="single" w:sz="8" w:space="0" w:color="E0E0E0"/>
            </w:tcBorders>
            <w:shd w:val="clear" w:color="auto" w:fill="FFFFFF"/>
          </w:tcPr>
          <w:p w14:paraId="53D43D80" w14:textId="77777777" w:rsidR="00E45AD3" w:rsidRPr="00B25D0F" w:rsidRDefault="00E45AD3" w:rsidP="00B25D0F">
            <w:pPr>
              <w:pStyle w:val="NormalWeb"/>
              <w:spacing w:before="0" w:beforeAutospacing="0" w:line="360" w:lineRule="auto"/>
              <w:jc w:val="both"/>
            </w:pPr>
            <w:r w:rsidRPr="00B25D0F">
              <w:t>.186</w:t>
            </w:r>
          </w:p>
        </w:tc>
        <w:tc>
          <w:tcPr>
            <w:tcW w:w="846" w:type="dxa"/>
            <w:tcBorders>
              <w:top w:val="single" w:sz="8" w:space="0" w:color="AEAEAE"/>
              <w:left w:val="single" w:sz="8" w:space="0" w:color="E0E0E0"/>
              <w:bottom w:val="single" w:sz="8" w:space="0" w:color="152935"/>
              <w:right w:val="single" w:sz="8" w:space="0" w:color="E0E0E0"/>
            </w:tcBorders>
            <w:shd w:val="clear" w:color="auto" w:fill="FFFFFF"/>
          </w:tcPr>
          <w:p w14:paraId="1048486C" w14:textId="77777777" w:rsidR="00E45AD3" w:rsidRPr="00B25D0F" w:rsidRDefault="00E45AD3" w:rsidP="00B25D0F">
            <w:pPr>
              <w:pStyle w:val="NormalWeb"/>
              <w:spacing w:before="0" w:beforeAutospacing="0" w:line="360" w:lineRule="auto"/>
              <w:jc w:val="both"/>
            </w:pPr>
            <w:r w:rsidRPr="00B25D0F">
              <w:t>40</w:t>
            </w:r>
          </w:p>
        </w:tc>
        <w:tc>
          <w:tcPr>
            <w:tcW w:w="848" w:type="dxa"/>
            <w:tcBorders>
              <w:top w:val="single" w:sz="8" w:space="0" w:color="AEAEAE"/>
              <w:left w:val="single" w:sz="8" w:space="0" w:color="E0E0E0"/>
              <w:bottom w:val="single" w:sz="8" w:space="0" w:color="152935"/>
              <w:right w:val="nil"/>
            </w:tcBorders>
            <w:shd w:val="clear" w:color="auto" w:fill="FFFFFF"/>
          </w:tcPr>
          <w:p w14:paraId="400F0072" w14:textId="77777777" w:rsidR="00E45AD3" w:rsidRPr="00B25D0F" w:rsidRDefault="00E45AD3" w:rsidP="00B25D0F">
            <w:pPr>
              <w:pStyle w:val="NormalWeb"/>
              <w:spacing w:before="0" w:beforeAutospacing="0" w:line="360" w:lineRule="auto"/>
              <w:jc w:val="both"/>
            </w:pPr>
            <w:r w:rsidRPr="00B25D0F">
              <w:t>.001</w:t>
            </w:r>
          </w:p>
        </w:tc>
        <w:tc>
          <w:tcPr>
            <w:tcW w:w="846" w:type="dxa"/>
            <w:tcBorders>
              <w:top w:val="single" w:sz="8" w:space="0" w:color="AEAEAE"/>
              <w:left w:val="single" w:sz="8" w:space="0" w:color="E0E0E0"/>
              <w:bottom w:val="single" w:sz="8" w:space="0" w:color="152935"/>
              <w:right w:val="single" w:sz="8" w:space="0" w:color="E0E0E0"/>
            </w:tcBorders>
            <w:shd w:val="clear" w:color="auto" w:fill="FFFFFF"/>
          </w:tcPr>
          <w:p w14:paraId="1A90EB82" w14:textId="77777777" w:rsidR="00E45AD3" w:rsidRPr="00B25D0F" w:rsidRDefault="00E45AD3" w:rsidP="00B25D0F">
            <w:pPr>
              <w:pStyle w:val="NormalWeb"/>
              <w:spacing w:before="0" w:beforeAutospacing="0" w:line="360" w:lineRule="auto"/>
              <w:jc w:val="both"/>
            </w:pPr>
            <w:r w:rsidRPr="00B25D0F">
              <w:t>.864</w:t>
            </w:r>
          </w:p>
        </w:tc>
        <w:tc>
          <w:tcPr>
            <w:tcW w:w="846" w:type="dxa"/>
            <w:tcBorders>
              <w:top w:val="single" w:sz="8" w:space="0" w:color="AEAEAE"/>
              <w:left w:val="single" w:sz="8" w:space="0" w:color="E0E0E0"/>
              <w:bottom w:val="single" w:sz="8" w:space="0" w:color="152935"/>
              <w:right w:val="single" w:sz="8" w:space="0" w:color="E0E0E0"/>
            </w:tcBorders>
            <w:shd w:val="clear" w:color="auto" w:fill="FFFFFF"/>
          </w:tcPr>
          <w:p w14:paraId="44A7A8C0" w14:textId="77777777" w:rsidR="00E45AD3" w:rsidRPr="00B25D0F" w:rsidRDefault="00E45AD3" w:rsidP="00B25D0F">
            <w:pPr>
              <w:pStyle w:val="NormalWeb"/>
              <w:spacing w:before="0" w:beforeAutospacing="0" w:line="360" w:lineRule="auto"/>
              <w:jc w:val="both"/>
            </w:pPr>
            <w:r w:rsidRPr="00B25D0F">
              <w:t>40</w:t>
            </w:r>
          </w:p>
        </w:tc>
        <w:tc>
          <w:tcPr>
            <w:tcW w:w="848" w:type="dxa"/>
            <w:tcBorders>
              <w:top w:val="single" w:sz="8" w:space="0" w:color="AEAEAE"/>
              <w:left w:val="single" w:sz="8" w:space="0" w:color="E0E0E0"/>
              <w:bottom w:val="single" w:sz="8" w:space="0" w:color="152935"/>
              <w:right w:val="nil"/>
            </w:tcBorders>
            <w:shd w:val="clear" w:color="auto" w:fill="FFFFFF"/>
          </w:tcPr>
          <w:p w14:paraId="6F01B560" w14:textId="77777777" w:rsidR="00E45AD3" w:rsidRPr="00B25D0F" w:rsidRDefault="00E45AD3" w:rsidP="00B25D0F">
            <w:pPr>
              <w:pStyle w:val="NormalWeb"/>
              <w:spacing w:before="0" w:beforeAutospacing="0" w:line="360" w:lineRule="auto"/>
              <w:jc w:val="both"/>
            </w:pPr>
            <w:r w:rsidRPr="00B25D0F">
              <w:t>.000</w:t>
            </w:r>
          </w:p>
        </w:tc>
      </w:tr>
      <w:tr w:rsidR="00E45AD3" w:rsidRPr="00B25D0F" w14:paraId="6077DE99" w14:textId="77777777" w:rsidTr="00E45AD3">
        <w:trPr>
          <w:cantSplit/>
          <w:trHeight w:val="297"/>
        </w:trPr>
        <w:tc>
          <w:tcPr>
            <w:tcW w:w="7130" w:type="dxa"/>
            <w:gridSpan w:val="9"/>
            <w:tcBorders>
              <w:top w:val="nil"/>
              <w:left w:val="nil"/>
              <w:bottom w:val="nil"/>
              <w:right w:val="nil"/>
            </w:tcBorders>
            <w:shd w:val="clear" w:color="auto" w:fill="FFFFFF"/>
          </w:tcPr>
          <w:p w14:paraId="7620B976" w14:textId="77777777" w:rsidR="00E45AD3" w:rsidRPr="00B25D0F" w:rsidRDefault="00E45AD3" w:rsidP="00B25D0F">
            <w:pPr>
              <w:pStyle w:val="NormalWeb"/>
              <w:spacing w:before="0" w:beforeAutospacing="0" w:after="0" w:afterAutospacing="0" w:line="360" w:lineRule="auto"/>
              <w:jc w:val="both"/>
            </w:pPr>
            <w:r w:rsidRPr="00B25D0F">
              <w:t>a. Lilliefors Significance Correction</w:t>
            </w:r>
          </w:p>
        </w:tc>
      </w:tr>
    </w:tbl>
    <w:p w14:paraId="0BE2B467" w14:textId="77777777" w:rsidR="00E45AD3" w:rsidRPr="00B25D0F" w:rsidRDefault="00E45AD3" w:rsidP="00B25D0F">
      <w:pPr>
        <w:pStyle w:val="NormalWeb"/>
        <w:spacing w:before="0" w:beforeAutospacing="0" w:line="360" w:lineRule="auto"/>
        <w:jc w:val="both"/>
        <w:rPr>
          <w:noProof/>
        </w:rPr>
      </w:pPr>
    </w:p>
    <w:p w14:paraId="24422F3E" w14:textId="77777777" w:rsidR="00E45AD3" w:rsidRPr="00B25D0F" w:rsidRDefault="00E45AD3" w:rsidP="00B25D0F">
      <w:pPr>
        <w:rPr>
          <w:sz w:val="24"/>
          <w:szCs w:val="24"/>
          <w:lang w:val="en-IN" w:eastAsia="en-IN"/>
        </w:rPr>
      </w:pPr>
    </w:p>
    <w:p w14:paraId="1BBE3ACB" w14:textId="77777777" w:rsidR="00E45AD3" w:rsidRPr="00B25D0F" w:rsidRDefault="00E45AD3" w:rsidP="00B25D0F">
      <w:pPr>
        <w:pStyle w:val="NormalWeb"/>
        <w:spacing w:before="0" w:beforeAutospacing="0" w:line="360" w:lineRule="auto"/>
        <w:jc w:val="right"/>
        <w:rPr>
          <w:noProof/>
        </w:rPr>
      </w:pPr>
    </w:p>
    <w:p w14:paraId="2AD67695" w14:textId="77777777" w:rsidR="00E45AD3" w:rsidRPr="00B25D0F" w:rsidRDefault="00E45AD3" w:rsidP="00B25D0F">
      <w:pPr>
        <w:pStyle w:val="NormalWeb"/>
        <w:spacing w:before="0" w:beforeAutospacing="0" w:line="360" w:lineRule="auto"/>
        <w:jc w:val="both"/>
        <w:rPr>
          <w:noProof/>
        </w:rPr>
      </w:pPr>
    </w:p>
    <w:p w14:paraId="01360C1C" w14:textId="6704A4CF" w:rsidR="00E45AD3" w:rsidRPr="00B25D0F" w:rsidRDefault="00E45AD3" w:rsidP="00B25D0F">
      <w:pPr>
        <w:pStyle w:val="NormalWeb"/>
        <w:spacing w:before="0" w:beforeAutospacing="0" w:line="360" w:lineRule="auto"/>
        <w:rPr>
          <w:noProof/>
        </w:rPr>
      </w:pPr>
      <w:r w:rsidRPr="00B25D0F">
        <w:rPr>
          <w:b/>
          <w:bCs/>
          <w:noProof/>
          <w:lang w:val="en-US"/>
        </w:rPr>
        <w:t xml:space="preserve">Fig </w:t>
      </w:r>
      <w:r w:rsidR="007224FF" w:rsidRPr="00B25D0F">
        <w:rPr>
          <w:b/>
          <w:bCs/>
          <w:noProof/>
          <w:lang w:val="en-US"/>
        </w:rPr>
        <w:t>1</w:t>
      </w:r>
      <w:r w:rsidRPr="00B25D0F">
        <w:rPr>
          <w:b/>
          <w:bCs/>
          <w:noProof/>
          <w:lang w:val="en-US"/>
        </w:rPr>
        <w:t xml:space="preserve">: </w:t>
      </w:r>
      <w:r w:rsidRPr="00B25D0F">
        <w:rPr>
          <w:noProof/>
          <w:lang w:val="en-US"/>
        </w:rPr>
        <w:t>Box Plot of HERD_SCORE by Gender</w:t>
      </w:r>
      <w:r w:rsidRPr="00B25D0F">
        <w:rPr>
          <w:noProof/>
          <w:lang w:val="en-US"/>
        </w:rPr>
        <w:br/>
      </w:r>
      <w:r w:rsidRPr="00B25D0F">
        <w:rPr>
          <w:b/>
          <w:bCs/>
          <w:i/>
          <w:iCs/>
          <w:noProof/>
          <w:lang w:val="en-US"/>
        </w:rPr>
        <w:t>Source:</w:t>
      </w:r>
      <w:r w:rsidRPr="00B25D0F">
        <w:rPr>
          <w:i/>
          <w:iCs/>
          <w:noProof/>
          <w:lang w:val="en-US"/>
        </w:rPr>
        <w:t xml:space="preserve"> Compiled by author using SPSS output</w:t>
      </w:r>
      <w:r w:rsidRPr="00B25D0F">
        <w:rPr>
          <w:noProof/>
        </w:rPr>
        <w:br w:type="textWrapping" w:clear="all"/>
      </w:r>
      <w:r w:rsidRPr="00B25D0F">
        <w:rPr>
          <w:noProof/>
        </w:rPr>
        <w:drawing>
          <wp:inline distT="0" distB="0" distL="0" distR="0" wp14:anchorId="658348CB" wp14:editId="788C8569">
            <wp:extent cx="4058529" cy="2389589"/>
            <wp:effectExtent l="0" t="0" r="0" b="0"/>
            <wp:docPr id="16364963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6338" cy="2394187"/>
                    </a:xfrm>
                    <a:prstGeom prst="rect">
                      <a:avLst/>
                    </a:prstGeom>
                    <a:noFill/>
                    <a:ln>
                      <a:noFill/>
                    </a:ln>
                  </pic:spPr>
                </pic:pic>
              </a:graphicData>
            </a:graphic>
          </wp:inline>
        </w:drawing>
      </w:r>
    </w:p>
    <w:p w14:paraId="58725741" w14:textId="503A4D6C" w:rsidR="007F3B18" w:rsidRPr="00B25D0F" w:rsidRDefault="00E45AD3" w:rsidP="00B25D0F">
      <w:pPr>
        <w:pStyle w:val="NormalWeb"/>
        <w:spacing w:before="0" w:beforeAutospacing="0" w:after="0" w:afterAutospacing="0" w:line="360" w:lineRule="auto"/>
        <w:jc w:val="both"/>
        <w:rPr>
          <w:lang w:val="en-US"/>
        </w:rPr>
      </w:pPr>
      <w:r w:rsidRPr="00B25D0F">
        <w:rPr>
          <w:b/>
          <w:bCs/>
          <w:lang w:val="en-US"/>
        </w:rPr>
        <w:t>Table A2:</w:t>
      </w:r>
      <w:r w:rsidRPr="00B25D0F">
        <w:rPr>
          <w:lang w:val="en-US"/>
        </w:rPr>
        <w:t xml:space="preserve"> Extended Descriptive Statistics of HERD_SCORE by Gender</w:t>
      </w:r>
    </w:p>
    <w:p w14:paraId="559C7E31" w14:textId="21776F36" w:rsidR="00E45AD3" w:rsidRPr="00B25D0F" w:rsidRDefault="00E45AD3" w:rsidP="00B25D0F">
      <w:pPr>
        <w:pStyle w:val="NormalWeb"/>
        <w:spacing w:before="0" w:beforeAutospacing="0" w:line="360" w:lineRule="auto"/>
        <w:rPr>
          <w:i/>
          <w:iCs/>
          <w:noProof/>
          <w:lang w:val="en-US"/>
        </w:rPr>
      </w:pPr>
      <w:r w:rsidRPr="00B25D0F">
        <w:rPr>
          <w:b/>
          <w:bCs/>
          <w:i/>
          <w:iCs/>
          <w:noProof/>
          <w:lang w:val="en-US"/>
        </w:rPr>
        <w:t>Source:</w:t>
      </w:r>
      <w:r w:rsidRPr="00B25D0F">
        <w:rPr>
          <w:i/>
          <w:iCs/>
          <w:noProof/>
          <w:lang w:val="en-US"/>
        </w:rPr>
        <w:t xml:space="preserve"> Compiled by author using SPSS output</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547"/>
        <w:gridCol w:w="653"/>
        <w:gridCol w:w="3359"/>
        <w:gridCol w:w="1327"/>
        <w:gridCol w:w="784"/>
        <w:gridCol w:w="957"/>
      </w:tblGrid>
      <w:tr w:rsidR="00E45AD3" w:rsidRPr="00B25D0F" w14:paraId="32950C89" w14:textId="77777777" w:rsidTr="00E45AD3">
        <w:trPr>
          <w:cantSplit/>
        </w:trPr>
        <w:tc>
          <w:tcPr>
            <w:tcW w:w="0" w:type="auto"/>
            <w:gridSpan w:val="6"/>
            <w:tcBorders>
              <w:top w:val="nil"/>
              <w:left w:val="nil"/>
              <w:bottom w:val="nil"/>
              <w:right w:val="nil"/>
            </w:tcBorders>
            <w:shd w:val="clear" w:color="auto" w:fill="FFFFFF"/>
            <w:vAlign w:val="center"/>
          </w:tcPr>
          <w:p w14:paraId="6FA1F085" w14:textId="77777777" w:rsidR="00E45AD3" w:rsidRPr="00B25D0F" w:rsidRDefault="00E45AD3" w:rsidP="00B25D0F">
            <w:pPr>
              <w:pStyle w:val="NormalWeb"/>
              <w:spacing w:before="0" w:beforeAutospacing="0" w:after="0" w:afterAutospacing="0" w:line="360" w:lineRule="auto"/>
              <w:rPr>
                <w:noProof/>
              </w:rPr>
            </w:pPr>
            <w:r w:rsidRPr="00B25D0F">
              <w:rPr>
                <w:b/>
                <w:bCs/>
                <w:noProof/>
              </w:rPr>
              <w:t>Descriptives</w:t>
            </w:r>
          </w:p>
        </w:tc>
      </w:tr>
      <w:tr w:rsidR="00E45AD3" w:rsidRPr="00B25D0F" w14:paraId="5DFAFFF5" w14:textId="77777777" w:rsidTr="00E45AD3">
        <w:trPr>
          <w:cantSplit/>
        </w:trPr>
        <w:tc>
          <w:tcPr>
            <w:tcW w:w="0" w:type="auto"/>
          </w:tcPr>
          <w:p w14:paraId="1B0EC51B" w14:textId="77777777" w:rsidR="00E45AD3" w:rsidRPr="00B25D0F" w:rsidRDefault="00E45AD3" w:rsidP="00B25D0F">
            <w:pPr>
              <w:pStyle w:val="NormalWeb"/>
              <w:spacing w:before="0" w:beforeAutospacing="0" w:after="0" w:afterAutospacing="0" w:line="360" w:lineRule="auto"/>
              <w:rPr>
                <w:noProof/>
              </w:rPr>
            </w:pPr>
          </w:p>
        </w:tc>
        <w:tc>
          <w:tcPr>
            <w:tcW w:w="0" w:type="auto"/>
            <w:gridSpan w:val="3"/>
            <w:tcBorders>
              <w:top w:val="nil"/>
              <w:left w:val="nil"/>
              <w:bottom w:val="single" w:sz="8" w:space="0" w:color="152935"/>
              <w:right w:val="nil"/>
            </w:tcBorders>
            <w:shd w:val="clear" w:color="auto" w:fill="FFFFFF"/>
            <w:vAlign w:val="bottom"/>
          </w:tcPr>
          <w:p w14:paraId="20AC4E6A" w14:textId="77777777" w:rsidR="00E45AD3" w:rsidRPr="00B25D0F" w:rsidRDefault="00E45AD3" w:rsidP="00B25D0F">
            <w:pPr>
              <w:pStyle w:val="NormalWeb"/>
              <w:spacing w:before="0" w:beforeAutospacing="0" w:after="0" w:afterAutospacing="0" w:line="360" w:lineRule="auto"/>
              <w:rPr>
                <w:noProof/>
              </w:rPr>
            </w:pPr>
            <w:r w:rsidRPr="00B25D0F">
              <w:rPr>
                <w:noProof/>
              </w:rPr>
              <w:t>gender</w:t>
            </w:r>
          </w:p>
        </w:tc>
        <w:tc>
          <w:tcPr>
            <w:tcW w:w="0" w:type="auto"/>
            <w:tcBorders>
              <w:top w:val="nil"/>
              <w:left w:val="nil"/>
              <w:bottom w:val="single" w:sz="8" w:space="0" w:color="152935"/>
              <w:right w:val="single" w:sz="8" w:space="0" w:color="E0E0E0"/>
            </w:tcBorders>
            <w:shd w:val="clear" w:color="auto" w:fill="FFFFFF"/>
            <w:vAlign w:val="bottom"/>
          </w:tcPr>
          <w:p w14:paraId="0D48F56E" w14:textId="77777777" w:rsidR="00E45AD3" w:rsidRPr="00B25D0F" w:rsidRDefault="00E45AD3" w:rsidP="00B25D0F">
            <w:pPr>
              <w:pStyle w:val="NormalWeb"/>
              <w:spacing w:before="0" w:beforeAutospacing="0" w:after="0" w:afterAutospacing="0" w:line="360" w:lineRule="auto"/>
              <w:rPr>
                <w:noProof/>
              </w:rPr>
            </w:pPr>
            <w:r w:rsidRPr="00B25D0F">
              <w:rPr>
                <w:noProof/>
              </w:rPr>
              <w:t>Statistic</w:t>
            </w:r>
          </w:p>
        </w:tc>
        <w:tc>
          <w:tcPr>
            <w:tcW w:w="0" w:type="auto"/>
            <w:tcBorders>
              <w:top w:val="nil"/>
              <w:left w:val="single" w:sz="8" w:space="0" w:color="E0E0E0"/>
              <w:bottom w:val="single" w:sz="8" w:space="0" w:color="152935"/>
              <w:right w:val="nil"/>
            </w:tcBorders>
            <w:shd w:val="clear" w:color="auto" w:fill="FFFFFF"/>
            <w:vAlign w:val="bottom"/>
          </w:tcPr>
          <w:p w14:paraId="42FC23EC" w14:textId="77777777" w:rsidR="00E45AD3" w:rsidRPr="00B25D0F" w:rsidRDefault="00E45AD3" w:rsidP="00B25D0F">
            <w:pPr>
              <w:pStyle w:val="NormalWeb"/>
              <w:spacing w:before="0" w:beforeAutospacing="0" w:after="0" w:afterAutospacing="0" w:line="360" w:lineRule="auto"/>
              <w:rPr>
                <w:noProof/>
              </w:rPr>
            </w:pPr>
            <w:r w:rsidRPr="00B25D0F">
              <w:rPr>
                <w:noProof/>
              </w:rPr>
              <w:t>Std. Error</w:t>
            </w:r>
          </w:p>
        </w:tc>
      </w:tr>
      <w:tr w:rsidR="00E45AD3" w:rsidRPr="00B25D0F" w14:paraId="7B92D695" w14:textId="77777777" w:rsidTr="00E45AD3">
        <w:trPr>
          <w:cantSplit/>
        </w:trPr>
        <w:tc>
          <w:tcPr>
            <w:tcW w:w="0" w:type="auto"/>
            <w:vMerge w:val="restart"/>
            <w:tcBorders>
              <w:top w:val="single" w:sz="8" w:space="0" w:color="152935"/>
              <w:left w:val="nil"/>
              <w:bottom w:val="single" w:sz="8" w:space="0" w:color="152935"/>
              <w:right w:val="nil"/>
            </w:tcBorders>
            <w:shd w:val="clear" w:color="auto" w:fill="E0E0E0"/>
          </w:tcPr>
          <w:p w14:paraId="013A3113" w14:textId="77777777" w:rsidR="00E45AD3" w:rsidRPr="00B25D0F" w:rsidRDefault="00E45AD3" w:rsidP="00B25D0F">
            <w:pPr>
              <w:pStyle w:val="NormalWeb"/>
              <w:spacing w:before="0" w:beforeAutospacing="0" w:after="0" w:afterAutospacing="0" w:line="360" w:lineRule="auto"/>
              <w:rPr>
                <w:noProof/>
              </w:rPr>
            </w:pPr>
            <w:r w:rsidRPr="00B25D0F">
              <w:rPr>
                <w:noProof/>
              </w:rPr>
              <w:t>HERD_SCORE</w:t>
            </w:r>
          </w:p>
        </w:tc>
        <w:tc>
          <w:tcPr>
            <w:tcW w:w="0" w:type="auto"/>
            <w:vMerge w:val="restart"/>
            <w:tcBorders>
              <w:top w:val="single" w:sz="8" w:space="0" w:color="152935"/>
              <w:left w:val="nil"/>
              <w:bottom w:val="nil"/>
              <w:right w:val="nil"/>
            </w:tcBorders>
            <w:shd w:val="clear" w:color="auto" w:fill="E0E0E0"/>
          </w:tcPr>
          <w:p w14:paraId="30795BED" w14:textId="77777777" w:rsidR="00E45AD3" w:rsidRPr="00B25D0F" w:rsidRDefault="00E45AD3" w:rsidP="00B25D0F">
            <w:pPr>
              <w:pStyle w:val="NormalWeb"/>
              <w:spacing w:before="0" w:beforeAutospacing="0" w:after="0" w:afterAutospacing="0" w:line="360" w:lineRule="auto"/>
              <w:rPr>
                <w:noProof/>
              </w:rPr>
            </w:pPr>
            <w:r w:rsidRPr="00B25D0F">
              <w:rPr>
                <w:noProof/>
              </w:rPr>
              <w:t>male</w:t>
            </w:r>
          </w:p>
        </w:tc>
        <w:tc>
          <w:tcPr>
            <w:tcW w:w="0" w:type="auto"/>
            <w:gridSpan w:val="2"/>
            <w:tcBorders>
              <w:top w:val="single" w:sz="8" w:space="0" w:color="152935"/>
              <w:left w:val="nil"/>
              <w:bottom w:val="nil"/>
              <w:right w:val="nil"/>
            </w:tcBorders>
            <w:shd w:val="clear" w:color="auto" w:fill="E0E0E0"/>
          </w:tcPr>
          <w:p w14:paraId="3AC86B84" w14:textId="77777777" w:rsidR="00E45AD3" w:rsidRPr="00B25D0F" w:rsidRDefault="00E45AD3" w:rsidP="00B25D0F">
            <w:pPr>
              <w:pStyle w:val="NormalWeb"/>
              <w:spacing w:before="0" w:beforeAutospacing="0" w:after="0" w:afterAutospacing="0" w:line="360" w:lineRule="auto"/>
              <w:rPr>
                <w:noProof/>
              </w:rPr>
            </w:pPr>
            <w:r w:rsidRPr="00B25D0F">
              <w:rPr>
                <w:noProof/>
              </w:rPr>
              <w:t>Mean</w:t>
            </w:r>
          </w:p>
        </w:tc>
        <w:tc>
          <w:tcPr>
            <w:tcW w:w="0" w:type="auto"/>
            <w:tcBorders>
              <w:top w:val="single" w:sz="8" w:space="0" w:color="152935"/>
              <w:left w:val="nil"/>
              <w:bottom w:val="nil"/>
              <w:right w:val="single" w:sz="8" w:space="0" w:color="E0E0E0"/>
            </w:tcBorders>
            <w:shd w:val="clear" w:color="auto" w:fill="FFFFFF"/>
          </w:tcPr>
          <w:p w14:paraId="35D172D2" w14:textId="77777777" w:rsidR="00E45AD3" w:rsidRPr="00B25D0F" w:rsidRDefault="00E45AD3" w:rsidP="00B25D0F">
            <w:pPr>
              <w:pStyle w:val="NormalWeb"/>
              <w:spacing w:before="0" w:beforeAutospacing="0" w:after="0" w:afterAutospacing="0" w:line="360" w:lineRule="auto"/>
              <w:rPr>
                <w:noProof/>
              </w:rPr>
            </w:pPr>
            <w:r w:rsidRPr="00B25D0F">
              <w:rPr>
                <w:noProof/>
              </w:rPr>
              <w:t>3.1617</w:t>
            </w:r>
          </w:p>
        </w:tc>
        <w:tc>
          <w:tcPr>
            <w:tcW w:w="0" w:type="auto"/>
            <w:tcBorders>
              <w:top w:val="single" w:sz="8" w:space="0" w:color="152935"/>
              <w:left w:val="single" w:sz="8" w:space="0" w:color="E0E0E0"/>
              <w:bottom w:val="nil"/>
              <w:right w:val="nil"/>
            </w:tcBorders>
            <w:shd w:val="clear" w:color="auto" w:fill="FFFFFF"/>
          </w:tcPr>
          <w:p w14:paraId="3F2EA593" w14:textId="77777777" w:rsidR="00E45AD3" w:rsidRPr="00B25D0F" w:rsidRDefault="00E45AD3" w:rsidP="00B25D0F">
            <w:pPr>
              <w:pStyle w:val="NormalWeb"/>
              <w:spacing w:before="0" w:beforeAutospacing="0" w:after="0" w:afterAutospacing="0" w:line="360" w:lineRule="auto"/>
              <w:rPr>
                <w:noProof/>
              </w:rPr>
            </w:pPr>
            <w:r w:rsidRPr="00B25D0F">
              <w:rPr>
                <w:noProof/>
              </w:rPr>
              <w:t>.08951</w:t>
            </w:r>
          </w:p>
        </w:tc>
      </w:tr>
      <w:tr w:rsidR="00E45AD3" w:rsidRPr="00B25D0F" w14:paraId="5A69BC08" w14:textId="77777777" w:rsidTr="00E45AD3">
        <w:trPr>
          <w:cantSplit/>
        </w:trPr>
        <w:tc>
          <w:tcPr>
            <w:tcW w:w="0" w:type="auto"/>
            <w:vMerge/>
            <w:tcBorders>
              <w:top w:val="single" w:sz="8" w:space="0" w:color="152935"/>
              <w:left w:val="nil"/>
              <w:bottom w:val="single" w:sz="8" w:space="0" w:color="152935"/>
              <w:right w:val="nil"/>
            </w:tcBorders>
            <w:shd w:val="clear" w:color="auto" w:fill="E0E0E0"/>
          </w:tcPr>
          <w:p w14:paraId="4B3F1EB2" w14:textId="77777777" w:rsidR="00E45AD3" w:rsidRPr="00B25D0F" w:rsidRDefault="00E45AD3" w:rsidP="00B25D0F">
            <w:pPr>
              <w:pStyle w:val="NormalWeb"/>
              <w:spacing w:before="0" w:beforeAutospacing="0" w:after="0" w:afterAutospacing="0" w:line="360" w:lineRule="auto"/>
              <w:rPr>
                <w:noProof/>
              </w:rPr>
            </w:pPr>
          </w:p>
        </w:tc>
        <w:tc>
          <w:tcPr>
            <w:tcW w:w="0" w:type="auto"/>
            <w:vMerge/>
            <w:tcBorders>
              <w:top w:val="single" w:sz="8" w:space="0" w:color="152935"/>
              <w:left w:val="nil"/>
              <w:bottom w:val="nil"/>
              <w:right w:val="nil"/>
            </w:tcBorders>
            <w:shd w:val="clear" w:color="auto" w:fill="E0E0E0"/>
          </w:tcPr>
          <w:p w14:paraId="4F896336" w14:textId="77777777" w:rsidR="00E45AD3" w:rsidRPr="00B25D0F" w:rsidRDefault="00E45AD3" w:rsidP="00B25D0F">
            <w:pPr>
              <w:pStyle w:val="NormalWeb"/>
              <w:spacing w:before="0" w:beforeAutospacing="0" w:after="0" w:afterAutospacing="0" w:line="360" w:lineRule="auto"/>
              <w:rPr>
                <w:noProof/>
              </w:rPr>
            </w:pPr>
          </w:p>
        </w:tc>
        <w:tc>
          <w:tcPr>
            <w:tcW w:w="0" w:type="auto"/>
            <w:vMerge w:val="restart"/>
            <w:tcBorders>
              <w:top w:val="single" w:sz="8" w:space="0" w:color="AEAEAE"/>
              <w:left w:val="nil"/>
              <w:bottom w:val="nil"/>
              <w:right w:val="nil"/>
            </w:tcBorders>
            <w:shd w:val="clear" w:color="auto" w:fill="E0E0E0"/>
          </w:tcPr>
          <w:p w14:paraId="64AFF292" w14:textId="77777777" w:rsidR="00E45AD3" w:rsidRPr="00B25D0F" w:rsidRDefault="00E45AD3" w:rsidP="00B25D0F">
            <w:pPr>
              <w:pStyle w:val="NormalWeb"/>
              <w:spacing w:before="0" w:beforeAutospacing="0" w:after="0" w:afterAutospacing="0" w:line="360" w:lineRule="auto"/>
              <w:rPr>
                <w:noProof/>
              </w:rPr>
            </w:pPr>
            <w:r w:rsidRPr="00B25D0F">
              <w:rPr>
                <w:noProof/>
              </w:rPr>
              <w:t>95% Confidence Interval for Mean</w:t>
            </w:r>
          </w:p>
        </w:tc>
        <w:tc>
          <w:tcPr>
            <w:tcW w:w="0" w:type="auto"/>
            <w:tcBorders>
              <w:top w:val="single" w:sz="8" w:space="0" w:color="AEAEAE"/>
              <w:left w:val="nil"/>
              <w:bottom w:val="single" w:sz="8" w:space="0" w:color="AEAEAE"/>
              <w:right w:val="nil"/>
            </w:tcBorders>
            <w:shd w:val="clear" w:color="auto" w:fill="E0E0E0"/>
          </w:tcPr>
          <w:p w14:paraId="4CF9B0B7" w14:textId="77777777" w:rsidR="00E45AD3" w:rsidRPr="00B25D0F" w:rsidRDefault="00E45AD3" w:rsidP="00B25D0F">
            <w:pPr>
              <w:pStyle w:val="NormalWeb"/>
              <w:spacing w:before="0" w:beforeAutospacing="0" w:after="0" w:afterAutospacing="0" w:line="360" w:lineRule="auto"/>
              <w:rPr>
                <w:noProof/>
              </w:rPr>
            </w:pPr>
            <w:r w:rsidRPr="00B25D0F">
              <w:rPr>
                <w:noProof/>
              </w:rPr>
              <w:t>Lower Bound</w:t>
            </w:r>
          </w:p>
        </w:tc>
        <w:tc>
          <w:tcPr>
            <w:tcW w:w="0" w:type="auto"/>
            <w:tcBorders>
              <w:top w:val="single" w:sz="8" w:space="0" w:color="AEAEAE"/>
              <w:left w:val="nil"/>
              <w:bottom w:val="single" w:sz="8" w:space="0" w:color="AEAEAE"/>
              <w:right w:val="single" w:sz="8" w:space="0" w:color="E0E0E0"/>
            </w:tcBorders>
            <w:shd w:val="clear" w:color="auto" w:fill="FFFFFF"/>
          </w:tcPr>
          <w:p w14:paraId="21FD48FB" w14:textId="77777777" w:rsidR="00E45AD3" w:rsidRPr="00B25D0F" w:rsidRDefault="00E45AD3" w:rsidP="00B25D0F">
            <w:pPr>
              <w:pStyle w:val="NormalWeb"/>
              <w:spacing w:before="0" w:beforeAutospacing="0" w:after="0" w:afterAutospacing="0" w:line="360" w:lineRule="auto"/>
              <w:rPr>
                <w:noProof/>
              </w:rPr>
            </w:pPr>
            <w:r w:rsidRPr="00B25D0F">
              <w:rPr>
                <w:noProof/>
              </w:rPr>
              <w:t>2.9821</w:t>
            </w:r>
          </w:p>
        </w:tc>
        <w:tc>
          <w:tcPr>
            <w:tcW w:w="0" w:type="auto"/>
            <w:tcBorders>
              <w:top w:val="single" w:sz="8" w:space="0" w:color="AEAEAE"/>
              <w:left w:val="single" w:sz="8" w:space="0" w:color="E0E0E0"/>
              <w:bottom w:val="single" w:sz="8" w:space="0" w:color="AEAEAE"/>
              <w:right w:val="nil"/>
            </w:tcBorders>
            <w:shd w:val="clear" w:color="auto" w:fill="FFFFFF"/>
            <w:vAlign w:val="center"/>
          </w:tcPr>
          <w:p w14:paraId="0CE57943" w14:textId="77777777" w:rsidR="00E45AD3" w:rsidRPr="00B25D0F" w:rsidRDefault="00E45AD3" w:rsidP="00B25D0F">
            <w:pPr>
              <w:pStyle w:val="NormalWeb"/>
              <w:spacing w:before="0" w:beforeAutospacing="0" w:after="0" w:afterAutospacing="0" w:line="360" w:lineRule="auto"/>
              <w:rPr>
                <w:noProof/>
              </w:rPr>
            </w:pPr>
          </w:p>
        </w:tc>
      </w:tr>
      <w:tr w:rsidR="00E45AD3" w:rsidRPr="00B25D0F" w14:paraId="315F4C60" w14:textId="77777777" w:rsidTr="00E45AD3">
        <w:trPr>
          <w:cantSplit/>
        </w:trPr>
        <w:tc>
          <w:tcPr>
            <w:tcW w:w="0" w:type="auto"/>
            <w:vMerge/>
            <w:tcBorders>
              <w:top w:val="single" w:sz="8" w:space="0" w:color="152935"/>
              <w:left w:val="nil"/>
              <w:bottom w:val="single" w:sz="8" w:space="0" w:color="152935"/>
              <w:right w:val="nil"/>
            </w:tcBorders>
            <w:shd w:val="clear" w:color="auto" w:fill="E0E0E0"/>
          </w:tcPr>
          <w:p w14:paraId="255F5DB1" w14:textId="77777777" w:rsidR="00E45AD3" w:rsidRPr="00B25D0F" w:rsidRDefault="00E45AD3" w:rsidP="00B25D0F">
            <w:pPr>
              <w:pStyle w:val="NormalWeb"/>
              <w:spacing w:before="0" w:beforeAutospacing="0" w:after="0" w:afterAutospacing="0" w:line="360" w:lineRule="auto"/>
              <w:rPr>
                <w:noProof/>
              </w:rPr>
            </w:pPr>
          </w:p>
        </w:tc>
        <w:tc>
          <w:tcPr>
            <w:tcW w:w="0" w:type="auto"/>
            <w:vMerge/>
            <w:tcBorders>
              <w:top w:val="single" w:sz="8" w:space="0" w:color="152935"/>
              <w:left w:val="nil"/>
              <w:bottom w:val="nil"/>
              <w:right w:val="nil"/>
            </w:tcBorders>
            <w:shd w:val="clear" w:color="auto" w:fill="E0E0E0"/>
          </w:tcPr>
          <w:p w14:paraId="569A2086" w14:textId="77777777" w:rsidR="00E45AD3" w:rsidRPr="00B25D0F" w:rsidRDefault="00E45AD3" w:rsidP="00B25D0F">
            <w:pPr>
              <w:pStyle w:val="NormalWeb"/>
              <w:spacing w:before="0" w:beforeAutospacing="0" w:after="0" w:afterAutospacing="0" w:line="360" w:lineRule="auto"/>
              <w:rPr>
                <w:noProof/>
              </w:rPr>
            </w:pPr>
          </w:p>
        </w:tc>
        <w:tc>
          <w:tcPr>
            <w:tcW w:w="0" w:type="auto"/>
            <w:vMerge/>
            <w:tcBorders>
              <w:top w:val="single" w:sz="8" w:space="0" w:color="AEAEAE"/>
              <w:left w:val="nil"/>
              <w:bottom w:val="nil"/>
              <w:right w:val="nil"/>
            </w:tcBorders>
            <w:shd w:val="clear" w:color="auto" w:fill="E0E0E0"/>
          </w:tcPr>
          <w:p w14:paraId="71DE8A9F" w14:textId="77777777" w:rsidR="00E45AD3" w:rsidRPr="00B25D0F" w:rsidRDefault="00E45AD3" w:rsidP="00B25D0F">
            <w:pPr>
              <w:pStyle w:val="NormalWeb"/>
              <w:spacing w:before="0" w:beforeAutospacing="0" w:after="0" w:afterAutospacing="0" w:line="360" w:lineRule="auto"/>
              <w:rPr>
                <w:noProof/>
              </w:rPr>
            </w:pPr>
          </w:p>
        </w:tc>
        <w:tc>
          <w:tcPr>
            <w:tcW w:w="0" w:type="auto"/>
            <w:tcBorders>
              <w:top w:val="single" w:sz="8" w:space="0" w:color="AEAEAE"/>
              <w:left w:val="nil"/>
              <w:bottom w:val="nil"/>
              <w:right w:val="nil"/>
            </w:tcBorders>
            <w:shd w:val="clear" w:color="auto" w:fill="E0E0E0"/>
          </w:tcPr>
          <w:p w14:paraId="0178DCB8" w14:textId="77777777" w:rsidR="00E45AD3" w:rsidRPr="00B25D0F" w:rsidRDefault="00E45AD3" w:rsidP="00B25D0F">
            <w:pPr>
              <w:pStyle w:val="NormalWeb"/>
              <w:spacing w:before="0" w:beforeAutospacing="0" w:after="0" w:afterAutospacing="0" w:line="360" w:lineRule="auto"/>
              <w:rPr>
                <w:noProof/>
              </w:rPr>
            </w:pPr>
            <w:r w:rsidRPr="00B25D0F">
              <w:rPr>
                <w:noProof/>
              </w:rPr>
              <w:t>Upper Bound</w:t>
            </w:r>
          </w:p>
        </w:tc>
        <w:tc>
          <w:tcPr>
            <w:tcW w:w="0" w:type="auto"/>
            <w:tcBorders>
              <w:top w:val="single" w:sz="8" w:space="0" w:color="AEAEAE"/>
              <w:left w:val="nil"/>
              <w:bottom w:val="nil"/>
              <w:right w:val="single" w:sz="8" w:space="0" w:color="E0E0E0"/>
            </w:tcBorders>
            <w:shd w:val="clear" w:color="auto" w:fill="FFFFFF"/>
          </w:tcPr>
          <w:p w14:paraId="14B82223" w14:textId="77777777" w:rsidR="00E45AD3" w:rsidRPr="00B25D0F" w:rsidRDefault="00E45AD3" w:rsidP="00B25D0F">
            <w:pPr>
              <w:pStyle w:val="NormalWeb"/>
              <w:spacing w:before="0" w:beforeAutospacing="0" w:after="0" w:afterAutospacing="0" w:line="360" w:lineRule="auto"/>
              <w:rPr>
                <w:noProof/>
              </w:rPr>
            </w:pPr>
            <w:r w:rsidRPr="00B25D0F">
              <w:rPr>
                <w:noProof/>
              </w:rPr>
              <w:t>3.3413</w:t>
            </w:r>
          </w:p>
        </w:tc>
        <w:tc>
          <w:tcPr>
            <w:tcW w:w="0" w:type="auto"/>
            <w:tcBorders>
              <w:top w:val="single" w:sz="8" w:space="0" w:color="AEAEAE"/>
              <w:left w:val="single" w:sz="8" w:space="0" w:color="E0E0E0"/>
              <w:bottom w:val="nil"/>
              <w:right w:val="nil"/>
            </w:tcBorders>
            <w:shd w:val="clear" w:color="auto" w:fill="FFFFFF"/>
            <w:vAlign w:val="center"/>
          </w:tcPr>
          <w:p w14:paraId="77026165" w14:textId="77777777" w:rsidR="00E45AD3" w:rsidRPr="00B25D0F" w:rsidRDefault="00E45AD3" w:rsidP="00B25D0F">
            <w:pPr>
              <w:pStyle w:val="NormalWeb"/>
              <w:spacing w:before="0" w:beforeAutospacing="0" w:after="0" w:afterAutospacing="0" w:line="360" w:lineRule="auto"/>
              <w:rPr>
                <w:noProof/>
              </w:rPr>
            </w:pPr>
          </w:p>
        </w:tc>
      </w:tr>
      <w:tr w:rsidR="00E45AD3" w:rsidRPr="00B25D0F" w14:paraId="780251BB" w14:textId="77777777" w:rsidTr="00E45AD3">
        <w:trPr>
          <w:cantSplit/>
        </w:trPr>
        <w:tc>
          <w:tcPr>
            <w:tcW w:w="0" w:type="auto"/>
            <w:vMerge/>
            <w:tcBorders>
              <w:top w:val="single" w:sz="8" w:space="0" w:color="152935"/>
              <w:left w:val="nil"/>
              <w:bottom w:val="single" w:sz="8" w:space="0" w:color="152935"/>
              <w:right w:val="nil"/>
            </w:tcBorders>
            <w:shd w:val="clear" w:color="auto" w:fill="E0E0E0"/>
          </w:tcPr>
          <w:p w14:paraId="3001D7AB" w14:textId="77777777" w:rsidR="00E45AD3" w:rsidRPr="00B25D0F" w:rsidRDefault="00E45AD3" w:rsidP="00B25D0F">
            <w:pPr>
              <w:pStyle w:val="NormalWeb"/>
              <w:spacing w:before="0" w:beforeAutospacing="0" w:after="0" w:afterAutospacing="0" w:line="360" w:lineRule="auto"/>
              <w:rPr>
                <w:noProof/>
              </w:rPr>
            </w:pPr>
          </w:p>
        </w:tc>
        <w:tc>
          <w:tcPr>
            <w:tcW w:w="0" w:type="auto"/>
            <w:vMerge/>
            <w:tcBorders>
              <w:top w:val="single" w:sz="8" w:space="0" w:color="152935"/>
              <w:left w:val="nil"/>
              <w:bottom w:val="nil"/>
              <w:right w:val="nil"/>
            </w:tcBorders>
            <w:shd w:val="clear" w:color="auto" w:fill="E0E0E0"/>
          </w:tcPr>
          <w:p w14:paraId="51BB77F6" w14:textId="77777777" w:rsidR="00E45AD3" w:rsidRPr="00B25D0F" w:rsidRDefault="00E45AD3" w:rsidP="00B25D0F">
            <w:pPr>
              <w:pStyle w:val="NormalWeb"/>
              <w:spacing w:before="0" w:beforeAutospacing="0" w:after="0" w:afterAutospacing="0" w:line="360" w:lineRule="auto"/>
              <w:rPr>
                <w:noProof/>
              </w:rPr>
            </w:pPr>
          </w:p>
        </w:tc>
        <w:tc>
          <w:tcPr>
            <w:tcW w:w="0" w:type="auto"/>
            <w:gridSpan w:val="2"/>
            <w:tcBorders>
              <w:top w:val="single" w:sz="8" w:space="0" w:color="AEAEAE"/>
              <w:left w:val="nil"/>
              <w:bottom w:val="nil"/>
              <w:right w:val="nil"/>
            </w:tcBorders>
            <w:shd w:val="clear" w:color="auto" w:fill="E0E0E0"/>
          </w:tcPr>
          <w:p w14:paraId="1FF60517" w14:textId="77777777" w:rsidR="00E45AD3" w:rsidRPr="00B25D0F" w:rsidRDefault="00E45AD3" w:rsidP="00B25D0F">
            <w:pPr>
              <w:pStyle w:val="NormalWeb"/>
              <w:spacing w:before="0" w:beforeAutospacing="0" w:after="0" w:afterAutospacing="0" w:line="360" w:lineRule="auto"/>
              <w:rPr>
                <w:noProof/>
              </w:rPr>
            </w:pPr>
            <w:r w:rsidRPr="00B25D0F">
              <w:rPr>
                <w:noProof/>
              </w:rPr>
              <w:t>5% Trimmed Mean</w:t>
            </w:r>
          </w:p>
        </w:tc>
        <w:tc>
          <w:tcPr>
            <w:tcW w:w="0" w:type="auto"/>
            <w:tcBorders>
              <w:top w:val="single" w:sz="8" w:space="0" w:color="AEAEAE"/>
              <w:left w:val="nil"/>
              <w:bottom w:val="nil"/>
              <w:right w:val="single" w:sz="8" w:space="0" w:color="E0E0E0"/>
            </w:tcBorders>
            <w:shd w:val="clear" w:color="auto" w:fill="FFFFFF"/>
          </w:tcPr>
          <w:p w14:paraId="3C2E0C56" w14:textId="77777777" w:rsidR="00E45AD3" w:rsidRPr="00B25D0F" w:rsidRDefault="00E45AD3" w:rsidP="00B25D0F">
            <w:pPr>
              <w:pStyle w:val="NormalWeb"/>
              <w:spacing w:before="0" w:beforeAutospacing="0" w:after="0" w:afterAutospacing="0" w:line="360" w:lineRule="auto"/>
              <w:rPr>
                <w:noProof/>
              </w:rPr>
            </w:pPr>
            <w:r w:rsidRPr="00B25D0F">
              <w:rPr>
                <w:noProof/>
              </w:rPr>
              <w:t>3.1876</w:t>
            </w:r>
          </w:p>
        </w:tc>
        <w:tc>
          <w:tcPr>
            <w:tcW w:w="0" w:type="auto"/>
            <w:tcBorders>
              <w:top w:val="single" w:sz="8" w:space="0" w:color="AEAEAE"/>
              <w:left w:val="single" w:sz="8" w:space="0" w:color="E0E0E0"/>
              <w:bottom w:val="nil"/>
              <w:right w:val="nil"/>
            </w:tcBorders>
            <w:shd w:val="clear" w:color="auto" w:fill="FFFFFF"/>
            <w:vAlign w:val="center"/>
          </w:tcPr>
          <w:p w14:paraId="4D9C15EF" w14:textId="77777777" w:rsidR="00E45AD3" w:rsidRPr="00B25D0F" w:rsidRDefault="00E45AD3" w:rsidP="00B25D0F">
            <w:pPr>
              <w:pStyle w:val="NormalWeb"/>
              <w:spacing w:before="0" w:beforeAutospacing="0" w:after="0" w:afterAutospacing="0" w:line="360" w:lineRule="auto"/>
              <w:rPr>
                <w:noProof/>
              </w:rPr>
            </w:pPr>
          </w:p>
        </w:tc>
      </w:tr>
      <w:tr w:rsidR="00E45AD3" w:rsidRPr="00B25D0F" w14:paraId="5D970382" w14:textId="77777777" w:rsidTr="00E45AD3">
        <w:trPr>
          <w:cantSplit/>
        </w:trPr>
        <w:tc>
          <w:tcPr>
            <w:tcW w:w="0" w:type="auto"/>
            <w:vMerge/>
            <w:tcBorders>
              <w:top w:val="single" w:sz="8" w:space="0" w:color="152935"/>
              <w:left w:val="nil"/>
              <w:bottom w:val="single" w:sz="8" w:space="0" w:color="152935"/>
              <w:right w:val="nil"/>
            </w:tcBorders>
            <w:shd w:val="clear" w:color="auto" w:fill="E0E0E0"/>
          </w:tcPr>
          <w:p w14:paraId="0C065FF5" w14:textId="77777777" w:rsidR="00E45AD3" w:rsidRPr="00B25D0F" w:rsidRDefault="00E45AD3" w:rsidP="00B25D0F">
            <w:pPr>
              <w:pStyle w:val="NormalWeb"/>
              <w:spacing w:before="0" w:beforeAutospacing="0" w:after="0" w:afterAutospacing="0" w:line="360" w:lineRule="auto"/>
              <w:rPr>
                <w:noProof/>
              </w:rPr>
            </w:pPr>
          </w:p>
        </w:tc>
        <w:tc>
          <w:tcPr>
            <w:tcW w:w="0" w:type="auto"/>
            <w:vMerge/>
            <w:tcBorders>
              <w:top w:val="single" w:sz="8" w:space="0" w:color="152935"/>
              <w:left w:val="nil"/>
              <w:bottom w:val="nil"/>
              <w:right w:val="nil"/>
            </w:tcBorders>
            <w:shd w:val="clear" w:color="auto" w:fill="E0E0E0"/>
          </w:tcPr>
          <w:p w14:paraId="6B9BF891" w14:textId="77777777" w:rsidR="00E45AD3" w:rsidRPr="00B25D0F" w:rsidRDefault="00E45AD3" w:rsidP="00B25D0F">
            <w:pPr>
              <w:pStyle w:val="NormalWeb"/>
              <w:spacing w:before="0" w:beforeAutospacing="0" w:after="0" w:afterAutospacing="0" w:line="360" w:lineRule="auto"/>
              <w:rPr>
                <w:noProof/>
              </w:rPr>
            </w:pPr>
          </w:p>
        </w:tc>
        <w:tc>
          <w:tcPr>
            <w:tcW w:w="0" w:type="auto"/>
            <w:gridSpan w:val="2"/>
            <w:tcBorders>
              <w:top w:val="single" w:sz="8" w:space="0" w:color="AEAEAE"/>
              <w:left w:val="nil"/>
              <w:bottom w:val="nil"/>
              <w:right w:val="nil"/>
            </w:tcBorders>
            <w:shd w:val="clear" w:color="auto" w:fill="E0E0E0"/>
          </w:tcPr>
          <w:p w14:paraId="599BC637" w14:textId="77777777" w:rsidR="00E45AD3" w:rsidRPr="00B25D0F" w:rsidRDefault="00E45AD3" w:rsidP="00B25D0F">
            <w:pPr>
              <w:pStyle w:val="NormalWeb"/>
              <w:spacing w:before="0" w:beforeAutospacing="0" w:after="0" w:afterAutospacing="0" w:line="360" w:lineRule="auto"/>
              <w:rPr>
                <w:noProof/>
              </w:rPr>
            </w:pPr>
            <w:r w:rsidRPr="00B25D0F">
              <w:rPr>
                <w:noProof/>
              </w:rPr>
              <w:t>Median</w:t>
            </w:r>
          </w:p>
        </w:tc>
        <w:tc>
          <w:tcPr>
            <w:tcW w:w="0" w:type="auto"/>
            <w:tcBorders>
              <w:top w:val="single" w:sz="8" w:space="0" w:color="AEAEAE"/>
              <w:left w:val="nil"/>
              <w:bottom w:val="nil"/>
              <w:right w:val="single" w:sz="8" w:space="0" w:color="E0E0E0"/>
            </w:tcBorders>
            <w:shd w:val="clear" w:color="auto" w:fill="FFFFFF"/>
          </w:tcPr>
          <w:p w14:paraId="4810096A" w14:textId="77777777" w:rsidR="00E45AD3" w:rsidRPr="00B25D0F" w:rsidRDefault="00E45AD3" w:rsidP="00B25D0F">
            <w:pPr>
              <w:pStyle w:val="NormalWeb"/>
              <w:spacing w:before="0" w:beforeAutospacing="0" w:after="0" w:afterAutospacing="0" w:line="360" w:lineRule="auto"/>
              <w:rPr>
                <w:noProof/>
              </w:rPr>
            </w:pPr>
            <w:r w:rsidRPr="00B25D0F">
              <w:rPr>
                <w:noProof/>
              </w:rPr>
              <w:t>3.1429</w:t>
            </w:r>
          </w:p>
        </w:tc>
        <w:tc>
          <w:tcPr>
            <w:tcW w:w="0" w:type="auto"/>
            <w:tcBorders>
              <w:top w:val="single" w:sz="8" w:space="0" w:color="AEAEAE"/>
              <w:left w:val="single" w:sz="8" w:space="0" w:color="E0E0E0"/>
              <w:bottom w:val="nil"/>
              <w:right w:val="nil"/>
            </w:tcBorders>
            <w:shd w:val="clear" w:color="auto" w:fill="FFFFFF"/>
            <w:vAlign w:val="center"/>
          </w:tcPr>
          <w:p w14:paraId="2A4614C1" w14:textId="77777777" w:rsidR="00E45AD3" w:rsidRPr="00B25D0F" w:rsidRDefault="00E45AD3" w:rsidP="00B25D0F">
            <w:pPr>
              <w:pStyle w:val="NormalWeb"/>
              <w:spacing w:before="0" w:beforeAutospacing="0" w:after="0" w:afterAutospacing="0" w:line="360" w:lineRule="auto"/>
              <w:rPr>
                <w:noProof/>
              </w:rPr>
            </w:pPr>
          </w:p>
        </w:tc>
      </w:tr>
      <w:tr w:rsidR="00E45AD3" w:rsidRPr="00B25D0F" w14:paraId="27018793" w14:textId="77777777" w:rsidTr="00E45AD3">
        <w:trPr>
          <w:cantSplit/>
        </w:trPr>
        <w:tc>
          <w:tcPr>
            <w:tcW w:w="0" w:type="auto"/>
            <w:vMerge/>
            <w:tcBorders>
              <w:top w:val="single" w:sz="8" w:space="0" w:color="152935"/>
              <w:left w:val="nil"/>
              <w:bottom w:val="single" w:sz="8" w:space="0" w:color="152935"/>
              <w:right w:val="nil"/>
            </w:tcBorders>
            <w:shd w:val="clear" w:color="auto" w:fill="E0E0E0"/>
          </w:tcPr>
          <w:p w14:paraId="056E7270" w14:textId="77777777" w:rsidR="00E45AD3" w:rsidRPr="00B25D0F" w:rsidRDefault="00E45AD3" w:rsidP="00B25D0F">
            <w:pPr>
              <w:pStyle w:val="NormalWeb"/>
              <w:spacing w:before="0" w:beforeAutospacing="0" w:after="0" w:afterAutospacing="0" w:line="360" w:lineRule="auto"/>
              <w:rPr>
                <w:noProof/>
              </w:rPr>
            </w:pPr>
          </w:p>
        </w:tc>
        <w:tc>
          <w:tcPr>
            <w:tcW w:w="0" w:type="auto"/>
            <w:vMerge/>
            <w:tcBorders>
              <w:top w:val="single" w:sz="8" w:space="0" w:color="152935"/>
              <w:left w:val="nil"/>
              <w:bottom w:val="nil"/>
              <w:right w:val="nil"/>
            </w:tcBorders>
            <w:shd w:val="clear" w:color="auto" w:fill="E0E0E0"/>
          </w:tcPr>
          <w:p w14:paraId="7928EEDA" w14:textId="77777777" w:rsidR="00E45AD3" w:rsidRPr="00B25D0F" w:rsidRDefault="00E45AD3" w:rsidP="00B25D0F">
            <w:pPr>
              <w:pStyle w:val="NormalWeb"/>
              <w:spacing w:before="0" w:beforeAutospacing="0" w:after="0" w:afterAutospacing="0" w:line="360" w:lineRule="auto"/>
              <w:rPr>
                <w:noProof/>
              </w:rPr>
            </w:pPr>
          </w:p>
        </w:tc>
        <w:tc>
          <w:tcPr>
            <w:tcW w:w="0" w:type="auto"/>
            <w:gridSpan w:val="2"/>
            <w:tcBorders>
              <w:top w:val="single" w:sz="8" w:space="0" w:color="AEAEAE"/>
              <w:left w:val="nil"/>
              <w:bottom w:val="nil"/>
              <w:right w:val="nil"/>
            </w:tcBorders>
            <w:shd w:val="clear" w:color="auto" w:fill="E0E0E0"/>
          </w:tcPr>
          <w:p w14:paraId="32601BEE" w14:textId="77777777" w:rsidR="00E45AD3" w:rsidRPr="00B25D0F" w:rsidRDefault="00E45AD3" w:rsidP="00B25D0F">
            <w:pPr>
              <w:pStyle w:val="NormalWeb"/>
              <w:spacing w:before="0" w:beforeAutospacing="0" w:after="0" w:afterAutospacing="0" w:line="360" w:lineRule="auto"/>
              <w:rPr>
                <w:noProof/>
              </w:rPr>
            </w:pPr>
            <w:r w:rsidRPr="00B25D0F">
              <w:rPr>
                <w:noProof/>
              </w:rPr>
              <w:t>Variance</w:t>
            </w:r>
          </w:p>
        </w:tc>
        <w:tc>
          <w:tcPr>
            <w:tcW w:w="0" w:type="auto"/>
            <w:tcBorders>
              <w:top w:val="single" w:sz="8" w:space="0" w:color="AEAEAE"/>
              <w:left w:val="nil"/>
              <w:bottom w:val="nil"/>
              <w:right w:val="single" w:sz="8" w:space="0" w:color="E0E0E0"/>
            </w:tcBorders>
            <w:shd w:val="clear" w:color="auto" w:fill="FFFFFF"/>
          </w:tcPr>
          <w:p w14:paraId="2C1C4152" w14:textId="77777777" w:rsidR="00E45AD3" w:rsidRPr="00B25D0F" w:rsidRDefault="00E45AD3" w:rsidP="00B25D0F">
            <w:pPr>
              <w:pStyle w:val="NormalWeb"/>
              <w:spacing w:before="0" w:beforeAutospacing="0" w:after="0" w:afterAutospacing="0" w:line="360" w:lineRule="auto"/>
              <w:rPr>
                <w:noProof/>
              </w:rPr>
            </w:pPr>
            <w:r w:rsidRPr="00B25D0F">
              <w:rPr>
                <w:noProof/>
              </w:rPr>
              <w:t>.425</w:t>
            </w:r>
          </w:p>
        </w:tc>
        <w:tc>
          <w:tcPr>
            <w:tcW w:w="0" w:type="auto"/>
            <w:tcBorders>
              <w:top w:val="single" w:sz="8" w:space="0" w:color="AEAEAE"/>
              <w:left w:val="single" w:sz="8" w:space="0" w:color="E0E0E0"/>
              <w:bottom w:val="nil"/>
              <w:right w:val="nil"/>
            </w:tcBorders>
            <w:shd w:val="clear" w:color="auto" w:fill="FFFFFF"/>
            <w:vAlign w:val="center"/>
          </w:tcPr>
          <w:p w14:paraId="5302A1AF" w14:textId="77777777" w:rsidR="00E45AD3" w:rsidRPr="00B25D0F" w:rsidRDefault="00E45AD3" w:rsidP="00B25D0F">
            <w:pPr>
              <w:pStyle w:val="NormalWeb"/>
              <w:spacing w:before="0" w:beforeAutospacing="0" w:after="0" w:afterAutospacing="0" w:line="360" w:lineRule="auto"/>
              <w:rPr>
                <w:noProof/>
              </w:rPr>
            </w:pPr>
          </w:p>
        </w:tc>
      </w:tr>
      <w:tr w:rsidR="00E45AD3" w:rsidRPr="00B25D0F" w14:paraId="230B9E87" w14:textId="77777777" w:rsidTr="00E45AD3">
        <w:trPr>
          <w:cantSplit/>
        </w:trPr>
        <w:tc>
          <w:tcPr>
            <w:tcW w:w="0" w:type="auto"/>
            <w:vMerge/>
            <w:tcBorders>
              <w:top w:val="single" w:sz="8" w:space="0" w:color="152935"/>
              <w:left w:val="nil"/>
              <w:bottom w:val="single" w:sz="8" w:space="0" w:color="152935"/>
              <w:right w:val="nil"/>
            </w:tcBorders>
            <w:shd w:val="clear" w:color="auto" w:fill="E0E0E0"/>
          </w:tcPr>
          <w:p w14:paraId="00BAD372" w14:textId="77777777" w:rsidR="00E45AD3" w:rsidRPr="00B25D0F" w:rsidRDefault="00E45AD3" w:rsidP="00B25D0F">
            <w:pPr>
              <w:pStyle w:val="NormalWeb"/>
              <w:spacing w:before="0" w:beforeAutospacing="0" w:after="0" w:afterAutospacing="0" w:line="360" w:lineRule="auto"/>
              <w:rPr>
                <w:noProof/>
              </w:rPr>
            </w:pPr>
          </w:p>
        </w:tc>
        <w:tc>
          <w:tcPr>
            <w:tcW w:w="0" w:type="auto"/>
            <w:vMerge/>
            <w:tcBorders>
              <w:top w:val="single" w:sz="8" w:space="0" w:color="152935"/>
              <w:left w:val="nil"/>
              <w:bottom w:val="nil"/>
              <w:right w:val="nil"/>
            </w:tcBorders>
            <w:shd w:val="clear" w:color="auto" w:fill="E0E0E0"/>
          </w:tcPr>
          <w:p w14:paraId="1A4E6301" w14:textId="77777777" w:rsidR="00E45AD3" w:rsidRPr="00B25D0F" w:rsidRDefault="00E45AD3" w:rsidP="00B25D0F">
            <w:pPr>
              <w:pStyle w:val="NormalWeb"/>
              <w:spacing w:before="0" w:beforeAutospacing="0" w:after="0" w:afterAutospacing="0" w:line="360" w:lineRule="auto"/>
              <w:rPr>
                <w:noProof/>
              </w:rPr>
            </w:pPr>
          </w:p>
        </w:tc>
        <w:tc>
          <w:tcPr>
            <w:tcW w:w="0" w:type="auto"/>
            <w:gridSpan w:val="2"/>
            <w:tcBorders>
              <w:top w:val="single" w:sz="8" w:space="0" w:color="AEAEAE"/>
              <w:left w:val="nil"/>
              <w:bottom w:val="nil"/>
              <w:right w:val="nil"/>
            </w:tcBorders>
            <w:shd w:val="clear" w:color="auto" w:fill="E0E0E0"/>
          </w:tcPr>
          <w:p w14:paraId="4C38E5BF" w14:textId="77777777" w:rsidR="00E45AD3" w:rsidRPr="00B25D0F" w:rsidRDefault="00E45AD3" w:rsidP="00B25D0F">
            <w:pPr>
              <w:pStyle w:val="NormalWeb"/>
              <w:spacing w:before="0" w:beforeAutospacing="0" w:after="0" w:afterAutospacing="0" w:line="360" w:lineRule="auto"/>
              <w:rPr>
                <w:noProof/>
              </w:rPr>
            </w:pPr>
            <w:r w:rsidRPr="00B25D0F">
              <w:rPr>
                <w:noProof/>
              </w:rPr>
              <w:t>Std. Deviation</w:t>
            </w:r>
          </w:p>
        </w:tc>
        <w:tc>
          <w:tcPr>
            <w:tcW w:w="0" w:type="auto"/>
            <w:tcBorders>
              <w:top w:val="single" w:sz="8" w:space="0" w:color="AEAEAE"/>
              <w:left w:val="nil"/>
              <w:bottom w:val="nil"/>
              <w:right w:val="single" w:sz="8" w:space="0" w:color="E0E0E0"/>
            </w:tcBorders>
            <w:shd w:val="clear" w:color="auto" w:fill="FFFFFF"/>
          </w:tcPr>
          <w:p w14:paraId="3DD2A133" w14:textId="77777777" w:rsidR="00E45AD3" w:rsidRPr="00B25D0F" w:rsidRDefault="00E45AD3" w:rsidP="00B25D0F">
            <w:pPr>
              <w:pStyle w:val="NormalWeb"/>
              <w:spacing w:before="0" w:beforeAutospacing="0" w:after="0" w:afterAutospacing="0" w:line="360" w:lineRule="auto"/>
              <w:rPr>
                <w:noProof/>
              </w:rPr>
            </w:pPr>
            <w:r w:rsidRPr="00B25D0F">
              <w:rPr>
                <w:noProof/>
              </w:rPr>
              <w:t>.65167</w:t>
            </w:r>
          </w:p>
        </w:tc>
        <w:tc>
          <w:tcPr>
            <w:tcW w:w="0" w:type="auto"/>
            <w:tcBorders>
              <w:top w:val="single" w:sz="8" w:space="0" w:color="AEAEAE"/>
              <w:left w:val="single" w:sz="8" w:space="0" w:color="E0E0E0"/>
              <w:bottom w:val="nil"/>
              <w:right w:val="nil"/>
            </w:tcBorders>
            <w:shd w:val="clear" w:color="auto" w:fill="FFFFFF"/>
            <w:vAlign w:val="center"/>
          </w:tcPr>
          <w:p w14:paraId="547EE45D" w14:textId="77777777" w:rsidR="00E45AD3" w:rsidRPr="00B25D0F" w:rsidRDefault="00E45AD3" w:rsidP="00B25D0F">
            <w:pPr>
              <w:pStyle w:val="NormalWeb"/>
              <w:spacing w:before="0" w:beforeAutospacing="0" w:after="0" w:afterAutospacing="0" w:line="360" w:lineRule="auto"/>
              <w:rPr>
                <w:noProof/>
              </w:rPr>
            </w:pPr>
          </w:p>
        </w:tc>
      </w:tr>
      <w:tr w:rsidR="00E45AD3" w:rsidRPr="00B25D0F" w14:paraId="31206EBA" w14:textId="77777777" w:rsidTr="00E45AD3">
        <w:trPr>
          <w:cantSplit/>
        </w:trPr>
        <w:tc>
          <w:tcPr>
            <w:tcW w:w="0" w:type="auto"/>
            <w:vMerge/>
            <w:tcBorders>
              <w:top w:val="single" w:sz="8" w:space="0" w:color="152935"/>
              <w:left w:val="nil"/>
              <w:bottom w:val="single" w:sz="8" w:space="0" w:color="152935"/>
              <w:right w:val="nil"/>
            </w:tcBorders>
            <w:shd w:val="clear" w:color="auto" w:fill="E0E0E0"/>
          </w:tcPr>
          <w:p w14:paraId="0FCD5340" w14:textId="77777777" w:rsidR="00E45AD3" w:rsidRPr="00B25D0F" w:rsidRDefault="00E45AD3" w:rsidP="00B25D0F">
            <w:pPr>
              <w:pStyle w:val="NormalWeb"/>
              <w:spacing w:before="0" w:beforeAutospacing="0" w:after="0" w:afterAutospacing="0" w:line="360" w:lineRule="auto"/>
              <w:rPr>
                <w:noProof/>
              </w:rPr>
            </w:pPr>
          </w:p>
        </w:tc>
        <w:tc>
          <w:tcPr>
            <w:tcW w:w="0" w:type="auto"/>
            <w:vMerge/>
            <w:tcBorders>
              <w:top w:val="single" w:sz="8" w:space="0" w:color="152935"/>
              <w:left w:val="nil"/>
              <w:bottom w:val="nil"/>
              <w:right w:val="nil"/>
            </w:tcBorders>
            <w:shd w:val="clear" w:color="auto" w:fill="E0E0E0"/>
          </w:tcPr>
          <w:p w14:paraId="52FF6630" w14:textId="77777777" w:rsidR="00E45AD3" w:rsidRPr="00B25D0F" w:rsidRDefault="00E45AD3" w:rsidP="00B25D0F">
            <w:pPr>
              <w:pStyle w:val="NormalWeb"/>
              <w:spacing w:before="0" w:beforeAutospacing="0" w:after="0" w:afterAutospacing="0" w:line="360" w:lineRule="auto"/>
              <w:rPr>
                <w:noProof/>
              </w:rPr>
            </w:pPr>
          </w:p>
        </w:tc>
        <w:tc>
          <w:tcPr>
            <w:tcW w:w="0" w:type="auto"/>
            <w:gridSpan w:val="2"/>
            <w:tcBorders>
              <w:top w:val="single" w:sz="8" w:space="0" w:color="AEAEAE"/>
              <w:left w:val="nil"/>
              <w:bottom w:val="nil"/>
              <w:right w:val="nil"/>
            </w:tcBorders>
            <w:shd w:val="clear" w:color="auto" w:fill="E0E0E0"/>
          </w:tcPr>
          <w:p w14:paraId="2B001229" w14:textId="77777777" w:rsidR="00E45AD3" w:rsidRPr="00B25D0F" w:rsidRDefault="00E45AD3" w:rsidP="00B25D0F">
            <w:pPr>
              <w:pStyle w:val="NormalWeb"/>
              <w:spacing w:before="0" w:beforeAutospacing="0" w:after="0" w:afterAutospacing="0" w:line="360" w:lineRule="auto"/>
              <w:rPr>
                <w:noProof/>
              </w:rPr>
            </w:pPr>
            <w:r w:rsidRPr="00B25D0F">
              <w:rPr>
                <w:noProof/>
              </w:rPr>
              <w:t>Minimum</w:t>
            </w:r>
          </w:p>
        </w:tc>
        <w:tc>
          <w:tcPr>
            <w:tcW w:w="0" w:type="auto"/>
            <w:tcBorders>
              <w:top w:val="single" w:sz="8" w:space="0" w:color="AEAEAE"/>
              <w:left w:val="nil"/>
              <w:bottom w:val="nil"/>
              <w:right w:val="single" w:sz="8" w:space="0" w:color="E0E0E0"/>
            </w:tcBorders>
            <w:shd w:val="clear" w:color="auto" w:fill="FFFFFF"/>
          </w:tcPr>
          <w:p w14:paraId="3CC576C0" w14:textId="77777777" w:rsidR="00E45AD3" w:rsidRPr="00B25D0F" w:rsidRDefault="00E45AD3" w:rsidP="00B25D0F">
            <w:pPr>
              <w:pStyle w:val="NormalWeb"/>
              <w:spacing w:before="0" w:beforeAutospacing="0" w:after="0" w:afterAutospacing="0" w:line="360" w:lineRule="auto"/>
              <w:rPr>
                <w:noProof/>
              </w:rPr>
            </w:pPr>
            <w:r w:rsidRPr="00B25D0F">
              <w:rPr>
                <w:noProof/>
              </w:rPr>
              <w:t>1.71</w:t>
            </w:r>
          </w:p>
        </w:tc>
        <w:tc>
          <w:tcPr>
            <w:tcW w:w="0" w:type="auto"/>
            <w:tcBorders>
              <w:top w:val="single" w:sz="8" w:space="0" w:color="AEAEAE"/>
              <w:left w:val="single" w:sz="8" w:space="0" w:color="E0E0E0"/>
              <w:bottom w:val="nil"/>
              <w:right w:val="nil"/>
            </w:tcBorders>
            <w:shd w:val="clear" w:color="auto" w:fill="FFFFFF"/>
            <w:vAlign w:val="center"/>
          </w:tcPr>
          <w:p w14:paraId="7E698501" w14:textId="77777777" w:rsidR="00E45AD3" w:rsidRPr="00B25D0F" w:rsidRDefault="00E45AD3" w:rsidP="00B25D0F">
            <w:pPr>
              <w:pStyle w:val="NormalWeb"/>
              <w:spacing w:before="0" w:beforeAutospacing="0" w:after="0" w:afterAutospacing="0" w:line="360" w:lineRule="auto"/>
              <w:rPr>
                <w:noProof/>
              </w:rPr>
            </w:pPr>
          </w:p>
        </w:tc>
      </w:tr>
      <w:tr w:rsidR="00E45AD3" w:rsidRPr="00B25D0F" w14:paraId="1054F5D5" w14:textId="77777777" w:rsidTr="00E45AD3">
        <w:trPr>
          <w:cantSplit/>
        </w:trPr>
        <w:tc>
          <w:tcPr>
            <w:tcW w:w="0" w:type="auto"/>
            <w:vMerge/>
            <w:tcBorders>
              <w:top w:val="single" w:sz="8" w:space="0" w:color="152935"/>
              <w:left w:val="nil"/>
              <w:bottom w:val="single" w:sz="8" w:space="0" w:color="152935"/>
              <w:right w:val="nil"/>
            </w:tcBorders>
            <w:shd w:val="clear" w:color="auto" w:fill="E0E0E0"/>
          </w:tcPr>
          <w:p w14:paraId="444496AF" w14:textId="77777777" w:rsidR="00E45AD3" w:rsidRPr="00B25D0F" w:rsidRDefault="00E45AD3" w:rsidP="00B25D0F">
            <w:pPr>
              <w:pStyle w:val="NormalWeb"/>
              <w:spacing w:before="0" w:beforeAutospacing="0" w:after="0" w:afterAutospacing="0" w:line="360" w:lineRule="auto"/>
              <w:rPr>
                <w:noProof/>
              </w:rPr>
            </w:pPr>
          </w:p>
        </w:tc>
        <w:tc>
          <w:tcPr>
            <w:tcW w:w="0" w:type="auto"/>
            <w:vMerge/>
            <w:tcBorders>
              <w:top w:val="single" w:sz="8" w:space="0" w:color="152935"/>
              <w:left w:val="nil"/>
              <w:bottom w:val="nil"/>
              <w:right w:val="nil"/>
            </w:tcBorders>
            <w:shd w:val="clear" w:color="auto" w:fill="E0E0E0"/>
          </w:tcPr>
          <w:p w14:paraId="16558B7F" w14:textId="77777777" w:rsidR="00E45AD3" w:rsidRPr="00B25D0F" w:rsidRDefault="00E45AD3" w:rsidP="00B25D0F">
            <w:pPr>
              <w:pStyle w:val="NormalWeb"/>
              <w:spacing w:before="0" w:beforeAutospacing="0" w:after="0" w:afterAutospacing="0" w:line="360" w:lineRule="auto"/>
              <w:rPr>
                <w:noProof/>
              </w:rPr>
            </w:pPr>
          </w:p>
        </w:tc>
        <w:tc>
          <w:tcPr>
            <w:tcW w:w="0" w:type="auto"/>
            <w:gridSpan w:val="2"/>
            <w:tcBorders>
              <w:top w:val="single" w:sz="8" w:space="0" w:color="AEAEAE"/>
              <w:left w:val="nil"/>
              <w:bottom w:val="nil"/>
              <w:right w:val="nil"/>
            </w:tcBorders>
            <w:shd w:val="clear" w:color="auto" w:fill="E0E0E0"/>
          </w:tcPr>
          <w:p w14:paraId="6AD54B65" w14:textId="77777777" w:rsidR="00E45AD3" w:rsidRPr="00B25D0F" w:rsidRDefault="00E45AD3" w:rsidP="00B25D0F">
            <w:pPr>
              <w:pStyle w:val="NormalWeb"/>
              <w:spacing w:before="0" w:beforeAutospacing="0" w:after="0" w:afterAutospacing="0" w:line="360" w:lineRule="auto"/>
              <w:rPr>
                <w:noProof/>
              </w:rPr>
            </w:pPr>
            <w:r w:rsidRPr="00B25D0F">
              <w:rPr>
                <w:noProof/>
              </w:rPr>
              <w:t>Maximum</w:t>
            </w:r>
          </w:p>
        </w:tc>
        <w:tc>
          <w:tcPr>
            <w:tcW w:w="0" w:type="auto"/>
            <w:tcBorders>
              <w:top w:val="single" w:sz="8" w:space="0" w:color="AEAEAE"/>
              <w:left w:val="nil"/>
              <w:bottom w:val="nil"/>
              <w:right w:val="single" w:sz="8" w:space="0" w:color="E0E0E0"/>
            </w:tcBorders>
            <w:shd w:val="clear" w:color="auto" w:fill="FFFFFF"/>
          </w:tcPr>
          <w:p w14:paraId="13BA4DBE" w14:textId="77777777" w:rsidR="00E45AD3" w:rsidRPr="00B25D0F" w:rsidRDefault="00E45AD3" w:rsidP="00B25D0F">
            <w:pPr>
              <w:pStyle w:val="NormalWeb"/>
              <w:spacing w:before="0" w:beforeAutospacing="0" w:after="0" w:afterAutospacing="0" w:line="360" w:lineRule="auto"/>
              <w:rPr>
                <w:noProof/>
              </w:rPr>
            </w:pPr>
            <w:r w:rsidRPr="00B25D0F">
              <w:rPr>
                <w:noProof/>
              </w:rPr>
              <w:t>4.14</w:t>
            </w:r>
          </w:p>
        </w:tc>
        <w:tc>
          <w:tcPr>
            <w:tcW w:w="0" w:type="auto"/>
            <w:tcBorders>
              <w:top w:val="single" w:sz="8" w:space="0" w:color="AEAEAE"/>
              <w:left w:val="single" w:sz="8" w:space="0" w:color="E0E0E0"/>
              <w:bottom w:val="nil"/>
              <w:right w:val="nil"/>
            </w:tcBorders>
            <w:shd w:val="clear" w:color="auto" w:fill="FFFFFF"/>
            <w:vAlign w:val="center"/>
          </w:tcPr>
          <w:p w14:paraId="6D4522CD" w14:textId="77777777" w:rsidR="00E45AD3" w:rsidRPr="00B25D0F" w:rsidRDefault="00E45AD3" w:rsidP="00B25D0F">
            <w:pPr>
              <w:pStyle w:val="NormalWeb"/>
              <w:spacing w:before="0" w:beforeAutospacing="0" w:after="0" w:afterAutospacing="0" w:line="360" w:lineRule="auto"/>
              <w:rPr>
                <w:noProof/>
              </w:rPr>
            </w:pPr>
          </w:p>
        </w:tc>
      </w:tr>
      <w:tr w:rsidR="00E45AD3" w:rsidRPr="00B25D0F" w14:paraId="580D5F60" w14:textId="77777777" w:rsidTr="00E45AD3">
        <w:trPr>
          <w:cantSplit/>
        </w:trPr>
        <w:tc>
          <w:tcPr>
            <w:tcW w:w="0" w:type="auto"/>
            <w:vMerge/>
            <w:tcBorders>
              <w:top w:val="single" w:sz="8" w:space="0" w:color="152935"/>
              <w:left w:val="nil"/>
              <w:bottom w:val="single" w:sz="8" w:space="0" w:color="152935"/>
              <w:right w:val="nil"/>
            </w:tcBorders>
            <w:shd w:val="clear" w:color="auto" w:fill="E0E0E0"/>
          </w:tcPr>
          <w:p w14:paraId="26679A76" w14:textId="77777777" w:rsidR="00E45AD3" w:rsidRPr="00B25D0F" w:rsidRDefault="00E45AD3" w:rsidP="00B25D0F">
            <w:pPr>
              <w:pStyle w:val="NormalWeb"/>
              <w:spacing w:before="0" w:beforeAutospacing="0" w:after="0" w:afterAutospacing="0" w:line="360" w:lineRule="auto"/>
              <w:rPr>
                <w:noProof/>
              </w:rPr>
            </w:pPr>
          </w:p>
        </w:tc>
        <w:tc>
          <w:tcPr>
            <w:tcW w:w="0" w:type="auto"/>
            <w:vMerge/>
            <w:tcBorders>
              <w:top w:val="single" w:sz="8" w:space="0" w:color="152935"/>
              <w:left w:val="nil"/>
              <w:bottom w:val="nil"/>
              <w:right w:val="nil"/>
            </w:tcBorders>
            <w:shd w:val="clear" w:color="auto" w:fill="E0E0E0"/>
          </w:tcPr>
          <w:p w14:paraId="6F9D6F8A" w14:textId="77777777" w:rsidR="00E45AD3" w:rsidRPr="00B25D0F" w:rsidRDefault="00E45AD3" w:rsidP="00B25D0F">
            <w:pPr>
              <w:pStyle w:val="NormalWeb"/>
              <w:spacing w:before="0" w:beforeAutospacing="0" w:after="0" w:afterAutospacing="0" w:line="360" w:lineRule="auto"/>
              <w:rPr>
                <w:noProof/>
              </w:rPr>
            </w:pPr>
          </w:p>
        </w:tc>
        <w:tc>
          <w:tcPr>
            <w:tcW w:w="0" w:type="auto"/>
            <w:gridSpan w:val="2"/>
            <w:tcBorders>
              <w:top w:val="single" w:sz="8" w:space="0" w:color="AEAEAE"/>
              <w:left w:val="nil"/>
              <w:bottom w:val="nil"/>
              <w:right w:val="nil"/>
            </w:tcBorders>
            <w:shd w:val="clear" w:color="auto" w:fill="E0E0E0"/>
          </w:tcPr>
          <w:p w14:paraId="05CCF6B3" w14:textId="77777777" w:rsidR="00E45AD3" w:rsidRPr="00B25D0F" w:rsidRDefault="00E45AD3" w:rsidP="00B25D0F">
            <w:pPr>
              <w:pStyle w:val="NormalWeb"/>
              <w:spacing w:before="0" w:beforeAutospacing="0" w:after="0" w:afterAutospacing="0" w:line="360" w:lineRule="auto"/>
              <w:rPr>
                <w:noProof/>
              </w:rPr>
            </w:pPr>
            <w:r w:rsidRPr="00B25D0F">
              <w:rPr>
                <w:noProof/>
              </w:rPr>
              <w:t>Range</w:t>
            </w:r>
          </w:p>
        </w:tc>
        <w:tc>
          <w:tcPr>
            <w:tcW w:w="0" w:type="auto"/>
            <w:tcBorders>
              <w:top w:val="single" w:sz="8" w:space="0" w:color="AEAEAE"/>
              <w:left w:val="nil"/>
              <w:bottom w:val="nil"/>
              <w:right w:val="single" w:sz="8" w:space="0" w:color="E0E0E0"/>
            </w:tcBorders>
            <w:shd w:val="clear" w:color="auto" w:fill="FFFFFF"/>
          </w:tcPr>
          <w:p w14:paraId="2320E45B" w14:textId="77777777" w:rsidR="00E45AD3" w:rsidRPr="00B25D0F" w:rsidRDefault="00E45AD3" w:rsidP="00B25D0F">
            <w:pPr>
              <w:pStyle w:val="NormalWeb"/>
              <w:spacing w:before="0" w:beforeAutospacing="0" w:after="0" w:afterAutospacing="0" w:line="360" w:lineRule="auto"/>
              <w:rPr>
                <w:noProof/>
              </w:rPr>
            </w:pPr>
            <w:r w:rsidRPr="00B25D0F">
              <w:rPr>
                <w:noProof/>
              </w:rPr>
              <w:t>2.43</w:t>
            </w:r>
          </w:p>
        </w:tc>
        <w:tc>
          <w:tcPr>
            <w:tcW w:w="0" w:type="auto"/>
            <w:tcBorders>
              <w:top w:val="single" w:sz="8" w:space="0" w:color="AEAEAE"/>
              <w:left w:val="single" w:sz="8" w:space="0" w:color="E0E0E0"/>
              <w:bottom w:val="nil"/>
              <w:right w:val="nil"/>
            </w:tcBorders>
            <w:shd w:val="clear" w:color="auto" w:fill="FFFFFF"/>
            <w:vAlign w:val="center"/>
          </w:tcPr>
          <w:p w14:paraId="3FE53ACB" w14:textId="77777777" w:rsidR="00E45AD3" w:rsidRPr="00B25D0F" w:rsidRDefault="00E45AD3" w:rsidP="00B25D0F">
            <w:pPr>
              <w:pStyle w:val="NormalWeb"/>
              <w:spacing w:before="0" w:beforeAutospacing="0" w:after="0" w:afterAutospacing="0" w:line="360" w:lineRule="auto"/>
              <w:rPr>
                <w:noProof/>
              </w:rPr>
            </w:pPr>
          </w:p>
        </w:tc>
      </w:tr>
      <w:tr w:rsidR="00E45AD3" w:rsidRPr="00B25D0F" w14:paraId="25A685F6" w14:textId="77777777" w:rsidTr="00E45AD3">
        <w:trPr>
          <w:cantSplit/>
        </w:trPr>
        <w:tc>
          <w:tcPr>
            <w:tcW w:w="0" w:type="auto"/>
            <w:vMerge/>
            <w:tcBorders>
              <w:top w:val="single" w:sz="8" w:space="0" w:color="152935"/>
              <w:left w:val="nil"/>
              <w:bottom w:val="single" w:sz="8" w:space="0" w:color="152935"/>
              <w:right w:val="nil"/>
            </w:tcBorders>
            <w:shd w:val="clear" w:color="auto" w:fill="E0E0E0"/>
          </w:tcPr>
          <w:p w14:paraId="1410D9B8" w14:textId="77777777" w:rsidR="00E45AD3" w:rsidRPr="00B25D0F" w:rsidRDefault="00E45AD3" w:rsidP="00B25D0F">
            <w:pPr>
              <w:pStyle w:val="NormalWeb"/>
              <w:spacing w:before="0" w:beforeAutospacing="0" w:after="0" w:afterAutospacing="0" w:line="360" w:lineRule="auto"/>
              <w:rPr>
                <w:noProof/>
              </w:rPr>
            </w:pPr>
          </w:p>
        </w:tc>
        <w:tc>
          <w:tcPr>
            <w:tcW w:w="0" w:type="auto"/>
            <w:vMerge/>
            <w:tcBorders>
              <w:top w:val="single" w:sz="8" w:space="0" w:color="152935"/>
              <w:left w:val="nil"/>
              <w:bottom w:val="nil"/>
              <w:right w:val="nil"/>
            </w:tcBorders>
            <w:shd w:val="clear" w:color="auto" w:fill="E0E0E0"/>
          </w:tcPr>
          <w:p w14:paraId="657D1446" w14:textId="77777777" w:rsidR="00E45AD3" w:rsidRPr="00B25D0F" w:rsidRDefault="00E45AD3" w:rsidP="00B25D0F">
            <w:pPr>
              <w:pStyle w:val="NormalWeb"/>
              <w:spacing w:before="0" w:beforeAutospacing="0" w:after="0" w:afterAutospacing="0" w:line="360" w:lineRule="auto"/>
              <w:rPr>
                <w:noProof/>
              </w:rPr>
            </w:pPr>
          </w:p>
        </w:tc>
        <w:tc>
          <w:tcPr>
            <w:tcW w:w="0" w:type="auto"/>
            <w:gridSpan w:val="2"/>
            <w:tcBorders>
              <w:top w:val="single" w:sz="8" w:space="0" w:color="AEAEAE"/>
              <w:left w:val="nil"/>
              <w:bottom w:val="nil"/>
              <w:right w:val="nil"/>
            </w:tcBorders>
            <w:shd w:val="clear" w:color="auto" w:fill="E0E0E0"/>
          </w:tcPr>
          <w:p w14:paraId="0A7FB69F" w14:textId="77777777" w:rsidR="00E45AD3" w:rsidRPr="00B25D0F" w:rsidRDefault="00E45AD3" w:rsidP="00B25D0F">
            <w:pPr>
              <w:pStyle w:val="NormalWeb"/>
              <w:spacing w:before="0" w:beforeAutospacing="0" w:after="0" w:afterAutospacing="0" w:line="360" w:lineRule="auto"/>
              <w:rPr>
                <w:noProof/>
              </w:rPr>
            </w:pPr>
            <w:r w:rsidRPr="00B25D0F">
              <w:rPr>
                <w:noProof/>
              </w:rPr>
              <w:t>Interquartile Range</w:t>
            </w:r>
          </w:p>
        </w:tc>
        <w:tc>
          <w:tcPr>
            <w:tcW w:w="0" w:type="auto"/>
            <w:tcBorders>
              <w:top w:val="single" w:sz="8" w:space="0" w:color="AEAEAE"/>
              <w:left w:val="nil"/>
              <w:bottom w:val="nil"/>
              <w:right w:val="single" w:sz="8" w:space="0" w:color="E0E0E0"/>
            </w:tcBorders>
            <w:shd w:val="clear" w:color="auto" w:fill="FFFFFF"/>
          </w:tcPr>
          <w:p w14:paraId="608DA888" w14:textId="77777777" w:rsidR="00E45AD3" w:rsidRPr="00B25D0F" w:rsidRDefault="00E45AD3" w:rsidP="00B25D0F">
            <w:pPr>
              <w:pStyle w:val="NormalWeb"/>
              <w:spacing w:before="0" w:beforeAutospacing="0" w:after="0" w:afterAutospacing="0" w:line="360" w:lineRule="auto"/>
              <w:rPr>
                <w:noProof/>
              </w:rPr>
            </w:pPr>
            <w:r w:rsidRPr="00B25D0F">
              <w:rPr>
                <w:noProof/>
              </w:rPr>
              <w:t>1.00</w:t>
            </w:r>
          </w:p>
        </w:tc>
        <w:tc>
          <w:tcPr>
            <w:tcW w:w="0" w:type="auto"/>
            <w:tcBorders>
              <w:top w:val="single" w:sz="8" w:space="0" w:color="AEAEAE"/>
              <w:left w:val="single" w:sz="8" w:space="0" w:color="E0E0E0"/>
              <w:bottom w:val="nil"/>
              <w:right w:val="nil"/>
            </w:tcBorders>
            <w:shd w:val="clear" w:color="auto" w:fill="FFFFFF"/>
            <w:vAlign w:val="center"/>
          </w:tcPr>
          <w:p w14:paraId="35876125" w14:textId="77777777" w:rsidR="00E45AD3" w:rsidRPr="00B25D0F" w:rsidRDefault="00E45AD3" w:rsidP="00B25D0F">
            <w:pPr>
              <w:pStyle w:val="NormalWeb"/>
              <w:spacing w:before="0" w:beforeAutospacing="0" w:after="0" w:afterAutospacing="0" w:line="360" w:lineRule="auto"/>
              <w:rPr>
                <w:noProof/>
              </w:rPr>
            </w:pPr>
          </w:p>
        </w:tc>
      </w:tr>
      <w:tr w:rsidR="00E45AD3" w:rsidRPr="00B25D0F" w14:paraId="4EF02512" w14:textId="77777777" w:rsidTr="00E45AD3">
        <w:trPr>
          <w:cantSplit/>
        </w:trPr>
        <w:tc>
          <w:tcPr>
            <w:tcW w:w="0" w:type="auto"/>
            <w:vMerge/>
            <w:tcBorders>
              <w:top w:val="single" w:sz="8" w:space="0" w:color="152935"/>
              <w:left w:val="nil"/>
              <w:bottom w:val="single" w:sz="8" w:space="0" w:color="152935"/>
              <w:right w:val="nil"/>
            </w:tcBorders>
            <w:shd w:val="clear" w:color="auto" w:fill="E0E0E0"/>
          </w:tcPr>
          <w:p w14:paraId="006DE6B8" w14:textId="77777777" w:rsidR="00E45AD3" w:rsidRPr="00B25D0F" w:rsidRDefault="00E45AD3" w:rsidP="00B25D0F">
            <w:pPr>
              <w:pStyle w:val="NormalWeb"/>
              <w:spacing w:before="0" w:beforeAutospacing="0" w:after="0" w:afterAutospacing="0" w:line="360" w:lineRule="auto"/>
              <w:rPr>
                <w:noProof/>
              </w:rPr>
            </w:pPr>
          </w:p>
        </w:tc>
        <w:tc>
          <w:tcPr>
            <w:tcW w:w="0" w:type="auto"/>
            <w:vMerge/>
            <w:tcBorders>
              <w:top w:val="single" w:sz="8" w:space="0" w:color="152935"/>
              <w:left w:val="nil"/>
              <w:bottom w:val="nil"/>
              <w:right w:val="nil"/>
            </w:tcBorders>
            <w:shd w:val="clear" w:color="auto" w:fill="E0E0E0"/>
          </w:tcPr>
          <w:p w14:paraId="1338C4BD" w14:textId="77777777" w:rsidR="00E45AD3" w:rsidRPr="00B25D0F" w:rsidRDefault="00E45AD3" w:rsidP="00B25D0F">
            <w:pPr>
              <w:pStyle w:val="NormalWeb"/>
              <w:spacing w:before="0" w:beforeAutospacing="0" w:after="0" w:afterAutospacing="0" w:line="360" w:lineRule="auto"/>
              <w:rPr>
                <w:noProof/>
              </w:rPr>
            </w:pPr>
          </w:p>
        </w:tc>
        <w:tc>
          <w:tcPr>
            <w:tcW w:w="0" w:type="auto"/>
            <w:gridSpan w:val="2"/>
            <w:tcBorders>
              <w:top w:val="single" w:sz="8" w:space="0" w:color="AEAEAE"/>
              <w:left w:val="nil"/>
              <w:bottom w:val="nil"/>
              <w:right w:val="nil"/>
            </w:tcBorders>
            <w:shd w:val="clear" w:color="auto" w:fill="E0E0E0"/>
          </w:tcPr>
          <w:p w14:paraId="03E03A5E" w14:textId="77777777" w:rsidR="00E45AD3" w:rsidRPr="00B25D0F" w:rsidRDefault="00E45AD3" w:rsidP="00B25D0F">
            <w:pPr>
              <w:pStyle w:val="NormalWeb"/>
              <w:spacing w:before="0" w:beforeAutospacing="0" w:after="0" w:afterAutospacing="0" w:line="360" w:lineRule="auto"/>
              <w:rPr>
                <w:noProof/>
              </w:rPr>
            </w:pPr>
            <w:r w:rsidRPr="00B25D0F">
              <w:rPr>
                <w:noProof/>
              </w:rPr>
              <w:t>Skewness</w:t>
            </w:r>
          </w:p>
        </w:tc>
        <w:tc>
          <w:tcPr>
            <w:tcW w:w="0" w:type="auto"/>
            <w:tcBorders>
              <w:top w:val="single" w:sz="8" w:space="0" w:color="AEAEAE"/>
              <w:left w:val="nil"/>
              <w:bottom w:val="nil"/>
              <w:right w:val="single" w:sz="8" w:space="0" w:color="E0E0E0"/>
            </w:tcBorders>
            <w:shd w:val="clear" w:color="auto" w:fill="FFFFFF"/>
          </w:tcPr>
          <w:p w14:paraId="4C2BCD80" w14:textId="77777777" w:rsidR="00E45AD3" w:rsidRPr="00B25D0F" w:rsidRDefault="00E45AD3" w:rsidP="00B25D0F">
            <w:pPr>
              <w:pStyle w:val="NormalWeb"/>
              <w:spacing w:before="0" w:beforeAutospacing="0" w:after="0" w:afterAutospacing="0" w:line="360" w:lineRule="auto"/>
              <w:rPr>
                <w:noProof/>
              </w:rPr>
            </w:pPr>
            <w:r w:rsidRPr="00B25D0F">
              <w:rPr>
                <w:noProof/>
              </w:rPr>
              <w:t>-.310</w:t>
            </w:r>
          </w:p>
        </w:tc>
        <w:tc>
          <w:tcPr>
            <w:tcW w:w="0" w:type="auto"/>
            <w:tcBorders>
              <w:top w:val="single" w:sz="8" w:space="0" w:color="AEAEAE"/>
              <w:left w:val="single" w:sz="8" w:space="0" w:color="E0E0E0"/>
              <w:bottom w:val="nil"/>
              <w:right w:val="nil"/>
            </w:tcBorders>
            <w:shd w:val="clear" w:color="auto" w:fill="FFFFFF"/>
          </w:tcPr>
          <w:p w14:paraId="4777832D" w14:textId="77777777" w:rsidR="00E45AD3" w:rsidRPr="00B25D0F" w:rsidRDefault="00E45AD3" w:rsidP="00B25D0F">
            <w:pPr>
              <w:pStyle w:val="NormalWeb"/>
              <w:spacing w:before="0" w:beforeAutospacing="0" w:after="0" w:afterAutospacing="0" w:line="360" w:lineRule="auto"/>
              <w:rPr>
                <w:noProof/>
              </w:rPr>
            </w:pPr>
            <w:r w:rsidRPr="00B25D0F">
              <w:rPr>
                <w:noProof/>
              </w:rPr>
              <w:t>.327</w:t>
            </w:r>
          </w:p>
        </w:tc>
      </w:tr>
      <w:tr w:rsidR="00E45AD3" w:rsidRPr="00B25D0F" w14:paraId="6A3BAF3A" w14:textId="77777777" w:rsidTr="00E45AD3">
        <w:trPr>
          <w:cantSplit/>
        </w:trPr>
        <w:tc>
          <w:tcPr>
            <w:tcW w:w="0" w:type="auto"/>
            <w:vMerge/>
            <w:tcBorders>
              <w:top w:val="single" w:sz="8" w:space="0" w:color="152935"/>
              <w:left w:val="nil"/>
              <w:bottom w:val="single" w:sz="8" w:space="0" w:color="152935"/>
              <w:right w:val="nil"/>
            </w:tcBorders>
            <w:shd w:val="clear" w:color="auto" w:fill="E0E0E0"/>
          </w:tcPr>
          <w:p w14:paraId="6DCB0791" w14:textId="77777777" w:rsidR="00E45AD3" w:rsidRPr="00B25D0F" w:rsidRDefault="00E45AD3" w:rsidP="00B25D0F">
            <w:pPr>
              <w:pStyle w:val="NormalWeb"/>
              <w:spacing w:before="0" w:beforeAutospacing="0" w:after="0" w:afterAutospacing="0" w:line="360" w:lineRule="auto"/>
              <w:rPr>
                <w:noProof/>
              </w:rPr>
            </w:pPr>
          </w:p>
        </w:tc>
        <w:tc>
          <w:tcPr>
            <w:tcW w:w="0" w:type="auto"/>
            <w:vMerge/>
            <w:tcBorders>
              <w:top w:val="single" w:sz="8" w:space="0" w:color="152935"/>
              <w:left w:val="nil"/>
              <w:bottom w:val="nil"/>
              <w:right w:val="nil"/>
            </w:tcBorders>
            <w:shd w:val="clear" w:color="auto" w:fill="E0E0E0"/>
          </w:tcPr>
          <w:p w14:paraId="20EE3253" w14:textId="77777777" w:rsidR="00E45AD3" w:rsidRPr="00B25D0F" w:rsidRDefault="00E45AD3" w:rsidP="00B25D0F">
            <w:pPr>
              <w:pStyle w:val="NormalWeb"/>
              <w:spacing w:before="0" w:beforeAutospacing="0" w:after="0" w:afterAutospacing="0" w:line="360" w:lineRule="auto"/>
              <w:rPr>
                <w:noProof/>
              </w:rPr>
            </w:pPr>
          </w:p>
        </w:tc>
        <w:tc>
          <w:tcPr>
            <w:tcW w:w="0" w:type="auto"/>
            <w:gridSpan w:val="2"/>
            <w:tcBorders>
              <w:top w:val="single" w:sz="8" w:space="0" w:color="AEAEAE"/>
              <w:left w:val="nil"/>
              <w:bottom w:val="nil"/>
              <w:right w:val="nil"/>
            </w:tcBorders>
            <w:shd w:val="clear" w:color="auto" w:fill="E0E0E0"/>
          </w:tcPr>
          <w:p w14:paraId="6D0D5C50" w14:textId="77777777" w:rsidR="00E45AD3" w:rsidRPr="00B25D0F" w:rsidRDefault="00E45AD3" w:rsidP="00B25D0F">
            <w:pPr>
              <w:pStyle w:val="NormalWeb"/>
              <w:spacing w:before="0" w:beforeAutospacing="0" w:after="0" w:afterAutospacing="0" w:line="360" w:lineRule="auto"/>
              <w:rPr>
                <w:noProof/>
              </w:rPr>
            </w:pPr>
            <w:r w:rsidRPr="00B25D0F">
              <w:rPr>
                <w:noProof/>
              </w:rPr>
              <w:t>Kurtosis</w:t>
            </w:r>
          </w:p>
        </w:tc>
        <w:tc>
          <w:tcPr>
            <w:tcW w:w="0" w:type="auto"/>
            <w:tcBorders>
              <w:top w:val="single" w:sz="8" w:space="0" w:color="AEAEAE"/>
              <w:left w:val="nil"/>
              <w:bottom w:val="nil"/>
              <w:right w:val="single" w:sz="8" w:space="0" w:color="E0E0E0"/>
            </w:tcBorders>
            <w:shd w:val="clear" w:color="auto" w:fill="FFFFFF"/>
          </w:tcPr>
          <w:p w14:paraId="349B51D0" w14:textId="77777777" w:rsidR="00E45AD3" w:rsidRPr="00B25D0F" w:rsidRDefault="00E45AD3" w:rsidP="00B25D0F">
            <w:pPr>
              <w:pStyle w:val="NormalWeb"/>
              <w:spacing w:before="0" w:beforeAutospacing="0" w:after="0" w:afterAutospacing="0" w:line="360" w:lineRule="auto"/>
              <w:rPr>
                <w:noProof/>
              </w:rPr>
            </w:pPr>
            <w:r w:rsidRPr="00B25D0F">
              <w:rPr>
                <w:noProof/>
              </w:rPr>
              <w:t>-.578</w:t>
            </w:r>
          </w:p>
        </w:tc>
        <w:tc>
          <w:tcPr>
            <w:tcW w:w="0" w:type="auto"/>
            <w:tcBorders>
              <w:top w:val="single" w:sz="8" w:space="0" w:color="AEAEAE"/>
              <w:left w:val="single" w:sz="8" w:space="0" w:color="E0E0E0"/>
              <w:bottom w:val="nil"/>
              <w:right w:val="nil"/>
            </w:tcBorders>
            <w:shd w:val="clear" w:color="auto" w:fill="FFFFFF"/>
          </w:tcPr>
          <w:p w14:paraId="459E7001" w14:textId="77777777" w:rsidR="00E45AD3" w:rsidRPr="00B25D0F" w:rsidRDefault="00E45AD3" w:rsidP="00B25D0F">
            <w:pPr>
              <w:pStyle w:val="NormalWeb"/>
              <w:spacing w:before="0" w:beforeAutospacing="0" w:after="0" w:afterAutospacing="0" w:line="360" w:lineRule="auto"/>
              <w:rPr>
                <w:noProof/>
              </w:rPr>
            </w:pPr>
            <w:r w:rsidRPr="00B25D0F">
              <w:rPr>
                <w:noProof/>
              </w:rPr>
              <w:t>.644</w:t>
            </w:r>
          </w:p>
        </w:tc>
      </w:tr>
      <w:tr w:rsidR="00E45AD3" w:rsidRPr="00B25D0F" w14:paraId="45C7BB51" w14:textId="77777777" w:rsidTr="00E45AD3">
        <w:trPr>
          <w:cantSplit/>
        </w:trPr>
        <w:tc>
          <w:tcPr>
            <w:tcW w:w="0" w:type="auto"/>
            <w:vMerge/>
            <w:tcBorders>
              <w:top w:val="single" w:sz="8" w:space="0" w:color="152935"/>
              <w:left w:val="nil"/>
              <w:bottom w:val="single" w:sz="8" w:space="0" w:color="152935"/>
              <w:right w:val="nil"/>
            </w:tcBorders>
            <w:shd w:val="clear" w:color="auto" w:fill="E0E0E0"/>
          </w:tcPr>
          <w:p w14:paraId="0EBE2E3F" w14:textId="77777777" w:rsidR="00E45AD3" w:rsidRPr="00B25D0F" w:rsidRDefault="00E45AD3" w:rsidP="00B25D0F">
            <w:pPr>
              <w:pStyle w:val="NormalWeb"/>
              <w:spacing w:before="0" w:beforeAutospacing="0" w:after="0" w:afterAutospacing="0" w:line="360" w:lineRule="auto"/>
              <w:rPr>
                <w:noProof/>
              </w:rPr>
            </w:pPr>
          </w:p>
        </w:tc>
        <w:tc>
          <w:tcPr>
            <w:tcW w:w="0" w:type="auto"/>
            <w:vMerge w:val="restart"/>
            <w:tcBorders>
              <w:top w:val="single" w:sz="8" w:space="0" w:color="AEAEAE"/>
              <w:left w:val="nil"/>
              <w:bottom w:val="single" w:sz="8" w:space="0" w:color="152935"/>
              <w:right w:val="nil"/>
            </w:tcBorders>
            <w:shd w:val="clear" w:color="auto" w:fill="E0E0E0"/>
          </w:tcPr>
          <w:p w14:paraId="3100E920" w14:textId="77777777" w:rsidR="00E45AD3" w:rsidRPr="00B25D0F" w:rsidRDefault="00E45AD3" w:rsidP="00B25D0F">
            <w:pPr>
              <w:pStyle w:val="NormalWeb"/>
              <w:spacing w:before="0" w:beforeAutospacing="0" w:after="0" w:afterAutospacing="0" w:line="360" w:lineRule="auto"/>
              <w:rPr>
                <w:noProof/>
              </w:rPr>
            </w:pPr>
            <w:r w:rsidRPr="00B25D0F">
              <w:rPr>
                <w:noProof/>
              </w:rPr>
              <w:t>female</w:t>
            </w:r>
          </w:p>
        </w:tc>
        <w:tc>
          <w:tcPr>
            <w:tcW w:w="0" w:type="auto"/>
            <w:gridSpan w:val="2"/>
            <w:tcBorders>
              <w:top w:val="single" w:sz="8" w:space="0" w:color="AEAEAE"/>
              <w:left w:val="nil"/>
              <w:bottom w:val="nil"/>
              <w:right w:val="nil"/>
            </w:tcBorders>
            <w:shd w:val="clear" w:color="auto" w:fill="E0E0E0"/>
          </w:tcPr>
          <w:p w14:paraId="0AFC39FC" w14:textId="77777777" w:rsidR="00E45AD3" w:rsidRPr="00B25D0F" w:rsidRDefault="00E45AD3" w:rsidP="00B25D0F">
            <w:pPr>
              <w:pStyle w:val="NormalWeb"/>
              <w:spacing w:before="0" w:beforeAutospacing="0" w:after="0" w:afterAutospacing="0" w:line="360" w:lineRule="auto"/>
              <w:rPr>
                <w:noProof/>
              </w:rPr>
            </w:pPr>
            <w:r w:rsidRPr="00B25D0F">
              <w:rPr>
                <w:noProof/>
              </w:rPr>
              <w:t>Mean</w:t>
            </w:r>
          </w:p>
        </w:tc>
        <w:tc>
          <w:tcPr>
            <w:tcW w:w="0" w:type="auto"/>
            <w:tcBorders>
              <w:top w:val="single" w:sz="8" w:space="0" w:color="AEAEAE"/>
              <w:left w:val="nil"/>
              <w:bottom w:val="nil"/>
              <w:right w:val="single" w:sz="8" w:space="0" w:color="E0E0E0"/>
            </w:tcBorders>
            <w:shd w:val="clear" w:color="auto" w:fill="FFFFFF"/>
          </w:tcPr>
          <w:p w14:paraId="0949255C" w14:textId="77777777" w:rsidR="00E45AD3" w:rsidRPr="00B25D0F" w:rsidRDefault="00E45AD3" w:rsidP="00B25D0F">
            <w:pPr>
              <w:pStyle w:val="NormalWeb"/>
              <w:spacing w:before="0" w:beforeAutospacing="0" w:after="0" w:afterAutospacing="0" w:line="360" w:lineRule="auto"/>
              <w:rPr>
                <w:noProof/>
              </w:rPr>
            </w:pPr>
            <w:r w:rsidRPr="00B25D0F">
              <w:rPr>
                <w:noProof/>
              </w:rPr>
              <w:t>3.4893</w:t>
            </w:r>
          </w:p>
        </w:tc>
        <w:tc>
          <w:tcPr>
            <w:tcW w:w="0" w:type="auto"/>
            <w:tcBorders>
              <w:top w:val="single" w:sz="8" w:space="0" w:color="AEAEAE"/>
              <w:left w:val="single" w:sz="8" w:space="0" w:color="E0E0E0"/>
              <w:bottom w:val="nil"/>
              <w:right w:val="nil"/>
            </w:tcBorders>
            <w:shd w:val="clear" w:color="auto" w:fill="FFFFFF"/>
          </w:tcPr>
          <w:p w14:paraId="562ADF5C" w14:textId="77777777" w:rsidR="00E45AD3" w:rsidRPr="00B25D0F" w:rsidRDefault="00E45AD3" w:rsidP="00B25D0F">
            <w:pPr>
              <w:pStyle w:val="NormalWeb"/>
              <w:spacing w:before="0" w:beforeAutospacing="0" w:after="0" w:afterAutospacing="0" w:line="360" w:lineRule="auto"/>
              <w:rPr>
                <w:noProof/>
              </w:rPr>
            </w:pPr>
            <w:r w:rsidRPr="00B25D0F">
              <w:rPr>
                <w:noProof/>
              </w:rPr>
              <w:t>.08214</w:t>
            </w:r>
          </w:p>
        </w:tc>
      </w:tr>
      <w:tr w:rsidR="00E45AD3" w:rsidRPr="00B25D0F" w14:paraId="61E70763" w14:textId="77777777" w:rsidTr="00E45AD3">
        <w:trPr>
          <w:cantSplit/>
        </w:trPr>
        <w:tc>
          <w:tcPr>
            <w:tcW w:w="0" w:type="auto"/>
            <w:vMerge/>
            <w:tcBorders>
              <w:top w:val="single" w:sz="8" w:space="0" w:color="152935"/>
              <w:left w:val="nil"/>
              <w:bottom w:val="single" w:sz="8" w:space="0" w:color="152935"/>
              <w:right w:val="nil"/>
            </w:tcBorders>
            <w:shd w:val="clear" w:color="auto" w:fill="E0E0E0"/>
          </w:tcPr>
          <w:p w14:paraId="1A69E5AC" w14:textId="77777777" w:rsidR="00E45AD3" w:rsidRPr="00B25D0F" w:rsidRDefault="00E45AD3" w:rsidP="00B25D0F">
            <w:pPr>
              <w:pStyle w:val="NormalWeb"/>
              <w:spacing w:before="0" w:beforeAutospacing="0" w:after="0" w:afterAutospacing="0" w:line="360" w:lineRule="auto"/>
              <w:rPr>
                <w:noProof/>
              </w:rPr>
            </w:pPr>
          </w:p>
        </w:tc>
        <w:tc>
          <w:tcPr>
            <w:tcW w:w="0" w:type="auto"/>
            <w:vMerge/>
            <w:tcBorders>
              <w:top w:val="single" w:sz="8" w:space="0" w:color="AEAEAE"/>
              <w:left w:val="nil"/>
              <w:bottom w:val="single" w:sz="8" w:space="0" w:color="152935"/>
              <w:right w:val="nil"/>
            </w:tcBorders>
            <w:shd w:val="clear" w:color="auto" w:fill="E0E0E0"/>
          </w:tcPr>
          <w:p w14:paraId="6B9CC9C1" w14:textId="77777777" w:rsidR="00E45AD3" w:rsidRPr="00B25D0F" w:rsidRDefault="00E45AD3" w:rsidP="00B25D0F">
            <w:pPr>
              <w:pStyle w:val="NormalWeb"/>
              <w:spacing w:before="0" w:beforeAutospacing="0" w:after="0" w:afterAutospacing="0" w:line="360" w:lineRule="auto"/>
              <w:rPr>
                <w:noProof/>
              </w:rPr>
            </w:pPr>
          </w:p>
        </w:tc>
        <w:tc>
          <w:tcPr>
            <w:tcW w:w="0" w:type="auto"/>
            <w:vMerge w:val="restart"/>
            <w:tcBorders>
              <w:top w:val="single" w:sz="8" w:space="0" w:color="AEAEAE"/>
              <w:left w:val="nil"/>
              <w:bottom w:val="nil"/>
              <w:right w:val="nil"/>
            </w:tcBorders>
            <w:shd w:val="clear" w:color="auto" w:fill="E0E0E0"/>
          </w:tcPr>
          <w:p w14:paraId="78F4DBE2" w14:textId="77777777" w:rsidR="00E45AD3" w:rsidRPr="00B25D0F" w:rsidRDefault="00E45AD3" w:rsidP="00B25D0F">
            <w:pPr>
              <w:pStyle w:val="NormalWeb"/>
              <w:spacing w:before="0" w:beforeAutospacing="0" w:after="0" w:afterAutospacing="0" w:line="360" w:lineRule="auto"/>
              <w:rPr>
                <w:noProof/>
              </w:rPr>
            </w:pPr>
            <w:r w:rsidRPr="00B25D0F">
              <w:rPr>
                <w:noProof/>
              </w:rPr>
              <w:t>95% Confidence Interval for Mean</w:t>
            </w:r>
          </w:p>
        </w:tc>
        <w:tc>
          <w:tcPr>
            <w:tcW w:w="0" w:type="auto"/>
            <w:tcBorders>
              <w:top w:val="single" w:sz="8" w:space="0" w:color="AEAEAE"/>
              <w:left w:val="nil"/>
              <w:bottom w:val="single" w:sz="8" w:space="0" w:color="AEAEAE"/>
              <w:right w:val="nil"/>
            </w:tcBorders>
            <w:shd w:val="clear" w:color="auto" w:fill="E0E0E0"/>
          </w:tcPr>
          <w:p w14:paraId="64A46728" w14:textId="77777777" w:rsidR="00E45AD3" w:rsidRPr="00B25D0F" w:rsidRDefault="00E45AD3" w:rsidP="00B25D0F">
            <w:pPr>
              <w:pStyle w:val="NormalWeb"/>
              <w:spacing w:before="0" w:beforeAutospacing="0" w:after="0" w:afterAutospacing="0" w:line="360" w:lineRule="auto"/>
              <w:rPr>
                <w:noProof/>
              </w:rPr>
            </w:pPr>
            <w:r w:rsidRPr="00B25D0F">
              <w:rPr>
                <w:noProof/>
              </w:rPr>
              <w:t>Lower Bound</w:t>
            </w:r>
          </w:p>
        </w:tc>
        <w:tc>
          <w:tcPr>
            <w:tcW w:w="0" w:type="auto"/>
            <w:tcBorders>
              <w:top w:val="single" w:sz="8" w:space="0" w:color="AEAEAE"/>
              <w:left w:val="nil"/>
              <w:bottom w:val="single" w:sz="8" w:space="0" w:color="AEAEAE"/>
              <w:right w:val="single" w:sz="8" w:space="0" w:color="E0E0E0"/>
            </w:tcBorders>
            <w:shd w:val="clear" w:color="auto" w:fill="FFFFFF"/>
          </w:tcPr>
          <w:p w14:paraId="121665B1" w14:textId="77777777" w:rsidR="00E45AD3" w:rsidRPr="00B25D0F" w:rsidRDefault="00E45AD3" w:rsidP="00B25D0F">
            <w:pPr>
              <w:pStyle w:val="NormalWeb"/>
              <w:spacing w:before="0" w:beforeAutospacing="0" w:after="0" w:afterAutospacing="0" w:line="360" w:lineRule="auto"/>
              <w:rPr>
                <w:noProof/>
              </w:rPr>
            </w:pPr>
            <w:r w:rsidRPr="00B25D0F">
              <w:rPr>
                <w:noProof/>
              </w:rPr>
              <w:t>3.3231</w:t>
            </w:r>
          </w:p>
        </w:tc>
        <w:tc>
          <w:tcPr>
            <w:tcW w:w="0" w:type="auto"/>
            <w:tcBorders>
              <w:top w:val="single" w:sz="8" w:space="0" w:color="AEAEAE"/>
              <w:left w:val="single" w:sz="8" w:space="0" w:color="E0E0E0"/>
              <w:bottom w:val="single" w:sz="8" w:space="0" w:color="AEAEAE"/>
              <w:right w:val="nil"/>
            </w:tcBorders>
            <w:shd w:val="clear" w:color="auto" w:fill="FFFFFF"/>
            <w:vAlign w:val="center"/>
          </w:tcPr>
          <w:p w14:paraId="0047E9F5" w14:textId="77777777" w:rsidR="00E45AD3" w:rsidRPr="00B25D0F" w:rsidRDefault="00E45AD3" w:rsidP="00B25D0F">
            <w:pPr>
              <w:pStyle w:val="NormalWeb"/>
              <w:spacing w:before="0" w:beforeAutospacing="0" w:after="0" w:afterAutospacing="0" w:line="360" w:lineRule="auto"/>
              <w:rPr>
                <w:noProof/>
              </w:rPr>
            </w:pPr>
          </w:p>
        </w:tc>
      </w:tr>
      <w:tr w:rsidR="00E45AD3" w:rsidRPr="00B25D0F" w14:paraId="48E17935" w14:textId="77777777" w:rsidTr="00E45AD3">
        <w:trPr>
          <w:cantSplit/>
        </w:trPr>
        <w:tc>
          <w:tcPr>
            <w:tcW w:w="0" w:type="auto"/>
            <w:vMerge/>
            <w:tcBorders>
              <w:top w:val="single" w:sz="8" w:space="0" w:color="152935"/>
              <w:left w:val="nil"/>
              <w:bottom w:val="single" w:sz="8" w:space="0" w:color="152935"/>
              <w:right w:val="nil"/>
            </w:tcBorders>
            <w:shd w:val="clear" w:color="auto" w:fill="E0E0E0"/>
          </w:tcPr>
          <w:p w14:paraId="77134152" w14:textId="77777777" w:rsidR="00E45AD3" w:rsidRPr="00B25D0F" w:rsidRDefault="00E45AD3" w:rsidP="00B25D0F">
            <w:pPr>
              <w:pStyle w:val="NormalWeb"/>
              <w:spacing w:before="0" w:beforeAutospacing="0" w:after="0" w:afterAutospacing="0" w:line="360" w:lineRule="auto"/>
              <w:rPr>
                <w:noProof/>
              </w:rPr>
            </w:pPr>
          </w:p>
        </w:tc>
        <w:tc>
          <w:tcPr>
            <w:tcW w:w="0" w:type="auto"/>
            <w:vMerge/>
            <w:tcBorders>
              <w:top w:val="single" w:sz="8" w:space="0" w:color="AEAEAE"/>
              <w:left w:val="nil"/>
              <w:bottom w:val="single" w:sz="8" w:space="0" w:color="152935"/>
              <w:right w:val="nil"/>
            </w:tcBorders>
            <w:shd w:val="clear" w:color="auto" w:fill="E0E0E0"/>
          </w:tcPr>
          <w:p w14:paraId="38BDE5A5" w14:textId="77777777" w:rsidR="00E45AD3" w:rsidRPr="00B25D0F" w:rsidRDefault="00E45AD3" w:rsidP="00B25D0F">
            <w:pPr>
              <w:pStyle w:val="NormalWeb"/>
              <w:spacing w:before="0" w:beforeAutospacing="0" w:after="0" w:afterAutospacing="0" w:line="360" w:lineRule="auto"/>
              <w:rPr>
                <w:noProof/>
              </w:rPr>
            </w:pPr>
          </w:p>
        </w:tc>
        <w:tc>
          <w:tcPr>
            <w:tcW w:w="0" w:type="auto"/>
            <w:vMerge/>
            <w:tcBorders>
              <w:top w:val="single" w:sz="8" w:space="0" w:color="AEAEAE"/>
              <w:left w:val="nil"/>
              <w:bottom w:val="nil"/>
              <w:right w:val="nil"/>
            </w:tcBorders>
            <w:shd w:val="clear" w:color="auto" w:fill="E0E0E0"/>
          </w:tcPr>
          <w:p w14:paraId="681FB259" w14:textId="77777777" w:rsidR="00E45AD3" w:rsidRPr="00B25D0F" w:rsidRDefault="00E45AD3" w:rsidP="00B25D0F">
            <w:pPr>
              <w:pStyle w:val="NormalWeb"/>
              <w:spacing w:before="0" w:beforeAutospacing="0" w:after="0" w:afterAutospacing="0" w:line="360" w:lineRule="auto"/>
              <w:rPr>
                <w:noProof/>
              </w:rPr>
            </w:pPr>
          </w:p>
        </w:tc>
        <w:tc>
          <w:tcPr>
            <w:tcW w:w="0" w:type="auto"/>
            <w:tcBorders>
              <w:top w:val="single" w:sz="8" w:space="0" w:color="AEAEAE"/>
              <w:left w:val="nil"/>
              <w:bottom w:val="nil"/>
              <w:right w:val="nil"/>
            </w:tcBorders>
            <w:shd w:val="clear" w:color="auto" w:fill="E0E0E0"/>
          </w:tcPr>
          <w:p w14:paraId="2309DE25" w14:textId="77777777" w:rsidR="00E45AD3" w:rsidRPr="00B25D0F" w:rsidRDefault="00E45AD3" w:rsidP="00B25D0F">
            <w:pPr>
              <w:pStyle w:val="NormalWeb"/>
              <w:spacing w:before="0" w:beforeAutospacing="0" w:after="0" w:afterAutospacing="0" w:line="360" w:lineRule="auto"/>
              <w:rPr>
                <w:noProof/>
              </w:rPr>
            </w:pPr>
            <w:r w:rsidRPr="00B25D0F">
              <w:rPr>
                <w:noProof/>
              </w:rPr>
              <w:t>Upper Bound</w:t>
            </w:r>
          </w:p>
        </w:tc>
        <w:tc>
          <w:tcPr>
            <w:tcW w:w="0" w:type="auto"/>
            <w:tcBorders>
              <w:top w:val="single" w:sz="8" w:space="0" w:color="AEAEAE"/>
              <w:left w:val="nil"/>
              <w:bottom w:val="nil"/>
              <w:right w:val="single" w:sz="8" w:space="0" w:color="E0E0E0"/>
            </w:tcBorders>
            <w:shd w:val="clear" w:color="auto" w:fill="FFFFFF"/>
          </w:tcPr>
          <w:p w14:paraId="4C9BF4CD" w14:textId="77777777" w:rsidR="00E45AD3" w:rsidRPr="00B25D0F" w:rsidRDefault="00E45AD3" w:rsidP="00B25D0F">
            <w:pPr>
              <w:pStyle w:val="NormalWeb"/>
              <w:spacing w:before="0" w:beforeAutospacing="0" w:after="0" w:afterAutospacing="0" w:line="360" w:lineRule="auto"/>
              <w:rPr>
                <w:noProof/>
              </w:rPr>
            </w:pPr>
            <w:r w:rsidRPr="00B25D0F">
              <w:rPr>
                <w:noProof/>
              </w:rPr>
              <w:t>3.6554</w:t>
            </w:r>
          </w:p>
        </w:tc>
        <w:tc>
          <w:tcPr>
            <w:tcW w:w="0" w:type="auto"/>
            <w:tcBorders>
              <w:top w:val="single" w:sz="8" w:space="0" w:color="AEAEAE"/>
              <w:left w:val="single" w:sz="8" w:space="0" w:color="E0E0E0"/>
              <w:bottom w:val="nil"/>
              <w:right w:val="nil"/>
            </w:tcBorders>
            <w:shd w:val="clear" w:color="auto" w:fill="FFFFFF"/>
            <w:vAlign w:val="center"/>
          </w:tcPr>
          <w:p w14:paraId="160B41A1" w14:textId="77777777" w:rsidR="00E45AD3" w:rsidRPr="00B25D0F" w:rsidRDefault="00E45AD3" w:rsidP="00B25D0F">
            <w:pPr>
              <w:pStyle w:val="NormalWeb"/>
              <w:spacing w:before="0" w:beforeAutospacing="0" w:after="0" w:afterAutospacing="0" w:line="360" w:lineRule="auto"/>
              <w:rPr>
                <w:noProof/>
              </w:rPr>
            </w:pPr>
          </w:p>
        </w:tc>
      </w:tr>
      <w:tr w:rsidR="00E45AD3" w:rsidRPr="00B25D0F" w14:paraId="396D0516" w14:textId="77777777" w:rsidTr="00E45AD3">
        <w:trPr>
          <w:cantSplit/>
        </w:trPr>
        <w:tc>
          <w:tcPr>
            <w:tcW w:w="0" w:type="auto"/>
            <w:vMerge/>
            <w:tcBorders>
              <w:top w:val="single" w:sz="8" w:space="0" w:color="152935"/>
              <w:left w:val="nil"/>
              <w:bottom w:val="single" w:sz="8" w:space="0" w:color="152935"/>
              <w:right w:val="nil"/>
            </w:tcBorders>
            <w:shd w:val="clear" w:color="auto" w:fill="E0E0E0"/>
          </w:tcPr>
          <w:p w14:paraId="0CF3B72E" w14:textId="77777777" w:rsidR="00E45AD3" w:rsidRPr="00B25D0F" w:rsidRDefault="00E45AD3" w:rsidP="00B25D0F">
            <w:pPr>
              <w:pStyle w:val="NormalWeb"/>
              <w:spacing w:before="0" w:beforeAutospacing="0" w:after="0" w:afterAutospacing="0" w:line="360" w:lineRule="auto"/>
              <w:rPr>
                <w:noProof/>
              </w:rPr>
            </w:pPr>
          </w:p>
        </w:tc>
        <w:tc>
          <w:tcPr>
            <w:tcW w:w="0" w:type="auto"/>
            <w:vMerge/>
            <w:tcBorders>
              <w:top w:val="single" w:sz="8" w:space="0" w:color="AEAEAE"/>
              <w:left w:val="nil"/>
              <w:bottom w:val="single" w:sz="8" w:space="0" w:color="152935"/>
              <w:right w:val="nil"/>
            </w:tcBorders>
            <w:shd w:val="clear" w:color="auto" w:fill="E0E0E0"/>
          </w:tcPr>
          <w:p w14:paraId="7CC719C7" w14:textId="77777777" w:rsidR="00E45AD3" w:rsidRPr="00B25D0F" w:rsidRDefault="00E45AD3" w:rsidP="00B25D0F">
            <w:pPr>
              <w:pStyle w:val="NormalWeb"/>
              <w:spacing w:before="0" w:beforeAutospacing="0" w:after="0" w:afterAutospacing="0" w:line="360" w:lineRule="auto"/>
              <w:rPr>
                <w:noProof/>
              </w:rPr>
            </w:pPr>
          </w:p>
        </w:tc>
        <w:tc>
          <w:tcPr>
            <w:tcW w:w="0" w:type="auto"/>
            <w:gridSpan w:val="2"/>
            <w:tcBorders>
              <w:top w:val="single" w:sz="8" w:space="0" w:color="AEAEAE"/>
              <w:left w:val="nil"/>
              <w:bottom w:val="nil"/>
              <w:right w:val="nil"/>
            </w:tcBorders>
            <w:shd w:val="clear" w:color="auto" w:fill="E0E0E0"/>
          </w:tcPr>
          <w:p w14:paraId="7D34DEBA" w14:textId="77777777" w:rsidR="00E45AD3" w:rsidRPr="00B25D0F" w:rsidRDefault="00E45AD3" w:rsidP="00B25D0F">
            <w:pPr>
              <w:pStyle w:val="NormalWeb"/>
              <w:spacing w:before="0" w:beforeAutospacing="0" w:after="0" w:afterAutospacing="0" w:line="360" w:lineRule="auto"/>
              <w:rPr>
                <w:noProof/>
              </w:rPr>
            </w:pPr>
            <w:r w:rsidRPr="00B25D0F">
              <w:rPr>
                <w:noProof/>
              </w:rPr>
              <w:t>5% Trimmed Mean</w:t>
            </w:r>
          </w:p>
        </w:tc>
        <w:tc>
          <w:tcPr>
            <w:tcW w:w="0" w:type="auto"/>
            <w:tcBorders>
              <w:top w:val="single" w:sz="8" w:space="0" w:color="AEAEAE"/>
              <w:left w:val="nil"/>
              <w:bottom w:val="nil"/>
              <w:right w:val="single" w:sz="8" w:space="0" w:color="E0E0E0"/>
            </w:tcBorders>
            <w:shd w:val="clear" w:color="auto" w:fill="FFFFFF"/>
          </w:tcPr>
          <w:p w14:paraId="70517416" w14:textId="77777777" w:rsidR="00E45AD3" w:rsidRPr="00B25D0F" w:rsidRDefault="00E45AD3" w:rsidP="00B25D0F">
            <w:pPr>
              <w:pStyle w:val="NormalWeb"/>
              <w:spacing w:before="0" w:beforeAutospacing="0" w:after="0" w:afterAutospacing="0" w:line="360" w:lineRule="auto"/>
              <w:rPr>
                <w:noProof/>
              </w:rPr>
            </w:pPr>
            <w:r w:rsidRPr="00B25D0F">
              <w:rPr>
                <w:noProof/>
              </w:rPr>
              <w:t>3.5079</w:t>
            </w:r>
          </w:p>
        </w:tc>
        <w:tc>
          <w:tcPr>
            <w:tcW w:w="0" w:type="auto"/>
            <w:tcBorders>
              <w:top w:val="single" w:sz="8" w:space="0" w:color="AEAEAE"/>
              <w:left w:val="single" w:sz="8" w:space="0" w:color="E0E0E0"/>
              <w:bottom w:val="nil"/>
              <w:right w:val="nil"/>
            </w:tcBorders>
            <w:shd w:val="clear" w:color="auto" w:fill="FFFFFF"/>
            <w:vAlign w:val="center"/>
          </w:tcPr>
          <w:p w14:paraId="7FDF6D32" w14:textId="77777777" w:rsidR="00E45AD3" w:rsidRPr="00B25D0F" w:rsidRDefault="00E45AD3" w:rsidP="00B25D0F">
            <w:pPr>
              <w:pStyle w:val="NormalWeb"/>
              <w:spacing w:before="0" w:beforeAutospacing="0" w:after="0" w:afterAutospacing="0" w:line="360" w:lineRule="auto"/>
              <w:rPr>
                <w:noProof/>
              </w:rPr>
            </w:pPr>
          </w:p>
        </w:tc>
      </w:tr>
      <w:tr w:rsidR="00E45AD3" w:rsidRPr="00B25D0F" w14:paraId="6EEBCDA4" w14:textId="77777777" w:rsidTr="00E45AD3">
        <w:trPr>
          <w:cantSplit/>
        </w:trPr>
        <w:tc>
          <w:tcPr>
            <w:tcW w:w="0" w:type="auto"/>
            <w:vMerge/>
            <w:tcBorders>
              <w:top w:val="single" w:sz="8" w:space="0" w:color="152935"/>
              <w:left w:val="nil"/>
              <w:bottom w:val="single" w:sz="8" w:space="0" w:color="152935"/>
              <w:right w:val="nil"/>
            </w:tcBorders>
            <w:shd w:val="clear" w:color="auto" w:fill="E0E0E0"/>
          </w:tcPr>
          <w:p w14:paraId="2668E274" w14:textId="77777777" w:rsidR="00E45AD3" w:rsidRPr="00B25D0F" w:rsidRDefault="00E45AD3" w:rsidP="00B25D0F">
            <w:pPr>
              <w:pStyle w:val="NormalWeb"/>
              <w:spacing w:before="0" w:beforeAutospacing="0" w:after="0" w:afterAutospacing="0" w:line="360" w:lineRule="auto"/>
              <w:rPr>
                <w:noProof/>
              </w:rPr>
            </w:pPr>
          </w:p>
        </w:tc>
        <w:tc>
          <w:tcPr>
            <w:tcW w:w="0" w:type="auto"/>
            <w:vMerge/>
            <w:tcBorders>
              <w:top w:val="single" w:sz="8" w:space="0" w:color="AEAEAE"/>
              <w:left w:val="nil"/>
              <w:bottom w:val="single" w:sz="8" w:space="0" w:color="152935"/>
              <w:right w:val="nil"/>
            </w:tcBorders>
            <w:shd w:val="clear" w:color="auto" w:fill="E0E0E0"/>
          </w:tcPr>
          <w:p w14:paraId="20C43E3B" w14:textId="77777777" w:rsidR="00E45AD3" w:rsidRPr="00B25D0F" w:rsidRDefault="00E45AD3" w:rsidP="00B25D0F">
            <w:pPr>
              <w:pStyle w:val="NormalWeb"/>
              <w:spacing w:before="0" w:beforeAutospacing="0" w:after="0" w:afterAutospacing="0" w:line="360" w:lineRule="auto"/>
              <w:rPr>
                <w:noProof/>
              </w:rPr>
            </w:pPr>
          </w:p>
        </w:tc>
        <w:tc>
          <w:tcPr>
            <w:tcW w:w="0" w:type="auto"/>
            <w:gridSpan w:val="2"/>
            <w:tcBorders>
              <w:top w:val="single" w:sz="8" w:space="0" w:color="AEAEAE"/>
              <w:left w:val="nil"/>
              <w:bottom w:val="nil"/>
              <w:right w:val="nil"/>
            </w:tcBorders>
            <w:shd w:val="clear" w:color="auto" w:fill="E0E0E0"/>
          </w:tcPr>
          <w:p w14:paraId="239418DB" w14:textId="77777777" w:rsidR="00E45AD3" w:rsidRPr="00B25D0F" w:rsidRDefault="00E45AD3" w:rsidP="00B25D0F">
            <w:pPr>
              <w:pStyle w:val="NormalWeb"/>
              <w:spacing w:before="0" w:beforeAutospacing="0" w:after="0" w:afterAutospacing="0" w:line="360" w:lineRule="auto"/>
              <w:rPr>
                <w:noProof/>
              </w:rPr>
            </w:pPr>
            <w:r w:rsidRPr="00B25D0F">
              <w:rPr>
                <w:noProof/>
              </w:rPr>
              <w:t>Median</w:t>
            </w:r>
          </w:p>
        </w:tc>
        <w:tc>
          <w:tcPr>
            <w:tcW w:w="0" w:type="auto"/>
            <w:tcBorders>
              <w:top w:val="single" w:sz="8" w:space="0" w:color="AEAEAE"/>
              <w:left w:val="nil"/>
              <w:bottom w:val="nil"/>
              <w:right w:val="single" w:sz="8" w:space="0" w:color="E0E0E0"/>
            </w:tcBorders>
            <w:shd w:val="clear" w:color="auto" w:fill="FFFFFF"/>
          </w:tcPr>
          <w:p w14:paraId="038A3E9D" w14:textId="77777777" w:rsidR="00E45AD3" w:rsidRPr="00B25D0F" w:rsidRDefault="00E45AD3" w:rsidP="00B25D0F">
            <w:pPr>
              <w:pStyle w:val="NormalWeb"/>
              <w:spacing w:before="0" w:beforeAutospacing="0" w:after="0" w:afterAutospacing="0" w:line="360" w:lineRule="auto"/>
              <w:rPr>
                <w:noProof/>
              </w:rPr>
            </w:pPr>
            <w:r w:rsidRPr="00B25D0F">
              <w:rPr>
                <w:noProof/>
              </w:rPr>
              <w:t>3.6429</w:t>
            </w:r>
          </w:p>
        </w:tc>
        <w:tc>
          <w:tcPr>
            <w:tcW w:w="0" w:type="auto"/>
            <w:tcBorders>
              <w:top w:val="single" w:sz="8" w:space="0" w:color="AEAEAE"/>
              <w:left w:val="single" w:sz="8" w:space="0" w:color="E0E0E0"/>
              <w:bottom w:val="nil"/>
              <w:right w:val="nil"/>
            </w:tcBorders>
            <w:shd w:val="clear" w:color="auto" w:fill="FFFFFF"/>
            <w:vAlign w:val="center"/>
          </w:tcPr>
          <w:p w14:paraId="6990B139" w14:textId="77777777" w:rsidR="00E45AD3" w:rsidRPr="00B25D0F" w:rsidRDefault="00E45AD3" w:rsidP="00B25D0F">
            <w:pPr>
              <w:pStyle w:val="NormalWeb"/>
              <w:spacing w:before="0" w:beforeAutospacing="0" w:after="0" w:afterAutospacing="0" w:line="360" w:lineRule="auto"/>
              <w:rPr>
                <w:noProof/>
              </w:rPr>
            </w:pPr>
          </w:p>
        </w:tc>
      </w:tr>
      <w:tr w:rsidR="00E45AD3" w:rsidRPr="00B25D0F" w14:paraId="20DB7036" w14:textId="77777777" w:rsidTr="00E45AD3">
        <w:trPr>
          <w:cantSplit/>
        </w:trPr>
        <w:tc>
          <w:tcPr>
            <w:tcW w:w="0" w:type="auto"/>
            <w:vMerge/>
            <w:tcBorders>
              <w:top w:val="single" w:sz="8" w:space="0" w:color="152935"/>
              <w:left w:val="nil"/>
              <w:bottom w:val="single" w:sz="8" w:space="0" w:color="152935"/>
              <w:right w:val="nil"/>
            </w:tcBorders>
            <w:shd w:val="clear" w:color="auto" w:fill="E0E0E0"/>
          </w:tcPr>
          <w:p w14:paraId="673D0908" w14:textId="77777777" w:rsidR="00E45AD3" w:rsidRPr="00B25D0F" w:rsidRDefault="00E45AD3" w:rsidP="00B25D0F">
            <w:pPr>
              <w:pStyle w:val="NormalWeb"/>
              <w:spacing w:before="0" w:beforeAutospacing="0" w:after="0" w:afterAutospacing="0" w:line="360" w:lineRule="auto"/>
              <w:rPr>
                <w:noProof/>
              </w:rPr>
            </w:pPr>
          </w:p>
        </w:tc>
        <w:tc>
          <w:tcPr>
            <w:tcW w:w="0" w:type="auto"/>
            <w:vMerge/>
            <w:tcBorders>
              <w:top w:val="single" w:sz="8" w:space="0" w:color="AEAEAE"/>
              <w:left w:val="nil"/>
              <w:bottom w:val="single" w:sz="8" w:space="0" w:color="152935"/>
              <w:right w:val="nil"/>
            </w:tcBorders>
            <w:shd w:val="clear" w:color="auto" w:fill="E0E0E0"/>
          </w:tcPr>
          <w:p w14:paraId="2B906CDF" w14:textId="77777777" w:rsidR="00E45AD3" w:rsidRPr="00B25D0F" w:rsidRDefault="00E45AD3" w:rsidP="00B25D0F">
            <w:pPr>
              <w:pStyle w:val="NormalWeb"/>
              <w:spacing w:before="0" w:beforeAutospacing="0" w:after="0" w:afterAutospacing="0" w:line="360" w:lineRule="auto"/>
              <w:rPr>
                <w:noProof/>
              </w:rPr>
            </w:pPr>
          </w:p>
        </w:tc>
        <w:tc>
          <w:tcPr>
            <w:tcW w:w="0" w:type="auto"/>
            <w:gridSpan w:val="2"/>
            <w:tcBorders>
              <w:top w:val="single" w:sz="8" w:space="0" w:color="AEAEAE"/>
              <w:left w:val="nil"/>
              <w:bottom w:val="nil"/>
              <w:right w:val="nil"/>
            </w:tcBorders>
            <w:shd w:val="clear" w:color="auto" w:fill="E0E0E0"/>
          </w:tcPr>
          <w:p w14:paraId="5EAD6F3E" w14:textId="77777777" w:rsidR="00E45AD3" w:rsidRPr="00B25D0F" w:rsidRDefault="00E45AD3" w:rsidP="00B25D0F">
            <w:pPr>
              <w:pStyle w:val="NormalWeb"/>
              <w:spacing w:before="0" w:beforeAutospacing="0" w:after="0" w:afterAutospacing="0" w:line="360" w:lineRule="auto"/>
              <w:rPr>
                <w:noProof/>
              </w:rPr>
            </w:pPr>
            <w:r w:rsidRPr="00B25D0F">
              <w:rPr>
                <w:noProof/>
              </w:rPr>
              <w:t>Variance</w:t>
            </w:r>
          </w:p>
        </w:tc>
        <w:tc>
          <w:tcPr>
            <w:tcW w:w="0" w:type="auto"/>
            <w:tcBorders>
              <w:top w:val="single" w:sz="8" w:space="0" w:color="AEAEAE"/>
              <w:left w:val="nil"/>
              <w:bottom w:val="nil"/>
              <w:right w:val="single" w:sz="8" w:space="0" w:color="E0E0E0"/>
            </w:tcBorders>
            <w:shd w:val="clear" w:color="auto" w:fill="FFFFFF"/>
          </w:tcPr>
          <w:p w14:paraId="3E917B42" w14:textId="77777777" w:rsidR="00E45AD3" w:rsidRPr="00B25D0F" w:rsidRDefault="00E45AD3" w:rsidP="00B25D0F">
            <w:pPr>
              <w:pStyle w:val="NormalWeb"/>
              <w:spacing w:before="0" w:beforeAutospacing="0" w:after="0" w:afterAutospacing="0" w:line="360" w:lineRule="auto"/>
              <w:rPr>
                <w:noProof/>
              </w:rPr>
            </w:pPr>
            <w:r w:rsidRPr="00B25D0F">
              <w:rPr>
                <w:noProof/>
              </w:rPr>
              <w:t>.270</w:t>
            </w:r>
          </w:p>
        </w:tc>
        <w:tc>
          <w:tcPr>
            <w:tcW w:w="0" w:type="auto"/>
            <w:tcBorders>
              <w:top w:val="single" w:sz="8" w:space="0" w:color="AEAEAE"/>
              <w:left w:val="single" w:sz="8" w:space="0" w:color="E0E0E0"/>
              <w:bottom w:val="nil"/>
              <w:right w:val="nil"/>
            </w:tcBorders>
            <w:shd w:val="clear" w:color="auto" w:fill="FFFFFF"/>
            <w:vAlign w:val="center"/>
          </w:tcPr>
          <w:p w14:paraId="6E3275BB" w14:textId="77777777" w:rsidR="00E45AD3" w:rsidRPr="00B25D0F" w:rsidRDefault="00E45AD3" w:rsidP="00B25D0F">
            <w:pPr>
              <w:pStyle w:val="NormalWeb"/>
              <w:spacing w:before="0" w:beforeAutospacing="0" w:after="0" w:afterAutospacing="0" w:line="360" w:lineRule="auto"/>
              <w:rPr>
                <w:noProof/>
              </w:rPr>
            </w:pPr>
          </w:p>
        </w:tc>
      </w:tr>
      <w:tr w:rsidR="00E45AD3" w:rsidRPr="00B25D0F" w14:paraId="01DCFE0D" w14:textId="77777777" w:rsidTr="00E45AD3">
        <w:trPr>
          <w:cantSplit/>
        </w:trPr>
        <w:tc>
          <w:tcPr>
            <w:tcW w:w="0" w:type="auto"/>
            <w:vMerge/>
            <w:tcBorders>
              <w:top w:val="single" w:sz="8" w:space="0" w:color="152935"/>
              <w:left w:val="nil"/>
              <w:bottom w:val="single" w:sz="8" w:space="0" w:color="152935"/>
              <w:right w:val="nil"/>
            </w:tcBorders>
            <w:shd w:val="clear" w:color="auto" w:fill="E0E0E0"/>
          </w:tcPr>
          <w:p w14:paraId="1D6C830A" w14:textId="77777777" w:rsidR="00E45AD3" w:rsidRPr="00B25D0F" w:rsidRDefault="00E45AD3" w:rsidP="00B25D0F">
            <w:pPr>
              <w:pStyle w:val="NormalWeb"/>
              <w:spacing w:before="0" w:beforeAutospacing="0" w:after="0" w:afterAutospacing="0" w:line="360" w:lineRule="auto"/>
              <w:rPr>
                <w:noProof/>
              </w:rPr>
            </w:pPr>
          </w:p>
        </w:tc>
        <w:tc>
          <w:tcPr>
            <w:tcW w:w="0" w:type="auto"/>
            <w:vMerge/>
            <w:tcBorders>
              <w:top w:val="single" w:sz="8" w:space="0" w:color="AEAEAE"/>
              <w:left w:val="nil"/>
              <w:bottom w:val="single" w:sz="8" w:space="0" w:color="152935"/>
              <w:right w:val="nil"/>
            </w:tcBorders>
            <w:shd w:val="clear" w:color="auto" w:fill="E0E0E0"/>
          </w:tcPr>
          <w:p w14:paraId="66EBCBAE" w14:textId="77777777" w:rsidR="00E45AD3" w:rsidRPr="00B25D0F" w:rsidRDefault="00E45AD3" w:rsidP="00B25D0F">
            <w:pPr>
              <w:pStyle w:val="NormalWeb"/>
              <w:spacing w:before="0" w:beforeAutospacing="0" w:after="0" w:afterAutospacing="0" w:line="360" w:lineRule="auto"/>
              <w:rPr>
                <w:noProof/>
              </w:rPr>
            </w:pPr>
          </w:p>
        </w:tc>
        <w:tc>
          <w:tcPr>
            <w:tcW w:w="0" w:type="auto"/>
            <w:gridSpan w:val="2"/>
            <w:tcBorders>
              <w:top w:val="single" w:sz="8" w:space="0" w:color="AEAEAE"/>
              <w:left w:val="nil"/>
              <w:bottom w:val="nil"/>
              <w:right w:val="nil"/>
            </w:tcBorders>
            <w:shd w:val="clear" w:color="auto" w:fill="E0E0E0"/>
          </w:tcPr>
          <w:p w14:paraId="7EF1C320" w14:textId="77777777" w:rsidR="00E45AD3" w:rsidRPr="00B25D0F" w:rsidRDefault="00E45AD3" w:rsidP="00B25D0F">
            <w:pPr>
              <w:pStyle w:val="NormalWeb"/>
              <w:spacing w:before="0" w:beforeAutospacing="0" w:after="0" w:afterAutospacing="0" w:line="360" w:lineRule="auto"/>
              <w:rPr>
                <w:noProof/>
              </w:rPr>
            </w:pPr>
            <w:r w:rsidRPr="00B25D0F">
              <w:rPr>
                <w:noProof/>
              </w:rPr>
              <w:t>Std. Deviation</w:t>
            </w:r>
          </w:p>
        </w:tc>
        <w:tc>
          <w:tcPr>
            <w:tcW w:w="0" w:type="auto"/>
            <w:tcBorders>
              <w:top w:val="single" w:sz="8" w:space="0" w:color="AEAEAE"/>
              <w:left w:val="nil"/>
              <w:bottom w:val="nil"/>
              <w:right w:val="single" w:sz="8" w:space="0" w:color="E0E0E0"/>
            </w:tcBorders>
            <w:shd w:val="clear" w:color="auto" w:fill="FFFFFF"/>
          </w:tcPr>
          <w:p w14:paraId="1BD79891" w14:textId="77777777" w:rsidR="00E45AD3" w:rsidRPr="00B25D0F" w:rsidRDefault="00E45AD3" w:rsidP="00B25D0F">
            <w:pPr>
              <w:pStyle w:val="NormalWeb"/>
              <w:spacing w:before="0" w:beforeAutospacing="0" w:after="0" w:afterAutospacing="0" w:line="360" w:lineRule="auto"/>
              <w:rPr>
                <w:noProof/>
              </w:rPr>
            </w:pPr>
            <w:r w:rsidRPr="00B25D0F">
              <w:rPr>
                <w:noProof/>
              </w:rPr>
              <w:t>.51952</w:t>
            </w:r>
          </w:p>
        </w:tc>
        <w:tc>
          <w:tcPr>
            <w:tcW w:w="0" w:type="auto"/>
            <w:tcBorders>
              <w:top w:val="single" w:sz="8" w:space="0" w:color="AEAEAE"/>
              <w:left w:val="single" w:sz="8" w:space="0" w:color="E0E0E0"/>
              <w:bottom w:val="nil"/>
              <w:right w:val="nil"/>
            </w:tcBorders>
            <w:shd w:val="clear" w:color="auto" w:fill="FFFFFF"/>
            <w:vAlign w:val="center"/>
          </w:tcPr>
          <w:p w14:paraId="3904A28E" w14:textId="77777777" w:rsidR="00E45AD3" w:rsidRPr="00B25D0F" w:rsidRDefault="00E45AD3" w:rsidP="00B25D0F">
            <w:pPr>
              <w:pStyle w:val="NormalWeb"/>
              <w:spacing w:before="0" w:beforeAutospacing="0" w:after="0" w:afterAutospacing="0" w:line="360" w:lineRule="auto"/>
              <w:rPr>
                <w:noProof/>
              </w:rPr>
            </w:pPr>
          </w:p>
        </w:tc>
      </w:tr>
      <w:tr w:rsidR="00E45AD3" w:rsidRPr="00B25D0F" w14:paraId="2AAB998C" w14:textId="77777777" w:rsidTr="00E45AD3">
        <w:trPr>
          <w:cantSplit/>
        </w:trPr>
        <w:tc>
          <w:tcPr>
            <w:tcW w:w="0" w:type="auto"/>
            <w:vMerge/>
            <w:tcBorders>
              <w:top w:val="single" w:sz="8" w:space="0" w:color="152935"/>
              <w:left w:val="nil"/>
              <w:bottom w:val="single" w:sz="8" w:space="0" w:color="152935"/>
              <w:right w:val="nil"/>
            </w:tcBorders>
            <w:shd w:val="clear" w:color="auto" w:fill="E0E0E0"/>
          </w:tcPr>
          <w:p w14:paraId="160AF1BF" w14:textId="77777777" w:rsidR="00E45AD3" w:rsidRPr="00B25D0F" w:rsidRDefault="00E45AD3" w:rsidP="00B25D0F">
            <w:pPr>
              <w:pStyle w:val="NormalWeb"/>
              <w:spacing w:before="0" w:beforeAutospacing="0" w:after="0" w:afterAutospacing="0" w:line="360" w:lineRule="auto"/>
              <w:rPr>
                <w:noProof/>
              </w:rPr>
            </w:pPr>
          </w:p>
        </w:tc>
        <w:tc>
          <w:tcPr>
            <w:tcW w:w="0" w:type="auto"/>
            <w:vMerge/>
            <w:tcBorders>
              <w:top w:val="single" w:sz="8" w:space="0" w:color="AEAEAE"/>
              <w:left w:val="nil"/>
              <w:bottom w:val="single" w:sz="8" w:space="0" w:color="152935"/>
              <w:right w:val="nil"/>
            </w:tcBorders>
            <w:shd w:val="clear" w:color="auto" w:fill="E0E0E0"/>
          </w:tcPr>
          <w:p w14:paraId="3CE8E8A2" w14:textId="77777777" w:rsidR="00E45AD3" w:rsidRPr="00B25D0F" w:rsidRDefault="00E45AD3" w:rsidP="00B25D0F">
            <w:pPr>
              <w:pStyle w:val="NormalWeb"/>
              <w:spacing w:before="0" w:beforeAutospacing="0" w:after="0" w:afterAutospacing="0" w:line="360" w:lineRule="auto"/>
              <w:rPr>
                <w:noProof/>
              </w:rPr>
            </w:pPr>
          </w:p>
        </w:tc>
        <w:tc>
          <w:tcPr>
            <w:tcW w:w="0" w:type="auto"/>
            <w:gridSpan w:val="2"/>
            <w:tcBorders>
              <w:top w:val="single" w:sz="8" w:space="0" w:color="AEAEAE"/>
              <w:left w:val="nil"/>
              <w:bottom w:val="nil"/>
              <w:right w:val="nil"/>
            </w:tcBorders>
            <w:shd w:val="clear" w:color="auto" w:fill="E0E0E0"/>
          </w:tcPr>
          <w:p w14:paraId="4E315AD4" w14:textId="77777777" w:rsidR="00E45AD3" w:rsidRPr="00B25D0F" w:rsidRDefault="00E45AD3" w:rsidP="00B25D0F">
            <w:pPr>
              <w:pStyle w:val="NormalWeb"/>
              <w:spacing w:before="0" w:beforeAutospacing="0" w:after="0" w:afterAutospacing="0" w:line="360" w:lineRule="auto"/>
              <w:rPr>
                <w:noProof/>
              </w:rPr>
            </w:pPr>
            <w:r w:rsidRPr="00B25D0F">
              <w:rPr>
                <w:noProof/>
              </w:rPr>
              <w:t>Minimum</w:t>
            </w:r>
          </w:p>
        </w:tc>
        <w:tc>
          <w:tcPr>
            <w:tcW w:w="0" w:type="auto"/>
            <w:tcBorders>
              <w:top w:val="single" w:sz="8" w:space="0" w:color="AEAEAE"/>
              <w:left w:val="nil"/>
              <w:bottom w:val="nil"/>
              <w:right w:val="single" w:sz="8" w:space="0" w:color="E0E0E0"/>
            </w:tcBorders>
            <w:shd w:val="clear" w:color="auto" w:fill="FFFFFF"/>
          </w:tcPr>
          <w:p w14:paraId="567657E6" w14:textId="77777777" w:rsidR="00E45AD3" w:rsidRPr="00B25D0F" w:rsidRDefault="00E45AD3" w:rsidP="00B25D0F">
            <w:pPr>
              <w:pStyle w:val="NormalWeb"/>
              <w:spacing w:before="0" w:beforeAutospacing="0" w:after="0" w:afterAutospacing="0" w:line="360" w:lineRule="auto"/>
              <w:rPr>
                <w:noProof/>
              </w:rPr>
            </w:pPr>
            <w:r w:rsidRPr="00B25D0F">
              <w:rPr>
                <w:noProof/>
              </w:rPr>
              <w:t>2.57</w:t>
            </w:r>
          </w:p>
        </w:tc>
        <w:tc>
          <w:tcPr>
            <w:tcW w:w="0" w:type="auto"/>
            <w:tcBorders>
              <w:top w:val="single" w:sz="8" w:space="0" w:color="AEAEAE"/>
              <w:left w:val="single" w:sz="8" w:space="0" w:color="E0E0E0"/>
              <w:bottom w:val="nil"/>
              <w:right w:val="nil"/>
            </w:tcBorders>
            <w:shd w:val="clear" w:color="auto" w:fill="FFFFFF"/>
            <w:vAlign w:val="center"/>
          </w:tcPr>
          <w:p w14:paraId="1516E714" w14:textId="77777777" w:rsidR="00E45AD3" w:rsidRPr="00B25D0F" w:rsidRDefault="00E45AD3" w:rsidP="00B25D0F">
            <w:pPr>
              <w:pStyle w:val="NormalWeb"/>
              <w:spacing w:before="0" w:beforeAutospacing="0" w:after="0" w:afterAutospacing="0" w:line="360" w:lineRule="auto"/>
              <w:rPr>
                <w:noProof/>
              </w:rPr>
            </w:pPr>
          </w:p>
        </w:tc>
      </w:tr>
      <w:tr w:rsidR="00E45AD3" w:rsidRPr="00B25D0F" w14:paraId="35EEA719" w14:textId="77777777" w:rsidTr="00E45AD3">
        <w:trPr>
          <w:cantSplit/>
        </w:trPr>
        <w:tc>
          <w:tcPr>
            <w:tcW w:w="0" w:type="auto"/>
            <w:vMerge/>
            <w:tcBorders>
              <w:top w:val="single" w:sz="8" w:space="0" w:color="152935"/>
              <w:left w:val="nil"/>
              <w:bottom w:val="single" w:sz="8" w:space="0" w:color="152935"/>
              <w:right w:val="nil"/>
            </w:tcBorders>
            <w:shd w:val="clear" w:color="auto" w:fill="E0E0E0"/>
          </w:tcPr>
          <w:p w14:paraId="142E5AF1" w14:textId="77777777" w:rsidR="00E45AD3" w:rsidRPr="00B25D0F" w:rsidRDefault="00E45AD3" w:rsidP="00B25D0F">
            <w:pPr>
              <w:pStyle w:val="NormalWeb"/>
              <w:spacing w:before="0" w:beforeAutospacing="0" w:after="0" w:afterAutospacing="0" w:line="360" w:lineRule="auto"/>
              <w:rPr>
                <w:noProof/>
              </w:rPr>
            </w:pPr>
          </w:p>
        </w:tc>
        <w:tc>
          <w:tcPr>
            <w:tcW w:w="0" w:type="auto"/>
            <w:vMerge/>
            <w:tcBorders>
              <w:top w:val="single" w:sz="8" w:space="0" w:color="AEAEAE"/>
              <w:left w:val="nil"/>
              <w:bottom w:val="single" w:sz="8" w:space="0" w:color="152935"/>
              <w:right w:val="nil"/>
            </w:tcBorders>
            <w:shd w:val="clear" w:color="auto" w:fill="E0E0E0"/>
          </w:tcPr>
          <w:p w14:paraId="5163832D" w14:textId="77777777" w:rsidR="00E45AD3" w:rsidRPr="00B25D0F" w:rsidRDefault="00E45AD3" w:rsidP="00B25D0F">
            <w:pPr>
              <w:pStyle w:val="NormalWeb"/>
              <w:spacing w:before="0" w:beforeAutospacing="0" w:after="0" w:afterAutospacing="0" w:line="360" w:lineRule="auto"/>
              <w:rPr>
                <w:noProof/>
              </w:rPr>
            </w:pPr>
          </w:p>
        </w:tc>
        <w:tc>
          <w:tcPr>
            <w:tcW w:w="0" w:type="auto"/>
            <w:gridSpan w:val="2"/>
            <w:tcBorders>
              <w:top w:val="single" w:sz="8" w:space="0" w:color="AEAEAE"/>
              <w:left w:val="nil"/>
              <w:bottom w:val="nil"/>
              <w:right w:val="nil"/>
            </w:tcBorders>
            <w:shd w:val="clear" w:color="auto" w:fill="E0E0E0"/>
          </w:tcPr>
          <w:p w14:paraId="71AC34F4" w14:textId="77777777" w:rsidR="00E45AD3" w:rsidRPr="00B25D0F" w:rsidRDefault="00E45AD3" w:rsidP="00B25D0F">
            <w:pPr>
              <w:pStyle w:val="NormalWeb"/>
              <w:spacing w:before="0" w:beforeAutospacing="0" w:after="0" w:afterAutospacing="0" w:line="360" w:lineRule="auto"/>
              <w:rPr>
                <w:noProof/>
              </w:rPr>
            </w:pPr>
            <w:r w:rsidRPr="00B25D0F">
              <w:rPr>
                <w:noProof/>
              </w:rPr>
              <w:t>Maximum</w:t>
            </w:r>
          </w:p>
        </w:tc>
        <w:tc>
          <w:tcPr>
            <w:tcW w:w="0" w:type="auto"/>
            <w:tcBorders>
              <w:top w:val="single" w:sz="8" w:space="0" w:color="AEAEAE"/>
              <w:left w:val="nil"/>
              <w:bottom w:val="nil"/>
              <w:right w:val="single" w:sz="8" w:space="0" w:color="E0E0E0"/>
            </w:tcBorders>
            <w:shd w:val="clear" w:color="auto" w:fill="FFFFFF"/>
          </w:tcPr>
          <w:p w14:paraId="76786C26" w14:textId="77777777" w:rsidR="00E45AD3" w:rsidRPr="00B25D0F" w:rsidRDefault="00E45AD3" w:rsidP="00B25D0F">
            <w:pPr>
              <w:pStyle w:val="NormalWeb"/>
              <w:spacing w:before="0" w:beforeAutospacing="0" w:after="0" w:afterAutospacing="0" w:line="360" w:lineRule="auto"/>
              <w:rPr>
                <w:noProof/>
              </w:rPr>
            </w:pPr>
            <w:r w:rsidRPr="00B25D0F">
              <w:rPr>
                <w:noProof/>
              </w:rPr>
              <w:t>4.14</w:t>
            </w:r>
          </w:p>
        </w:tc>
        <w:tc>
          <w:tcPr>
            <w:tcW w:w="0" w:type="auto"/>
            <w:tcBorders>
              <w:top w:val="single" w:sz="8" w:space="0" w:color="AEAEAE"/>
              <w:left w:val="single" w:sz="8" w:space="0" w:color="E0E0E0"/>
              <w:bottom w:val="nil"/>
              <w:right w:val="nil"/>
            </w:tcBorders>
            <w:shd w:val="clear" w:color="auto" w:fill="FFFFFF"/>
            <w:vAlign w:val="center"/>
          </w:tcPr>
          <w:p w14:paraId="04D9E339" w14:textId="77777777" w:rsidR="00E45AD3" w:rsidRPr="00B25D0F" w:rsidRDefault="00E45AD3" w:rsidP="00B25D0F">
            <w:pPr>
              <w:pStyle w:val="NormalWeb"/>
              <w:spacing w:before="0" w:beforeAutospacing="0" w:after="0" w:afterAutospacing="0" w:line="360" w:lineRule="auto"/>
              <w:rPr>
                <w:noProof/>
              </w:rPr>
            </w:pPr>
          </w:p>
        </w:tc>
      </w:tr>
      <w:tr w:rsidR="00E45AD3" w:rsidRPr="00B25D0F" w14:paraId="1589ACBF" w14:textId="77777777" w:rsidTr="00E45AD3">
        <w:trPr>
          <w:cantSplit/>
        </w:trPr>
        <w:tc>
          <w:tcPr>
            <w:tcW w:w="0" w:type="auto"/>
            <w:vMerge/>
            <w:tcBorders>
              <w:top w:val="single" w:sz="8" w:space="0" w:color="152935"/>
              <w:left w:val="nil"/>
              <w:bottom w:val="single" w:sz="8" w:space="0" w:color="152935"/>
              <w:right w:val="nil"/>
            </w:tcBorders>
            <w:shd w:val="clear" w:color="auto" w:fill="E0E0E0"/>
          </w:tcPr>
          <w:p w14:paraId="1F8D3610" w14:textId="77777777" w:rsidR="00E45AD3" w:rsidRPr="00B25D0F" w:rsidRDefault="00E45AD3" w:rsidP="00B25D0F">
            <w:pPr>
              <w:pStyle w:val="NormalWeb"/>
              <w:spacing w:before="0" w:beforeAutospacing="0" w:after="0" w:afterAutospacing="0" w:line="360" w:lineRule="auto"/>
              <w:rPr>
                <w:noProof/>
              </w:rPr>
            </w:pPr>
          </w:p>
        </w:tc>
        <w:tc>
          <w:tcPr>
            <w:tcW w:w="0" w:type="auto"/>
            <w:vMerge/>
            <w:tcBorders>
              <w:top w:val="single" w:sz="8" w:space="0" w:color="AEAEAE"/>
              <w:left w:val="nil"/>
              <w:bottom w:val="single" w:sz="8" w:space="0" w:color="152935"/>
              <w:right w:val="nil"/>
            </w:tcBorders>
            <w:shd w:val="clear" w:color="auto" w:fill="E0E0E0"/>
          </w:tcPr>
          <w:p w14:paraId="075FBE56" w14:textId="77777777" w:rsidR="00E45AD3" w:rsidRPr="00B25D0F" w:rsidRDefault="00E45AD3" w:rsidP="00B25D0F">
            <w:pPr>
              <w:pStyle w:val="NormalWeb"/>
              <w:spacing w:before="0" w:beforeAutospacing="0" w:after="0" w:afterAutospacing="0" w:line="360" w:lineRule="auto"/>
              <w:rPr>
                <w:noProof/>
              </w:rPr>
            </w:pPr>
          </w:p>
        </w:tc>
        <w:tc>
          <w:tcPr>
            <w:tcW w:w="0" w:type="auto"/>
            <w:gridSpan w:val="2"/>
            <w:tcBorders>
              <w:top w:val="single" w:sz="8" w:space="0" w:color="AEAEAE"/>
              <w:left w:val="nil"/>
              <w:bottom w:val="nil"/>
              <w:right w:val="nil"/>
            </w:tcBorders>
            <w:shd w:val="clear" w:color="auto" w:fill="E0E0E0"/>
          </w:tcPr>
          <w:p w14:paraId="7F159765" w14:textId="77777777" w:rsidR="00E45AD3" w:rsidRPr="00B25D0F" w:rsidRDefault="00E45AD3" w:rsidP="00B25D0F">
            <w:pPr>
              <w:pStyle w:val="NormalWeb"/>
              <w:spacing w:before="0" w:beforeAutospacing="0" w:after="0" w:afterAutospacing="0" w:line="360" w:lineRule="auto"/>
              <w:rPr>
                <w:noProof/>
              </w:rPr>
            </w:pPr>
            <w:r w:rsidRPr="00B25D0F">
              <w:rPr>
                <w:noProof/>
              </w:rPr>
              <w:t>Range</w:t>
            </w:r>
          </w:p>
        </w:tc>
        <w:tc>
          <w:tcPr>
            <w:tcW w:w="0" w:type="auto"/>
            <w:tcBorders>
              <w:top w:val="single" w:sz="8" w:space="0" w:color="AEAEAE"/>
              <w:left w:val="nil"/>
              <w:bottom w:val="nil"/>
              <w:right w:val="single" w:sz="8" w:space="0" w:color="E0E0E0"/>
            </w:tcBorders>
            <w:shd w:val="clear" w:color="auto" w:fill="FFFFFF"/>
          </w:tcPr>
          <w:p w14:paraId="7A5DF9B2" w14:textId="77777777" w:rsidR="00E45AD3" w:rsidRPr="00B25D0F" w:rsidRDefault="00E45AD3" w:rsidP="00B25D0F">
            <w:pPr>
              <w:pStyle w:val="NormalWeb"/>
              <w:spacing w:before="0" w:beforeAutospacing="0" w:after="0" w:afterAutospacing="0" w:line="360" w:lineRule="auto"/>
              <w:rPr>
                <w:noProof/>
              </w:rPr>
            </w:pPr>
            <w:r w:rsidRPr="00B25D0F">
              <w:rPr>
                <w:noProof/>
              </w:rPr>
              <w:t>1.57</w:t>
            </w:r>
          </w:p>
        </w:tc>
        <w:tc>
          <w:tcPr>
            <w:tcW w:w="0" w:type="auto"/>
            <w:tcBorders>
              <w:top w:val="single" w:sz="8" w:space="0" w:color="AEAEAE"/>
              <w:left w:val="single" w:sz="8" w:space="0" w:color="E0E0E0"/>
              <w:bottom w:val="nil"/>
              <w:right w:val="nil"/>
            </w:tcBorders>
            <w:shd w:val="clear" w:color="auto" w:fill="FFFFFF"/>
            <w:vAlign w:val="center"/>
          </w:tcPr>
          <w:p w14:paraId="0241132F" w14:textId="77777777" w:rsidR="00E45AD3" w:rsidRPr="00B25D0F" w:rsidRDefault="00E45AD3" w:rsidP="00B25D0F">
            <w:pPr>
              <w:pStyle w:val="NormalWeb"/>
              <w:spacing w:before="0" w:beforeAutospacing="0" w:after="0" w:afterAutospacing="0" w:line="360" w:lineRule="auto"/>
              <w:rPr>
                <w:noProof/>
              </w:rPr>
            </w:pPr>
          </w:p>
        </w:tc>
      </w:tr>
      <w:tr w:rsidR="00E45AD3" w:rsidRPr="00B25D0F" w14:paraId="03F88206" w14:textId="77777777" w:rsidTr="00E45AD3">
        <w:trPr>
          <w:cantSplit/>
        </w:trPr>
        <w:tc>
          <w:tcPr>
            <w:tcW w:w="0" w:type="auto"/>
            <w:vMerge/>
            <w:tcBorders>
              <w:top w:val="single" w:sz="8" w:space="0" w:color="152935"/>
              <w:left w:val="nil"/>
              <w:bottom w:val="single" w:sz="8" w:space="0" w:color="152935"/>
              <w:right w:val="nil"/>
            </w:tcBorders>
            <w:shd w:val="clear" w:color="auto" w:fill="E0E0E0"/>
          </w:tcPr>
          <w:p w14:paraId="5DB4D77B" w14:textId="77777777" w:rsidR="00E45AD3" w:rsidRPr="00B25D0F" w:rsidRDefault="00E45AD3" w:rsidP="00B25D0F">
            <w:pPr>
              <w:pStyle w:val="NormalWeb"/>
              <w:spacing w:before="0" w:beforeAutospacing="0" w:after="0" w:afterAutospacing="0" w:line="360" w:lineRule="auto"/>
              <w:rPr>
                <w:noProof/>
              </w:rPr>
            </w:pPr>
          </w:p>
        </w:tc>
        <w:tc>
          <w:tcPr>
            <w:tcW w:w="0" w:type="auto"/>
            <w:vMerge/>
            <w:tcBorders>
              <w:top w:val="single" w:sz="8" w:space="0" w:color="AEAEAE"/>
              <w:left w:val="nil"/>
              <w:bottom w:val="single" w:sz="8" w:space="0" w:color="152935"/>
              <w:right w:val="nil"/>
            </w:tcBorders>
            <w:shd w:val="clear" w:color="auto" w:fill="E0E0E0"/>
          </w:tcPr>
          <w:p w14:paraId="7DBB6E16" w14:textId="77777777" w:rsidR="00E45AD3" w:rsidRPr="00B25D0F" w:rsidRDefault="00E45AD3" w:rsidP="00B25D0F">
            <w:pPr>
              <w:pStyle w:val="NormalWeb"/>
              <w:spacing w:before="0" w:beforeAutospacing="0" w:after="0" w:afterAutospacing="0" w:line="360" w:lineRule="auto"/>
              <w:rPr>
                <w:noProof/>
              </w:rPr>
            </w:pPr>
          </w:p>
        </w:tc>
        <w:tc>
          <w:tcPr>
            <w:tcW w:w="0" w:type="auto"/>
            <w:gridSpan w:val="2"/>
            <w:tcBorders>
              <w:top w:val="single" w:sz="8" w:space="0" w:color="AEAEAE"/>
              <w:left w:val="nil"/>
              <w:bottom w:val="nil"/>
              <w:right w:val="nil"/>
            </w:tcBorders>
            <w:shd w:val="clear" w:color="auto" w:fill="E0E0E0"/>
          </w:tcPr>
          <w:p w14:paraId="1A7B2B1F" w14:textId="77777777" w:rsidR="00E45AD3" w:rsidRPr="00B25D0F" w:rsidRDefault="00E45AD3" w:rsidP="00B25D0F">
            <w:pPr>
              <w:pStyle w:val="NormalWeb"/>
              <w:spacing w:before="0" w:beforeAutospacing="0" w:after="0" w:afterAutospacing="0" w:line="360" w:lineRule="auto"/>
              <w:rPr>
                <w:noProof/>
              </w:rPr>
            </w:pPr>
            <w:r w:rsidRPr="00B25D0F">
              <w:rPr>
                <w:noProof/>
              </w:rPr>
              <w:t>Interquartile Range</w:t>
            </w:r>
          </w:p>
        </w:tc>
        <w:tc>
          <w:tcPr>
            <w:tcW w:w="0" w:type="auto"/>
            <w:tcBorders>
              <w:top w:val="single" w:sz="8" w:space="0" w:color="AEAEAE"/>
              <w:left w:val="nil"/>
              <w:bottom w:val="nil"/>
              <w:right w:val="single" w:sz="8" w:space="0" w:color="E0E0E0"/>
            </w:tcBorders>
            <w:shd w:val="clear" w:color="auto" w:fill="FFFFFF"/>
          </w:tcPr>
          <w:p w14:paraId="0231F1BF" w14:textId="77777777" w:rsidR="00E45AD3" w:rsidRPr="00B25D0F" w:rsidRDefault="00E45AD3" w:rsidP="00B25D0F">
            <w:pPr>
              <w:pStyle w:val="NormalWeb"/>
              <w:spacing w:before="0" w:beforeAutospacing="0" w:after="0" w:afterAutospacing="0" w:line="360" w:lineRule="auto"/>
              <w:rPr>
                <w:noProof/>
              </w:rPr>
            </w:pPr>
            <w:r w:rsidRPr="00B25D0F">
              <w:rPr>
                <w:noProof/>
              </w:rPr>
              <w:t>.86</w:t>
            </w:r>
          </w:p>
        </w:tc>
        <w:tc>
          <w:tcPr>
            <w:tcW w:w="0" w:type="auto"/>
            <w:tcBorders>
              <w:top w:val="single" w:sz="8" w:space="0" w:color="AEAEAE"/>
              <w:left w:val="single" w:sz="8" w:space="0" w:color="E0E0E0"/>
              <w:bottom w:val="nil"/>
              <w:right w:val="nil"/>
            </w:tcBorders>
            <w:shd w:val="clear" w:color="auto" w:fill="FFFFFF"/>
            <w:vAlign w:val="center"/>
          </w:tcPr>
          <w:p w14:paraId="5113E9AD" w14:textId="77777777" w:rsidR="00E45AD3" w:rsidRPr="00B25D0F" w:rsidRDefault="00E45AD3" w:rsidP="00B25D0F">
            <w:pPr>
              <w:pStyle w:val="NormalWeb"/>
              <w:spacing w:before="0" w:beforeAutospacing="0" w:after="0" w:afterAutospacing="0" w:line="360" w:lineRule="auto"/>
              <w:rPr>
                <w:noProof/>
              </w:rPr>
            </w:pPr>
          </w:p>
        </w:tc>
      </w:tr>
      <w:tr w:rsidR="00E45AD3" w:rsidRPr="00B25D0F" w14:paraId="38671725" w14:textId="77777777" w:rsidTr="00E45AD3">
        <w:trPr>
          <w:cantSplit/>
        </w:trPr>
        <w:tc>
          <w:tcPr>
            <w:tcW w:w="0" w:type="auto"/>
            <w:vMerge/>
            <w:tcBorders>
              <w:top w:val="single" w:sz="8" w:space="0" w:color="152935"/>
              <w:left w:val="nil"/>
              <w:bottom w:val="single" w:sz="8" w:space="0" w:color="152935"/>
              <w:right w:val="nil"/>
            </w:tcBorders>
            <w:shd w:val="clear" w:color="auto" w:fill="E0E0E0"/>
          </w:tcPr>
          <w:p w14:paraId="6FA0C112" w14:textId="77777777" w:rsidR="00E45AD3" w:rsidRPr="00B25D0F" w:rsidRDefault="00E45AD3" w:rsidP="00B25D0F">
            <w:pPr>
              <w:pStyle w:val="NormalWeb"/>
              <w:spacing w:before="0" w:beforeAutospacing="0" w:after="0" w:afterAutospacing="0" w:line="360" w:lineRule="auto"/>
              <w:rPr>
                <w:noProof/>
              </w:rPr>
            </w:pPr>
          </w:p>
        </w:tc>
        <w:tc>
          <w:tcPr>
            <w:tcW w:w="0" w:type="auto"/>
            <w:vMerge/>
            <w:tcBorders>
              <w:top w:val="single" w:sz="8" w:space="0" w:color="AEAEAE"/>
              <w:left w:val="nil"/>
              <w:bottom w:val="single" w:sz="8" w:space="0" w:color="152935"/>
              <w:right w:val="nil"/>
            </w:tcBorders>
            <w:shd w:val="clear" w:color="auto" w:fill="E0E0E0"/>
          </w:tcPr>
          <w:p w14:paraId="051BC5C8" w14:textId="77777777" w:rsidR="00E45AD3" w:rsidRPr="00B25D0F" w:rsidRDefault="00E45AD3" w:rsidP="00B25D0F">
            <w:pPr>
              <w:pStyle w:val="NormalWeb"/>
              <w:spacing w:before="0" w:beforeAutospacing="0" w:after="0" w:afterAutospacing="0" w:line="360" w:lineRule="auto"/>
              <w:rPr>
                <w:noProof/>
              </w:rPr>
            </w:pPr>
          </w:p>
        </w:tc>
        <w:tc>
          <w:tcPr>
            <w:tcW w:w="0" w:type="auto"/>
            <w:gridSpan w:val="2"/>
            <w:tcBorders>
              <w:top w:val="single" w:sz="8" w:space="0" w:color="AEAEAE"/>
              <w:left w:val="nil"/>
              <w:bottom w:val="nil"/>
              <w:right w:val="nil"/>
            </w:tcBorders>
            <w:shd w:val="clear" w:color="auto" w:fill="E0E0E0"/>
          </w:tcPr>
          <w:p w14:paraId="157F2F0C" w14:textId="77777777" w:rsidR="00E45AD3" w:rsidRPr="00B25D0F" w:rsidRDefault="00E45AD3" w:rsidP="00B25D0F">
            <w:pPr>
              <w:pStyle w:val="NormalWeb"/>
              <w:spacing w:before="0" w:beforeAutospacing="0" w:after="0" w:afterAutospacing="0" w:line="360" w:lineRule="auto"/>
              <w:rPr>
                <w:noProof/>
              </w:rPr>
            </w:pPr>
            <w:r w:rsidRPr="00B25D0F">
              <w:rPr>
                <w:noProof/>
              </w:rPr>
              <w:t>Skewness</w:t>
            </w:r>
          </w:p>
        </w:tc>
        <w:tc>
          <w:tcPr>
            <w:tcW w:w="0" w:type="auto"/>
            <w:tcBorders>
              <w:top w:val="single" w:sz="8" w:space="0" w:color="AEAEAE"/>
              <w:left w:val="nil"/>
              <w:bottom w:val="nil"/>
              <w:right w:val="single" w:sz="8" w:space="0" w:color="E0E0E0"/>
            </w:tcBorders>
            <w:shd w:val="clear" w:color="auto" w:fill="FFFFFF"/>
          </w:tcPr>
          <w:p w14:paraId="4B3CAB56" w14:textId="77777777" w:rsidR="00E45AD3" w:rsidRPr="00B25D0F" w:rsidRDefault="00E45AD3" w:rsidP="00B25D0F">
            <w:pPr>
              <w:pStyle w:val="NormalWeb"/>
              <w:spacing w:before="0" w:beforeAutospacing="0" w:after="0" w:afterAutospacing="0" w:line="360" w:lineRule="auto"/>
              <w:rPr>
                <w:noProof/>
              </w:rPr>
            </w:pPr>
            <w:r w:rsidRPr="00B25D0F">
              <w:rPr>
                <w:noProof/>
              </w:rPr>
              <w:t>-.631</w:t>
            </w:r>
          </w:p>
        </w:tc>
        <w:tc>
          <w:tcPr>
            <w:tcW w:w="0" w:type="auto"/>
            <w:tcBorders>
              <w:top w:val="single" w:sz="8" w:space="0" w:color="AEAEAE"/>
              <w:left w:val="single" w:sz="8" w:space="0" w:color="E0E0E0"/>
              <w:bottom w:val="nil"/>
              <w:right w:val="nil"/>
            </w:tcBorders>
            <w:shd w:val="clear" w:color="auto" w:fill="FFFFFF"/>
          </w:tcPr>
          <w:p w14:paraId="7185E31F" w14:textId="77777777" w:rsidR="00E45AD3" w:rsidRPr="00B25D0F" w:rsidRDefault="00E45AD3" w:rsidP="00B25D0F">
            <w:pPr>
              <w:pStyle w:val="NormalWeb"/>
              <w:spacing w:before="0" w:beforeAutospacing="0" w:after="0" w:afterAutospacing="0" w:line="360" w:lineRule="auto"/>
              <w:rPr>
                <w:noProof/>
              </w:rPr>
            </w:pPr>
            <w:r w:rsidRPr="00B25D0F">
              <w:rPr>
                <w:noProof/>
              </w:rPr>
              <w:t>.374</w:t>
            </w:r>
          </w:p>
        </w:tc>
      </w:tr>
      <w:tr w:rsidR="00E45AD3" w:rsidRPr="00B25D0F" w14:paraId="701734E6" w14:textId="77777777" w:rsidTr="00E45AD3">
        <w:trPr>
          <w:cantSplit/>
        </w:trPr>
        <w:tc>
          <w:tcPr>
            <w:tcW w:w="0" w:type="auto"/>
            <w:vMerge/>
            <w:tcBorders>
              <w:top w:val="single" w:sz="8" w:space="0" w:color="152935"/>
              <w:left w:val="nil"/>
              <w:bottom w:val="single" w:sz="8" w:space="0" w:color="152935"/>
              <w:right w:val="nil"/>
            </w:tcBorders>
            <w:shd w:val="clear" w:color="auto" w:fill="E0E0E0"/>
          </w:tcPr>
          <w:p w14:paraId="65EFBC15" w14:textId="77777777" w:rsidR="00E45AD3" w:rsidRPr="00B25D0F" w:rsidRDefault="00E45AD3" w:rsidP="00B25D0F">
            <w:pPr>
              <w:pStyle w:val="NormalWeb"/>
              <w:spacing w:before="0" w:beforeAutospacing="0" w:after="0" w:afterAutospacing="0" w:line="360" w:lineRule="auto"/>
              <w:rPr>
                <w:noProof/>
              </w:rPr>
            </w:pPr>
          </w:p>
        </w:tc>
        <w:tc>
          <w:tcPr>
            <w:tcW w:w="0" w:type="auto"/>
            <w:vMerge/>
            <w:tcBorders>
              <w:top w:val="single" w:sz="8" w:space="0" w:color="AEAEAE"/>
              <w:left w:val="nil"/>
              <w:bottom w:val="single" w:sz="8" w:space="0" w:color="152935"/>
              <w:right w:val="nil"/>
            </w:tcBorders>
            <w:shd w:val="clear" w:color="auto" w:fill="E0E0E0"/>
          </w:tcPr>
          <w:p w14:paraId="390F6312" w14:textId="77777777" w:rsidR="00E45AD3" w:rsidRPr="00B25D0F" w:rsidRDefault="00E45AD3" w:rsidP="00B25D0F">
            <w:pPr>
              <w:pStyle w:val="NormalWeb"/>
              <w:spacing w:before="0" w:beforeAutospacing="0" w:after="0" w:afterAutospacing="0" w:line="360" w:lineRule="auto"/>
              <w:rPr>
                <w:noProof/>
              </w:rPr>
            </w:pPr>
          </w:p>
        </w:tc>
        <w:tc>
          <w:tcPr>
            <w:tcW w:w="0" w:type="auto"/>
            <w:gridSpan w:val="2"/>
            <w:tcBorders>
              <w:top w:val="single" w:sz="8" w:space="0" w:color="AEAEAE"/>
              <w:left w:val="nil"/>
              <w:bottom w:val="single" w:sz="8" w:space="0" w:color="152935"/>
              <w:right w:val="nil"/>
            </w:tcBorders>
            <w:shd w:val="clear" w:color="auto" w:fill="E0E0E0"/>
          </w:tcPr>
          <w:p w14:paraId="1E588388" w14:textId="77777777" w:rsidR="00E45AD3" w:rsidRPr="00B25D0F" w:rsidRDefault="00E45AD3" w:rsidP="00B25D0F">
            <w:pPr>
              <w:pStyle w:val="NormalWeb"/>
              <w:spacing w:before="0" w:beforeAutospacing="0" w:after="0" w:afterAutospacing="0" w:line="360" w:lineRule="auto"/>
              <w:rPr>
                <w:noProof/>
              </w:rPr>
            </w:pPr>
            <w:r w:rsidRPr="00B25D0F">
              <w:rPr>
                <w:noProof/>
              </w:rPr>
              <w:t>Kurtosis</w:t>
            </w:r>
          </w:p>
        </w:tc>
        <w:tc>
          <w:tcPr>
            <w:tcW w:w="0" w:type="auto"/>
            <w:tcBorders>
              <w:top w:val="single" w:sz="8" w:space="0" w:color="AEAEAE"/>
              <w:left w:val="nil"/>
              <w:bottom w:val="single" w:sz="8" w:space="0" w:color="152935"/>
              <w:right w:val="single" w:sz="8" w:space="0" w:color="E0E0E0"/>
            </w:tcBorders>
            <w:shd w:val="clear" w:color="auto" w:fill="FFFFFF"/>
          </w:tcPr>
          <w:p w14:paraId="44BAB1A7" w14:textId="77777777" w:rsidR="00E45AD3" w:rsidRPr="00B25D0F" w:rsidRDefault="00E45AD3" w:rsidP="00B25D0F">
            <w:pPr>
              <w:pStyle w:val="NormalWeb"/>
              <w:spacing w:before="0" w:beforeAutospacing="0" w:after="0" w:afterAutospacing="0" w:line="360" w:lineRule="auto"/>
              <w:rPr>
                <w:noProof/>
              </w:rPr>
            </w:pPr>
            <w:r w:rsidRPr="00B25D0F">
              <w:rPr>
                <w:noProof/>
              </w:rPr>
              <w:t>-.922</w:t>
            </w:r>
          </w:p>
        </w:tc>
        <w:tc>
          <w:tcPr>
            <w:tcW w:w="0" w:type="auto"/>
            <w:tcBorders>
              <w:top w:val="single" w:sz="8" w:space="0" w:color="AEAEAE"/>
              <w:left w:val="single" w:sz="8" w:space="0" w:color="E0E0E0"/>
              <w:bottom w:val="single" w:sz="8" w:space="0" w:color="152935"/>
              <w:right w:val="nil"/>
            </w:tcBorders>
            <w:shd w:val="clear" w:color="auto" w:fill="FFFFFF"/>
          </w:tcPr>
          <w:p w14:paraId="493E24D1" w14:textId="77777777" w:rsidR="00E45AD3" w:rsidRPr="00B25D0F" w:rsidRDefault="00E45AD3" w:rsidP="00B25D0F">
            <w:pPr>
              <w:pStyle w:val="NormalWeb"/>
              <w:spacing w:before="0" w:beforeAutospacing="0" w:after="0" w:afterAutospacing="0" w:line="360" w:lineRule="auto"/>
              <w:rPr>
                <w:noProof/>
              </w:rPr>
            </w:pPr>
            <w:r w:rsidRPr="00B25D0F">
              <w:rPr>
                <w:noProof/>
              </w:rPr>
              <w:t>.733</w:t>
            </w:r>
          </w:p>
        </w:tc>
      </w:tr>
    </w:tbl>
    <w:p w14:paraId="4064E094" w14:textId="77777777" w:rsidR="00A2581F" w:rsidRPr="00B25D0F" w:rsidRDefault="00A2581F" w:rsidP="00B25D0F">
      <w:pPr>
        <w:pStyle w:val="NormalWeb"/>
        <w:spacing w:before="0" w:beforeAutospacing="0" w:line="360" w:lineRule="auto"/>
        <w:jc w:val="both"/>
      </w:pPr>
    </w:p>
    <w:p w14:paraId="7029AC70" w14:textId="77777777" w:rsidR="00F5234E" w:rsidRPr="00B25D0F" w:rsidRDefault="00F5234E" w:rsidP="00B25D0F">
      <w:pPr>
        <w:pStyle w:val="NormalWeb"/>
        <w:spacing w:before="0" w:beforeAutospacing="0" w:line="360" w:lineRule="auto"/>
        <w:jc w:val="both"/>
      </w:pPr>
    </w:p>
    <w:p w14:paraId="05B0322F" w14:textId="77777777" w:rsidR="00F5234E" w:rsidRPr="00B25D0F" w:rsidRDefault="00F5234E" w:rsidP="00B25D0F">
      <w:pPr>
        <w:pStyle w:val="NormalWeb"/>
        <w:spacing w:before="0" w:beforeAutospacing="0" w:line="360" w:lineRule="auto"/>
        <w:jc w:val="both"/>
      </w:pPr>
    </w:p>
    <w:p w14:paraId="3AEB4D93" w14:textId="77777777" w:rsidR="00F5234E" w:rsidRPr="00B25D0F" w:rsidRDefault="00F5234E" w:rsidP="00B25D0F">
      <w:pPr>
        <w:pStyle w:val="NormalWeb"/>
        <w:spacing w:before="0" w:beforeAutospacing="0" w:line="360" w:lineRule="auto"/>
        <w:jc w:val="both"/>
      </w:pPr>
    </w:p>
    <w:p w14:paraId="1150333E" w14:textId="77777777" w:rsidR="00F5234E" w:rsidRPr="00B25D0F" w:rsidRDefault="00F5234E" w:rsidP="00B25D0F">
      <w:pPr>
        <w:pStyle w:val="NormalWeb"/>
        <w:spacing w:before="0" w:beforeAutospacing="0" w:line="360" w:lineRule="auto"/>
        <w:jc w:val="both"/>
      </w:pPr>
    </w:p>
    <w:p w14:paraId="52C168AB" w14:textId="65507BA3" w:rsidR="00F5234E" w:rsidRPr="00B25D0F" w:rsidRDefault="00F5234E" w:rsidP="00B25D0F">
      <w:pPr>
        <w:pStyle w:val="NormalWeb"/>
        <w:spacing w:before="0" w:beforeAutospacing="0" w:line="360" w:lineRule="auto"/>
        <w:jc w:val="both"/>
      </w:pPr>
    </w:p>
    <w:sectPr w:rsidR="00F5234E" w:rsidRPr="00B25D0F" w:rsidSect="003F5968">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4B94"/>
    <w:multiLevelType w:val="multilevel"/>
    <w:tmpl w:val="88C2E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E32A17"/>
    <w:multiLevelType w:val="multilevel"/>
    <w:tmpl w:val="DE2AA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2B7597"/>
    <w:multiLevelType w:val="hybridMultilevel"/>
    <w:tmpl w:val="BF361F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92981907">
    <w:abstractNumId w:val="0"/>
  </w:num>
  <w:num w:numId="2" w16cid:durableId="1810171809">
    <w:abstractNumId w:val="2"/>
  </w:num>
  <w:num w:numId="3" w16cid:durableId="2086221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826"/>
    <w:rsid w:val="00004E0E"/>
    <w:rsid w:val="000267B9"/>
    <w:rsid w:val="00053640"/>
    <w:rsid w:val="00061535"/>
    <w:rsid w:val="00067E67"/>
    <w:rsid w:val="00084EA4"/>
    <w:rsid w:val="000940CD"/>
    <w:rsid w:val="000A5F96"/>
    <w:rsid w:val="000C0E36"/>
    <w:rsid w:val="000D62A0"/>
    <w:rsid w:val="000E1110"/>
    <w:rsid w:val="001275A8"/>
    <w:rsid w:val="001304D3"/>
    <w:rsid w:val="00134C09"/>
    <w:rsid w:val="00140549"/>
    <w:rsid w:val="0017350C"/>
    <w:rsid w:val="001804CB"/>
    <w:rsid w:val="001923AB"/>
    <w:rsid w:val="00196024"/>
    <w:rsid w:val="00197599"/>
    <w:rsid w:val="001A74C4"/>
    <w:rsid w:val="001B2E72"/>
    <w:rsid w:val="001B7036"/>
    <w:rsid w:val="001E6C7D"/>
    <w:rsid w:val="001F1BE7"/>
    <w:rsid w:val="001F26B6"/>
    <w:rsid w:val="001F3D9B"/>
    <w:rsid w:val="00213EAE"/>
    <w:rsid w:val="002210CF"/>
    <w:rsid w:val="002234F7"/>
    <w:rsid w:val="00225627"/>
    <w:rsid w:val="0023360E"/>
    <w:rsid w:val="00246361"/>
    <w:rsid w:val="00262002"/>
    <w:rsid w:val="00276CD0"/>
    <w:rsid w:val="0027739B"/>
    <w:rsid w:val="00277911"/>
    <w:rsid w:val="00290831"/>
    <w:rsid w:val="002D340F"/>
    <w:rsid w:val="002E5853"/>
    <w:rsid w:val="002F4C9C"/>
    <w:rsid w:val="002F72C5"/>
    <w:rsid w:val="003200DE"/>
    <w:rsid w:val="003218A3"/>
    <w:rsid w:val="00330467"/>
    <w:rsid w:val="003329D4"/>
    <w:rsid w:val="00334D1E"/>
    <w:rsid w:val="003560F7"/>
    <w:rsid w:val="00356850"/>
    <w:rsid w:val="003572F6"/>
    <w:rsid w:val="00367AA8"/>
    <w:rsid w:val="00367E14"/>
    <w:rsid w:val="00374F5A"/>
    <w:rsid w:val="00381714"/>
    <w:rsid w:val="00383670"/>
    <w:rsid w:val="00390896"/>
    <w:rsid w:val="003A6BCB"/>
    <w:rsid w:val="003B0297"/>
    <w:rsid w:val="003C36C1"/>
    <w:rsid w:val="003F1DD3"/>
    <w:rsid w:val="003F5968"/>
    <w:rsid w:val="003F64B0"/>
    <w:rsid w:val="00420E0C"/>
    <w:rsid w:val="004219E6"/>
    <w:rsid w:val="00430584"/>
    <w:rsid w:val="00433F23"/>
    <w:rsid w:val="0043563F"/>
    <w:rsid w:val="00435BB2"/>
    <w:rsid w:val="004536DA"/>
    <w:rsid w:val="004915F6"/>
    <w:rsid w:val="00496D3D"/>
    <w:rsid w:val="004A6826"/>
    <w:rsid w:val="004E1FB0"/>
    <w:rsid w:val="00511F3D"/>
    <w:rsid w:val="00512D1C"/>
    <w:rsid w:val="00557328"/>
    <w:rsid w:val="00575F37"/>
    <w:rsid w:val="005761BC"/>
    <w:rsid w:val="005939AD"/>
    <w:rsid w:val="005B3121"/>
    <w:rsid w:val="005C1073"/>
    <w:rsid w:val="005C12D3"/>
    <w:rsid w:val="005D6A04"/>
    <w:rsid w:val="005E2A0C"/>
    <w:rsid w:val="005E653D"/>
    <w:rsid w:val="00607E65"/>
    <w:rsid w:val="006345D5"/>
    <w:rsid w:val="0064192E"/>
    <w:rsid w:val="00646096"/>
    <w:rsid w:val="00663090"/>
    <w:rsid w:val="0067692C"/>
    <w:rsid w:val="006A22BD"/>
    <w:rsid w:val="006A5CAF"/>
    <w:rsid w:val="006D00BF"/>
    <w:rsid w:val="006D23ED"/>
    <w:rsid w:val="006D5EA7"/>
    <w:rsid w:val="006E136D"/>
    <w:rsid w:val="006E6D6A"/>
    <w:rsid w:val="0071105D"/>
    <w:rsid w:val="007224FF"/>
    <w:rsid w:val="00725E94"/>
    <w:rsid w:val="00747939"/>
    <w:rsid w:val="0076735D"/>
    <w:rsid w:val="0078306A"/>
    <w:rsid w:val="00784EEF"/>
    <w:rsid w:val="007A1DB2"/>
    <w:rsid w:val="007C2843"/>
    <w:rsid w:val="007D597E"/>
    <w:rsid w:val="007D753C"/>
    <w:rsid w:val="007F3B18"/>
    <w:rsid w:val="0081326D"/>
    <w:rsid w:val="00823F3B"/>
    <w:rsid w:val="00827AC5"/>
    <w:rsid w:val="008448ED"/>
    <w:rsid w:val="00846F1A"/>
    <w:rsid w:val="00864288"/>
    <w:rsid w:val="00864BAB"/>
    <w:rsid w:val="00881C3A"/>
    <w:rsid w:val="008B3B7A"/>
    <w:rsid w:val="008B65C2"/>
    <w:rsid w:val="00900B03"/>
    <w:rsid w:val="009159B8"/>
    <w:rsid w:val="00922B59"/>
    <w:rsid w:val="00924D04"/>
    <w:rsid w:val="00940721"/>
    <w:rsid w:val="00944D06"/>
    <w:rsid w:val="009638FE"/>
    <w:rsid w:val="00965CDC"/>
    <w:rsid w:val="0097741E"/>
    <w:rsid w:val="009A366C"/>
    <w:rsid w:val="009B43A6"/>
    <w:rsid w:val="009C45F2"/>
    <w:rsid w:val="009E0EE9"/>
    <w:rsid w:val="009F2A3C"/>
    <w:rsid w:val="009F4781"/>
    <w:rsid w:val="00A0004F"/>
    <w:rsid w:val="00A00B4C"/>
    <w:rsid w:val="00A05CB2"/>
    <w:rsid w:val="00A2581F"/>
    <w:rsid w:val="00A319E7"/>
    <w:rsid w:val="00A54352"/>
    <w:rsid w:val="00A7019F"/>
    <w:rsid w:val="00A72BC4"/>
    <w:rsid w:val="00A839E2"/>
    <w:rsid w:val="00A915A8"/>
    <w:rsid w:val="00A9788B"/>
    <w:rsid w:val="00A97BA8"/>
    <w:rsid w:val="00AA2D38"/>
    <w:rsid w:val="00AD02CD"/>
    <w:rsid w:val="00AD050B"/>
    <w:rsid w:val="00AD7B49"/>
    <w:rsid w:val="00AE586D"/>
    <w:rsid w:val="00AF0BF9"/>
    <w:rsid w:val="00AF6B9B"/>
    <w:rsid w:val="00AF71A9"/>
    <w:rsid w:val="00B01DD1"/>
    <w:rsid w:val="00B12285"/>
    <w:rsid w:val="00B25D0F"/>
    <w:rsid w:val="00B270DE"/>
    <w:rsid w:val="00B43A86"/>
    <w:rsid w:val="00B61F9E"/>
    <w:rsid w:val="00B743B7"/>
    <w:rsid w:val="00B77E89"/>
    <w:rsid w:val="00B94792"/>
    <w:rsid w:val="00BC4FF1"/>
    <w:rsid w:val="00BE4B87"/>
    <w:rsid w:val="00C119B4"/>
    <w:rsid w:val="00C2311D"/>
    <w:rsid w:val="00C4131C"/>
    <w:rsid w:val="00C45D15"/>
    <w:rsid w:val="00C47448"/>
    <w:rsid w:val="00C7014C"/>
    <w:rsid w:val="00C710B9"/>
    <w:rsid w:val="00C74BA0"/>
    <w:rsid w:val="00C911F3"/>
    <w:rsid w:val="00C936A6"/>
    <w:rsid w:val="00C952B6"/>
    <w:rsid w:val="00C95964"/>
    <w:rsid w:val="00CC2699"/>
    <w:rsid w:val="00CC3E28"/>
    <w:rsid w:val="00CC76F3"/>
    <w:rsid w:val="00D15969"/>
    <w:rsid w:val="00D25BFB"/>
    <w:rsid w:val="00D31BE9"/>
    <w:rsid w:val="00D4550B"/>
    <w:rsid w:val="00D529C8"/>
    <w:rsid w:val="00D57B9D"/>
    <w:rsid w:val="00D7387E"/>
    <w:rsid w:val="00D755DF"/>
    <w:rsid w:val="00D86E07"/>
    <w:rsid w:val="00D9035D"/>
    <w:rsid w:val="00D911FD"/>
    <w:rsid w:val="00DA2571"/>
    <w:rsid w:val="00DB4B97"/>
    <w:rsid w:val="00DC03EE"/>
    <w:rsid w:val="00DD3CB3"/>
    <w:rsid w:val="00DD6B14"/>
    <w:rsid w:val="00DF1E07"/>
    <w:rsid w:val="00DF2B29"/>
    <w:rsid w:val="00E16641"/>
    <w:rsid w:val="00E175FE"/>
    <w:rsid w:val="00E17809"/>
    <w:rsid w:val="00E20BF2"/>
    <w:rsid w:val="00E249F4"/>
    <w:rsid w:val="00E45AD3"/>
    <w:rsid w:val="00E4705E"/>
    <w:rsid w:val="00E811D9"/>
    <w:rsid w:val="00E82100"/>
    <w:rsid w:val="00E858F5"/>
    <w:rsid w:val="00EB2E97"/>
    <w:rsid w:val="00ED7E65"/>
    <w:rsid w:val="00EF2EA0"/>
    <w:rsid w:val="00EF5F0A"/>
    <w:rsid w:val="00F20E35"/>
    <w:rsid w:val="00F2278D"/>
    <w:rsid w:val="00F5234E"/>
    <w:rsid w:val="00F52A15"/>
    <w:rsid w:val="00F71EB1"/>
    <w:rsid w:val="00F7777F"/>
    <w:rsid w:val="00F80DCD"/>
    <w:rsid w:val="00F85E63"/>
    <w:rsid w:val="00F903B5"/>
    <w:rsid w:val="00FA431E"/>
    <w:rsid w:val="00FB0547"/>
    <w:rsid w:val="00FB2996"/>
    <w:rsid w:val="00FB40D8"/>
    <w:rsid w:val="00FC0392"/>
    <w:rsid w:val="00FD5046"/>
    <w:rsid w:val="00FF35B0"/>
    <w:rsid w:val="00FF480A"/>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CDA6C"/>
  <w15:chartTrackingRefBased/>
  <w15:docId w15:val="{7C32DF06-C036-44C0-A340-B82DEDC8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as-IN"/>
        <w14:ligatures w14:val="standardContextual"/>
      </w:rPr>
    </w:rPrDefault>
    <w:pPrDefault>
      <w:pPr>
        <w:spacing w:after="240" w:line="360" w:lineRule="auto"/>
        <w:ind w:left="96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F5A"/>
  </w:style>
  <w:style w:type="paragraph" w:styleId="Heading1">
    <w:name w:val="heading 1"/>
    <w:basedOn w:val="Normal"/>
    <w:next w:val="Normal"/>
    <w:link w:val="Heading1Char"/>
    <w:uiPriority w:val="9"/>
    <w:qFormat/>
    <w:rsid w:val="004A6826"/>
    <w:pPr>
      <w:keepNext/>
      <w:keepLines/>
      <w:spacing w:before="360" w:after="80"/>
      <w:outlineLvl w:val="0"/>
    </w:pPr>
    <w:rPr>
      <w:rFonts w:asciiTheme="majorHAnsi" w:eastAsiaTheme="majorEastAsia" w:hAnsiTheme="majorHAnsi" w:cstheme="majorBidi"/>
      <w:color w:val="365F91" w:themeColor="accent1" w:themeShade="BF"/>
      <w:sz w:val="40"/>
      <w:szCs w:val="50"/>
    </w:rPr>
  </w:style>
  <w:style w:type="paragraph" w:styleId="Heading2">
    <w:name w:val="heading 2"/>
    <w:basedOn w:val="Normal"/>
    <w:next w:val="Normal"/>
    <w:link w:val="Heading2Char"/>
    <w:uiPriority w:val="9"/>
    <w:semiHidden/>
    <w:unhideWhenUsed/>
    <w:qFormat/>
    <w:rsid w:val="004A6826"/>
    <w:pPr>
      <w:keepNext/>
      <w:keepLines/>
      <w:spacing w:before="160" w:after="80"/>
      <w:outlineLvl w:val="1"/>
    </w:pPr>
    <w:rPr>
      <w:rFonts w:asciiTheme="majorHAnsi" w:eastAsiaTheme="majorEastAsia" w:hAnsiTheme="majorHAnsi" w:cstheme="majorBidi"/>
      <w:color w:val="365F91" w:themeColor="accent1" w:themeShade="BF"/>
      <w:sz w:val="32"/>
      <w:szCs w:val="40"/>
    </w:rPr>
  </w:style>
  <w:style w:type="paragraph" w:styleId="Heading3">
    <w:name w:val="heading 3"/>
    <w:basedOn w:val="Normal"/>
    <w:next w:val="Normal"/>
    <w:link w:val="Heading3Char"/>
    <w:uiPriority w:val="9"/>
    <w:semiHidden/>
    <w:unhideWhenUsed/>
    <w:qFormat/>
    <w:rsid w:val="004A6826"/>
    <w:pPr>
      <w:keepNext/>
      <w:keepLines/>
      <w:spacing w:before="160" w:after="80"/>
      <w:outlineLvl w:val="2"/>
    </w:pPr>
    <w:rPr>
      <w:rFonts w:eastAsiaTheme="majorEastAsia" w:cstheme="majorBidi"/>
      <w:color w:val="365F91" w:themeColor="accent1" w:themeShade="BF"/>
      <w:sz w:val="28"/>
      <w:szCs w:val="35"/>
    </w:rPr>
  </w:style>
  <w:style w:type="paragraph" w:styleId="Heading4">
    <w:name w:val="heading 4"/>
    <w:basedOn w:val="Normal"/>
    <w:next w:val="Normal"/>
    <w:link w:val="Heading4Char"/>
    <w:uiPriority w:val="9"/>
    <w:semiHidden/>
    <w:unhideWhenUsed/>
    <w:qFormat/>
    <w:rsid w:val="004A682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A682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A68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8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8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8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826"/>
    <w:rPr>
      <w:rFonts w:asciiTheme="majorHAnsi" w:eastAsiaTheme="majorEastAsia" w:hAnsiTheme="majorHAnsi" w:cstheme="majorBidi"/>
      <w:color w:val="365F91" w:themeColor="accent1" w:themeShade="BF"/>
      <w:sz w:val="40"/>
      <w:szCs w:val="50"/>
    </w:rPr>
  </w:style>
  <w:style w:type="character" w:customStyle="1" w:styleId="Heading2Char">
    <w:name w:val="Heading 2 Char"/>
    <w:basedOn w:val="DefaultParagraphFont"/>
    <w:link w:val="Heading2"/>
    <w:uiPriority w:val="9"/>
    <w:semiHidden/>
    <w:rsid w:val="004A6826"/>
    <w:rPr>
      <w:rFonts w:asciiTheme="majorHAnsi" w:eastAsiaTheme="majorEastAsia" w:hAnsiTheme="majorHAnsi" w:cstheme="majorBidi"/>
      <w:color w:val="365F91" w:themeColor="accent1" w:themeShade="BF"/>
      <w:sz w:val="32"/>
      <w:szCs w:val="40"/>
    </w:rPr>
  </w:style>
  <w:style w:type="character" w:customStyle="1" w:styleId="Heading3Char">
    <w:name w:val="Heading 3 Char"/>
    <w:basedOn w:val="DefaultParagraphFont"/>
    <w:link w:val="Heading3"/>
    <w:uiPriority w:val="9"/>
    <w:semiHidden/>
    <w:rsid w:val="004A6826"/>
    <w:rPr>
      <w:rFonts w:eastAsiaTheme="majorEastAsia" w:cstheme="majorBidi"/>
      <w:color w:val="365F91" w:themeColor="accent1" w:themeShade="BF"/>
      <w:sz w:val="28"/>
      <w:szCs w:val="35"/>
    </w:rPr>
  </w:style>
  <w:style w:type="character" w:customStyle="1" w:styleId="Heading4Char">
    <w:name w:val="Heading 4 Char"/>
    <w:basedOn w:val="DefaultParagraphFont"/>
    <w:link w:val="Heading4"/>
    <w:uiPriority w:val="9"/>
    <w:semiHidden/>
    <w:rsid w:val="004A682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A682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A68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68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68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6826"/>
    <w:rPr>
      <w:rFonts w:eastAsiaTheme="majorEastAsia" w:cstheme="majorBidi"/>
      <w:color w:val="272727" w:themeColor="text1" w:themeTint="D8"/>
    </w:rPr>
  </w:style>
  <w:style w:type="paragraph" w:styleId="Title">
    <w:name w:val="Title"/>
    <w:basedOn w:val="Normal"/>
    <w:next w:val="Normal"/>
    <w:link w:val="TitleChar"/>
    <w:uiPriority w:val="10"/>
    <w:qFormat/>
    <w:rsid w:val="004A6826"/>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4A682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4A6826"/>
    <w:pPr>
      <w:numPr>
        <w:ilvl w:val="1"/>
      </w:numPr>
      <w:spacing w:after="160"/>
      <w:ind w:left="964" w:hanging="964"/>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4A6826"/>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4A682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A6826"/>
    <w:rPr>
      <w:i/>
      <w:iCs/>
      <w:color w:val="404040" w:themeColor="text1" w:themeTint="BF"/>
    </w:rPr>
  </w:style>
  <w:style w:type="paragraph" w:styleId="ListParagraph">
    <w:name w:val="List Paragraph"/>
    <w:basedOn w:val="Normal"/>
    <w:uiPriority w:val="34"/>
    <w:qFormat/>
    <w:rsid w:val="004A6826"/>
    <w:pPr>
      <w:ind w:left="720"/>
      <w:contextualSpacing/>
    </w:pPr>
  </w:style>
  <w:style w:type="character" w:styleId="IntenseEmphasis">
    <w:name w:val="Intense Emphasis"/>
    <w:basedOn w:val="DefaultParagraphFont"/>
    <w:uiPriority w:val="21"/>
    <w:qFormat/>
    <w:rsid w:val="004A6826"/>
    <w:rPr>
      <w:i/>
      <w:iCs/>
      <w:color w:val="365F91" w:themeColor="accent1" w:themeShade="BF"/>
    </w:rPr>
  </w:style>
  <w:style w:type="paragraph" w:styleId="IntenseQuote">
    <w:name w:val="Intense Quote"/>
    <w:basedOn w:val="Normal"/>
    <w:next w:val="Normal"/>
    <w:link w:val="IntenseQuoteChar"/>
    <w:uiPriority w:val="30"/>
    <w:qFormat/>
    <w:rsid w:val="004A682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A6826"/>
    <w:rPr>
      <w:i/>
      <w:iCs/>
      <w:color w:val="365F91" w:themeColor="accent1" w:themeShade="BF"/>
    </w:rPr>
  </w:style>
  <w:style w:type="character" w:styleId="IntenseReference">
    <w:name w:val="Intense Reference"/>
    <w:basedOn w:val="DefaultParagraphFont"/>
    <w:uiPriority w:val="32"/>
    <w:qFormat/>
    <w:rsid w:val="004A6826"/>
    <w:rPr>
      <w:b/>
      <w:bCs/>
      <w:smallCaps/>
      <w:color w:val="365F91" w:themeColor="accent1" w:themeShade="BF"/>
      <w:spacing w:val="5"/>
    </w:rPr>
  </w:style>
  <w:style w:type="paragraph" w:styleId="NormalWeb">
    <w:name w:val="Normal (Web)"/>
    <w:basedOn w:val="Normal"/>
    <w:uiPriority w:val="99"/>
    <w:unhideWhenUsed/>
    <w:rsid w:val="00D4550B"/>
    <w:pPr>
      <w:spacing w:before="100" w:beforeAutospacing="1" w:after="100" w:afterAutospacing="1" w:line="240" w:lineRule="auto"/>
      <w:ind w:left="0"/>
      <w:jc w:val="left"/>
    </w:pPr>
    <w:rPr>
      <w:rFonts w:ascii="Times New Roman" w:eastAsia="Times New Roman" w:hAnsi="Times New Roman" w:cs="Times New Roman"/>
      <w:kern w:val="0"/>
      <w:sz w:val="24"/>
      <w:szCs w:val="24"/>
      <w:lang w:val="en-IN" w:eastAsia="en-IN"/>
      <w14:ligatures w14:val="none"/>
    </w:rPr>
  </w:style>
  <w:style w:type="character" w:styleId="Strong">
    <w:name w:val="Strong"/>
    <w:basedOn w:val="DefaultParagraphFont"/>
    <w:uiPriority w:val="22"/>
    <w:qFormat/>
    <w:rsid w:val="00D4550B"/>
    <w:rPr>
      <w:b/>
      <w:bCs/>
    </w:rPr>
  </w:style>
  <w:style w:type="character" w:styleId="PlaceholderText">
    <w:name w:val="Placeholder Text"/>
    <w:basedOn w:val="DefaultParagraphFont"/>
    <w:uiPriority w:val="99"/>
    <w:semiHidden/>
    <w:rsid w:val="00C45D15"/>
    <w:rPr>
      <w:color w:val="666666"/>
    </w:rPr>
  </w:style>
  <w:style w:type="table" w:styleId="TableGridLight">
    <w:name w:val="Grid Table Light"/>
    <w:basedOn w:val="TableNormal"/>
    <w:uiPriority w:val="40"/>
    <w:rsid w:val="00C4744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1B2E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ajitdasjb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9-0006-4559-9063" TargetMode="External"/><Relationship Id="rId11" Type="http://schemas.openxmlformats.org/officeDocument/2006/relationships/theme" Target="theme/theme1.xml"/><Relationship Id="rId5" Type="http://schemas.openxmlformats.org/officeDocument/2006/relationships/hyperlink" Target="mailto:sarkaru674@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1280</TotalTime>
  <Pages>20</Pages>
  <Words>4964</Words>
  <Characters>28295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Utpal sarkar</dc:creator>
  <cp:keywords/>
  <dc:description/>
  <cp:lastModifiedBy>Utpal sarkar</cp:lastModifiedBy>
  <cp:revision>5</cp:revision>
  <cp:lastPrinted>2025-09-13T16:31:00Z</cp:lastPrinted>
  <dcterms:created xsi:type="dcterms:W3CDTF">2025-09-01T04:52:00Z</dcterms:created>
  <dcterms:modified xsi:type="dcterms:W3CDTF">2026-03-01T13:47:00Z</dcterms:modified>
</cp:coreProperties>
</file>