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FE54A" w14:textId="73754189" w:rsidR="0028331C" w:rsidRDefault="00FB6DF6" w:rsidP="00C6418A">
      <w:pPr>
        <w:spacing w:line="240" w:lineRule="auto"/>
        <w:jc w:val="center"/>
        <w:rPr>
          <w:b/>
          <w:bCs/>
          <w:szCs w:val="24"/>
          <w:lang w:val="en-US"/>
        </w:rPr>
      </w:pPr>
      <w:r w:rsidRPr="009D3726">
        <w:rPr>
          <w:b/>
          <w:bCs/>
          <w:szCs w:val="24"/>
          <w:lang w:val="en-US"/>
        </w:rPr>
        <w:t>NEED FOR A SPACE RESOURCE LEGISLATION</w:t>
      </w:r>
      <w:r w:rsidR="000A70DC" w:rsidRPr="009D3726">
        <w:rPr>
          <w:b/>
          <w:bCs/>
          <w:szCs w:val="24"/>
          <w:lang w:val="en-US"/>
        </w:rPr>
        <w:t xml:space="preserve"> IN INDIA</w:t>
      </w:r>
      <w:r w:rsidRPr="009D3726">
        <w:rPr>
          <w:b/>
          <w:bCs/>
          <w:szCs w:val="24"/>
          <w:lang w:val="en-US"/>
        </w:rPr>
        <w:t>: A</w:t>
      </w:r>
      <w:r w:rsidR="000A70DC" w:rsidRPr="009D3726">
        <w:rPr>
          <w:b/>
          <w:bCs/>
          <w:szCs w:val="24"/>
          <w:lang w:val="en-US"/>
        </w:rPr>
        <w:t xml:space="preserve"> </w:t>
      </w:r>
      <w:r w:rsidRPr="009D3726">
        <w:rPr>
          <w:b/>
          <w:bCs/>
          <w:szCs w:val="24"/>
          <w:lang w:val="en-US"/>
        </w:rPr>
        <w:t xml:space="preserve">LEGAL </w:t>
      </w:r>
      <w:r w:rsidR="00DD0C39" w:rsidRPr="009D3726">
        <w:rPr>
          <w:b/>
          <w:bCs/>
          <w:szCs w:val="24"/>
          <w:lang w:val="en-US"/>
        </w:rPr>
        <w:t>ANALYSIS</w:t>
      </w:r>
      <w:r w:rsidRPr="009D3726">
        <w:rPr>
          <w:b/>
          <w:bCs/>
          <w:szCs w:val="24"/>
          <w:lang w:val="en-US"/>
        </w:rPr>
        <w:t xml:space="preserve"> FROM AN ECONOMIC LENS</w:t>
      </w:r>
    </w:p>
    <w:p w14:paraId="2E1A0154" w14:textId="7CECB683" w:rsidR="000F1E75" w:rsidRPr="009D3726" w:rsidRDefault="000F1E75" w:rsidP="00C6418A">
      <w:pPr>
        <w:spacing w:line="240" w:lineRule="auto"/>
        <w:jc w:val="center"/>
        <w:rPr>
          <w:b/>
          <w:bCs/>
          <w:szCs w:val="24"/>
          <w:lang w:val="en-US"/>
        </w:rPr>
      </w:pPr>
      <w:r>
        <w:rPr>
          <w:b/>
          <w:bCs/>
          <w:szCs w:val="24"/>
          <w:lang w:val="en-US"/>
        </w:rPr>
        <w:t>Mr. Raunak Sood</w:t>
      </w:r>
      <w:r>
        <w:rPr>
          <w:rStyle w:val="FootnoteReference"/>
          <w:b/>
          <w:bCs/>
          <w:szCs w:val="24"/>
          <w:lang w:val="en-US"/>
        </w:rPr>
        <w:footnoteReference w:id="1"/>
      </w:r>
      <w:r>
        <w:rPr>
          <w:b/>
          <w:bCs/>
          <w:szCs w:val="24"/>
          <w:lang w:val="en-US"/>
        </w:rPr>
        <w:t xml:space="preserve"> &amp; Dr. Dimple T. Raval</w:t>
      </w:r>
      <w:r>
        <w:rPr>
          <w:rStyle w:val="FootnoteReference"/>
          <w:b/>
          <w:bCs/>
          <w:szCs w:val="24"/>
          <w:lang w:val="en-US"/>
        </w:rPr>
        <w:footnoteReference w:id="2"/>
      </w:r>
    </w:p>
    <w:p w14:paraId="7E8BA783" w14:textId="66515978" w:rsidR="00FB6DF6" w:rsidRDefault="00FB6DF6" w:rsidP="00C6418A">
      <w:pPr>
        <w:spacing w:line="240" w:lineRule="auto"/>
        <w:rPr>
          <w:b/>
          <w:bCs/>
          <w:szCs w:val="24"/>
          <w:lang w:val="en-US"/>
        </w:rPr>
      </w:pPr>
      <w:r w:rsidRPr="009D3726">
        <w:rPr>
          <w:b/>
          <w:bCs/>
          <w:szCs w:val="24"/>
          <w:lang w:val="en-US"/>
        </w:rPr>
        <w:t xml:space="preserve">ABSTRACT </w:t>
      </w:r>
    </w:p>
    <w:p w14:paraId="522B67B2" w14:textId="77777777" w:rsidR="00132147" w:rsidRDefault="00132147" w:rsidP="00C6418A">
      <w:pPr>
        <w:spacing w:line="240" w:lineRule="auto"/>
        <w:rPr>
          <w:szCs w:val="24"/>
          <w:lang w:val="en-US"/>
        </w:rPr>
      </w:pPr>
      <w:r>
        <w:rPr>
          <w:szCs w:val="24"/>
          <w:lang w:val="en-US"/>
        </w:rPr>
        <w:t>The global space economy is evolving into a commercial powerhouse and India is relying on the Indian Space Policy, 2023, a “soft law” while competitors such as the US and Luxembourg have enacted legislations to secure property rights, The research employs mixed methodology combining functional comparative analysis with longitudinal investment data to evaluate the economic impact of not having a space legislation in India. The study reveals that US legislation catalyzed sustained investment and venture capital stability, whereas India’s policy-only approach correlates with high market volatility and capital retraction. Drawing on the New Institutional Economics, the paper argues for statutory legislation that is required to lower transaction costs and create “asset certainty” necessary for durable private investment.</w:t>
      </w:r>
    </w:p>
    <w:p w14:paraId="6ACA4F32" w14:textId="20338155" w:rsidR="00132147" w:rsidRPr="00132147" w:rsidRDefault="00132147" w:rsidP="00C6418A">
      <w:pPr>
        <w:spacing w:line="240" w:lineRule="auto"/>
        <w:rPr>
          <w:szCs w:val="24"/>
          <w:lang w:val="en-US"/>
        </w:rPr>
      </w:pPr>
      <w:r>
        <w:rPr>
          <w:szCs w:val="24"/>
          <w:lang w:val="en-US"/>
        </w:rPr>
        <w:t xml:space="preserve">Keywords: Space Resource Legislation, Indian Space </w:t>
      </w:r>
      <w:r w:rsidR="00B155AE">
        <w:rPr>
          <w:szCs w:val="24"/>
          <w:lang w:val="en-US"/>
        </w:rPr>
        <w:t>Policy</w:t>
      </w:r>
      <w:r>
        <w:rPr>
          <w:szCs w:val="24"/>
          <w:lang w:val="en-US"/>
        </w:rPr>
        <w:t xml:space="preserve">, Space Economy, Property Rights, Venture Capital, Asset Certainty  </w:t>
      </w:r>
    </w:p>
    <w:p w14:paraId="13C10737" w14:textId="28B76401" w:rsidR="00671576" w:rsidRDefault="00FB6DF6" w:rsidP="00C6418A">
      <w:pPr>
        <w:spacing w:line="240" w:lineRule="auto"/>
        <w:rPr>
          <w:b/>
          <w:bCs/>
          <w:szCs w:val="24"/>
          <w:lang w:val="en-US"/>
        </w:rPr>
      </w:pPr>
      <w:r w:rsidRPr="009D3726">
        <w:rPr>
          <w:b/>
          <w:bCs/>
          <w:szCs w:val="24"/>
          <w:lang w:val="en-US"/>
        </w:rPr>
        <w:t>INTRODUCTION</w:t>
      </w:r>
    </w:p>
    <w:p w14:paraId="5EDF9073" w14:textId="1493A844" w:rsidR="00C97781" w:rsidRDefault="00C97781" w:rsidP="00C6418A">
      <w:pPr>
        <w:spacing w:line="240" w:lineRule="auto"/>
        <w:rPr>
          <w:szCs w:val="24"/>
          <w:lang w:val="en-US"/>
        </w:rPr>
      </w:pPr>
      <w:r>
        <w:rPr>
          <w:szCs w:val="24"/>
          <w:lang w:val="en-US"/>
        </w:rPr>
        <w:t xml:space="preserve">The Space economy is evolving from a scientific exploration to a commercial powerhouse with mining as a sub-sector. Nations such as the US, UAE, Luxembourg and Japan have enacted laws to secure private property rights over extracted resources. Against this backdrop, the research presents a critical legal and economic analysis of India’s current regulatory stance with the Indian Space Policy showing the regulatory intent of the Indian Government to allow NGEs to engage in asteroid mining. This distinction is creating a soft law, but what is needed is a hard law, i.e. a legislation to bring certainty for investors and a competitive advantage for the Indian Space Sector. </w:t>
      </w:r>
    </w:p>
    <w:p w14:paraId="4C20BF10" w14:textId="04DF214C" w:rsidR="00C97781" w:rsidRPr="00C97781" w:rsidRDefault="00C97781" w:rsidP="00C6418A">
      <w:pPr>
        <w:spacing w:line="240" w:lineRule="auto"/>
        <w:rPr>
          <w:szCs w:val="24"/>
          <w:lang w:val="en-US"/>
        </w:rPr>
      </w:pPr>
      <w:r>
        <w:rPr>
          <w:szCs w:val="24"/>
          <w:lang w:val="en-US"/>
        </w:rPr>
        <w:t xml:space="preserve">The legal gap is that by not enacting legislation, India is failing to create asset certainty by granting rights to own the extracted resources and leaving the private sector in absolute confusion and ambiguity. The study has employed a mixed methodology to synthesize findings and uses economic theories to argue for a space resource legislation in India. </w:t>
      </w:r>
      <w:r w:rsidR="008A6914">
        <w:rPr>
          <w:szCs w:val="24"/>
          <w:lang w:val="en-US"/>
        </w:rPr>
        <w:t xml:space="preserve">This research is relevant for legislators, economists, legal professionals and academicians as it develops an argument for India to bring in a space resource legislation and points out where India is losing out by not enacting legislation. </w:t>
      </w:r>
    </w:p>
    <w:p w14:paraId="2DAB79F5" w14:textId="5E07CE8F" w:rsidR="002D2B8E" w:rsidRDefault="00B97E6A" w:rsidP="00C6418A">
      <w:pPr>
        <w:spacing w:line="240" w:lineRule="auto"/>
        <w:rPr>
          <w:b/>
          <w:bCs/>
          <w:szCs w:val="24"/>
          <w:lang w:val="en-US"/>
        </w:rPr>
      </w:pPr>
      <w:r>
        <w:rPr>
          <w:b/>
          <w:bCs/>
          <w:szCs w:val="24"/>
          <w:lang w:val="en-US"/>
        </w:rPr>
        <w:t xml:space="preserve">RESEARCH METHODOLOGY </w:t>
      </w:r>
    </w:p>
    <w:p w14:paraId="7257625C" w14:textId="77777777" w:rsidR="003F6D0C" w:rsidRDefault="00EB5748" w:rsidP="00C6418A">
      <w:pPr>
        <w:spacing w:line="240" w:lineRule="auto"/>
        <w:rPr>
          <w:szCs w:val="24"/>
        </w:rPr>
      </w:pPr>
      <w:r>
        <w:rPr>
          <w:szCs w:val="24"/>
          <w:lang w:val="en-US"/>
        </w:rPr>
        <w:t xml:space="preserve">The researcher has used </w:t>
      </w:r>
      <w:r w:rsidR="00434DE9">
        <w:rPr>
          <w:szCs w:val="24"/>
          <w:lang w:val="en-US"/>
        </w:rPr>
        <w:t>a mixed-method research design comprising both doctrinal and non-doctrinal methods. A doctrinal legal analysis was conducted to identify the ambiguity in Art. II of the Outer Space Treaty and the functional comparative method were applied to assess the nature of rights given under space resource legislations of the US, Japan, UAE and Luxembourg. The functional method of comparative law postulates that different legal systems often arrive at similar solutions to the same societal problem even if their doctrinal paths differ</w:t>
      </w:r>
      <w:r w:rsidR="007B4771">
        <w:rPr>
          <w:szCs w:val="24"/>
          <w:lang w:val="en-US"/>
        </w:rPr>
        <w:t xml:space="preserve"> </w:t>
      </w:r>
      <w:r w:rsidR="007B4771" w:rsidRPr="007B4771">
        <w:rPr>
          <w:szCs w:val="24"/>
        </w:rPr>
        <w:t>(Van Hoecke, 2015</w:t>
      </w:r>
      <w:r w:rsidR="007B4771">
        <w:rPr>
          <w:szCs w:val="24"/>
        </w:rPr>
        <w:t>, pp. 9-11</w:t>
      </w:r>
      <w:r w:rsidR="007B4771" w:rsidRPr="007B4771">
        <w:rPr>
          <w:szCs w:val="24"/>
        </w:rPr>
        <w:t>)</w:t>
      </w:r>
      <w:r w:rsidR="00434DE9">
        <w:rPr>
          <w:szCs w:val="24"/>
          <w:lang w:val="en-US"/>
        </w:rPr>
        <w:t xml:space="preserve">. </w:t>
      </w:r>
      <w:r w:rsidR="007B4771">
        <w:rPr>
          <w:szCs w:val="24"/>
          <w:lang w:val="en-US"/>
        </w:rPr>
        <w:t xml:space="preserve">The methodology has identified the function of legislation in all four jurisdictions as the creation of Asset Certainty. Despite the doctrinal differences between the US, Luxembourg, Japan and UAE, the research has isolated a common function, which is </w:t>
      </w:r>
      <w:r w:rsidR="007B4771">
        <w:rPr>
          <w:szCs w:val="24"/>
          <w:lang w:val="en-US"/>
        </w:rPr>
        <w:lastRenderedPageBreak/>
        <w:t xml:space="preserve">the conversion of </w:t>
      </w:r>
      <w:r w:rsidR="007B4771">
        <w:rPr>
          <w:i/>
          <w:iCs/>
          <w:szCs w:val="24"/>
          <w:lang w:val="en-US"/>
        </w:rPr>
        <w:t xml:space="preserve">res communis </w:t>
      </w:r>
      <w:r w:rsidR="007B4771">
        <w:rPr>
          <w:szCs w:val="24"/>
          <w:lang w:val="en-US"/>
        </w:rPr>
        <w:t xml:space="preserve">into a private asset upon extraction. In comparative methodology, </w:t>
      </w:r>
      <w:r w:rsidR="007B4771">
        <w:rPr>
          <w:i/>
          <w:iCs/>
          <w:szCs w:val="24"/>
          <w:lang w:val="en-US"/>
        </w:rPr>
        <w:t xml:space="preserve">tertium comparationis </w:t>
      </w:r>
      <w:r w:rsidR="007B4771">
        <w:rPr>
          <w:szCs w:val="24"/>
          <w:lang w:val="en-US"/>
        </w:rPr>
        <w:t xml:space="preserve">denotes the common denominator that allows for valid comparison </w:t>
      </w:r>
      <w:r w:rsidR="00CB334C" w:rsidRPr="00CB334C">
        <w:rPr>
          <w:szCs w:val="24"/>
        </w:rPr>
        <w:t>(Michaels, 2006</w:t>
      </w:r>
      <w:r w:rsidR="00CB334C">
        <w:rPr>
          <w:szCs w:val="24"/>
        </w:rPr>
        <w:t>, pp. 367-369</w:t>
      </w:r>
      <w:r w:rsidR="00CB334C" w:rsidRPr="00CB334C">
        <w:rPr>
          <w:szCs w:val="24"/>
        </w:rPr>
        <w:t>)</w:t>
      </w:r>
      <w:r w:rsidR="00CB334C">
        <w:rPr>
          <w:szCs w:val="24"/>
        </w:rPr>
        <w:t xml:space="preserve">, this research uses “nature of right” as </w:t>
      </w:r>
      <w:r w:rsidR="00CB334C">
        <w:rPr>
          <w:i/>
          <w:iCs/>
          <w:szCs w:val="24"/>
        </w:rPr>
        <w:t xml:space="preserve">tertium comparationis. </w:t>
      </w:r>
      <w:r w:rsidR="00CB334C">
        <w:rPr>
          <w:szCs w:val="24"/>
        </w:rPr>
        <w:t>By specifically stripping away the specific legal terminology of each jurisdiction, the researcher compares the functional outcomes of the rights granted. The functionalist approach allows the researcher to argue that while the form of law varies in each jurisdiction, the economic function of securing investment is universal. This is a valid methodology for India to adopt a similar functional solution tailored to its own domestic needs.</w:t>
      </w:r>
      <w:r w:rsidR="000F57AB">
        <w:rPr>
          <w:szCs w:val="24"/>
        </w:rPr>
        <w:t xml:space="preserve"> The researcher has also engaged in the micro-comparison by focusing on the specific legal rules instead of the entire legal system</w:t>
      </w:r>
      <w:r w:rsidR="00CB334C">
        <w:rPr>
          <w:szCs w:val="24"/>
        </w:rPr>
        <w:t xml:space="preserve"> </w:t>
      </w:r>
      <w:r w:rsidR="000F57AB" w:rsidRPr="000F57AB">
        <w:rPr>
          <w:szCs w:val="24"/>
        </w:rPr>
        <w:t>(Bell, 2021)</w:t>
      </w:r>
      <w:r w:rsidR="000F57AB">
        <w:rPr>
          <w:szCs w:val="24"/>
        </w:rPr>
        <w:t xml:space="preserve"> since the researcher is analyzing the specific taxonomy of rights “</w:t>
      </w:r>
      <w:r w:rsidR="000F57AB" w:rsidRPr="000F57AB">
        <w:rPr>
          <w:i/>
          <w:iCs/>
          <w:szCs w:val="24"/>
        </w:rPr>
        <w:t>possess, own, transport, use, and sell</w:t>
      </w:r>
      <w:r w:rsidR="000F57AB">
        <w:rPr>
          <w:szCs w:val="24"/>
        </w:rPr>
        <w:t xml:space="preserve">” across jurisdictions, thus drawing from the theory of legal transplants </w:t>
      </w:r>
      <w:r w:rsidR="000F57AB" w:rsidRPr="000F57AB">
        <w:rPr>
          <w:szCs w:val="24"/>
        </w:rPr>
        <w:t>(Cohn, 2024)</w:t>
      </w:r>
      <w:r w:rsidR="000F57AB">
        <w:rPr>
          <w:szCs w:val="24"/>
        </w:rPr>
        <w:t xml:space="preserve"> by noting that Indian Space Policy, 2023 is effectively transplanting the text of the United States Commercial Space Launch Competitiveness Act, 2015. This insight is derived from a comparative analysis of </w:t>
      </w:r>
      <w:r w:rsidR="00446FA3">
        <w:rPr>
          <w:szCs w:val="24"/>
        </w:rPr>
        <w:t xml:space="preserve">the </w:t>
      </w:r>
      <w:r w:rsidR="000F57AB">
        <w:rPr>
          <w:szCs w:val="24"/>
        </w:rPr>
        <w:t>hierarchy of norms</w:t>
      </w:r>
      <w:r w:rsidR="00446FA3">
        <w:rPr>
          <w:szCs w:val="24"/>
        </w:rPr>
        <w:t>,</w:t>
      </w:r>
      <w:r w:rsidR="000F57AB">
        <w:rPr>
          <w:szCs w:val="24"/>
        </w:rPr>
        <w:t xml:space="preserve"> which is a standard technique in comparative constitutional law</w:t>
      </w:r>
      <w:r w:rsidR="00446FA3">
        <w:rPr>
          <w:szCs w:val="24"/>
        </w:rPr>
        <w:t xml:space="preserve"> </w:t>
      </w:r>
      <w:r w:rsidR="00446FA3" w:rsidRPr="00446FA3">
        <w:rPr>
          <w:szCs w:val="24"/>
        </w:rPr>
        <w:t>(Kamba, 1974)</w:t>
      </w:r>
      <w:r w:rsidR="00446FA3">
        <w:rPr>
          <w:szCs w:val="24"/>
        </w:rPr>
        <w:t xml:space="preserve">. To avoid the trap of a “black letter” comparison, the researcher has employed a Law in Context methodology, which situates the legislation of Japan and the UAE in the broader strategic and economic context of each nation </w:t>
      </w:r>
      <w:r w:rsidR="00446FA3" w:rsidRPr="00446FA3">
        <w:rPr>
          <w:szCs w:val="24"/>
        </w:rPr>
        <w:t>(Ali, 2020</w:t>
      </w:r>
      <w:r w:rsidR="00446FA3">
        <w:rPr>
          <w:szCs w:val="24"/>
        </w:rPr>
        <w:t>, pp. 73-74</w:t>
      </w:r>
      <w:r w:rsidR="00446FA3" w:rsidRPr="00446FA3">
        <w:rPr>
          <w:szCs w:val="24"/>
        </w:rPr>
        <w:t>)</w:t>
      </w:r>
      <w:r w:rsidR="00446FA3">
        <w:rPr>
          <w:szCs w:val="24"/>
        </w:rPr>
        <w:t xml:space="preserve">. </w:t>
      </w:r>
    </w:p>
    <w:p w14:paraId="0EA38AE4" w14:textId="5AD1E014" w:rsidR="002D2B8E" w:rsidRPr="00CB334C" w:rsidRDefault="00B26680" w:rsidP="00C6418A">
      <w:pPr>
        <w:spacing w:line="240" w:lineRule="auto"/>
        <w:rPr>
          <w:szCs w:val="24"/>
          <w:lang w:val="en-US"/>
        </w:rPr>
      </w:pPr>
      <w:r>
        <w:rPr>
          <w:szCs w:val="24"/>
        </w:rPr>
        <w:t xml:space="preserve">A longitudinal quantitative research design has been employed by analyzing investment data over a period of 16 years, and uses the logic of Interrupted Time Series Analysis </w:t>
      </w:r>
      <w:r w:rsidRPr="00B26680">
        <w:rPr>
          <w:szCs w:val="24"/>
        </w:rPr>
        <w:t>(Lopez Bernal et al., 2016)</w:t>
      </w:r>
      <w:r>
        <w:rPr>
          <w:szCs w:val="24"/>
        </w:rPr>
        <w:t>. The researcher has chosen only the US and India for longitudinal analysis because India has transplanted text from US legislation, thus showing its intention that it wants to follow the United States with respect to the regulation of space resources</w:t>
      </w:r>
      <w:r w:rsidR="003F6D0C">
        <w:rPr>
          <w:szCs w:val="24"/>
        </w:rPr>
        <w:t xml:space="preserve"> and thus excluded Luxembourg, Japan and the UAE from the scope of analysis</w:t>
      </w:r>
      <w:r>
        <w:rPr>
          <w:szCs w:val="24"/>
        </w:rPr>
        <w:t>.</w:t>
      </w:r>
      <w:r w:rsidR="00AC3896">
        <w:rPr>
          <w:szCs w:val="24"/>
        </w:rPr>
        <w:t xml:space="preserve"> The researcher has analyzed data from the Space Capital, which is a venture capital firm that tracks investment in the space industry </w:t>
      </w:r>
      <w:r w:rsidR="00AC3896" w:rsidRPr="00AC3896">
        <w:rPr>
          <w:szCs w:val="24"/>
        </w:rPr>
        <w:t>(Janikowski, 2025)</w:t>
      </w:r>
      <w:r w:rsidR="00AC3896">
        <w:rPr>
          <w:szCs w:val="24"/>
        </w:rPr>
        <w:t xml:space="preserve">. The use of the Space Capital Database has been inspired by the works of Adam Janikowski because data for space capital database is collected through various sources, and no data may be added to it unless confirmed by multiple sources </w:t>
      </w:r>
      <w:r w:rsidR="00AC3896" w:rsidRPr="00AC3896">
        <w:rPr>
          <w:szCs w:val="24"/>
        </w:rPr>
        <w:t>(Janikowski, 2025</w:t>
      </w:r>
      <w:r w:rsidR="00AC3896">
        <w:rPr>
          <w:szCs w:val="24"/>
        </w:rPr>
        <w:t>, p. 5</w:t>
      </w:r>
      <w:r w:rsidR="00AC3896" w:rsidRPr="00AC3896">
        <w:rPr>
          <w:szCs w:val="24"/>
        </w:rPr>
        <w:t>)</w:t>
      </w:r>
      <w:r w:rsidR="00AC3896">
        <w:rPr>
          <w:szCs w:val="24"/>
        </w:rPr>
        <w:t>.</w:t>
      </w:r>
      <w:r>
        <w:rPr>
          <w:szCs w:val="24"/>
        </w:rPr>
        <w:t xml:space="preserve"> In this, the intervention was the enactment of US Space legislation and Indian Space Policy, and the pre-intervention and post-intervention periods were studied in detail. </w:t>
      </w:r>
      <w:r w:rsidR="003F6D0C">
        <w:rPr>
          <w:szCs w:val="24"/>
        </w:rPr>
        <w:t xml:space="preserve">By comparing the pre-intervention and post-intervention time, the research isolates the potential causal impact of the legal change. The research is relying on descriptive statistics as inferential tools, as it uses measures like total investment as a proxy for overall market confidence, venture capital as a proxy for legally sensitive capital and corporate investment as a proxy for long-term strategic confidence. </w:t>
      </w:r>
    </w:p>
    <w:p w14:paraId="6A14B909" w14:textId="2EBAD893" w:rsidR="008E17F9" w:rsidRPr="009D3726" w:rsidRDefault="00FC2B92" w:rsidP="00C6418A">
      <w:pPr>
        <w:spacing w:line="240" w:lineRule="auto"/>
        <w:rPr>
          <w:b/>
          <w:bCs/>
          <w:szCs w:val="24"/>
        </w:rPr>
      </w:pPr>
      <w:r w:rsidRPr="009D3726">
        <w:rPr>
          <w:b/>
          <w:bCs/>
          <w:szCs w:val="24"/>
          <w:lang w:val="en-US"/>
        </w:rPr>
        <w:t xml:space="preserve">THE SPACE ECONOMY </w:t>
      </w:r>
    </w:p>
    <w:p w14:paraId="7EBF8645" w14:textId="19C933A7" w:rsidR="00F52452" w:rsidRPr="009D3726" w:rsidRDefault="00AB1D08" w:rsidP="00C6418A">
      <w:pPr>
        <w:spacing w:line="240" w:lineRule="auto"/>
        <w:rPr>
          <w:szCs w:val="24"/>
        </w:rPr>
      </w:pPr>
      <w:r w:rsidRPr="009D3726">
        <w:rPr>
          <w:szCs w:val="24"/>
        </w:rPr>
        <w:t xml:space="preserve">The space economy is defined as a collection of activities for the production of non-space products by using the final space products as inputs from both the government and private actors (Graziola, 2018, p. 271). </w:t>
      </w:r>
      <w:r w:rsidR="00E32375" w:rsidRPr="009D3726">
        <w:rPr>
          <w:szCs w:val="24"/>
        </w:rPr>
        <w:t xml:space="preserve">The Space Report 2025 has shown that the global space economy </w:t>
      </w:r>
      <w:r w:rsidR="00B6396F" w:rsidRPr="009D3726">
        <w:rPr>
          <w:szCs w:val="24"/>
        </w:rPr>
        <w:t>reached a record $613 billion in 2024, with the commercial sector contributing 78% and government entities contributing the remaining</w:t>
      </w:r>
      <w:r w:rsidR="00E32375" w:rsidRPr="009D3726">
        <w:rPr>
          <w:szCs w:val="24"/>
        </w:rPr>
        <w:t xml:space="preserve"> 22% (Space Foundation</w:t>
      </w:r>
      <w:r w:rsidR="00384AA9" w:rsidRPr="009D3726">
        <w:rPr>
          <w:szCs w:val="24"/>
        </w:rPr>
        <w:t>,</w:t>
      </w:r>
      <w:r w:rsidR="00E32375" w:rsidRPr="009D3726">
        <w:rPr>
          <w:szCs w:val="24"/>
        </w:rPr>
        <w:t xml:space="preserve"> 2025). The global commons</w:t>
      </w:r>
      <w:r w:rsidRPr="009D3726">
        <w:rPr>
          <w:szCs w:val="24"/>
        </w:rPr>
        <w:t>,</w:t>
      </w:r>
      <w:r w:rsidR="00E32375" w:rsidRPr="009D3726">
        <w:rPr>
          <w:szCs w:val="24"/>
        </w:rPr>
        <w:t xml:space="preserve"> such </w:t>
      </w:r>
      <w:r w:rsidRPr="009D3726">
        <w:rPr>
          <w:szCs w:val="24"/>
        </w:rPr>
        <w:t xml:space="preserve">as </w:t>
      </w:r>
      <w:r w:rsidR="00DF1775" w:rsidRPr="009D3726">
        <w:rPr>
          <w:szCs w:val="24"/>
        </w:rPr>
        <w:t>Outer space</w:t>
      </w:r>
      <w:r w:rsidRPr="009D3726">
        <w:rPr>
          <w:szCs w:val="24"/>
        </w:rPr>
        <w:t>,</w:t>
      </w:r>
      <w:r w:rsidR="00DF1775" w:rsidRPr="009D3726">
        <w:rPr>
          <w:szCs w:val="24"/>
        </w:rPr>
        <w:t xml:space="preserve"> is a pathway for innovation and a driver of a future economy. </w:t>
      </w:r>
      <w:r w:rsidRPr="009D3726">
        <w:rPr>
          <w:szCs w:val="24"/>
        </w:rPr>
        <w:t>The space</w:t>
      </w:r>
      <w:r w:rsidR="00DF1775" w:rsidRPr="009D3726">
        <w:rPr>
          <w:szCs w:val="24"/>
        </w:rPr>
        <w:t xml:space="preserve"> sector of any country </w:t>
      </w:r>
      <w:r w:rsidR="00B6396F" w:rsidRPr="009D3726">
        <w:rPr>
          <w:szCs w:val="24"/>
        </w:rPr>
        <w:t>can generate substantial revenue and also contribute to the growth of other sectors, leading to economic and societal benefits (Peter,</w:t>
      </w:r>
      <w:r w:rsidR="007A6E66" w:rsidRPr="009D3726">
        <w:rPr>
          <w:szCs w:val="24"/>
        </w:rPr>
        <w:t xml:space="preserve"> 2024, p. 305). </w:t>
      </w:r>
      <w:r w:rsidRPr="009D3726">
        <w:rPr>
          <w:szCs w:val="24"/>
        </w:rPr>
        <w:t>The space</w:t>
      </w:r>
      <w:r w:rsidR="007A6E66" w:rsidRPr="009D3726">
        <w:rPr>
          <w:szCs w:val="24"/>
        </w:rPr>
        <w:t xml:space="preserve"> sector is becoming entangled with other domains</w:t>
      </w:r>
      <w:r w:rsidRPr="009D3726">
        <w:rPr>
          <w:szCs w:val="24"/>
        </w:rPr>
        <w:t>,</w:t>
      </w:r>
      <w:r w:rsidR="007A6E66" w:rsidRPr="009D3726">
        <w:rPr>
          <w:szCs w:val="24"/>
        </w:rPr>
        <w:t xml:space="preserve"> as any solution is able to trickle down in any part of other economic </w:t>
      </w:r>
      <w:r w:rsidRPr="009D3726">
        <w:rPr>
          <w:szCs w:val="24"/>
        </w:rPr>
        <w:t>domains,</w:t>
      </w:r>
      <w:r w:rsidR="007A6E66" w:rsidRPr="009D3726">
        <w:rPr>
          <w:szCs w:val="24"/>
        </w:rPr>
        <w:t xml:space="preserve"> especially seen in advanced economies (Peter</w:t>
      </w:r>
      <w:r w:rsidR="00384AA9" w:rsidRPr="009D3726">
        <w:rPr>
          <w:szCs w:val="24"/>
        </w:rPr>
        <w:t>,</w:t>
      </w:r>
      <w:r w:rsidR="007A6E66" w:rsidRPr="009D3726">
        <w:rPr>
          <w:szCs w:val="24"/>
        </w:rPr>
        <w:t xml:space="preserve"> 2024, p. 306). </w:t>
      </w:r>
      <w:r w:rsidR="00F52452" w:rsidRPr="009D3726">
        <w:rPr>
          <w:szCs w:val="24"/>
        </w:rPr>
        <w:t xml:space="preserve">Since </w:t>
      </w:r>
      <w:r w:rsidRPr="009D3726">
        <w:rPr>
          <w:szCs w:val="24"/>
        </w:rPr>
        <w:t xml:space="preserve">the </w:t>
      </w:r>
      <w:r w:rsidR="00F52452" w:rsidRPr="009D3726">
        <w:rPr>
          <w:szCs w:val="24"/>
        </w:rPr>
        <w:t>growth of the space economy is now a reality</w:t>
      </w:r>
      <w:r w:rsidR="00B6396F" w:rsidRPr="009D3726">
        <w:rPr>
          <w:szCs w:val="24"/>
        </w:rPr>
        <w:t>,</w:t>
      </w:r>
      <w:r w:rsidR="00F52452" w:rsidRPr="009D3726">
        <w:rPr>
          <w:szCs w:val="24"/>
        </w:rPr>
        <w:t xml:space="preserve"> “</w:t>
      </w:r>
      <w:r w:rsidR="00F52452" w:rsidRPr="009D3726">
        <w:rPr>
          <w:i/>
          <w:iCs/>
          <w:szCs w:val="24"/>
        </w:rPr>
        <w:t>economic space diplomacy</w:t>
      </w:r>
      <w:r w:rsidR="00F52452" w:rsidRPr="009D3726">
        <w:rPr>
          <w:szCs w:val="24"/>
        </w:rPr>
        <w:t xml:space="preserve">” as proposed by Cross and Pekkanen (2023) is the new emerging norm because states are engaged </w:t>
      </w:r>
      <w:r w:rsidR="00F52452" w:rsidRPr="009D3726">
        <w:rPr>
          <w:szCs w:val="24"/>
        </w:rPr>
        <w:lastRenderedPageBreak/>
        <w:t xml:space="preserve">in the capitalization of technological and industrial benefits derived from space (Cross </w:t>
      </w:r>
      <w:r w:rsidR="006707AF" w:rsidRPr="009D3726">
        <w:rPr>
          <w:szCs w:val="24"/>
        </w:rPr>
        <w:t>&amp;</w:t>
      </w:r>
      <w:r w:rsidR="00F52452" w:rsidRPr="009D3726">
        <w:rPr>
          <w:szCs w:val="24"/>
        </w:rPr>
        <w:t xml:space="preserve"> Pekkanen</w:t>
      </w:r>
      <w:r w:rsidR="00384AA9" w:rsidRPr="009D3726">
        <w:rPr>
          <w:szCs w:val="24"/>
        </w:rPr>
        <w:t>,</w:t>
      </w:r>
      <w:r w:rsidR="00F52452" w:rsidRPr="009D3726">
        <w:rPr>
          <w:szCs w:val="24"/>
        </w:rPr>
        <w:t xml:space="preserve"> 2023, p. 199). Assuming that all states are rational actors, persuasion, bargaining and communication play the lead role in making a space economy mutually beneficial and peaceful (Cross and Pekkanen</w:t>
      </w:r>
      <w:r w:rsidR="00384AA9" w:rsidRPr="009D3726">
        <w:rPr>
          <w:szCs w:val="24"/>
        </w:rPr>
        <w:t>,</w:t>
      </w:r>
      <w:r w:rsidR="00F52452" w:rsidRPr="009D3726">
        <w:rPr>
          <w:szCs w:val="24"/>
        </w:rPr>
        <w:t xml:space="preserve"> 2023, p. 200). </w:t>
      </w:r>
      <w:r w:rsidR="00986FB3" w:rsidRPr="009D3726">
        <w:rPr>
          <w:szCs w:val="24"/>
        </w:rPr>
        <w:t xml:space="preserve">The space economy </w:t>
      </w:r>
      <w:r w:rsidRPr="009D3726">
        <w:rPr>
          <w:szCs w:val="24"/>
        </w:rPr>
        <w:t>consists</w:t>
      </w:r>
      <w:r w:rsidR="00986FB3" w:rsidRPr="009D3726">
        <w:rPr>
          <w:szCs w:val="24"/>
        </w:rPr>
        <w:t xml:space="preserve"> of many activities</w:t>
      </w:r>
      <w:r w:rsidRPr="009D3726">
        <w:rPr>
          <w:szCs w:val="24"/>
        </w:rPr>
        <w:t>,</w:t>
      </w:r>
      <w:r w:rsidR="00986FB3" w:rsidRPr="009D3726">
        <w:rPr>
          <w:szCs w:val="24"/>
        </w:rPr>
        <w:t xml:space="preserve"> but </w:t>
      </w:r>
      <w:r w:rsidRPr="009D3726">
        <w:rPr>
          <w:szCs w:val="24"/>
        </w:rPr>
        <w:t>among</w:t>
      </w:r>
      <w:r w:rsidR="00986FB3" w:rsidRPr="009D3726">
        <w:rPr>
          <w:szCs w:val="24"/>
        </w:rPr>
        <w:t xml:space="preserve"> the emerging activities in the space economy </w:t>
      </w:r>
      <w:r w:rsidRPr="009D3726">
        <w:rPr>
          <w:szCs w:val="24"/>
        </w:rPr>
        <w:t>are</w:t>
      </w:r>
      <w:r w:rsidR="00986FB3" w:rsidRPr="009D3726">
        <w:rPr>
          <w:szCs w:val="24"/>
        </w:rPr>
        <w:t xml:space="preserve"> exo-mining (commercial recovery of asteroid resources)</w:t>
      </w:r>
      <w:r w:rsidRPr="009D3726">
        <w:rPr>
          <w:szCs w:val="24"/>
        </w:rPr>
        <w:t>,</w:t>
      </w:r>
      <w:r w:rsidR="00986FB3" w:rsidRPr="009D3726">
        <w:rPr>
          <w:szCs w:val="24"/>
        </w:rPr>
        <w:t xml:space="preserve"> as </w:t>
      </w:r>
      <w:r w:rsidR="006C12A3" w:rsidRPr="009D3726">
        <w:rPr>
          <w:szCs w:val="24"/>
        </w:rPr>
        <w:t>seen in the U.S.</w:t>
      </w:r>
      <w:r w:rsidRPr="009D3726">
        <w:rPr>
          <w:szCs w:val="24"/>
        </w:rPr>
        <w:t>,</w:t>
      </w:r>
      <w:r w:rsidR="006C12A3" w:rsidRPr="009D3726">
        <w:rPr>
          <w:szCs w:val="24"/>
        </w:rPr>
        <w:t xml:space="preserve"> where the U.S. </w:t>
      </w:r>
      <w:r w:rsidRPr="009D3726">
        <w:rPr>
          <w:szCs w:val="24"/>
        </w:rPr>
        <w:t>Office</w:t>
      </w:r>
      <w:r w:rsidR="006C12A3" w:rsidRPr="009D3726">
        <w:rPr>
          <w:szCs w:val="24"/>
        </w:rPr>
        <w:t xml:space="preserve"> of Space Commerce has the mandate for developing conditions of economic growth and technological development of the US space sector (Capova, 2016, p. 308).</w:t>
      </w:r>
    </w:p>
    <w:p w14:paraId="6FD172C4" w14:textId="77777777" w:rsidR="00895A89" w:rsidRPr="009D3726" w:rsidRDefault="006707AF" w:rsidP="00C6418A">
      <w:pPr>
        <w:spacing w:line="240" w:lineRule="auto"/>
        <w:rPr>
          <w:szCs w:val="24"/>
        </w:rPr>
      </w:pPr>
      <w:r w:rsidRPr="009D3726">
        <w:rPr>
          <w:szCs w:val="24"/>
        </w:rPr>
        <w:t xml:space="preserve">According to the OECD, the working definition of a space economy is the activities and utilisation of resources that provide value for human beings in exploring, understanding, managing, and utilising space, with the help of services and goods provided by both the private and public sectors (OECD, 2019, p. 30). </w:t>
      </w:r>
      <w:r w:rsidR="003C364D" w:rsidRPr="009D3726">
        <w:rPr>
          <w:szCs w:val="24"/>
        </w:rPr>
        <w:t xml:space="preserve">The space economy is a highly infrastructure-dependent economy where buyers and operators of infrastructure, as well as incidental services and products, add commercial value (Pietrzak, 2025, p. 2). </w:t>
      </w:r>
      <w:r w:rsidR="00FD0530" w:rsidRPr="009D3726">
        <w:rPr>
          <w:szCs w:val="24"/>
        </w:rPr>
        <w:t>The goods that are used and produced in space or support production in space require direct input or are associated with the study of space and have been defined as an inclusive part of the space economy</w:t>
      </w:r>
      <w:r w:rsidR="00644A98" w:rsidRPr="009D3726">
        <w:rPr>
          <w:szCs w:val="24"/>
        </w:rPr>
        <w:t xml:space="preserve"> (Goldman et al., 2025, p. 3)</w:t>
      </w:r>
      <w:r w:rsidR="00FD0530" w:rsidRPr="009D3726">
        <w:rPr>
          <w:szCs w:val="24"/>
        </w:rPr>
        <w:t xml:space="preserve">. </w:t>
      </w:r>
      <w:r w:rsidR="00644A98" w:rsidRPr="009D3726">
        <w:rPr>
          <w:szCs w:val="24"/>
        </w:rPr>
        <w:t xml:space="preserve">Space mining is an emerging market within the space economy and is valued at </w:t>
      </w:r>
      <w:r w:rsidR="00B6396F" w:rsidRPr="009D3726">
        <w:rPr>
          <w:szCs w:val="24"/>
        </w:rPr>
        <w:t>$</w:t>
      </w:r>
      <w:r w:rsidR="00644A98" w:rsidRPr="009D3726">
        <w:rPr>
          <w:szCs w:val="24"/>
        </w:rPr>
        <w:t>2 billion</w:t>
      </w:r>
      <w:r w:rsidR="00B6396F" w:rsidRPr="009D3726">
        <w:rPr>
          <w:szCs w:val="24"/>
        </w:rPr>
        <w:t>. Countries</w:t>
      </w:r>
      <w:r w:rsidR="00644A98" w:rsidRPr="009D3726">
        <w:rPr>
          <w:szCs w:val="24"/>
        </w:rPr>
        <w:t xml:space="preserve"> such as the US, China and the EU dominate the market </w:t>
      </w:r>
      <w:r w:rsidR="008159DD" w:rsidRPr="009D3726">
        <w:rPr>
          <w:szCs w:val="24"/>
        </w:rPr>
        <w:t>(EU dominates via the ESA and Luxembourg’s space resource framework)</w:t>
      </w:r>
      <w:r w:rsidR="00D64DA0" w:rsidRPr="009D3726">
        <w:rPr>
          <w:szCs w:val="24"/>
        </w:rPr>
        <w:t>,</w:t>
      </w:r>
      <w:r w:rsidR="008159DD" w:rsidRPr="009D3726">
        <w:rPr>
          <w:szCs w:val="24"/>
        </w:rPr>
        <w:t xml:space="preserve"> </w:t>
      </w:r>
      <w:r w:rsidR="00D64DA0" w:rsidRPr="009D3726">
        <w:rPr>
          <w:szCs w:val="24"/>
        </w:rPr>
        <w:t>because of the increased</w:t>
      </w:r>
      <w:r w:rsidR="008159DD" w:rsidRPr="009D3726">
        <w:rPr>
          <w:szCs w:val="24"/>
        </w:rPr>
        <w:t xml:space="preserve"> foreign investment </w:t>
      </w:r>
      <w:r w:rsidR="00D64DA0" w:rsidRPr="009D3726">
        <w:rPr>
          <w:szCs w:val="24"/>
        </w:rPr>
        <w:t xml:space="preserve">(Pandey, 2025). Thus, a space economy is an emerging economy where there is already investment, cash flow and infrastructure development going on, and within this economy, space mining or space resource activities </w:t>
      </w:r>
      <w:r w:rsidR="00AE7331" w:rsidRPr="009D3726">
        <w:rPr>
          <w:szCs w:val="24"/>
        </w:rPr>
        <w:t>are</w:t>
      </w:r>
      <w:r w:rsidR="00D64DA0" w:rsidRPr="009D3726">
        <w:rPr>
          <w:szCs w:val="24"/>
        </w:rPr>
        <w:t xml:space="preserve"> the most emerging </w:t>
      </w:r>
      <w:r w:rsidR="00AE7331" w:rsidRPr="009D3726">
        <w:rPr>
          <w:szCs w:val="24"/>
        </w:rPr>
        <w:t>sub-</w:t>
      </w:r>
      <w:r w:rsidR="00895A89" w:rsidRPr="009D3726">
        <w:rPr>
          <w:szCs w:val="24"/>
        </w:rPr>
        <w:t xml:space="preserve">sectors. </w:t>
      </w:r>
    </w:p>
    <w:p w14:paraId="66DCAFEA" w14:textId="512CAE81" w:rsidR="008E17F9" w:rsidRPr="009D3726" w:rsidRDefault="008E17F9" w:rsidP="00C6418A">
      <w:pPr>
        <w:spacing w:line="240" w:lineRule="auto"/>
        <w:rPr>
          <w:b/>
          <w:bCs/>
          <w:szCs w:val="24"/>
          <w:lang w:val="en-US"/>
        </w:rPr>
      </w:pPr>
      <w:r w:rsidRPr="009D3726">
        <w:rPr>
          <w:b/>
          <w:bCs/>
          <w:szCs w:val="24"/>
          <w:lang w:val="en-US"/>
        </w:rPr>
        <w:t xml:space="preserve">AMBIGUITY IN </w:t>
      </w:r>
      <w:r w:rsidR="00D139A2" w:rsidRPr="009D3726">
        <w:rPr>
          <w:b/>
          <w:bCs/>
          <w:szCs w:val="24"/>
          <w:lang w:val="en-US"/>
        </w:rPr>
        <w:t>A</w:t>
      </w:r>
      <w:r w:rsidR="00EE2245" w:rsidRPr="009D3726">
        <w:rPr>
          <w:b/>
          <w:bCs/>
          <w:szCs w:val="24"/>
          <w:lang w:val="en-US"/>
        </w:rPr>
        <w:t>RTICLE</w:t>
      </w:r>
      <w:r w:rsidR="00D139A2" w:rsidRPr="009D3726">
        <w:rPr>
          <w:b/>
          <w:bCs/>
          <w:szCs w:val="24"/>
          <w:lang w:val="en-US"/>
        </w:rPr>
        <w:t xml:space="preserve"> II OF </w:t>
      </w:r>
      <w:r w:rsidR="00895A89" w:rsidRPr="009D3726">
        <w:rPr>
          <w:b/>
          <w:bCs/>
          <w:szCs w:val="24"/>
          <w:lang w:val="en-US"/>
        </w:rPr>
        <w:t xml:space="preserve">THE </w:t>
      </w:r>
      <w:r w:rsidRPr="009D3726">
        <w:rPr>
          <w:b/>
          <w:bCs/>
          <w:szCs w:val="24"/>
          <w:lang w:val="en-US"/>
        </w:rPr>
        <w:t xml:space="preserve">OUTER SPACE TREATY RATIFIED BY INDIA </w:t>
      </w:r>
    </w:p>
    <w:p w14:paraId="47AD35E0" w14:textId="610A948B" w:rsidR="00DA273F" w:rsidRPr="009D3726" w:rsidRDefault="00DA273F" w:rsidP="00C6418A">
      <w:pPr>
        <w:spacing w:line="240" w:lineRule="auto"/>
        <w:rPr>
          <w:szCs w:val="24"/>
        </w:rPr>
      </w:pPr>
      <w:r w:rsidRPr="009D3726">
        <w:rPr>
          <w:szCs w:val="24"/>
          <w:lang w:val="en-US"/>
        </w:rPr>
        <w:t>India ratified the Outer Space Treaty (“Treaty on Principles Governing the Activities of States in the Exploration and Use of Outer Space, including the Moon and Other Celestial Bodies”) on 18</w:t>
      </w:r>
      <w:r w:rsidRPr="009D3726">
        <w:rPr>
          <w:szCs w:val="24"/>
          <w:vertAlign w:val="superscript"/>
          <w:lang w:val="en-US"/>
        </w:rPr>
        <w:t>th</w:t>
      </w:r>
      <w:r w:rsidRPr="009D3726">
        <w:rPr>
          <w:szCs w:val="24"/>
          <w:lang w:val="en-US"/>
        </w:rPr>
        <w:t xml:space="preserve"> January 1982 </w:t>
      </w:r>
      <w:r w:rsidRPr="009D3726">
        <w:rPr>
          <w:szCs w:val="24"/>
        </w:rPr>
        <w:t>(</w:t>
      </w:r>
      <w:r w:rsidRPr="009D3726">
        <w:rPr>
          <w:i/>
          <w:iCs/>
          <w:szCs w:val="24"/>
        </w:rPr>
        <w:t>UNTC</w:t>
      </w:r>
      <w:r w:rsidRPr="009D3726">
        <w:rPr>
          <w:szCs w:val="24"/>
        </w:rPr>
        <w:t>, 1967)</w:t>
      </w:r>
      <w:r w:rsidR="00770585" w:rsidRPr="009D3726">
        <w:rPr>
          <w:szCs w:val="24"/>
        </w:rPr>
        <w:t xml:space="preserve">. </w:t>
      </w:r>
      <w:r w:rsidR="00EE2245" w:rsidRPr="009D3726">
        <w:rPr>
          <w:szCs w:val="24"/>
        </w:rPr>
        <w:t>Art. I of the OST declares province of all mankind, and whereas outer space, inclusive of moon and celestial bodies, cannot be “</w:t>
      </w:r>
      <w:r w:rsidR="00EE2245" w:rsidRPr="009D3726">
        <w:rPr>
          <w:i/>
          <w:iCs/>
          <w:szCs w:val="24"/>
        </w:rPr>
        <w:t>appropriated</w:t>
      </w:r>
      <w:r w:rsidR="00EE2245" w:rsidRPr="009D3726">
        <w:rPr>
          <w:szCs w:val="24"/>
        </w:rPr>
        <w:t>” by means of “</w:t>
      </w:r>
      <w:r w:rsidR="00EE2245" w:rsidRPr="009D3726">
        <w:rPr>
          <w:i/>
          <w:iCs/>
          <w:szCs w:val="24"/>
        </w:rPr>
        <w:t>sovereignty</w:t>
      </w:r>
      <w:r w:rsidR="00EE2245" w:rsidRPr="009D3726">
        <w:rPr>
          <w:szCs w:val="24"/>
        </w:rPr>
        <w:t>”, “</w:t>
      </w:r>
      <w:r w:rsidR="00EE2245" w:rsidRPr="009D3726">
        <w:rPr>
          <w:i/>
          <w:iCs/>
          <w:szCs w:val="24"/>
        </w:rPr>
        <w:t>use</w:t>
      </w:r>
      <w:r w:rsidR="00EE2245" w:rsidRPr="009D3726">
        <w:rPr>
          <w:szCs w:val="24"/>
        </w:rPr>
        <w:t>” or “</w:t>
      </w:r>
      <w:r w:rsidR="00EE2245" w:rsidRPr="009D3726">
        <w:rPr>
          <w:i/>
          <w:iCs/>
          <w:szCs w:val="24"/>
        </w:rPr>
        <w:t>occupation</w:t>
      </w:r>
      <w:r w:rsidR="00EE2245" w:rsidRPr="009D3726">
        <w:rPr>
          <w:szCs w:val="24"/>
        </w:rPr>
        <w:t>” or “</w:t>
      </w:r>
      <w:r w:rsidR="00EE2245" w:rsidRPr="009D3726">
        <w:rPr>
          <w:i/>
          <w:iCs/>
          <w:szCs w:val="24"/>
        </w:rPr>
        <w:t>other means</w:t>
      </w:r>
      <w:r w:rsidR="00EE2245" w:rsidRPr="009D3726">
        <w:rPr>
          <w:szCs w:val="24"/>
        </w:rPr>
        <w:t xml:space="preserve">”. </w:t>
      </w:r>
      <w:r w:rsidR="00895A89" w:rsidRPr="009D3726">
        <w:rPr>
          <w:szCs w:val="24"/>
        </w:rPr>
        <w:t xml:space="preserve">There are more signatories to the US-led Artemis Accords </w:t>
      </w:r>
      <w:r w:rsidR="00EB7A82" w:rsidRPr="009D3726">
        <w:rPr>
          <w:szCs w:val="24"/>
        </w:rPr>
        <w:t xml:space="preserve">having the status of a memorandum of understanding </w:t>
      </w:r>
      <w:r w:rsidR="00895A89" w:rsidRPr="009D3726">
        <w:rPr>
          <w:szCs w:val="24"/>
        </w:rPr>
        <w:t>than to the Moon Agreement</w:t>
      </w:r>
      <w:r w:rsidR="00EB7A82" w:rsidRPr="009D3726">
        <w:rPr>
          <w:szCs w:val="24"/>
        </w:rPr>
        <w:t>,</w:t>
      </w:r>
      <w:r w:rsidR="00895A89" w:rsidRPr="009D3726">
        <w:rPr>
          <w:szCs w:val="24"/>
        </w:rPr>
        <w:t xml:space="preserve"> including the parties to the Moon Agreement</w:t>
      </w:r>
      <w:r w:rsidR="00EB7A82" w:rsidRPr="009D3726">
        <w:rPr>
          <w:szCs w:val="24"/>
        </w:rPr>
        <w:t xml:space="preserve"> (</w:t>
      </w:r>
      <w:r w:rsidR="00EB7A82" w:rsidRPr="009D3726">
        <w:rPr>
          <w:i/>
          <w:iCs/>
          <w:szCs w:val="24"/>
        </w:rPr>
        <w:t>Artemis Accords - NASA</w:t>
      </w:r>
      <w:r w:rsidR="00EB7A82" w:rsidRPr="009D3726">
        <w:rPr>
          <w:szCs w:val="24"/>
        </w:rPr>
        <w:t>, 2020)</w:t>
      </w:r>
      <w:r w:rsidR="00895A89" w:rsidRPr="009D3726">
        <w:rPr>
          <w:szCs w:val="24"/>
        </w:rPr>
        <w:t>.</w:t>
      </w:r>
      <w:r w:rsidR="0051612F" w:rsidRPr="009D3726">
        <w:rPr>
          <w:szCs w:val="24"/>
        </w:rPr>
        <w:t xml:space="preserve"> The debate whether “freedom to use” includes the “freedom to exploit minerals” in outer space is still taking place at the UNCOPUOS</w:t>
      </w:r>
      <w:r w:rsidR="00942CAC" w:rsidRPr="009D3726">
        <w:rPr>
          <w:szCs w:val="24"/>
        </w:rPr>
        <w:t xml:space="preserve"> Working Group. But currently, the prevailing and emerging consensus is that the resources </w:t>
      </w:r>
      <w:r w:rsidR="00CD1876" w:rsidRPr="009D3726">
        <w:rPr>
          <w:szCs w:val="24"/>
        </w:rPr>
        <w:t>that</w:t>
      </w:r>
      <w:r w:rsidR="00942CAC" w:rsidRPr="009D3726">
        <w:rPr>
          <w:szCs w:val="24"/>
        </w:rPr>
        <w:t xml:space="preserve"> have been extracted are capable of being appropriated (Cheney, 2025, p. 435). Art. II is focused more on the “territorial” appropriation and not the “resource appropriation”, because Art. II does not prohibit “use”, and usage of resources does not give rights of national appropriation in outer space (Cheney, 2025, p. 436). </w:t>
      </w:r>
      <w:r w:rsidR="00B828ED" w:rsidRPr="009D3726">
        <w:rPr>
          <w:szCs w:val="24"/>
        </w:rPr>
        <w:t xml:space="preserve">Given the nature of the Outer Space Treaty, it is crucial to understand </w:t>
      </w:r>
      <w:r w:rsidR="009C387F" w:rsidRPr="009D3726">
        <w:rPr>
          <w:szCs w:val="24"/>
        </w:rPr>
        <w:t xml:space="preserve">that </w:t>
      </w:r>
      <w:r w:rsidR="00B828ED" w:rsidRPr="009D3726">
        <w:rPr>
          <w:szCs w:val="24"/>
        </w:rPr>
        <w:t xml:space="preserve">the space domain </w:t>
      </w:r>
      <w:r w:rsidR="009C387F" w:rsidRPr="009D3726">
        <w:rPr>
          <w:szCs w:val="24"/>
        </w:rPr>
        <w:t xml:space="preserve">is a </w:t>
      </w:r>
      <w:r w:rsidR="006A716A" w:rsidRPr="009D3726">
        <w:rPr>
          <w:szCs w:val="24"/>
        </w:rPr>
        <w:t xml:space="preserve">global </w:t>
      </w:r>
      <w:r w:rsidR="00D121B0">
        <w:rPr>
          <w:szCs w:val="24"/>
        </w:rPr>
        <w:t>commons</w:t>
      </w:r>
      <w:r w:rsidR="00B828ED" w:rsidRPr="009D3726">
        <w:rPr>
          <w:szCs w:val="24"/>
        </w:rPr>
        <w:t xml:space="preserve"> where States are responsible for governing the interests of private actors while promoting beneficial use of resources. Any “space resource” should be seen as a usufruct since</w:t>
      </w:r>
      <w:r w:rsidR="00CD1876" w:rsidRPr="009D3726">
        <w:rPr>
          <w:szCs w:val="24"/>
        </w:rPr>
        <w:t>,</w:t>
      </w:r>
      <w:r w:rsidR="00B828ED" w:rsidRPr="009D3726">
        <w:rPr>
          <w:szCs w:val="24"/>
        </w:rPr>
        <w:t xml:space="preserve"> after severance from </w:t>
      </w:r>
      <w:r w:rsidR="00B828ED" w:rsidRPr="009D3726">
        <w:rPr>
          <w:i/>
          <w:iCs/>
          <w:szCs w:val="24"/>
        </w:rPr>
        <w:t>res nullis</w:t>
      </w:r>
      <w:r w:rsidR="00CD1876" w:rsidRPr="009D3726">
        <w:rPr>
          <w:i/>
          <w:iCs/>
          <w:szCs w:val="24"/>
        </w:rPr>
        <w:t>,</w:t>
      </w:r>
      <w:r w:rsidR="00B828ED" w:rsidRPr="009D3726">
        <w:rPr>
          <w:i/>
          <w:iCs/>
          <w:szCs w:val="24"/>
        </w:rPr>
        <w:t xml:space="preserve"> </w:t>
      </w:r>
      <w:r w:rsidR="00B828ED" w:rsidRPr="009D3726">
        <w:rPr>
          <w:szCs w:val="24"/>
        </w:rPr>
        <w:t>they come directly into the hands of private actors for the benefit of others (Kent, 2025, pp. 71-72).</w:t>
      </w:r>
      <w:r w:rsidR="002D3218" w:rsidRPr="009D3726">
        <w:rPr>
          <w:szCs w:val="24"/>
        </w:rPr>
        <w:t xml:space="preserve"> India is a signatory to the Artemis Accords, which is the most important document driving the future governance in outer space (Meggiolaro, 2025, p. 23). The principles and implications of the Accords are the key to solving the challenges of space resource extraction on celestial bodies (Meggiolaro, 2025, p. 24). </w:t>
      </w:r>
      <w:r w:rsidR="00DA24A8" w:rsidRPr="009D3726">
        <w:rPr>
          <w:szCs w:val="24"/>
        </w:rPr>
        <w:t xml:space="preserve">However tough the States have agreed </w:t>
      </w:r>
      <w:r w:rsidR="00F556FE" w:rsidRPr="009D3726">
        <w:rPr>
          <w:szCs w:val="24"/>
        </w:rPr>
        <w:t>on</w:t>
      </w:r>
      <w:r w:rsidR="00DA24A8" w:rsidRPr="009D3726">
        <w:rPr>
          <w:szCs w:val="24"/>
        </w:rPr>
        <w:t xml:space="preserve"> safety zones </w:t>
      </w:r>
      <w:r w:rsidR="00F556FE" w:rsidRPr="009D3726">
        <w:rPr>
          <w:szCs w:val="24"/>
        </w:rPr>
        <w:t xml:space="preserve">in the Artemis Accords, a kind of “keep-out sphere” can be imagined where the State and its private actors may start to utilize the resources on the celestial body for </w:t>
      </w:r>
      <w:r w:rsidR="008414E5" w:rsidRPr="009D3726">
        <w:rPr>
          <w:szCs w:val="24"/>
        </w:rPr>
        <w:t xml:space="preserve">commercial purposes, thus ensuring </w:t>
      </w:r>
      <w:r w:rsidR="00F556FE" w:rsidRPr="009D3726">
        <w:rPr>
          <w:szCs w:val="24"/>
        </w:rPr>
        <w:t xml:space="preserve">safety and protection of the space activity </w:t>
      </w:r>
      <w:r w:rsidR="00F556FE" w:rsidRPr="009D3726">
        <w:rPr>
          <w:szCs w:val="24"/>
        </w:rPr>
        <w:lastRenderedPageBreak/>
        <w:t xml:space="preserve">(Martin, 2025, p. 466). </w:t>
      </w:r>
      <w:r w:rsidR="0044428E" w:rsidRPr="009D3726">
        <w:rPr>
          <w:szCs w:val="24"/>
        </w:rPr>
        <w:t xml:space="preserve">In conclusion, the debate whether space resources can be appropriated or not has been </w:t>
      </w:r>
      <w:r w:rsidR="004673C5" w:rsidRPr="009D3726">
        <w:rPr>
          <w:szCs w:val="24"/>
        </w:rPr>
        <w:t>put to an end as per the subsequent state practices, as it can be seen that there has been an agreement amongst the State parties to the Outer Space Treaty that unilateral exploitation of space resources does not violate Art. II and is even permitted under Art. I (Su, 2025, p. 13).</w:t>
      </w:r>
    </w:p>
    <w:p w14:paraId="2C76C533" w14:textId="5629DBB3" w:rsidR="00FB6DF6" w:rsidRPr="009D3726" w:rsidRDefault="00DA24A8" w:rsidP="00C6418A">
      <w:pPr>
        <w:spacing w:line="240" w:lineRule="auto"/>
        <w:rPr>
          <w:b/>
          <w:bCs/>
          <w:szCs w:val="24"/>
          <w:lang w:val="en-US"/>
        </w:rPr>
      </w:pPr>
      <w:r w:rsidRPr="009D3726">
        <w:rPr>
          <w:b/>
          <w:bCs/>
          <w:szCs w:val="24"/>
          <w:lang w:val="en-US"/>
        </w:rPr>
        <w:t xml:space="preserve">NATURE OF RIGHTS GIVEN UNDER </w:t>
      </w:r>
      <w:r w:rsidR="008E17F9" w:rsidRPr="009D3726">
        <w:rPr>
          <w:b/>
          <w:bCs/>
          <w:szCs w:val="24"/>
          <w:lang w:val="en-US"/>
        </w:rPr>
        <w:t xml:space="preserve">SPACE RESOURCE LEGISLATIONS </w:t>
      </w:r>
      <w:r w:rsidR="00341299" w:rsidRPr="009D3726">
        <w:rPr>
          <w:b/>
          <w:bCs/>
          <w:szCs w:val="24"/>
          <w:lang w:val="en-US"/>
        </w:rPr>
        <w:t>OF</w:t>
      </w:r>
      <w:r w:rsidR="008E17F9" w:rsidRPr="009D3726">
        <w:rPr>
          <w:b/>
          <w:bCs/>
          <w:szCs w:val="24"/>
          <w:lang w:val="en-US"/>
        </w:rPr>
        <w:t xml:space="preserve"> THE US, LUXEMBOURG,</w:t>
      </w:r>
      <w:r w:rsidR="00E406C8" w:rsidRPr="009D3726">
        <w:rPr>
          <w:b/>
          <w:bCs/>
          <w:szCs w:val="24"/>
          <w:lang w:val="en-US"/>
        </w:rPr>
        <w:t xml:space="preserve"> JAPAN AND UAE </w:t>
      </w:r>
    </w:p>
    <w:p w14:paraId="5BFA6F61" w14:textId="6CA96086" w:rsidR="001E64FB" w:rsidRPr="009D3726" w:rsidRDefault="001E64FB" w:rsidP="00C6418A">
      <w:pPr>
        <w:spacing w:line="240" w:lineRule="auto"/>
        <w:rPr>
          <w:szCs w:val="24"/>
        </w:rPr>
      </w:pPr>
      <w:r w:rsidRPr="009D3726">
        <w:rPr>
          <w:szCs w:val="24"/>
          <w:lang w:val="en-US"/>
        </w:rPr>
        <w:t xml:space="preserve">The United States </w:t>
      </w:r>
      <w:r w:rsidR="00DA24A8" w:rsidRPr="009D3726">
        <w:rPr>
          <w:szCs w:val="24"/>
          <w:lang w:val="en-US"/>
        </w:rPr>
        <w:t xml:space="preserve">has enacted the </w:t>
      </w:r>
      <w:r w:rsidR="004673C5" w:rsidRPr="009D3726">
        <w:rPr>
          <w:szCs w:val="24"/>
          <w:lang w:val="en-US"/>
        </w:rPr>
        <w:t>USCSLCA (“United States Commercial Space Launch Competitiveness Act, 2015”)</w:t>
      </w:r>
      <w:r w:rsidR="004249FF" w:rsidRPr="009D3726">
        <w:rPr>
          <w:szCs w:val="24"/>
          <w:lang w:val="en-US"/>
        </w:rPr>
        <w:t xml:space="preserve">, </w:t>
      </w:r>
      <w:r w:rsidR="004249FF" w:rsidRPr="009D3726">
        <w:rPr>
          <w:szCs w:val="24"/>
        </w:rPr>
        <w:t>gives US citizen “</w:t>
      </w:r>
      <w:r w:rsidR="004249FF" w:rsidRPr="009D3726">
        <w:rPr>
          <w:i/>
          <w:iCs/>
          <w:szCs w:val="24"/>
        </w:rPr>
        <w:t>engaged in commercial recovery of an asteroid resource or a space resource under this chapter shall be entitled to any asteroid resource or space resource obtained, including to possess, own, transport, use, and sell the asteroid resource or space resource obtained in accordance with applicable law, including the international obligations of the United States</w:t>
      </w:r>
      <w:r w:rsidR="004249FF" w:rsidRPr="009D3726">
        <w:rPr>
          <w:szCs w:val="24"/>
        </w:rPr>
        <w:t>” (§ 51303, USCSLCA).</w:t>
      </w:r>
      <w:r w:rsidR="004C4189" w:rsidRPr="009D3726">
        <w:rPr>
          <w:szCs w:val="24"/>
        </w:rPr>
        <w:t xml:space="preserve"> Based on a plain reading, it seems that the legislation is allowing space resource </w:t>
      </w:r>
      <w:r w:rsidR="00276D06" w:rsidRPr="009D3726">
        <w:rPr>
          <w:szCs w:val="24"/>
        </w:rPr>
        <w:t>utilisation</w:t>
      </w:r>
      <w:r w:rsidR="004C4189" w:rsidRPr="009D3726">
        <w:rPr>
          <w:szCs w:val="24"/>
        </w:rPr>
        <w:t xml:space="preserve"> </w:t>
      </w:r>
      <w:r w:rsidR="00276D06" w:rsidRPr="009D3726">
        <w:rPr>
          <w:szCs w:val="24"/>
        </w:rPr>
        <w:t xml:space="preserve">for discouraging a government barrier for the development of industries engaged in the commercial exploration and recovery of space resources consistent with the international obligations of </w:t>
      </w:r>
      <w:r w:rsidR="00696052" w:rsidRPr="009D3726">
        <w:rPr>
          <w:szCs w:val="24"/>
        </w:rPr>
        <w:t xml:space="preserve">the </w:t>
      </w:r>
      <w:r w:rsidR="00276D06" w:rsidRPr="009D3726">
        <w:rPr>
          <w:szCs w:val="24"/>
        </w:rPr>
        <w:t xml:space="preserve">U.S. </w:t>
      </w:r>
      <w:r w:rsidR="00696052" w:rsidRPr="009D3726">
        <w:rPr>
          <w:szCs w:val="24"/>
        </w:rPr>
        <w:t xml:space="preserve">(Richards, 2015). </w:t>
      </w:r>
      <w:r w:rsidR="00FF4526" w:rsidRPr="009D3726">
        <w:rPr>
          <w:szCs w:val="24"/>
        </w:rPr>
        <w:t xml:space="preserve">There is a difference between </w:t>
      </w:r>
      <w:r w:rsidR="00FF4526" w:rsidRPr="009D3726">
        <w:rPr>
          <w:i/>
          <w:iCs/>
          <w:szCs w:val="24"/>
        </w:rPr>
        <w:t xml:space="preserve">res extra commercium </w:t>
      </w:r>
      <w:r w:rsidR="00FF4526" w:rsidRPr="009D3726">
        <w:rPr>
          <w:szCs w:val="24"/>
        </w:rPr>
        <w:t xml:space="preserve">and </w:t>
      </w:r>
      <w:r w:rsidR="00FF4526" w:rsidRPr="009D3726">
        <w:rPr>
          <w:i/>
          <w:iCs/>
          <w:szCs w:val="24"/>
        </w:rPr>
        <w:t xml:space="preserve">fructus; </w:t>
      </w:r>
      <w:r w:rsidR="00FF4526" w:rsidRPr="009D3726">
        <w:rPr>
          <w:szCs w:val="24"/>
        </w:rPr>
        <w:t xml:space="preserve">the celestial body is </w:t>
      </w:r>
      <w:r w:rsidR="00FF4526" w:rsidRPr="009D3726">
        <w:rPr>
          <w:i/>
          <w:iCs/>
          <w:szCs w:val="24"/>
        </w:rPr>
        <w:t>res extra commercium,</w:t>
      </w:r>
      <w:r w:rsidR="00FF4526" w:rsidRPr="009D3726">
        <w:rPr>
          <w:szCs w:val="24"/>
        </w:rPr>
        <w:t xml:space="preserve"> which cannot be subjected to ownership; however, the extracted resource, once recovered, can be owned</w:t>
      </w:r>
      <w:r w:rsidR="00341299" w:rsidRPr="009D3726">
        <w:rPr>
          <w:szCs w:val="24"/>
        </w:rPr>
        <w:t xml:space="preserve"> i.e. the </w:t>
      </w:r>
      <w:r w:rsidR="00341299" w:rsidRPr="009D3726">
        <w:rPr>
          <w:i/>
          <w:iCs/>
          <w:szCs w:val="24"/>
        </w:rPr>
        <w:t>fructus</w:t>
      </w:r>
      <w:r w:rsidR="00C64297" w:rsidRPr="009D3726">
        <w:rPr>
          <w:szCs w:val="24"/>
        </w:rPr>
        <w:t xml:space="preserve"> (Blount &amp; Robinson, 2016, p. 176)</w:t>
      </w:r>
      <w:r w:rsidR="00FF4526" w:rsidRPr="009D3726">
        <w:rPr>
          <w:szCs w:val="24"/>
        </w:rPr>
        <w:t xml:space="preserve">. </w:t>
      </w:r>
      <w:r w:rsidR="007E5B91" w:rsidRPr="009D3726">
        <w:rPr>
          <w:szCs w:val="24"/>
        </w:rPr>
        <w:t xml:space="preserve">The nature of this right to mine space </w:t>
      </w:r>
      <w:r w:rsidR="00A45864" w:rsidRPr="009D3726">
        <w:rPr>
          <w:szCs w:val="24"/>
        </w:rPr>
        <w:t>resources</w:t>
      </w:r>
      <w:r w:rsidR="007E5B91" w:rsidRPr="009D3726">
        <w:rPr>
          <w:szCs w:val="24"/>
        </w:rPr>
        <w:t xml:space="preserve"> is similar to fishing rights on high seas</w:t>
      </w:r>
      <w:r w:rsidR="00A45864" w:rsidRPr="009D3726">
        <w:rPr>
          <w:szCs w:val="24"/>
        </w:rPr>
        <w:t>,</w:t>
      </w:r>
      <w:r w:rsidR="007E5B91" w:rsidRPr="009D3726">
        <w:rPr>
          <w:szCs w:val="24"/>
        </w:rPr>
        <w:t xml:space="preserve"> where the fisherman cannot own the ocean</w:t>
      </w:r>
      <w:r w:rsidR="00A45864" w:rsidRPr="009D3726">
        <w:rPr>
          <w:szCs w:val="24"/>
        </w:rPr>
        <w:t>,</w:t>
      </w:r>
      <w:r w:rsidR="007E5B91" w:rsidRPr="009D3726">
        <w:rPr>
          <w:szCs w:val="24"/>
        </w:rPr>
        <w:t xml:space="preserve"> but he can own the fish extracted out of the ocea</w:t>
      </w:r>
      <w:r w:rsidR="00A45864" w:rsidRPr="009D3726">
        <w:rPr>
          <w:szCs w:val="24"/>
        </w:rPr>
        <w:t>n, as argued by Luxembourg in its legislation (Palkovitz, 2017, para 4(b)). A close analysis of the “possess, own, transport, use and sell” shows that ownership of space resources is not complete ownership, but instead it is a bundle of rights, and this can be described as a “functional ownership”</w:t>
      </w:r>
      <w:r w:rsidR="00552A89" w:rsidRPr="009D3726">
        <w:rPr>
          <w:szCs w:val="24"/>
        </w:rPr>
        <w:t xml:space="preserve"> which can be administered through cooperation in accordance with international obligations of United States and maybe after the </w:t>
      </w:r>
      <w:r w:rsidR="00805D37" w:rsidRPr="009D3726">
        <w:rPr>
          <w:szCs w:val="24"/>
        </w:rPr>
        <w:t>creation</w:t>
      </w:r>
      <w:r w:rsidR="00552A89" w:rsidRPr="009D3726">
        <w:rPr>
          <w:szCs w:val="24"/>
        </w:rPr>
        <w:t xml:space="preserve"> of a “global planning and management system” (Stec, 2010, p. 386)</w:t>
      </w:r>
      <w:r w:rsidR="00A45864" w:rsidRPr="009D3726">
        <w:rPr>
          <w:szCs w:val="24"/>
        </w:rPr>
        <w:t xml:space="preserve">. </w:t>
      </w:r>
      <w:r w:rsidR="00950D0F" w:rsidRPr="009D3726">
        <w:rPr>
          <w:szCs w:val="24"/>
        </w:rPr>
        <w:t xml:space="preserve">Though the CSCLA cannot be operationalized and lacks the technology, the recognition of property rights aims towards the creation of a legal environment </w:t>
      </w:r>
      <w:r w:rsidR="008B1CF0" w:rsidRPr="009D3726">
        <w:rPr>
          <w:szCs w:val="24"/>
        </w:rPr>
        <w:t>that</w:t>
      </w:r>
      <w:r w:rsidR="00950D0F" w:rsidRPr="009D3726">
        <w:rPr>
          <w:szCs w:val="24"/>
        </w:rPr>
        <w:t xml:space="preserve"> supports the space mining industry for attracting the technological and financial investments (McKellar, 2017, p. 105). </w:t>
      </w:r>
    </w:p>
    <w:p w14:paraId="5E9F16D0" w14:textId="4CF14291" w:rsidR="00A12141" w:rsidRPr="009D3726" w:rsidRDefault="00A12141" w:rsidP="00C6418A">
      <w:pPr>
        <w:spacing w:line="240" w:lineRule="auto"/>
        <w:rPr>
          <w:szCs w:val="24"/>
        </w:rPr>
      </w:pPr>
      <w:r w:rsidRPr="009D3726">
        <w:rPr>
          <w:szCs w:val="24"/>
        </w:rPr>
        <w:t>Luxembourg</w:t>
      </w:r>
      <w:r w:rsidR="00371CC5" w:rsidRPr="009D3726">
        <w:rPr>
          <w:szCs w:val="24"/>
        </w:rPr>
        <w:t>,</w:t>
      </w:r>
      <w:r w:rsidRPr="009D3726">
        <w:rPr>
          <w:szCs w:val="24"/>
        </w:rPr>
        <w:t xml:space="preserve"> on the other hand</w:t>
      </w:r>
      <w:r w:rsidR="00371CC5" w:rsidRPr="009D3726">
        <w:rPr>
          <w:szCs w:val="24"/>
        </w:rPr>
        <w:t>,</w:t>
      </w:r>
      <w:r w:rsidRPr="009D3726">
        <w:rPr>
          <w:szCs w:val="24"/>
        </w:rPr>
        <w:t xml:space="preserve"> has enacted the “Law of </w:t>
      </w:r>
      <w:r w:rsidR="00371CC5" w:rsidRPr="009D3726">
        <w:rPr>
          <w:szCs w:val="24"/>
        </w:rPr>
        <w:t>July 20</w:t>
      </w:r>
      <w:r w:rsidR="00371CC5" w:rsidRPr="009D3726">
        <w:rPr>
          <w:szCs w:val="24"/>
          <w:vertAlign w:val="superscript"/>
        </w:rPr>
        <w:t>th</w:t>
      </w:r>
      <w:r w:rsidR="00371CC5" w:rsidRPr="009D3726">
        <w:rPr>
          <w:szCs w:val="24"/>
        </w:rPr>
        <w:t xml:space="preserve">, 2017 on the Exploration and Use of Space Resources”. Art. I </w:t>
      </w:r>
      <w:r w:rsidR="008B1CF0" w:rsidRPr="009D3726">
        <w:rPr>
          <w:szCs w:val="24"/>
        </w:rPr>
        <w:t>am</w:t>
      </w:r>
      <w:r w:rsidR="00371CC5" w:rsidRPr="009D3726">
        <w:rPr>
          <w:szCs w:val="24"/>
        </w:rPr>
        <w:t xml:space="preserve"> clearly stating that “</w:t>
      </w:r>
      <w:r w:rsidR="00371CC5" w:rsidRPr="009D3726">
        <w:rPr>
          <w:i/>
          <w:iCs/>
          <w:szCs w:val="24"/>
        </w:rPr>
        <w:t>space resources are capable of being owned</w:t>
      </w:r>
      <w:r w:rsidR="00371CC5" w:rsidRPr="009D3726">
        <w:rPr>
          <w:szCs w:val="24"/>
        </w:rPr>
        <w:t>”, according to ÜNÜVAR (2025), that the legislation is making it clear that the commercial operators of Luxembourg who extracted space resources are subjects of property rights under Luxembourg law (ÜNÜVAR, 2025, p.</w:t>
      </w:r>
      <w:r w:rsidR="002E1A7F" w:rsidRPr="009D3726">
        <w:rPr>
          <w:szCs w:val="24"/>
        </w:rPr>
        <w:t xml:space="preserve"> </w:t>
      </w:r>
      <w:r w:rsidR="00371CC5" w:rsidRPr="009D3726">
        <w:rPr>
          <w:szCs w:val="24"/>
        </w:rPr>
        <w:t>274). However, the Luxembourg legislation has failed to distinguish between the primary space resource and its incidental by-products, and the “use” of the space resource has not been defined either.</w:t>
      </w:r>
      <w:r w:rsidR="008B1CF0" w:rsidRPr="009D3726">
        <w:rPr>
          <w:szCs w:val="24"/>
        </w:rPr>
        <w:t xml:space="preserve"> </w:t>
      </w:r>
      <w:r w:rsidR="002E1A7F" w:rsidRPr="009D3726">
        <w:rPr>
          <w:szCs w:val="24"/>
        </w:rPr>
        <w:t>Just like the United States, the Luxembourg law is more declaratory regarding property rights that private entities may exploit and appropriate space resources (Ferreira-Snyman, 2022, pp. 21-22). Thus, the Luxembourg law is more declaratory, worded as if the law is not creating a property right, but instead it is already declaring a “pre-existing” right (</w:t>
      </w:r>
      <w:r w:rsidR="002E1A7F" w:rsidRPr="009D3726">
        <w:rPr>
          <w:i/>
          <w:iCs/>
          <w:szCs w:val="24"/>
        </w:rPr>
        <w:t>Declaration</w:t>
      </w:r>
      <w:r w:rsidR="002E1A7F" w:rsidRPr="009D3726">
        <w:rPr>
          <w:szCs w:val="24"/>
        </w:rPr>
        <w:t>, n.d.</w:t>
      </w:r>
      <w:r w:rsidR="005E0545" w:rsidRPr="009D3726">
        <w:rPr>
          <w:szCs w:val="24"/>
        </w:rPr>
        <w:t xml:space="preserve">, para </w:t>
      </w:r>
      <w:r w:rsidR="00C800F5" w:rsidRPr="009D3726">
        <w:rPr>
          <w:szCs w:val="24"/>
        </w:rPr>
        <w:t>B(</w:t>
      </w:r>
      <w:r w:rsidR="005E0545" w:rsidRPr="009D3726">
        <w:rPr>
          <w:szCs w:val="24"/>
        </w:rPr>
        <w:t>4)</w:t>
      </w:r>
      <w:r w:rsidR="002E1A7F" w:rsidRPr="009D3726">
        <w:rPr>
          <w:szCs w:val="24"/>
        </w:rPr>
        <w:t>).</w:t>
      </w:r>
      <w:r w:rsidR="005E0545" w:rsidRPr="009D3726">
        <w:rPr>
          <w:szCs w:val="24"/>
        </w:rPr>
        <w:t xml:space="preserve"> The right given to US citizens is a more activity-based right, whereas the Luxembourg right is a more property-focused right where the resource itself has the status of private property (Guyomarc’h, 2023, p. 85). </w:t>
      </w:r>
      <w:r w:rsidR="008B1CF0" w:rsidRPr="009D3726">
        <w:rPr>
          <w:szCs w:val="24"/>
        </w:rPr>
        <w:t>After analysing the 2017 law, it is clear that the major objective was to attract investment</w:t>
      </w:r>
      <w:r w:rsidR="00E3153A" w:rsidRPr="009D3726">
        <w:rPr>
          <w:szCs w:val="24"/>
        </w:rPr>
        <w:t>, create favourable conditions for the development of the space industry</w:t>
      </w:r>
      <w:r w:rsidR="008B1CF0" w:rsidRPr="009D3726">
        <w:rPr>
          <w:szCs w:val="24"/>
        </w:rPr>
        <w:t xml:space="preserve"> with respect to the development of natural resources of celestial bodies and to develop the technical aspects of national outer space activities (Vylegzhanin &amp; Krokhina, 2025, p. 474)</w:t>
      </w:r>
      <w:r w:rsidR="00E3153A" w:rsidRPr="009D3726">
        <w:rPr>
          <w:szCs w:val="24"/>
        </w:rPr>
        <w:t xml:space="preserve">. </w:t>
      </w:r>
    </w:p>
    <w:p w14:paraId="0B4BE449" w14:textId="731516FA" w:rsidR="00E74E5F" w:rsidRPr="009D3726" w:rsidRDefault="00E74E5F" w:rsidP="00C6418A">
      <w:pPr>
        <w:spacing w:line="240" w:lineRule="auto"/>
        <w:rPr>
          <w:szCs w:val="24"/>
        </w:rPr>
      </w:pPr>
      <w:r w:rsidRPr="009D3726">
        <w:rPr>
          <w:szCs w:val="24"/>
          <w:lang w:val="en-US"/>
        </w:rPr>
        <w:lastRenderedPageBreak/>
        <w:t xml:space="preserve">In the year 2021, Japan enacted the </w:t>
      </w:r>
      <w:r w:rsidR="00C800F5" w:rsidRPr="009D3726">
        <w:rPr>
          <w:szCs w:val="24"/>
          <w:lang w:val="en-US"/>
        </w:rPr>
        <w:t>APBAREDSR (“</w:t>
      </w:r>
      <w:r w:rsidR="00C800F5" w:rsidRPr="009D3726">
        <w:rPr>
          <w:szCs w:val="24"/>
        </w:rPr>
        <w:t>Act on the Promotion of Business Activities Related to the Exploration and Development of Space Resources”), Art. 5 clearly states that “</w:t>
      </w:r>
      <w:r w:rsidR="00C800F5" w:rsidRPr="009D3726">
        <w:rPr>
          <w:i/>
          <w:iCs/>
          <w:szCs w:val="24"/>
        </w:rPr>
        <w:t>A person who conducts business activities related to the exploration and development of space resources shall acquire the ownership of space resources that have been mined, etc. in accordance with the business activity plan pertaining to the license, etc. for the exploration and development of space resources, by possessing said space resources with the intention to own</w:t>
      </w:r>
      <w:r w:rsidR="00C800F5" w:rsidRPr="009D3726">
        <w:rPr>
          <w:szCs w:val="24"/>
        </w:rPr>
        <w:t xml:space="preserve">”. </w:t>
      </w:r>
      <w:r w:rsidR="00351156" w:rsidRPr="009D3726">
        <w:rPr>
          <w:szCs w:val="24"/>
        </w:rPr>
        <w:t>The legal nature of the right given by the Japanese legislation is distinct from U.S. and Luxembourg because it is grounded in the roman law concept of “occupatio” that means something which belongs to nobody can be claimed after occupation</w:t>
      </w:r>
      <w:r w:rsidR="00BE01CC" w:rsidRPr="009D3726">
        <w:rPr>
          <w:szCs w:val="24"/>
        </w:rPr>
        <w:t xml:space="preserve"> (Synder, 1992, p. 1876)</w:t>
      </w:r>
      <w:r w:rsidR="00351156" w:rsidRPr="009D3726">
        <w:rPr>
          <w:szCs w:val="24"/>
        </w:rPr>
        <w:t>. The phrase “</w:t>
      </w:r>
      <w:r w:rsidR="00351156" w:rsidRPr="009D3726">
        <w:rPr>
          <w:i/>
          <w:iCs/>
          <w:szCs w:val="24"/>
        </w:rPr>
        <w:t>by possessing said space resources with the intention to own</w:t>
      </w:r>
      <w:r w:rsidR="00351156" w:rsidRPr="009D3726">
        <w:rPr>
          <w:szCs w:val="24"/>
        </w:rPr>
        <w:t>” is mirroring Art. 239 of the Civil Code of Japan which states that “thing without an owner” (res nullis), the ownership of such a thing is</w:t>
      </w:r>
      <w:r w:rsidR="00BE01CC" w:rsidRPr="009D3726">
        <w:rPr>
          <w:szCs w:val="24"/>
        </w:rPr>
        <w:t xml:space="preserve"> acquired when there is possession of that thing with the intention to own it. Thus, the Japanese construe space resource as </w:t>
      </w:r>
      <w:r w:rsidR="00BE01CC" w:rsidRPr="009D3726">
        <w:rPr>
          <w:i/>
          <w:iCs/>
          <w:szCs w:val="24"/>
        </w:rPr>
        <w:t xml:space="preserve">res nullis </w:t>
      </w:r>
      <w:r w:rsidR="00BE01CC" w:rsidRPr="009D3726">
        <w:rPr>
          <w:szCs w:val="24"/>
        </w:rPr>
        <w:t xml:space="preserve">and not as </w:t>
      </w:r>
      <w:r w:rsidR="00BE01CC" w:rsidRPr="009D3726">
        <w:rPr>
          <w:i/>
          <w:iCs/>
          <w:szCs w:val="24"/>
        </w:rPr>
        <w:t>res communis</w:t>
      </w:r>
      <w:r w:rsidR="00BE01CC" w:rsidRPr="009D3726">
        <w:rPr>
          <w:szCs w:val="24"/>
        </w:rPr>
        <w:t xml:space="preserve"> by fictionalising it as a “movable property” which can be separated from the celestial body. </w:t>
      </w:r>
      <w:r w:rsidR="004C4EBE" w:rsidRPr="009D3726">
        <w:rPr>
          <w:szCs w:val="24"/>
        </w:rPr>
        <w:t xml:space="preserve">Compared to the U.S. approach, where the right to space resources is seen as an “entitlement”, the Japanese approach of granting a legal right is more administratively conditional </w:t>
      </w:r>
      <w:r w:rsidR="008B799A" w:rsidRPr="009D3726">
        <w:rPr>
          <w:szCs w:val="24"/>
        </w:rPr>
        <w:t xml:space="preserve">because of the phrase “in accordance with the business activity plan”, where the ownership of the resource is acquired only after extraction in accordance with the administratively approved business activity plan, thus the right granted is conditional. </w:t>
      </w:r>
      <w:r w:rsidR="00290DD3" w:rsidRPr="009D3726">
        <w:rPr>
          <w:szCs w:val="24"/>
        </w:rPr>
        <w:t xml:space="preserve">The Japanese </w:t>
      </w:r>
      <w:r w:rsidR="00177C8D" w:rsidRPr="009D3726">
        <w:rPr>
          <w:szCs w:val="24"/>
        </w:rPr>
        <w:t xml:space="preserve">space resource </w:t>
      </w:r>
      <w:r w:rsidR="00290DD3" w:rsidRPr="009D3726">
        <w:rPr>
          <w:szCs w:val="24"/>
        </w:rPr>
        <w:t xml:space="preserve">rights are conditional because there is a need to fulfil a conditional precedent for the right to accrue in favour of a citizen, which is why it is a conditional right (Levin, 1989, pp. 212-213). Upon closer analysis, it appears that the Japanese approach is cautious, as it seeks to minimise conflict with the Outer Space Treaty, while simultaneously incorporating an indigenous concept of “occupatio” and developing a distinct interpretation of Art. I and II of the Outer Space Treaty. </w:t>
      </w:r>
    </w:p>
    <w:p w14:paraId="1EFFC484" w14:textId="2A2B0514" w:rsidR="00DB0294" w:rsidRPr="009D3726" w:rsidRDefault="00FF1A42" w:rsidP="00C6418A">
      <w:pPr>
        <w:spacing w:line="240" w:lineRule="auto"/>
        <w:rPr>
          <w:szCs w:val="24"/>
        </w:rPr>
      </w:pPr>
      <w:r w:rsidRPr="009D3726">
        <w:rPr>
          <w:szCs w:val="24"/>
        </w:rPr>
        <w:t xml:space="preserve">The UAE has issued a Cabinet Resolution (No. 28 of 2023) in accordance with the Federal Law No. 12 of 2019, whereas </w:t>
      </w:r>
      <w:r w:rsidR="004528BF" w:rsidRPr="009D3726">
        <w:rPr>
          <w:szCs w:val="24"/>
        </w:rPr>
        <w:t>Art</w:t>
      </w:r>
      <w:r w:rsidRPr="009D3726">
        <w:rPr>
          <w:szCs w:val="24"/>
        </w:rPr>
        <w:t xml:space="preserve">. 7 of the 2023 resolution clearly discusses the ownership rights over space resources. </w:t>
      </w:r>
      <w:r w:rsidR="004528BF" w:rsidRPr="009D3726">
        <w:rPr>
          <w:szCs w:val="24"/>
        </w:rPr>
        <w:t>The nature of the rights given by the UAE over space resources is showing a kind of “hybrid model” as it combines the commercial flexibility of the US approach, along with the administrative state-centric control exhibited by Japan and Luxembourg</w:t>
      </w:r>
      <w:r w:rsidR="00FC3D60" w:rsidRPr="009D3726">
        <w:rPr>
          <w:szCs w:val="24"/>
        </w:rPr>
        <w:t xml:space="preserve">, but emphasizing on the “service-based” rights </w:t>
      </w:r>
      <w:r w:rsidR="004528BF" w:rsidRPr="009D3726">
        <w:rPr>
          <w:szCs w:val="24"/>
        </w:rPr>
        <w:t>(Moustafa Aldabousi, 2025, p. 429</w:t>
      </w:r>
      <w:r w:rsidR="008A44C0" w:rsidRPr="009D3726">
        <w:rPr>
          <w:szCs w:val="24"/>
        </w:rPr>
        <w:t>; Jeong, 2023;</w:t>
      </w:r>
      <w:r w:rsidR="00FC3D60" w:rsidRPr="009D3726">
        <w:rPr>
          <w:szCs w:val="24"/>
        </w:rPr>
        <w:t xml:space="preserve"> Giannoni-Crystal, 2025</w:t>
      </w:r>
      <w:r w:rsidR="008A44C0" w:rsidRPr="009D3726">
        <w:rPr>
          <w:szCs w:val="24"/>
        </w:rPr>
        <w:t>)</w:t>
      </w:r>
      <w:r w:rsidR="004528BF" w:rsidRPr="009D3726">
        <w:rPr>
          <w:szCs w:val="24"/>
        </w:rPr>
        <w:t xml:space="preserve">. </w:t>
      </w:r>
      <w:r w:rsidR="00B6144B" w:rsidRPr="009D3726">
        <w:rPr>
          <w:szCs w:val="24"/>
        </w:rPr>
        <w:t>The phrase “as authorized by agency” is acting as the trigger for the right to accrue to the citizen</w:t>
      </w:r>
      <w:r w:rsidR="00016924" w:rsidRPr="009D3726">
        <w:rPr>
          <w:szCs w:val="24"/>
        </w:rPr>
        <w:t>;</w:t>
      </w:r>
      <w:r w:rsidR="00B6144B" w:rsidRPr="009D3726">
        <w:rPr>
          <w:szCs w:val="24"/>
        </w:rPr>
        <w:t xml:space="preserve"> this is interpreted as </w:t>
      </w:r>
      <w:r w:rsidR="00DE0C56" w:rsidRPr="009D3726">
        <w:rPr>
          <w:szCs w:val="24"/>
        </w:rPr>
        <w:t>a company</w:t>
      </w:r>
      <w:r w:rsidR="00B6144B" w:rsidRPr="009D3726">
        <w:rPr>
          <w:szCs w:val="24"/>
        </w:rPr>
        <w:t xml:space="preserve"> does not have the right to own </w:t>
      </w:r>
      <w:r w:rsidR="00016924" w:rsidRPr="009D3726">
        <w:rPr>
          <w:szCs w:val="24"/>
        </w:rPr>
        <w:t>resources</w:t>
      </w:r>
      <w:r w:rsidR="00B6144B" w:rsidRPr="009D3726">
        <w:rPr>
          <w:szCs w:val="24"/>
        </w:rPr>
        <w:t xml:space="preserve"> because it extracted them</w:t>
      </w:r>
      <w:r w:rsidR="00016924" w:rsidRPr="009D3726">
        <w:rPr>
          <w:szCs w:val="24"/>
        </w:rPr>
        <w:t>,</w:t>
      </w:r>
      <w:r w:rsidR="00B6144B" w:rsidRPr="009D3726">
        <w:rPr>
          <w:szCs w:val="24"/>
        </w:rPr>
        <w:t xml:space="preserve"> but because the UAE Space Agency granted it via </w:t>
      </w:r>
      <w:r w:rsidR="00016924" w:rsidRPr="009D3726">
        <w:rPr>
          <w:szCs w:val="24"/>
        </w:rPr>
        <w:t xml:space="preserve">a </w:t>
      </w:r>
      <w:r w:rsidR="00B6144B" w:rsidRPr="009D3726">
        <w:rPr>
          <w:szCs w:val="24"/>
        </w:rPr>
        <w:t>specific permit. Art. 7. Which is a permit-based mechanism</w:t>
      </w:r>
      <w:r w:rsidR="00016924" w:rsidRPr="009D3726">
        <w:rPr>
          <w:szCs w:val="24"/>
        </w:rPr>
        <w:t>,</w:t>
      </w:r>
      <w:r w:rsidR="00B6144B" w:rsidRPr="009D3726">
        <w:rPr>
          <w:szCs w:val="24"/>
        </w:rPr>
        <w:t xml:space="preserve"> has changed the status of a “freedom” (USCSLCA) to a “statutory privilege”</w:t>
      </w:r>
      <w:r w:rsidR="00016924" w:rsidRPr="009D3726">
        <w:rPr>
          <w:szCs w:val="24"/>
        </w:rPr>
        <w:t>,</w:t>
      </w:r>
      <w:r w:rsidR="00B6144B" w:rsidRPr="009D3726">
        <w:rPr>
          <w:szCs w:val="24"/>
        </w:rPr>
        <w:t xml:space="preserve"> i.e. projection of a contrast </w:t>
      </w:r>
      <w:r w:rsidR="00DE0C56" w:rsidRPr="009D3726">
        <w:rPr>
          <w:szCs w:val="24"/>
        </w:rPr>
        <w:t xml:space="preserve">where the resolution is openly granting benefits of space resource to </w:t>
      </w:r>
      <w:r w:rsidR="00016924" w:rsidRPr="009D3726">
        <w:rPr>
          <w:szCs w:val="24"/>
        </w:rPr>
        <w:t>those</w:t>
      </w:r>
      <w:r w:rsidR="00DE0C56" w:rsidRPr="009D3726">
        <w:rPr>
          <w:szCs w:val="24"/>
        </w:rPr>
        <w:t xml:space="preserve"> who extract permit-based resource</w:t>
      </w:r>
      <w:r w:rsidR="00016924" w:rsidRPr="009D3726">
        <w:rPr>
          <w:szCs w:val="24"/>
        </w:rPr>
        <w:t>,</w:t>
      </w:r>
      <w:r w:rsidR="00DE0C56" w:rsidRPr="009D3726">
        <w:rPr>
          <w:szCs w:val="24"/>
        </w:rPr>
        <w:t xml:space="preserve"> thus making it a constitutive right (Mitnick, 2000, p. 198). The feature of constitutive right is that the nature of the right is highly constrained and is a normatively ambiguous right similar to a “licence-based” right (Mitnick, 2000, p. 200).</w:t>
      </w:r>
      <w:r w:rsidR="001D36E0" w:rsidRPr="009D3726">
        <w:rPr>
          <w:szCs w:val="24"/>
        </w:rPr>
        <w:t xml:space="preserve"> The right is “service-oriented” by inclusion of the phrase “</w:t>
      </w:r>
      <w:r w:rsidR="001D36E0" w:rsidRPr="009D3726">
        <w:rPr>
          <w:i/>
          <w:iCs/>
          <w:szCs w:val="24"/>
        </w:rPr>
        <w:t>space activities intended to provide logistics services</w:t>
      </w:r>
      <w:r w:rsidR="001D36E0" w:rsidRPr="009D3726">
        <w:rPr>
          <w:szCs w:val="24"/>
        </w:rPr>
        <w:t xml:space="preserve">” because </w:t>
      </w:r>
      <w:r w:rsidR="00016924" w:rsidRPr="009D3726">
        <w:rPr>
          <w:szCs w:val="24"/>
        </w:rPr>
        <w:t xml:space="preserve">the </w:t>
      </w:r>
      <w:r w:rsidR="001D36E0" w:rsidRPr="009D3726">
        <w:rPr>
          <w:szCs w:val="24"/>
        </w:rPr>
        <w:t>US and Luxembourg focus on the extraction</w:t>
      </w:r>
      <w:r w:rsidR="00016924" w:rsidRPr="009D3726">
        <w:rPr>
          <w:szCs w:val="24"/>
        </w:rPr>
        <w:t>,</w:t>
      </w:r>
      <w:r w:rsidR="001D36E0" w:rsidRPr="009D3726">
        <w:rPr>
          <w:szCs w:val="24"/>
        </w:rPr>
        <w:t xml:space="preserve"> whereas </w:t>
      </w:r>
      <w:r w:rsidR="00016924" w:rsidRPr="009D3726">
        <w:rPr>
          <w:szCs w:val="24"/>
        </w:rPr>
        <w:t xml:space="preserve">the </w:t>
      </w:r>
      <w:r w:rsidR="001D36E0" w:rsidRPr="009D3726">
        <w:rPr>
          <w:szCs w:val="24"/>
        </w:rPr>
        <w:t>UAE extends to the logistics provider (transport, storage, and fuel depots). This “service-oriented” inclusion is a transactional right because a transactional right is a kind of moral right</w:t>
      </w:r>
      <w:r w:rsidR="00016924" w:rsidRPr="009D3726">
        <w:rPr>
          <w:szCs w:val="24"/>
        </w:rPr>
        <w:t>. After all,</w:t>
      </w:r>
      <w:r w:rsidR="001D36E0" w:rsidRPr="009D3726">
        <w:rPr>
          <w:szCs w:val="24"/>
        </w:rPr>
        <w:t xml:space="preserve"> it </w:t>
      </w:r>
      <w:r w:rsidR="00016924" w:rsidRPr="009D3726">
        <w:rPr>
          <w:szCs w:val="24"/>
        </w:rPr>
        <w:t>arises</w:t>
      </w:r>
      <w:r w:rsidR="001D36E0" w:rsidRPr="009D3726">
        <w:rPr>
          <w:szCs w:val="24"/>
        </w:rPr>
        <w:t xml:space="preserve"> from a transaction such as </w:t>
      </w:r>
      <w:r w:rsidR="00016924" w:rsidRPr="009D3726">
        <w:rPr>
          <w:szCs w:val="24"/>
        </w:rPr>
        <w:t xml:space="preserve">a </w:t>
      </w:r>
      <w:r w:rsidR="001D36E0" w:rsidRPr="009D3726">
        <w:rPr>
          <w:szCs w:val="24"/>
        </w:rPr>
        <w:t>contract and promises and “service” is a transaction</w:t>
      </w:r>
      <w:r w:rsidR="00016924" w:rsidRPr="009D3726">
        <w:rPr>
          <w:szCs w:val="24"/>
        </w:rPr>
        <w:t>;</w:t>
      </w:r>
      <w:r w:rsidR="001D36E0" w:rsidRPr="009D3726">
        <w:rPr>
          <w:szCs w:val="24"/>
        </w:rPr>
        <w:t xml:space="preserve"> </w:t>
      </w:r>
      <w:r w:rsidR="00482F7C" w:rsidRPr="009D3726">
        <w:rPr>
          <w:szCs w:val="24"/>
        </w:rPr>
        <w:t>thus,</w:t>
      </w:r>
      <w:r w:rsidR="001D36E0" w:rsidRPr="009D3726">
        <w:rPr>
          <w:szCs w:val="24"/>
        </w:rPr>
        <w:t xml:space="preserve"> UAE has also secured the legality of selling fuel or water in orbit</w:t>
      </w:r>
      <w:r w:rsidR="00016924" w:rsidRPr="009D3726">
        <w:rPr>
          <w:szCs w:val="24"/>
        </w:rPr>
        <w:t>,</w:t>
      </w:r>
      <w:r w:rsidR="001D36E0" w:rsidRPr="009D3726">
        <w:rPr>
          <w:szCs w:val="24"/>
        </w:rPr>
        <w:t xml:space="preserve"> not just extracting it </w:t>
      </w:r>
      <w:r w:rsidR="00DB0294" w:rsidRPr="009D3726">
        <w:rPr>
          <w:szCs w:val="24"/>
        </w:rPr>
        <w:t>(Risse, 2013, p. 3</w:t>
      </w:r>
      <w:r w:rsidR="00EF1966" w:rsidRPr="009D3726">
        <w:rPr>
          <w:szCs w:val="24"/>
        </w:rPr>
        <w:t>; Chernykh &amp; Gugunskiy, 2022, pp. 171-173</w:t>
      </w:r>
      <w:r w:rsidR="00DB0294" w:rsidRPr="009D3726">
        <w:rPr>
          <w:szCs w:val="24"/>
        </w:rPr>
        <w:t xml:space="preserve">). </w:t>
      </w:r>
      <w:r w:rsidR="00016924" w:rsidRPr="009D3726">
        <w:rPr>
          <w:szCs w:val="24"/>
        </w:rPr>
        <w:t>The clause “</w:t>
      </w:r>
      <w:r w:rsidR="00016924" w:rsidRPr="009D3726">
        <w:rPr>
          <w:i/>
          <w:iCs/>
          <w:szCs w:val="24"/>
        </w:rPr>
        <w:t>without prejudice to the international obligation of the State”</w:t>
      </w:r>
      <w:r w:rsidR="00016924" w:rsidRPr="009D3726">
        <w:rPr>
          <w:szCs w:val="24"/>
        </w:rPr>
        <w:t xml:space="preserve"> signals towards the hierarchical nature of the right, where property rights are legally subordinate to international law. According to the author, this can be described as a “constructive ambiguity” which acts subservient to the obligations of the UAE under the Outer </w:t>
      </w:r>
      <w:r w:rsidR="00016924" w:rsidRPr="009D3726">
        <w:rPr>
          <w:szCs w:val="24"/>
        </w:rPr>
        <w:lastRenderedPageBreak/>
        <w:t xml:space="preserve">Space Treaty and consequent international instruments, because of which the UAE is obliged to undertake some kind of state liability upon itself. </w:t>
      </w:r>
    </w:p>
    <w:p w14:paraId="2D8953EC" w14:textId="523DF991" w:rsidR="004F5E1F" w:rsidRPr="009D3726" w:rsidRDefault="004F5E1F" w:rsidP="00C6418A">
      <w:pPr>
        <w:spacing w:line="240" w:lineRule="auto"/>
        <w:jc w:val="center"/>
        <w:rPr>
          <w:b/>
          <w:bCs/>
          <w:szCs w:val="24"/>
        </w:rPr>
      </w:pPr>
      <w:r w:rsidRPr="009D3726">
        <w:rPr>
          <w:b/>
          <w:bCs/>
          <w:szCs w:val="24"/>
        </w:rPr>
        <w:t>TABLE 1: NATURE OF RIGHTS OVER SPACE RESOURCES</w:t>
      </w:r>
    </w:p>
    <w:tbl>
      <w:tblPr>
        <w:tblStyle w:val="TableGrid"/>
        <w:tblW w:w="0" w:type="auto"/>
        <w:tblLook w:val="04A0" w:firstRow="1" w:lastRow="0" w:firstColumn="1" w:lastColumn="0" w:noHBand="0" w:noVBand="1"/>
      </w:tblPr>
      <w:tblGrid>
        <w:gridCol w:w="1911"/>
        <w:gridCol w:w="1682"/>
        <w:gridCol w:w="1742"/>
        <w:gridCol w:w="1909"/>
        <w:gridCol w:w="1619"/>
      </w:tblGrid>
      <w:tr w:rsidR="00FD6CA5" w:rsidRPr="009D3726" w14:paraId="365A3A5E" w14:textId="23F3B33C" w:rsidTr="00E979FF">
        <w:trPr>
          <w:trHeight w:val="661"/>
        </w:trPr>
        <w:tc>
          <w:tcPr>
            <w:tcW w:w="1911" w:type="dxa"/>
            <w:vAlign w:val="center"/>
          </w:tcPr>
          <w:p w14:paraId="2A007E74" w14:textId="14A93934" w:rsidR="00FD6CA5" w:rsidRPr="009D3726" w:rsidRDefault="00FD6CA5" w:rsidP="00C6418A">
            <w:pPr>
              <w:jc w:val="center"/>
              <w:rPr>
                <w:b/>
                <w:bCs/>
                <w:szCs w:val="24"/>
              </w:rPr>
            </w:pPr>
            <w:r w:rsidRPr="009D3726">
              <w:rPr>
                <w:b/>
                <w:bCs/>
                <w:szCs w:val="24"/>
              </w:rPr>
              <w:t>Feature</w:t>
            </w:r>
            <w:r w:rsidR="004F5E1F" w:rsidRPr="009D3726">
              <w:rPr>
                <w:b/>
                <w:bCs/>
                <w:szCs w:val="24"/>
              </w:rPr>
              <w:t xml:space="preserve"> </w:t>
            </w:r>
          </w:p>
        </w:tc>
        <w:tc>
          <w:tcPr>
            <w:tcW w:w="1682" w:type="dxa"/>
            <w:vAlign w:val="center"/>
          </w:tcPr>
          <w:p w14:paraId="6FFFF517" w14:textId="2468E45A" w:rsidR="00FD6CA5" w:rsidRPr="009D3726" w:rsidRDefault="00FD6CA5" w:rsidP="00C6418A">
            <w:pPr>
              <w:jc w:val="center"/>
              <w:rPr>
                <w:b/>
                <w:bCs/>
                <w:szCs w:val="24"/>
              </w:rPr>
            </w:pPr>
            <w:r w:rsidRPr="009D3726">
              <w:rPr>
                <w:b/>
                <w:bCs/>
                <w:szCs w:val="24"/>
              </w:rPr>
              <w:t>United States</w:t>
            </w:r>
          </w:p>
        </w:tc>
        <w:tc>
          <w:tcPr>
            <w:tcW w:w="1742" w:type="dxa"/>
            <w:vAlign w:val="center"/>
          </w:tcPr>
          <w:p w14:paraId="496A6219" w14:textId="1C32C2CE" w:rsidR="00FD6CA5" w:rsidRPr="009D3726" w:rsidRDefault="00FD6CA5" w:rsidP="00C6418A">
            <w:pPr>
              <w:jc w:val="center"/>
              <w:rPr>
                <w:b/>
                <w:bCs/>
                <w:szCs w:val="24"/>
              </w:rPr>
            </w:pPr>
            <w:r w:rsidRPr="009D3726">
              <w:rPr>
                <w:b/>
                <w:bCs/>
                <w:szCs w:val="24"/>
              </w:rPr>
              <w:t>Luxembourg</w:t>
            </w:r>
          </w:p>
        </w:tc>
        <w:tc>
          <w:tcPr>
            <w:tcW w:w="1909" w:type="dxa"/>
            <w:vAlign w:val="center"/>
          </w:tcPr>
          <w:p w14:paraId="114244E8" w14:textId="0104AEA7" w:rsidR="00FD6CA5" w:rsidRPr="009D3726" w:rsidRDefault="00FD6CA5" w:rsidP="00C6418A">
            <w:pPr>
              <w:jc w:val="center"/>
              <w:rPr>
                <w:b/>
                <w:bCs/>
                <w:szCs w:val="24"/>
              </w:rPr>
            </w:pPr>
            <w:r w:rsidRPr="009D3726">
              <w:rPr>
                <w:b/>
                <w:bCs/>
                <w:szCs w:val="24"/>
              </w:rPr>
              <w:t>Japan</w:t>
            </w:r>
          </w:p>
        </w:tc>
        <w:tc>
          <w:tcPr>
            <w:tcW w:w="1619" w:type="dxa"/>
            <w:vAlign w:val="center"/>
          </w:tcPr>
          <w:p w14:paraId="572FC23D" w14:textId="326A2FF0" w:rsidR="00FD6CA5" w:rsidRPr="009D3726" w:rsidRDefault="00FD6CA5" w:rsidP="00C6418A">
            <w:pPr>
              <w:jc w:val="center"/>
              <w:rPr>
                <w:b/>
                <w:bCs/>
                <w:szCs w:val="24"/>
              </w:rPr>
            </w:pPr>
            <w:r w:rsidRPr="009D3726">
              <w:rPr>
                <w:b/>
                <w:bCs/>
                <w:szCs w:val="24"/>
              </w:rPr>
              <w:t>UAE</w:t>
            </w:r>
          </w:p>
        </w:tc>
      </w:tr>
      <w:tr w:rsidR="00FD6CA5" w:rsidRPr="009D3726" w14:paraId="6931E44D" w14:textId="77777777" w:rsidTr="00EB5748">
        <w:trPr>
          <w:trHeight w:val="1317"/>
        </w:trPr>
        <w:tc>
          <w:tcPr>
            <w:tcW w:w="1911" w:type="dxa"/>
            <w:vAlign w:val="center"/>
          </w:tcPr>
          <w:p w14:paraId="386B74C3" w14:textId="31CE819B" w:rsidR="00FD6CA5" w:rsidRPr="009D3726" w:rsidRDefault="00FD6CA5" w:rsidP="00C6418A">
            <w:pPr>
              <w:jc w:val="center"/>
              <w:rPr>
                <w:b/>
                <w:bCs/>
                <w:szCs w:val="24"/>
              </w:rPr>
            </w:pPr>
            <w:r w:rsidRPr="009D3726">
              <w:rPr>
                <w:b/>
                <w:bCs/>
                <w:szCs w:val="24"/>
              </w:rPr>
              <w:t>Legal Basis</w:t>
            </w:r>
          </w:p>
        </w:tc>
        <w:tc>
          <w:tcPr>
            <w:tcW w:w="1682" w:type="dxa"/>
            <w:vAlign w:val="center"/>
          </w:tcPr>
          <w:p w14:paraId="0D6B32F0" w14:textId="048ABEA9" w:rsidR="00FD6CA5" w:rsidRPr="009D3726" w:rsidRDefault="00FD6CA5" w:rsidP="00C6418A">
            <w:pPr>
              <w:jc w:val="center"/>
              <w:rPr>
                <w:szCs w:val="24"/>
              </w:rPr>
            </w:pPr>
            <w:r w:rsidRPr="009D3726">
              <w:rPr>
                <w:szCs w:val="24"/>
              </w:rPr>
              <w:t>Right is accrued upon successful physical recovery</w:t>
            </w:r>
          </w:p>
        </w:tc>
        <w:tc>
          <w:tcPr>
            <w:tcW w:w="1742" w:type="dxa"/>
            <w:vAlign w:val="center"/>
          </w:tcPr>
          <w:p w14:paraId="648DC959" w14:textId="4ABEC19C" w:rsidR="00FD6CA5" w:rsidRPr="009D3726" w:rsidRDefault="00FD6CA5" w:rsidP="00C6418A">
            <w:pPr>
              <w:jc w:val="center"/>
              <w:rPr>
                <w:i/>
                <w:iCs/>
                <w:szCs w:val="24"/>
              </w:rPr>
            </w:pPr>
            <w:r w:rsidRPr="009D3726">
              <w:rPr>
                <w:szCs w:val="24"/>
              </w:rPr>
              <w:t xml:space="preserve">Right is attaching </w:t>
            </w:r>
            <w:r w:rsidR="002D5232" w:rsidRPr="009D3726">
              <w:rPr>
                <w:szCs w:val="24"/>
              </w:rPr>
              <w:t xml:space="preserve">being </w:t>
            </w:r>
            <w:r w:rsidR="002D5232" w:rsidRPr="009D3726">
              <w:rPr>
                <w:i/>
                <w:iCs/>
                <w:szCs w:val="24"/>
              </w:rPr>
              <w:t>res nullis</w:t>
            </w:r>
          </w:p>
        </w:tc>
        <w:tc>
          <w:tcPr>
            <w:tcW w:w="1909" w:type="dxa"/>
            <w:vAlign w:val="center"/>
          </w:tcPr>
          <w:p w14:paraId="2E7242F6" w14:textId="07747FF2" w:rsidR="00FD6CA5" w:rsidRPr="009D3726" w:rsidRDefault="002D5232" w:rsidP="00C6418A">
            <w:pPr>
              <w:jc w:val="center"/>
              <w:rPr>
                <w:i/>
                <w:iCs/>
                <w:szCs w:val="24"/>
              </w:rPr>
            </w:pPr>
            <w:r w:rsidRPr="009D3726">
              <w:rPr>
                <w:szCs w:val="24"/>
              </w:rPr>
              <w:t>Right is attaching via application of civil law (</w:t>
            </w:r>
            <w:r w:rsidRPr="009D3726">
              <w:rPr>
                <w:i/>
                <w:iCs/>
                <w:szCs w:val="24"/>
              </w:rPr>
              <w:t>occupatio)</w:t>
            </w:r>
          </w:p>
        </w:tc>
        <w:tc>
          <w:tcPr>
            <w:tcW w:w="1619" w:type="dxa"/>
            <w:vAlign w:val="center"/>
          </w:tcPr>
          <w:p w14:paraId="707F92DC" w14:textId="598E7784" w:rsidR="00FD6CA5" w:rsidRPr="009D3726" w:rsidRDefault="002D5232" w:rsidP="00C6418A">
            <w:pPr>
              <w:jc w:val="center"/>
              <w:rPr>
                <w:szCs w:val="24"/>
              </w:rPr>
            </w:pPr>
            <w:r w:rsidRPr="009D3726">
              <w:rPr>
                <w:szCs w:val="24"/>
              </w:rPr>
              <w:t>Right is accrued because of the government permit</w:t>
            </w:r>
          </w:p>
        </w:tc>
      </w:tr>
      <w:tr w:rsidR="00FD6CA5" w:rsidRPr="009D3726" w14:paraId="5CBA3930" w14:textId="77777777" w:rsidTr="00EB5748">
        <w:trPr>
          <w:trHeight w:val="770"/>
        </w:trPr>
        <w:tc>
          <w:tcPr>
            <w:tcW w:w="1911" w:type="dxa"/>
            <w:vAlign w:val="center"/>
          </w:tcPr>
          <w:p w14:paraId="3DBA3B4C" w14:textId="182B044B" w:rsidR="00FD6CA5" w:rsidRPr="009D3726" w:rsidRDefault="002D5232" w:rsidP="00C6418A">
            <w:pPr>
              <w:jc w:val="center"/>
              <w:rPr>
                <w:b/>
                <w:bCs/>
                <w:szCs w:val="24"/>
              </w:rPr>
            </w:pPr>
            <w:r w:rsidRPr="009D3726">
              <w:rPr>
                <w:b/>
                <w:bCs/>
                <w:szCs w:val="24"/>
              </w:rPr>
              <w:t xml:space="preserve">Nature </w:t>
            </w:r>
          </w:p>
        </w:tc>
        <w:tc>
          <w:tcPr>
            <w:tcW w:w="1682" w:type="dxa"/>
            <w:vAlign w:val="center"/>
          </w:tcPr>
          <w:p w14:paraId="2C81AFD2" w14:textId="66BB67AB" w:rsidR="00FD6CA5" w:rsidRPr="009D3726" w:rsidRDefault="002D5232" w:rsidP="00C6418A">
            <w:pPr>
              <w:jc w:val="center"/>
              <w:rPr>
                <w:szCs w:val="24"/>
              </w:rPr>
            </w:pPr>
            <w:r w:rsidRPr="009D3726">
              <w:rPr>
                <w:szCs w:val="24"/>
              </w:rPr>
              <w:t>Focused on the freedom of the private actor</w:t>
            </w:r>
          </w:p>
        </w:tc>
        <w:tc>
          <w:tcPr>
            <w:tcW w:w="1742" w:type="dxa"/>
            <w:vAlign w:val="center"/>
          </w:tcPr>
          <w:p w14:paraId="0642E3A2" w14:textId="2F0C670D" w:rsidR="00FD6CA5" w:rsidRPr="009D3726" w:rsidRDefault="002D5232" w:rsidP="00C6418A">
            <w:pPr>
              <w:jc w:val="center"/>
              <w:rPr>
                <w:szCs w:val="24"/>
              </w:rPr>
            </w:pPr>
            <w:r w:rsidRPr="009D3726">
              <w:rPr>
                <w:szCs w:val="24"/>
              </w:rPr>
              <w:t>Focused on the status of the object</w:t>
            </w:r>
          </w:p>
        </w:tc>
        <w:tc>
          <w:tcPr>
            <w:tcW w:w="1909" w:type="dxa"/>
            <w:vAlign w:val="center"/>
          </w:tcPr>
          <w:p w14:paraId="4F23773F" w14:textId="35502B5A" w:rsidR="00FD6CA5" w:rsidRPr="009D3726" w:rsidRDefault="002D5232" w:rsidP="00C6418A">
            <w:pPr>
              <w:jc w:val="center"/>
              <w:rPr>
                <w:szCs w:val="24"/>
              </w:rPr>
            </w:pPr>
            <w:r w:rsidRPr="009D3726">
              <w:rPr>
                <w:szCs w:val="24"/>
              </w:rPr>
              <w:t>Focused on the mental intent and physical control</w:t>
            </w:r>
          </w:p>
        </w:tc>
        <w:tc>
          <w:tcPr>
            <w:tcW w:w="1619" w:type="dxa"/>
            <w:vAlign w:val="center"/>
          </w:tcPr>
          <w:p w14:paraId="1EA28AF9" w14:textId="386EC2C9" w:rsidR="00FD6CA5" w:rsidRPr="009D3726" w:rsidRDefault="002D5232" w:rsidP="00C6418A">
            <w:pPr>
              <w:jc w:val="center"/>
              <w:rPr>
                <w:szCs w:val="24"/>
              </w:rPr>
            </w:pPr>
            <w:r w:rsidRPr="009D3726">
              <w:rPr>
                <w:szCs w:val="24"/>
              </w:rPr>
              <w:t>Focused on state-granted access</w:t>
            </w:r>
          </w:p>
        </w:tc>
      </w:tr>
      <w:tr w:rsidR="00FD6CA5" w:rsidRPr="009D3726" w14:paraId="1A18E656" w14:textId="77777777" w:rsidTr="00EB5748">
        <w:trPr>
          <w:trHeight w:val="782"/>
        </w:trPr>
        <w:tc>
          <w:tcPr>
            <w:tcW w:w="1911" w:type="dxa"/>
            <w:vAlign w:val="center"/>
          </w:tcPr>
          <w:p w14:paraId="60F5BA89" w14:textId="2D69C8C1" w:rsidR="00FD6CA5" w:rsidRPr="009D3726" w:rsidRDefault="002D5232" w:rsidP="00C6418A">
            <w:pPr>
              <w:jc w:val="center"/>
              <w:rPr>
                <w:b/>
                <w:bCs/>
                <w:szCs w:val="24"/>
              </w:rPr>
            </w:pPr>
            <w:r w:rsidRPr="009D3726">
              <w:rPr>
                <w:b/>
                <w:bCs/>
                <w:szCs w:val="24"/>
              </w:rPr>
              <w:t xml:space="preserve">Restrictions on the exercise of the right </w:t>
            </w:r>
          </w:p>
        </w:tc>
        <w:tc>
          <w:tcPr>
            <w:tcW w:w="1682" w:type="dxa"/>
            <w:vAlign w:val="center"/>
          </w:tcPr>
          <w:p w14:paraId="4E0210E8" w14:textId="59C10FCB" w:rsidR="00FD6CA5" w:rsidRPr="009D3726" w:rsidRDefault="002D5232" w:rsidP="00C6418A">
            <w:pPr>
              <w:jc w:val="center"/>
              <w:rPr>
                <w:szCs w:val="24"/>
              </w:rPr>
            </w:pPr>
            <w:r w:rsidRPr="009D3726">
              <w:rPr>
                <w:szCs w:val="24"/>
              </w:rPr>
              <w:t>International obligations of the United States</w:t>
            </w:r>
          </w:p>
        </w:tc>
        <w:tc>
          <w:tcPr>
            <w:tcW w:w="1742" w:type="dxa"/>
            <w:vAlign w:val="center"/>
          </w:tcPr>
          <w:p w14:paraId="404F66C7" w14:textId="1A6CFBB3" w:rsidR="00FD6CA5" w:rsidRPr="009D3726" w:rsidRDefault="002D5232" w:rsidP="00C6418A">
            <w:pPr>
              <w:jc w:val="center"/>
              <w:rPr>
                <w:szCs w:val="24"/>
              </w:rPr>
            </w:pPr>
            <w:r w:rsidRPr="009D3726">
              <w:rPr>
                <w:szCs w:val="24"/>
              </w:rPr>
              <w:t>Must have a mission licence</w:t>
            </w:r>
          </w:p>
        </w:tc>
        <w:tc>
          <w:tcPr>
            <w:tcW w:w="1909" w:type="dxa"/>
            <w:vAlign w:val="center"/>
          </w:tcPr>
          <w:p w14:paraId="4126B99C" w14:textId="1C73EA9F" w:rsidR="00FD6CA5" w:rsidRPr="009D3726" w:rsidRDefault="002D5232" w:rsidP="00C6418A">
            <w:pPr>
              <w:jc w:val="center"/>
              <w:rPr>
                <w:szCs w:val="24"/>
              </w:rPr>
            </w:pPr>
            <w:r w:rsidRPr="009D3726">
              <w:rPr>
                <w:szCs w:val="24"/>
              </w:rPr>
              <w:t>Mining should be according to the field plan.</w:t>
            </w:r>
          </w:p>
        </w:tc>
        <w:tc>
          <w:tcPr>
            <w:tcW w:w="1619" w:type="dxa"/>
            <w:vAlign w:val="center"/>
          </w:tcPr>
          <w:p w14:paraId="05AB5CEF" w14:textId="745334D2" w:rsidR="00FD6CA5" w:rsidRPr="009D3726" w:rsidRDefault="002D5232" w:rsidP="00C6418A">
            <w:pPr>
              <w:jc w:val="center"/>
              <w:rPr>
                <w:szCs w:val="24"/>
              </w:rPr>
            </w:pPr>
            <w:r w:rsidRPr="009D3726">
              <w:rPr>
                <w:szCs w:val="24"/>
              </w:rPr>
              <w:t>International obligations of the UAE</w:t>
            </w:r>
          </w:p>
        </w:tc>
      </w:tr>
      <w:tr w:rsidR="00FD6CA5" w:rsidRPr="009D3726" w14:paraId="004D40E2" w14:textId="77777777" w:rsidTr="00EB5748">
        <w:trPr>
          <w:trHeight w:val="1379"/>
        </w:trPr>
        <w:tc>
          <w:tcPr>
            <w:tcW w:w="1911" w:type="dxa"/>
            <w:vAlign w:val="center"/>
          </w:tcPr>
          <w:p w14:paraId="75EB9D4A" w14:textId="65EC5D12" w:rsidR="00FD6CA5" w:rsidRPr="009D3726" w:rsidRDefault="002D5232" w:rsidP="00C6418A">
            <w:pPr>
              <w:jc w:val="center"/>
              <w:rPr>
                <w:b/>
                <w:bCs/>
                <w:szCs w:val="24"/>
              </w:rPr>
            </w:pPr>
            <w:r w:rsidRPr="009D3726">
              <w:rPr>
                <w:b/>
                <w:bCs/>
                <w:szCs w:val="24"/>
              </w:rPr>
              <w:t xml:space="preserve">Distinguishing Feature </w:t>
            </w:r>
          </w:p>
        </w:tc>
        <w:tc>
          <w:tcPr>
            <w:tcW w:w="1682" w:type="dxa"/>
            <w:vAlign w:val="center"/>
          </w:tcPr>
          <w:p w14:paraId="6AFE1525" w14:textId="0CEB5748" w:rsidR="00FD6CA5" w:rsidRPr="009D3726" w:rsidRDefault="002D5232" w:rsidP="00C6418A">
            <w:pPr>
              <w:jc w:val="center"/>
              <w:rPr>
                <w:szCs w:val="24"/>
              </w:rPr>
            </w:pPr>
            <w:r w:rsidRPr="009D3726">
              <w:rPr>
                <w:szCs w:val="24"/>
              </w:rPr>
              <w:t>“</w:t>
            </w:r>
            <w:r w:rsidR="004F5E1F" w:rsidRPr="009D3726">
              <w:rPr>
                <w:szCs w:val="24"/>
              </w:rPr>
              <w:t>Right</w:t>
            </w:r>
            <w:r w:rsidRPr="009D3726">
              <w:rPr>
                <w:szCs w:val="24"/>
              </w:rPr>
              <w:t xml:space="preserve"> to exclude” is substituted with “freedom from interference”</w:t>
            </w:r>
          </w:p>
        </w:tc>
        <w:tc>
          <w:tcPr>
            <w:tcW w:w="1742" w:type="dxa"/>
            <w:vAlign w:val="center"/>
          </w:tcPr>
          <w:p w14:paraId="307E109F" w14:textId="0237E009" w:rsidR="00FD6CA5" w:rsidRPr="009D3726" w:rsidRDefault="002D5232" w:rsidP="00C6418A">
            <w:pPr>
              <w:jc w:val="center"/>
              <w:rPr>
                <w:szCs w:val="24"/>
              </w:rPr>
            </w:pPr>
            <w:r w:rsidRPr="009D3726">
              <w:rPr>
                <w:szCs w:val="24"/>
              </w:rPr>
              <w:t>Enforces asset certainty to make resource “bankable” assets</w:t>
            </w:r>
          </w:p>
        </w:tc>
        <w:tc>
          <w:tcPr>
            <w:tcW w:w="1909" w:type="dxa"/>
            <w:vAlign w:val="center"/>
          </w:tcPr>
          <w:p w14:paraId="6F50780E" w14:textId="73E7BDA7" w:rsidR="00FD6CA5" w:rsidRPr="009D3726" w:rsidRDefault="002D5232" w:rsidP="00C6418A">
            <w:pPr>
              <w:jc w:val="center"/>
              <w:rPr>
                <w:szCs w:val="24"/>
              </w:rPr>
            </w:pPr>
            <w:r w:rsidRPr="009D3726">
              <w:rPr>
                <w:szCs w:val="24"/>
              </w:rPr>
              <w:t>Space mining is tied to domestic property law (Art. 239, Japanese Civil Code)</w:t>
            </w:r>
          </w:p>
        </w:tc>
        <w:tc>
          <w:tcPr>
            <w:tcW w:w="1619" w:type="dxa"/>
            <w:vAlign w:val="center"/>
          </w:tcPr>
          <w:p w14:paraId="7D1A982F" w14:textId="1EA783BF" w:rsidR="00FD6CA5" w:rsidRPr="009D3726" w:rsidRDefault="002D5232" w:rsidP="00C6418A">
            <w:pPr>
              <w:jc w:val="center"/>
              <w:rPr>
                <w:szCs w:val="24"/>
              </w:rPr>
            </w:pPr>
            <w:r w:rsidRPr="009D3726">
              <w:rPr>
                <w:szCs w:val="24"/>
              </w:rPr>
              <w:t>Grant’s rights for logistics and services as well</w:t>
            </w:r>
          </w:p>
        </w:tc>
      </w:tr>
    </w:tbl>
    <w:p w14:paraId="2B295D26" w14:textId="319B39D3" w:rsidR="00FD6CA5" w:rsidRPr="009D3726" w:rsidRDefault="002D5232" w:rsidP="00C6418A">
      <w:pPr>
        <w:spacing w:line="240" w:lineRule="auto"/>
        <w:jc w:val="center"/>
        <w:rPr>
          <w:b/>
          <w:bCs/>
          <w:szCs w:val="24"/>
        </w:rPr>
      </w:pPr>
      <w:r w:rsidRPr="009D3726">
        <w:rPr>
          <w:b/>
          <w:bCs/>
          <w:szCs w:val="24"/>
        </w:rPr>
        <w:t xml:space="preserve">(Source: </w:t>
      </w:r>
      <w:r w:rsidRPr="009D3726">
        <w:rPr>
          <w:b/>
          <w:bCs/>
          <w:i/>
          <w:iCs/>
          <w:szCs w:val="24"/>
        </w:rPr>
        <w:t>Author’s own construction</w:t>
      </w:r>
      <w:r w:rsidRPr="009D3726">
        <w:rPr>
          <w:b/>
          <w:bCs/>
          <w:szCs w:val="24"/>
        </w:rPr>
        <w:t xml:space="preserve">) </w:t>
      </w:r>
    </w:p>
    <w:p w14:paraId="13EA6D7A" w14:textId="247E3D95" w:rsidR="00D44A24" w:rsidRPr="009D3726" w:rsidRDefault="00DA273F" w:rsidP="00C6418A">
      <w:pPr>
        <w:spacing w:line="240" w:lineRule="auto"/>
        <w:rPr>
          <w:b/>
          <w:bCs/>
          <w:szCs w:val="24"/>
          <w:lang w:val="en-US"/>
        </w:rPr>
      </w:pPr>
      <w:r w:rsidRPr="009D3726">
        <w:rPr>
          <w:b/>
          <w:bCs/>
          <w:szCs w:val="24"/>
          <w:lang w:val="en-US"/>
        </w:rPr>
        <w:t xml:space="preserve">GAP IDENTIFIED IN INDIAN SPACE POLICY </w:t>
      </w:r>
      <w:r w:rsidR="00525987" w:rsidRPr="009D3726">
        <w:rPr>
          <w:b/>
          <w:bCs/>
          <w:szCs w:val="24"/>
          <w:lang w:val="en-US"/>
        </w:rPr>
        <w:t xml:space="preserve">WITH RESPECT TO SPACE RESOURCE OR ASTEROID RESOURCE </w:t>
      </w:r>
    </w:p>
    <w:p w14:paraId="171C8299" w14:textId="7BF88C9E" w:rsidR="008249C6" w:rsidRPr="009D3726" w:rsidRDefault="008249C6" w:rsidP="00C6418A">
      <w:pPr>
        <w:spacing w:line="240" w:lineRule="auto"/>
        <w:rPr>
          <w:szCs w:val="24"/>
        </w:rPr>
      </w:pPr>
      <w:r w:rsidRPr="009D3726">
        <w:rPr>
          <w:szCs w:val="24"/>
          <w:lang w:val="en-US"/>
        </w:rPr>
        <w:t>The major document in the Indian legal framework is the Indian Space Policy, 2023, clause 4, subclause 13 states that “</w:t>
      </w:r>
      <w:r w:rsidRPr="009D3726">
        <w:rPr>
          <w:i/>
          <w:iCs/>
          <w:szCs w:val="24"/>
        </w:rPr>
        <w:t>engage in the commercial recovery of an asteroid resource or a space resource. Any NGE engaged in such a process shall be entitled to possess, own, transport, use, and sell any such asteroid resource or space resource obtained in accordance with applicable law, including the international obligations of India</w:t>
      </w:r>
      <w:r w:rsidRPr="009D3726">
        <w:rPr>
          <w:szCs w:val="24"/>
        </w:rPr>
        <w:t>”</w:t>
      </w:r>
      <w:r w:rsidR="00A76833" w:rsidRPr="009D3726">
        <w:rPr>
          <w:szCs w:val="24"/>
        </w:rPr>
        <w:t xml:space="preserve">. India is advocating for a policy-based right by transplanting the § 51303, USCSLCA and similar to the USCSLCA it is granting rights to NGE (“Non-Governmental Entity”) rather than defining the status of the resource itself. </w:t>
      </w:r>
      <w:r w:rsidR="00153769" w:rsidRPr="009D3726">
        <w:rPr>
          <w:szCs w:val="24"/>
        </w:rPr>
        <w:t>The Indian Space Policy is departing from the historic position of India, i.e. advocating for a common rights regime in outer space, and caters only to the national economic interest (Bhat B, 2025, p. 4). This approach of India has been influenced by developments in the U.S., Japan, UAE and Luxembourg and being a signatory of the Artemis Accord</w:t>
      </w:r>
      <w:r w:rsidR="00525987" w:rsidRPr="009D3726">
        <w:rPr>
          <w:szCs w:val="24"/>
        </w:rPr>
        <w:t>,</w:t>
      </w:r>
      <w:r w:rsidR="00153769" w:rsidRPr="009D3726">
        <w:rPr>
          <w:szCs w:val="24"/>
        </w:rPr>
        <w:t xml:space="preserve"> India has taken an individualistic approach (Bhat B, 2025, p. 4). Though other states have taken the legislative route but India, by not taking a legislative route, is risking the excessive delegation of power and currently, the applicable law governing space resource is effectively the Indian Contract Act, 1872, other sectoral and normative laws, which is a dangerous situation and a breeding ground for future disputes (Kaul, 2025, p. 132). </w:t>
      </w:r>
      <w:r w:rsidR="00CD1876" w:rsidRPr="009D3726">
        <w:rPr>
          <w:szCs w:val="24"/>
        </w:rPr>
        <w:t>The Indian conceptualisation is similar to chattel ownership, where a celestial resource is converted into a tradeable commodity only after recovery</w:t>
      </w:r>
      <w:r w:rsidR="005032C9" w:rsidRPr="009D3726">
        <w:rPr>
          <w:szCs w:val="24"/>
        </w:rPr>
        <w:t xml:space="preserve"> and without having legislation in place, this is a very dangerous precedent</w:t>
      </w:r>
      <w:r w:rsidR="00CD1876" w:rsidRPr="009D3726">
        <w:rPr>
          <w:szCs w:val="24"/>
        </w:rPr>
        <w:t>.</w:t>
      </w:r>
    </w:p>
    <w:p w14:paraId="5C5BCC81" w14:textId="7C55957B" w:rsidR="00CD1876" w:rsidRPr="009D3726" w:rsidRDefault="00CD1876" w:rsidP="00C6418A">
      <w:pPr>
        <w:spacing w:line="240" w:lineRule="auto"/>
        <w:rPr>
          <w:b/>
          <w:bCs/>
          <w:szCs w:val="24"/>
        </w:rPr>
      </w:pPr>
      <w:r w:rsidRPr="009D3726">
        <w:rPr>
          <w:b/>
          <w:bCs/>
          <w:szCs w:val="24"/>
        </w:rPr>
        <w:t>THE ECONOMIC NEED FOR A SPACE RESOURCE LEGISLATION IN INDIA</w:t>
      </w:r>
    </w:p>
    <w:p w14:paraId="4D3EDBA1" w14:textId="62A18806" w:rsidR="00DF420E" w:rsidRPr="009D3726" w:rsidRDefault="00CD1876" w:rsidP="00C6418A">
      <w:pPr>
        <w:spacing w:line="240" w:lineRule="auto"/>
        <w:rPr>
          <w:szCs w:val="24"/>
        </w:rPr>
      </w:pPr>
      <w:r w:rsidRPr="009D3726">
        <w:rPr>
          <w:szCs w:val="24"/>
        </w:rPr>
        <w:lastRenderedPageBreak/>
        <w:t xml:space="preserve">The </w:t>
      </w:r>
      <w:r w:rsidR="00525987" w:rsidRPr="009D3726">
        <w:rPr>
          <w:szCs w:val="24"/>
        </w:rPr>
        <w:t>GoI (“Government of India”)</w:t>
      </w:r>
      <w:r w:rsidR="005032C9" w:rsidRPr="009D3726">
        <w:rPr>
          <w:szCs w:val="24"/>
        </w:rPr>
        <w:t xml:space="preserve"> has established the IN-SPACe to ensure increased participation from the private sector as well. IN-SPACe has been announced as part of India’s space exploration activities, opening up the space sector to private players will encourage a regulatory environment for optimum </w:t>
      </w:r>
      <w:r w:rsidR="00C70396" w:rsidRPr="009D3726">
        <w:rPr>
          <w:szCs w:val="24"/>
        </w:rPr>
        <w:t xml:space="preserve">economic </w:t>
      </w:r>
      <w:r w:rsidR="005032C9" w:rsidRPr="009D3726">
        <w:rPr>
          <w:szCs w:val="24"/>
        </w:rPr>
        <w:t xml:space="preserve">utilisation of the nation’s space assets (Principal Scientific Advisor, 2025). </w:t>
      </w:r>
      <w:r w:rsidR="00234D75" w:rsidRPr="009D3726">
        <w:rPr>
          <w:szCs w:val="24"/>
        </w:rPr>
        <w:t xml:space="preserve">IN-SPACe has been established to transform India’s space sector from a ‘supply-driven’ to ‘demand-driven’ for space-based services. </w:t>
      </w:r>
      <w:r w:rsidR="00C70396" w:rsidRPr="009D3726">
        <w:rPr>
          <w:szCs w:val="24"/>
        </w:rPr>
        <w:t>The major objective behind the Indian Space policy was designed so that the entire space activities can take place across the value chain of space activities, and the FDI (“foreign direct investment”) has been enabled for a higher threshold in the space domain (Department of Space, 2024). IN-SPACe has been granted a Venture Capital fund of Rs. 1000 crore for fostering the development of space start-ups for the upcoming five years (Department of Space, 2024</w:t>
      </w:r>
      <w:r w:rsidR="00F06BF2" w:rsidRPr="009D3726">
        <w:rPr>
          <w:szCs w:val="24"/>
        </w:rPr>
        <w:t>; Bureau, 2025</w:t>
      </w:r>
      <w:r w:rsidR="00C70396" w:rsidRPr="009D3726">
        <w:rPr>
          <w:szCs w:val="24"/>
        </w:rPr>
        <w:t xml:space="preserve">). </w:t>
      </w:r>
      <w:r w:rsidR="0088566C" w:rsidRPr="009D3726">
        <w:rPr>
          <w:szCs w:val="24"/>
        </w:rPr>
        <w:t>India wants to evolve into a globally competitive space economy, “</w:t>
      </w:r>
      <w:r w:rsidR="0088566C" w:rsidRPr="009D3726">
        <w:rPr>
          <w:i/>
          <w:iCs/>
          <w:szCs w:val="24"/>
        </w:rPr>
        <w:t>projected to reach $44 Bn by 2033, with exports of $11 Bn</w:t>
      </w:r>
      <w:r w:rsidR="0088566C" w:rsidRPr="009D3726">
        <w:rPr>
          <w:b/>
          <w:bCs/>
          <w:szCs w:val="24"/>
        </w:rPr>
        <w:t>”</w:t>
      </w:r>
      <w:r w:rsidR="00F06BF2" w:rsidRPr="009D3726">
        <w:rPr>
          <w:b/>
          <w:bCs/>
          <w:szCs w:val="24"/>
        </w:rPr>
        <w:t xml:space="preserve"> </w:t>
      </w:r>
      <w:r w:rsidR="00F06BF2" w:rsidRPr="009D3726">
        <w:rPr>
          <w:szCs w:val="24"/>
        </w:rPr>
        <w:t>(Invest India, 2025).</w:t>
      </w:r>
      <w:r w:rsidR="00F06BF2" w:rsidRPr="009D3726">
        <w:rPr>
          <w:b/>
          <w:bCs/>
          <w:szCs w:val="24"/>
        </w:rPr>
        <w:t xml:space="preserve"> </w:t>
      </w:r>
      <w:r w:rsidR="00F06BF2" w:rsidRPr="009D3726">
        <w:rPr>
          <w:szCs w:val="24"/>
        </w:rPr>
        <w:t>In 2024</w:t>
      </w:r>
      <w:r w:rsidR="00DF420E" w:rsidRPr="009D3726">
        <w:rPr>
          <w:szCs w:val="24"/>
        </w:rPr>
        <w:t>,</w:t>
      </w:r>
      <w:r w:rsidR="00F06BF2" w:rsidRPr="009D3726">
        <w:rPr>
          <w:szCs w:val="24"/>
        </w:rPr>
        <w:t xml:space="preserve"> </w:t>
      </w:r>
      <w:r w:rsidR="00DF420E" w:rsidRPr="009D3726">
        <w:rPr>
          <w:szCs w:val="24"/>
        </w:rPr>
        <w:t>the Union Cabinet allowed 100% FDI within India’s space sector for the purpose of attracting investors to invest in Indian Companies. The investment route is up to 100% by automatic route with respect to the manufacturing of components and systems for satellites, ground segment and user segment (Rangarajan &amp; Ranjan, 2025</w:t>
      </w:r>
      <w:r w:rsidR="00CF476C" w:rsidRPr="009D3726">
        <w:rPr>
          <w:szCs w:val="24"/>
        </w:rPr>
        <w:t>; Sen, 2024</w:t>
      </w:r>
      <w:r w:rsidR="00DF420E" w:rsidRPr="009D3726">
        <w:rPr>
          <w:szCs w:val="24"/>
        </w:rPr>
        <w:t>). Up to 49% automatic route for launch vehicles, creation of ports for launching and receiving spacecraft, whereas up to 74% for satellite manufacturing &amp; operation, data products and ground segment (Ministry of Commerce and Industry, 2024). The Indian Space Economy is sized to approximately $8.4 billion, and from 1 start-up in 2014, now there are 189 start-ups in 2023</w:t>
      </w:r>
      <w:r w:rsidR="00766C20" w:rsidRPr="009D3726">
        <w:rPr>
          <w:szCs w:val="24"/>
        </w:rPr>
        <w:t xml:space="preserve"> as per the DPIIT Start-Up India Portal, and the investment in start-ups has also increased to $124.7 million in 2023 (Department of Space, 2023). </w:t>
      </w:r>
    </w:p>
    <w:p w14:paraId="0659E278" w14:textId="3315E854" w:rsidR="00D5608F" w:rsidRPr="009D3726" w:rsidRDefault="00D5608F" w:rsidP="00C6418A">
      <w:pPr>
        <w:spacing w:line="240" w:lineRule="auto"/>
        <w:rPr>
          <w:szCs w:val="24"/>
        </w:rPr>
      </w:pPr>
      <w:r w:rsidRPr="009D3726">
        <w:rPr>
          <w:szCs w:val="24"/>
        </w:rPr>
        <w:t xml:space="preserve">Under the aegis of IN-SPACe, the government of India is planning to deploy a fund of Rs. 1000 Crore as a Venture Capital Fund within 5 years. </w:t>
      </w:r>
    </w:p>
    <w:tbl>
      <w:tblPr>
        <w:tblW w:w="5505" w:type="dxa"/>
        <w:jc w:val="center"/>
        <w:shd w:val="clear" w:color="auto" w:fill="FDFDFD"/>
        <w:tblCellMar>
          <w:top w:w="15" w:type="dxa"/>
          <w:left w:w="15" w:type="dxa"/>
          <w:bottom w:w="15" w:type="dxa"/>
          <w:right w:w="15" w:type="dxa"/>
        </w:tblCellMar>
        <w:tblLook w:val="04A0" w:firstRow="1" w:lastRow="0" w:firstColumn="1" w:lastColumn="0" w:noHBand="0" w:noVBand="1"/>
      </w:tblPr>
      <w:tblGrid>
        <w:gridCol w:w="1032"/>
        <w:gridCol w:w="2921"/>
        <w:gridCol w:w="1552"/>
      </w:tblGrid>
      <w:tr w:rsidR="00D5608F" w:rsidRPr="009D3726" w14:paraId="16E2A60E" w14:textId="77777777" w:rsidTr="00D5608F">
        <w:trPr>
          <w:jc w:val="center"/>
        </w:trPr>
        <w:tc>
          <w:tcPr>
            <w:tcW w:w="10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BAA9355" w14:textId="002D46B5" w:rsidR="00D5608F" w:rsidRPr="009D3726" w:rsidRDefault="00D5608F" w:rsidP="00C6418A">
            <w:pPr>
              <w:spacing w:line="240" w:lineRule="auto"/>
              <w:jc w:val="center"/>
              <w:rPr>
                <w:b/>
                <w:bCs/>
                <w:szCs w:val="24"/>
              </w:rPr>
            </w:pPr>
            <w:r w:rsidRPr="009D3726">
              <w:rPr>
                <w:b/>
                <w:bCs/>
                <w:szCs w:val="24"/>
              </w:rPr>
              <w:t>S.</w:t>
            </w:r>
            <w:r w:rsidR="00462971" w:rsidRPr="009D3726">
              <w:rPr>
                <w:b/>
                <w:bCs/>
                <w:szCs w:val="24"/>
              </w:rPr>
              <w:t xml:space="preserve"> </w:t>
            </w:r>
            <w:r w:rsidRPr="009D3726">
              <w:rPr>
                <w:b/>
                <w:bCs/>
                <w:szCs w:val="24"/>
              </w:rPr>
              <w:t>No.</w:t>
            </w:r>
          </w:p>
        </w:tc>
        <w:tc>
          <w:tcPr>
            <w:tcW w:w="292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9E2E7FC" w14:textId="77777777" w:rsidR="00D5608F" w:rsidRPr="009D3726" w:rsidRDefault="00D5608F" w:rsidP="00C6418A">
            <w:pPr>
              <w:spacing w:line="240" w:lineRule="auto"/>
              <w:jc w:val="center"/>
              <w:rPr>
                <w:b/>
                <w:bCs/>
                <w:szCs w:val="24"/>
              </w:rPr>
            </w:pPr>
            <w:r w:rsidRPr="009D3726">
              <w:rPr>
                <w:b/>
                <w:bCs/>
                <w:szCs w:val="24"/>
              </w:rPr>
              <w:t>Financial Year</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10EAB306" w14:textId="0E3D3480" w:rsidR="00D5608F" w:rsidRPr="009D3726" w:rsidRDefault="00D5608F" w:rsidP="00C6418A">
            <w:pPr>
              <w:spacing w:line="240" w:lineRule="auto"/>
              <w:jc w:val="center"/>
              <w:rPr>
                <w:b/>
                <w:bCs/>
                <w:szCs w:val="24"/>
              </w:rPr>
            </w:pPr>
            <w:r w:rsidRPr="009D3726">
              <w:rPr>
                <w:b/>
                <w:bCs/>
                <w:szCs w:val="24"/>
              </w:rPr>
              <w:t>Estimate (In Rs. Crores)</w:t>
            </w:r>
          </w:p>
        </w:tc>
      </w:tr>
      <w:tr w:rsidR="00D5608F" w:rsidRPr="009D3726" w14:paraId="0439A26D" w14:textId="77777777" w:rsidTr="00D5608F">
        <w:trPr>
          <w:jc w:val="center"/>
        </w:trPr>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10091565" w14:textId="528862CC" w:rsidR="00D5608F" w:rsidRPr="009D3726" w:rsidRDefault="00253766" w:rsidP="00C6418A">
            <w:pPr>
              <w:spacing w:line="240" w:lineRule="auto"/>
              <w:jc w:val="center"/>
              <w:rPr>
                <w:b/>
                <w:bCs/>
                <w:szCs w:val="24"/>
              </w:rPr>
            </w:pPr>
            <w:r w:rsidRPr="009D3726">
              <w:rPr>
                <w:b/>
                <w:bCs/>
                <w:szCs w:val="24"/>
              </w:rPr>
              <w:t>1</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478680E8" w14:textId="77777777" w:rsidR="00D5608F" w:rsidRPr="009D3726" w:rsidRDefault="00D5608F" w:rsidP="00C6418A">
            <w:pPr>
              <w:spacing w:line="240" w:lineRule="auto"/>
              <w:jc w:val="center"/>
              <w:rPr>
                <w:szCs w:val="24"/>
              </w:rPr>
            </w:pPr>
            <w:r w:rsidRPr="009D3726">
              <w:rPr>
                <w:szCs w:val="24"/>
              </w:rPr>
              <w:t>2025-26</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E0C2D7C" w14:textId="77777777" w:rsidR="00D5608F" w:rsidRPr="009D3726" w:rsidRDefault="00D5608F" w:rsidP="00C6418A">
            <w:pPr>
              <w:spacing w:line="240" w:lineRule="auto"/>
              <w:jc w:val="center"/>
              <w:rPr>
                <w:szCs w:val="24"/>
              </w:rPr>
            </w:pPr>
            <w:r w:rsidRPr="009D3726">
              <w:rPr>
                <w:szCs w:val="24"/>
              </w:rPr>
              <w:t>150.00</w:t>
            </w:r>
          </w:p>
        </w:tc>
      </w:tr>
      <w:tr w:rsidR="00D5608F" w:rsidRPr="009D3726" w14:paraId="16A82F87" w14:textId="77777777" w:rsidTr="00D5608F">
        <w:trPr>
          <w:jc w:val="center"/>
        </w:trPr>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3218E1CD" w14:textId="77777777" w:rsidR="00D5608F" w:rsidRPr="009D3726" w:rsidRDefault="00D5608F" w:rsidP="00C6418A">
            <w:pPr>
              <w:spacing w:line="240" w:lineRule="auto"/>
              <w:jc w:val="center"/>
              <w:rPr>
                <w:b/>
                <w:bCs/>
                <w:szCs w:val="24"/>
              </w:rPr>
            </w:pPr>
            <w:r w:rsidRPr="009D3726">
              <w:rPr>
                <w:b/>
                <w:bCs/>
                <w:szCs w:val="24"/>
              </w:rPr>
              <w:t>2</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7F9B43C5" w14:textId="77777777" w:rsidR="00D5608F" w:rsidRPr="009D3726" w:rsidRDefault="00D5608F" w:rsidP="00C6418A">
            <w:pPr>
              <w:spacing w:line="240" w:lineRule="auto"/>
              <w:jc w:val="center"/>
              <w:rPr>
                <w:szCs w:val="24"/>
              </w:rPr>
            </w:pPr>
            <w:r w:rsidRPr="009D3726">
              <w:rPr>
                <w:szCs w:val="24"/>
              </w:rPr>
              <w:t>2026-27</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283D5A8" w14:textId="77777777" w:rsidR="00D5608F" w:rsidRPr="009D3726" w:rsidRDefault="00D5608F" w:rsidP="00C6418A">
            <w:pPr>
              <w:spacing w:line="240" w:lineRule="auto"/>
              <w:jc w:val="center"/>
              <w:rPr>
                <w:szCs w:val="24"/>
              </w:rPr>
            </w:pPr>
            <w:r w:rsidRPr="009D3726">
              <w:rPr>
                <w:szCs w:val="24"/>
              </w:rPr>
              <w:t>250.00</w:t>
            </w:r>
          </w:p>
        </w:tc>
      </w:tr>
      <w:tr w:rsidR="00D5608F" w:rsidRPr="009D3726" w14:paraId="7AF42BB4" w14:textId="77777777" w:rsidTr="00D5608F">
        <w:trPr>
          <w:jc w:val="center"/>
        </w:trPr>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4D3408F0" w14:textId="77777777" w:rsidR="00D5608F" w:rsidRPr="009D3726" w:rsidRDefault="00D5608F" w:rsidP="00C6418A">
            <w:pPr>
              <w:spacing w:line="240" w:lineRule="auto"/>
              <w:jc w:val="center"/>
              <w:rPr>
                <w:b/>
                <w:bCs/>
                <w:szCs w:val="24"/>
              </w:rPr>
            </w:pPr>
            <w:r w:rsidRPr="009D3726">
              <w:rPr>
                <w:b/>
                <w:bCs/>
                <w:szCs w:val="24"/>
              </w:rPr>
              <w:t>3</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6047C730" w14:textId="77777777" w:rsidR="00D5608F" w:rsidRPr="009D3726" w:rsidRDefault="00D5608F" w:rsidP="00C6418A">
            <w:pPr>
              <w:spacing w:line="240" w:lineRule="auto"/>
              <w:jc w:val="center"/>
              <w:rPr>
                <w:szCs w:val="24"/>
              </w:rPr>
            </w:pPr>
            <w:r w:rsidRPr="009D3726">
              <w:rPr>
                <w:szCs w:val="24"/>
              </w:rPr>
              <w:t>2027-28</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3CB15AC6" w14:textId="77777777" w:rsidR="00D5608F" w:rsidRPr="009D3726" w:rsidRDefault="00D5608F" w:rsidP="00C6418A">
            <w:pPr>
              <w:spacing w:line="240" w:lineRule="auto"/>
              <w:jc w:val="center"/>
              <w:rPr>
                <w:szCs w:val="24"/>
              </w:rPr>
            </w:pPr>
            <w:r w:rsidRPr="009D3726">
              <w:rPr>
                <w:szCs w:val="24"/>
              </w:rPr>
              <w:t>250.00</w:t>
            </w:r>
          </w:p>
        </w:tc>
      </w:tr>
      <w:tr w:rsidR="00D5608F" w:rsidRPr="009D3726" w14:paraId="5A651103" w14:textId="77777777" w:rsidTr="00D5608F">
        <w:trPr>
          <w:jc w:val="center"/>
        </w:trPr>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43D8710" w14:textId="77777777" w:rsidR="00D5608F" w:rsidRPr="009D3726" w:rsidRDefault="00D5608F" w:rsidP="00C6418A">
            <w:pPr>
              <w:spacing w:line="240" w:lineRule="auto"/>
              <w:jc w:val="center"/>
              <w:rPr>
                <w:b/>
                <w:bCs/>
                <w:szCs w:val="24"/>
              </w:rPr>
            </w:pPr>
            <w:r w:rsidRPr="009D3726">
              <w:rPr>
                <w:b/>
                <w:bCs/>
                <w:szCs w:val="24"/>
              </w:rPr>
              <w:t>4</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47732F3A" w14:textId="77777777" w:rsidR="00D5608F" w:rsidRPr="009D3726" w:rsidRDefault="00D5608F" w:rsidP="00C6418A">
            <w:pPr>
              <w:spacing w:line="240" w:lineRule="auto"/>
              <w:jc w:val="center"/>
              <w:rPr>
                <w:szCs w:val="24"/>
              </w:rPr>
            </w:pPr>
            <w:r w:rsidRPr="009D3726">
              <w:rPr>
                <w:szCs w:val="24"/>
              </w:rPr>
              <w:t>2028-29</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8E7A9AD" w14:textId="77777777" w:rsidR="00D5608F" w:rsidRPr="009D3726" w:rsidRDefault="00D5608F" w:rsidP="00C6418A">
            <w:pPr>
              <w:spacing w:line="240" w:lineRule="auto"/>
              <w:jc w:val="center"/>
              <w:rPr>
                <w:szCs w:val="24"/>
              </w:rPr>
            </w:pPr>
            <w:r w:rsidRPr="009D3726">
              <w:rPr>
                <w:szCs w:val="24"/>
              </w:rPr>
              <w:t>250.00</w:t>
            </w:r>
          </w:p>
        </w:tc>
      </w:tr>
      <w:tr w:rsidR="00D5608F" w:rsidRPr="009D3726" w14:paraId="37D829E5" w14:textId="77777777" w:rsidTr="00D5608F">
        <w:trPr>
          <w:jc w:val="center"/>
        </w:trPr>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724A7EA6" w14:textId="77777777" w:rsidR="00D5608F" w:rsidRPr="009D3726" w:rsidRDefault="00D5608F" w:rsidP="00C6418A">
            <w:pPr>
              <w:spacing w:line="240" w:lineRule="auto"/>
              <w:jc w:val="center"/>
              <w:rPr>
                <w:b/>
                <w:bCs/>
                <w:szCs w:val="24"/>
              </w:rPr>
            </w:pPr>
            <w:r w:rsidRPr="009D3726">
              <w:rPr>
                <w:b/>
                <w:bCs/>
                <w:szCs w:val="24"/>
              </w:rPr>
              <w:t>5</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EE988FD" w14:textId="77777777" w:rsidR="00D5608F" w:rsidRPr="009D3726" w:rsidRDefault="00D5608F" w:rsidP="00C6418A">
            <w:pPr>
              <w:spacing w:line="240" w:lineRule="auto"/>
              <w:jc w:val="center"/>
              <w:rPr>
                <w:szCs w:val="24"/>
              </w:rPr>
            </w:pPr>
            <w:r w:rsidRPr="009D3726">
              <w:rPr>
                <w:szCs w:val="24"/>
              </w:rPr>
              <w:t>2029-30</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50390DED" w14:textId="77777777" w:rsidR="00D5608F" w:rsidRPr="009D3726" w:rsidRDefault="00D5608F" w:rsidP="00C6418A">
            <w:pPr>
              <w:spacing w:line="240" w:lineRule="auto"/>
              <w:jc w:val="center"/>
              <w:rPr>
                <w:szCs w:val="24"/>
              </w:rPr>
            </w:pPr>
            <w:r w:rsidRPr="009D3726">
              <w:rPr>
                <w:szCs w:val="24"/>
              </w:rPr>
              <w:t>100,00</w:t>
            </w:r>
          </w:p>
        </w:tc>
      </w:tr>
      <w:tr w:rsidR="00D5608F" w:rsidRPr="009D3726" w14:paraId="0BF430BD" w14:textId="77777777" w:rsidTr="00D5608F">
        <w:trPr>
          <w:jc w:val="center"/>
        </w:trPr>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7ACC0623" w14:textId="77777777" w:rsidR="00D5608F" w:rsidRPr="009D3726" w:rsidRDefault="00D5608F" w:rsidP="00C6418A">
            <w:pPr>
              <w:spacing w:line="240" w:lineRule="auto"/>
              <w:jc w:val="center"/>
              <w:rPr>
                <w:szCs w:val="24"/>
              </w:rPr>
            </w:pP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01465A7" w14:textId="77777777" w:rsidR="00D5608F" w:rsidRPr="009D3726" w:rsidRDefault="00D5608F" w:rsidP="00C6418A">
            <w:pPr>
              <w:spacing w:line="240" w:lineRule="auto"/>
              <w:jc w:val="center"/>
              <w:rPr>
                <w:szCs w:val="24"/>
              </w:rPr>
            </w:pPr>
            <w:r w:rsidRPr="009D3726">
              <w:rPr>
                <w:szCs w:val="24"/>
              </w:rPr>
              <w:t>Total Envelope (VC)</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98C71BD" w14:textId="77777777" w:rsidR="00D5608F" w:rsidRPr="009D3726" w:rsidRDefault="00D5608F" w:rsidP="00C6418A">
            <w:pPr>
              <w:spacing w:line="240" w:lineRule="auto"/>
              <w:jc w:val="center"/>
              <w:rPr>
                <w:szCs w:val="24"/>
              </w:rPr>
            </w:pPr>
            <w:r w:rsidRPr="009D3726">
              <w:rPr>
                <w:szCs w:val="24"/>
              </w:rPr>
              <w:t>1000.00</w:t>
            </w:r>
          </w:p>
        </w:tc>
      </w:tr>
    </w:tbl>
    <w:p w14:paraId="1B2B4475" w14:textId="445DC3A3" w:rsidR="00D5608F" w:rsidRPr="009D3726" w:rsidRDefault="009C7E81" w:rsidP="00C6418A">
      <w:pPr>
        <w:spacing w:line="240" w:lineRule="auto"/>
        <w:jc w:val="center"/>
        <w:rPr>
          <w:szCs w:val="24"/>
        </w:rPr>
      </w:pPr>
      <w:r w:rsidRPr="009D3726">
        <w:rPr>
          <w:szCs w:val="24"/>
        </w:rPr>
        <w:t>[Source:</w:t>
      </w:r>
      <w:r w:rsidR="00837FA7" w:rsidRPr="009D3726">
        <w:rPr>
          <w:szCs w:val="24"/>
        </w:rPr>
        <w:t xml:space="preserve"> </w:t>
      </w:r>
      <w:r w:rsidRPr="009D3726">
        <w:rPr>
          <w:szCs w:val="24"/>
        </w:rPr>
        <w:t>(ISRO, 2024)]</w:t>
      </w:r>
    </w:p>
    <w:p w14:paraId="79A6FB41" w14:textId="77777777" w:rsidR="001B6EA8" w:rsidRPr="009D3726" w:rsidRDefault="009C7E81" w:rsidP="00C6418A">
      <w:pPr>
        <w:spacing w:line="240" w:lineRule="auto"/>
        <w:rPr>
          <w:szCs w:val="24"/>
        </w:rPr>
      </w:pPr>
      <w:r w:rsidRPr="009D3726">
        <w:rPr>
          <w:szCs w:val="24"/>
        </w:rPr>
        <w:t xml:space="preserve">This fund has been designed for advancing India’s interest in the space sector for innovation and economic growth by capital infusion, company retention, space economy growth, development of space technology, development of ecosystem, economic growth and creation of jobs. The intention of the Government was to attract funding, accelerate private sector growth, and support Atmanirbhar Bharat (ISRO, 2024). </w:t>
      </w:r>
      <w:r w:rsidR="00905109" w:rsidRPr="009D3726">
        <w:rPr>
          <w:szCs w:val="24"/>
        </w:rPr>
        <w:t>The Indian Space Policy has been providing the clarity required for the private sector by trying to engage the private sector for ease of doing business, and the policy wants more MSMEs and startups to find it easier to enter the space sector (Singh &amp; Gupta, 2023). Sandeepa Bhat and Adithya Variath have</w:t>
      </w:r>
      <w:r w:rsidR="00CF476C" w:rsidRPr="009D3726">
        <w:rPr>
          <w:szCs w:val="24"/>
        </w:rPr>
        <w:t>,</w:t>
      </w:r>
      <w:r w:rsidR="00905109" w:rsidRPr="009D3726">
        <w:rPr>
          <w:szCs w:val="24"/>
        </w:rPr>
        <w:t xml:space="preserve"> however</w:t>
      </w:r>
      <w:r w:rsidR="00CF476C" w:rsidRPr="009D3726">
        <w:rPr>
          <w:szCs w:val="24"/>
        </w:rPr>
        <w:t>,</w:t>
      </w:r>
      <w:r w:rsidR="00905109" w:rsidRPr="009D3726">
        <w:rPr>
          <w:szCs w:val="24"/>
        </w:rPr>
        <w:t xml:space="preserve"> pointed </w:t>
      </w:r>
      <w:r w:rsidR="00CF476C" w:rsidRPr="009D3726">
        <w:rPr>
          <w:szCs w:val="24"/>
        </w:rPr>
        <w:t xml:space="preserve">out </w:t>
      </w:r>
      <w:r w:rsidR="00905109" w:rsidRPr="009D3726">
        <w:rPr>
          <w:szCs w:val="24"/>
        </w:rPr>
        <w:t xml:space="preserve">that the Space Policy is not based on </w:t>
      </w:r>
      <w:r w:rsidR="00CF476C" w:rsidRPr="009D3726">
        <w:rPr>
          <w:szCs w:val="24"/>
        </w:rPr>
        <w:t xml:space="preserve">a </w:t>
      </w:r>
      <w:r w:rsidR="00905109" w:rsidRPr="009D3726">
        <w:rPr>
          <w:szCs w:val="24"/>
        </w:rPr>
        <w:t xml:space="preserve">legislative framework and is silent on </w:t>
      </w:r>
      <w:r w:rsidR="00905109" w:rsidRPr="009D3726">
        <w:rPr>
          <w:szCs w:val="24"/>
        </w:rPr>
        <w:lastRenderedPageBreak/>
        <w:t>international obligations</w:t>
      </w:r>
      <w:r w:rsidR="00CF476C" w:rsidRPr="009D3726">
        <w:rPr>
          <w:szCs w:val="24"/>
        </w:rPr>
        <w:t>, and an increase in private investments for space commerce will lead to uncertainties, raising questions of transparency, accountability and state responsibility; thus, having legislation is absolutely crucial (Bhat B. &amp; Variath, 2024)</w:t>
      </w:r>
      <w:r w:rsidR="000878AE" w:rsidRPr="009D3726">
        <w:rPr>
          <w:szCs w:val="24"/>
        </w:rPr>
        <w:t>. India has to invest in space technology (Kumar, 2024)</w:t>
      </w:r>
      <w:r w:rsidR="00D30812" w:rsidRPr="009D3726">
        <w:rPr>
          <w:szCs w:val="24"/>
        </w:rPr>
        <w:t>. The crucial economic point which should be noted is that in 2023</w:t>
      </w:r>
      <w:r w:rsidR="001B6611" w:rsidRPr="009D3726">
        <w:rPr>
          <w:szCs w:val="24"/>
        </w:rPr>
        <w:t>,</w:t>
      </w:r>
      <w:r w:rsidR="00D30812" w:rsidRPr="009D3726">
        <w:rPr>
          <w:szCs w:val="24"/>
        </w:rPr>
        <w:t xml:space="preserve"> India’s space sector hit a funding peak, recording a rise from 32.9% in the previous year, whereas there was a sharp decline seen in 2024 in data collected from market intelligence platform Tracxn</w:t>
      </w:r>
      <w:r w:rsidR="001B6611" w:rsidRPr="009D3726">
        <w:rPr>
          <w:szCs w:val="24"/>
        </w:rPr>
        <w:t xml:space="preserve"> (Reuters, 2025). </w:t>
      </w:r>
    </w:p>
    <w:p w14:paraId="25549279" w14:textId="0B7FC0C4" w:rsidR="00DC63FA" w:rsidRPr="009D3726" w:rsidRDefault="00DC63FA" w:rsidP="00C6418A">
      <w:pPr>
        <w:spacing w:line="240" w:lineRule="auto"/>
        <w:rPr>
          <w:b/>
          <w:bCs/>
          <w:szCs w:val="24"/>
          <w:lang w:val="en-US"/>
        </w:rPr>
      </w:pPr>
      <w:r w:rsidRPr="009D3726">
        <w:rPr>
          <w:b/>
          <w:bCs/>
          <w:szCs w:val="24"/>
        </w:rPr>
        <w:t xml:space="preserve">Descriptive Evidence of Legal Certainty as a Catalyst for Private Space Investment in the United States </w:t>
      </w:r>
    </w:p>
    <w:tbl>
      <w:tblPr>
        <w:tblW w:w="9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1653"/>
        <w:gridCol w:w="1738"/>
        <w:gridCol w:w="1616"/>
        <w:gridCol w:w="1653"/>
        <w:gridCol w:w="1787"/>
      </w:tblGrid>
      <w:tr w:rsidR="001B6EA8" w:rsidRPr="009D3726" w14:paraId="6653203D" w14:textId="77777777" w:rsidTr="00E979FF">
        <w:trPr>
          <w:trHeight w:val="305"/>
        </w:trPr>
        <w:tc>
          <w:tcPr>
            <w:tcW w:w="730" w:type="dxa"/>
            <w:noWrap/>
            <w:vAlign w:val="center"/>
            <w:hideMark/>
          </w:tcPr>
          <w:p w14:paraId="710D0D3C" w14:textId="77777777" w:rsidR="001B6EA8" w:rsidRPr="009D3726" w:rsidRDefault="001B6EA8" w:rsidP="00C6418A">
            <w:pPr>
              <w:spacing w:after="0" w:line="240" w:lineRule="auto"/>
              <w:jc w:val="center"/>
              <w:rPr>
                <w:rFonts w:eastAsia="Times New Roman" w:cs="Times New Roman"/>
                <w:b/>
                <w:bCs/>
                <w:color w:val="000000"/>
                <w:kern w:val="0"/>
                <w:szCs w:val="24"/>
                <w:lang w:eastAsia="en-IN"/>
                <w14:ligatures w14:val="none"/>
              </w:rPr>
            </w:pPr>
            <w:r w:rsidRPr="009D3726">
              <w:rPr>
                <w:rFonts w:eastAsia="Times New Roman" w:cs="Times New Roman"/>
                <w:b/>
                <w:bCs/>
                <w:color w:val="000000"/>
                <w:kern w:val="0"/>
                <w:szCs w:val="24"/>
                <w:lang w:eastAsia="en-IN"/>
                <w14:ligatures w14:val="none"/>
              </w:rPr>
              <w:t>FY</w:t>
            </w:r>
          </w:p>
        </w:tc>
        <w:tc>
          <w:tcPr>
            <w:tcW w:w="1653" w:type="dxa"/>
            <w:noWrap/>
            <w:vAlign w:val="center"/>
            <w:hideMark/>
          </w:tcPr>
          <w:p w14:paraId="1CC1BD73" w14:textId="77777777" w:rsidR="001B6EA8" w:rsidRPr="009D3726" w:rsidRDefault="001B6EA8" w:rsidP="00C6418A">
            <w:pPr>
              <w:spacing w:after="0" w:line="240" w:lineRule="auto"/>
              <w:jc w:val="center"/>
              <w:rPr>
                <w:rFonts w:eastAsia="Times New Roman" w:cs="Times New Roman"/>
                <w:b/>
                <w:bCs/>
                <w:color w:val="000000"/>
                <w:kern w:val="0"/>
                <w:szCs w:val="24"/>
                <w:lang w:eastAsia="en-IN"/>
                <w14:ligatures w14:val="none"/>
              </w:rPr>
            </w:pPr>
            <w:r w:rsidRPr="009D3726">
              <w:rPr>
                <w:rFonts w:eastAsia="Times New Roman" w:cs="Times New Roman"/>
                <w:b/>
                <w:bCs/>
                <w:color w:val="000000"/>
                <w:kern w:val="0"/>
                <w:szCs w:val="24"/>
                <w:lang w:eastAsia="en-IN"/>
                <w14:ligatures w14:val="none"/>
              </w:rPr>
              <w:t>Venture Capital ($)</w:t>
            </w:r>
          </w:p>
        </w:tc>
        <w:tc>
          <w:tcPr>
            <w:tcW w:w="1738" w:type="dxa"/>
            <w:noWrap/>
            <w:vAlign w:val="center"/>
            <w:hideMark/>
          </w:tcPr>
          <w:p w14:paraId="4F8D988D" w14:textId="77777777" w:rsidR="001B6EA8" w:rsidRPr="009D3726" w:rsidRDefault="001B6EA8" w:rsidP="00C6418A">
            <w:pPr>
              <w:spacing w:after="0" w:line="240" w:lineRule="auto"/>
              <w:jc w:val="center"/>
              <w:rPr>
                <w:rFonts w:eastAsia="Times New Roman" w:cs="Times New Roman"/>
                <w:b/>
                <w:bCs/>
                <w:color w:val="000000"/>
                <w:kern w:val="0"/>
                <w:szCs w:val="24"/>
                <w:lang w:eastAsia="en-IN"/>
                <w14:ligatures w14:val="none"/>
              </w:rPr>
            </w:pPr>
            <w:r w:rsidRPr="009D3726">
              <w:rPr>
                <w:rFonts w:eastAsia="Times New Roman" w:cs="Times New Roman"/>
                <w:b/>
                <w:bCs/>
                <w:color w:val="000000"/>
                <w:kern w:val="0"/>
                <w:szCs w:val="24"/>
                <w:lang w:eastAsia="en-IN"/>
                <w14:ligatures w14:val="none"/>
              </w:rPr>
              <w:t>Corporate ($)</w:t>
            </w:r>
          </w:p>
        </w:tc>
        <w:tc>
          <w:tcPr>
            <w:tcW w:w="1616" w:type="dxa"/>
            <w:noWrap/>
            <w:vAlign w:val="center"/>
            <w:hideMark/>
          </w:tcPr>
          <w:p w14:paraId="062246C6" w14:textId="77777777" w:rsidR="001B6EA8" w:rsidRPr="009D3726" w:rsidRDefault="001B6EA8" w:rsidP="00C6418A">
            <w:pPr>
              <w:spacing w:after="0" w:line="240" w:lineRule="auto"/>
              <w:jc w:val="center"/>
              <w:rPr>
                <w:rFonts w:eastAsia="Times New Roman" w:cs="Times New Roman"/>
                <w:b/>
                <w:bCs/>
                <w:color w:val="000000"/>
                <w:kern w:val="0"/>
                <w:szCs w:val="24"/>
                <w:lang w:eastAsia="en-IN"/>
                <w14:ligatures w14:val="none"/>
              </w:rPr>
            </w:pPr>
            <w:r w:rsidRPr="009D3726">
              <w:rPr>
                <w:rFonts w:eastAsia="Times New Roman" w:cs="Times New Roman"/>
                <w:b/>
                <w:bCs/>
                <w:color w:val="000000"/>
                <w:kern w:val="0"/>
                <w:szCs w:val="24"/>
                <w:lang w:eastAsia="en-IN"/>
                <w14:ligatures w14:val="none"/>
              </w:rPr>
              <w:t>Angel Individual ($)</w:t>
            </w:r>
          </w:p>
        </w:tc>
        <w:tc>
          <w:tcPr>
            <w:tcW w:w="1653" w:type="dxa"/>
            <w:noWrap/>
            <w:vAlign w:val="center"/>
            <w:hideMark/>
          </w:tcPr>
          <w:p w14:paraId="6C01BC78" w14:textId="77777777" w:rsidR="001B6EA8" w:rsidRPr="009D3726" w:rsidRDefault="001B6EA8" w:rsidP="00C6418A">
            <w:pPr>
              <w:spacing w:after="0" w:line="240" w:lineRule="auto"/>
              <w:jc w:val="center"/>
              <w:rPr>
                <w:rFonts w:eastAsia="Times New Roman" w:cs="Times New Roman"/>
                <w:b/>
                <w:bCs/>
                <w:color w:val="000000"/>
                <w:kern w:val="0"/>
                <w:szCs w:val="24"/>
                <w:lang w:eastAsia="en-IN"/>
                <w14:ligatures w14:val="none"/>
              </w:rPr>
            </w:pPr>
            <w:r w:rsidRPr="009D3726">
              <w:rPr>
                <w:rFonts w:eastAsia="Times New Roman" w:cs="Times New Roman"/>
                <w:b/>
                <w:bCs/>
                <w:color w:val="000000"/>
                <w:kern w:val="0"/>
                <w:szCs w:val="24"/>
                <w:lang w:eastAsia="en-IN"/>
                <w14:ligatures w14:val="none"/>
              </w:rPr>
              <w:t>Other ($)</w:t>
            </w:r>
          </w:p>
        </w:tc>
        <w:tc>
          <w:tcPr>
            <w:tcW w:w="1787" w:type="dxa"/>
            <w:noWrap/>
            <w:vAlign w:val="center"/>
            <w:hideMark/>
          </w:tcPr>
          <w:p w14:paraId="19A83DAF" w14:textId="77777777" w:rsidR="001B6EA8" w:rsidRPr="009D3726" w:rsidRDefault="001B6EA8" w:rsidP="00C6418A">
            <w:pPr>
              <w:spacing w:after="0" w:line="240" w:lineRule="auto"/>
              <w:jc w:val="center"/>
              <w:rPr>
                <w:rFonts w:eastAsia="Times New Roman" w:cs="Times New Roman"/>
                <w:b/>
                <w:bCs/>
                <w:color w:val="000000"/>
                <w:kern w:val="0"/>
                <w:szCs w:val="24"/>
                <w:lang w:eastAsia="en-IN"/>
                <w14:ligatures w14:val="none"/>
              </w:rPr>
            </w:pPr>
            <w:r w:rsidRPr="009D3726">
              <w:rPr>
                <w:rFonts w:eastAsia="Times New Roman" w:cs="Times New Roman"/>
                <w:b/>
                <w:bCs/>
                <w:color w:val="000000"/>
                <w:kern w:val="0"/>
                <w:szCs w:val="24"/>
                <w:lang w:eastAsia="en-IN"/>
                <w14:ligatures w14:val="none"/>
              </w:rPr>
              <w:t>Total Investment ($)</w:t>
            </w:r>
          </w:p>
        </w:tc>
      </w:tr>
      <w:tr w:rsidR="001B6EA8" w:rsidRPr="009D3726" w14:paraId="5E62DD03" w14:textId="77777777" w:rsidTr="00E979FF">
        <w:trPr>
          <w:trHeight w:val="305"/>
        </w:trPr>
        <w:tc>
          <w:tcPr>
            <w:tcW w:w="730" w:type="dxa"/>
            <w:noWrap/>
            <w:vAlign w:val="center"/>
            <w:hideMark/>
          </w:tcPr>
          <w:p w14:paraId="1E08B0CF" w14:textId="77777777" w:rsidR="001B6EA8" w:rsidRPr="009D3726" w:rsidRDefault="001B6EA8" w:rsidP="00C6418A">
            <w:pPr>
              <w:spacing w:after="0" w:line="240" w:lineRule="auto"/>
              <w:jc w:val="center"/>
              <w:rPr>
                <w:rFonts w:eastAsia="Times New Roman" w:cs="Times New Roman"/>
                <w:b/>
                <w:bCs/>
                <w:color w:val="000000"/>
                <w:kern w:val="0"/>
                <w:szCs w:val="24"/>
                <w:lang w:eastAsia="en-IN"/>
                <w14:ligatures w14:val="none"/>
              </w:rPr>
            </w:pPr>
            <w:r w:rsidRPr="009D3726">
              <w:rPr>
                <w:rFonts w:eastAsia="Times New Roman" w:cs="Times New Roman"/>
                <w:b/>
                <w:bCs/>
                <w:color w:val="000000"/>
                <w:kern w:val="0"/>
                <w:szCs w:val="24"/>
                <w:lang w:eastAsia="en-IN"/>
                <w14:ligatures w14:val="none"/>
              </w:rPr>
              <w:t>2009</w:t>
            </w:r>
          </w:p>
        </w:tc>
        <w:tc>
          <w:tcPr>
            <w:tcW w:w="1653" w:type="dxa"/>
            <w:noWrap/>
            <w:vAlign w:val="center"/>
            <w:hideMark/>
          </w:tcPr>
          <w:p w14:paraId="4E73B736" w14:textId="77777777" w:rsidR="001B6EA8" w:rsidRPr="009D3726" w:rsidRDefault="001B6EA8" w:rsidP="00C6418A">
            <w:pPr>
              <w:spacing w:after="0" w:line="240" w:lineRule="auto"/>
              <w:jc w:val="center"/>
              <w:rPr>
                <w:rFonts w:eastAsia="Times New Roman" w:cs="Times New Roman"/>
                <w:color w:val="000000"/>
                <w:kern w:val="0"/>
                <w:szCs w:val="24"/>
                <w:lang w:eastAsia="en-IN"/>
                <w14:ligatures w14:val="none"/>
              </w:rPr>
            </w:pPr>
            <w:r w:rsidRPr="009D3726">
              <w:rPr>
                <w:rFonts w:eastAsia="Times New Roman" w:cs="Times New Roman"/>
                <w:color w:val="000000"/>
                <w:kern w:val="0"/>
                <w:szCs w:val="24"/>
                <w:lang w:eastAsia="en-IN"/>
                <w14:ligatures w14:val="none"/>
              </w:rPr>
              <w:t>164806214</w:t>
            </w:r>
          </w:p>
        </w:tc>
        <w:tc>
          <w:tcPr>
            <w:tcW w:w="1738" w:type="dxa"/>
            <w:noWrap/>
            <w:vAlign w:val="center"/>
            <w:hideMark/>
          </w:tcPr>
          <w:p w14:paraId="48486D6E" w14:textId="77777777" w:rsidR="001B6EA8" w:rsidRPr="009D3726" w:rsidRDefault="001B6EA8" w:rsidP="00C6418A">
            <w:pPr>
              <w:spacing w:after="0" w:line="240" w:lineRule="auto"/>
              <w:jc w:val="center"/>
              <w:rPr>
                <w:rFonts w:eastAsia="Times New Roman" w:cs="Times New Roman"/>
                <w:color w:val="000000"/>
                <w:kern w:val="0"/>
                <w:szCs w:val="24"/>
                <w:lang w:eastAsia="en-IN"/>
                <w14:ligatures w14:val="none"/>
              </w:rPr>
            </w:pPr>
            <w:r w:rsidRPr="009D3726">
              <w:rPr>
                <w:rFonts w:eastAsia="Times New Roman" w:cs="Times New Roman"/>
                <w:color w:val="000000"/>
                <w:kern w:val="0"/>
                <w:szCs w:val="24"/>
                <w:lang w:eastAsia="en-IN"/>
                <w14:ligatures w14:val="none"/>
              </w:rPr>
              <w:t>540958333</w:t>
            </w:r>
          </w:p>
        </w:tc>
        <w:tc>
          <w:tcPr>
            <w:tcW w:w="1616" w:type="dxa"/>
            <w:noWrap/>
            <w:vAlign w:val="center"/>
            <w:hideMark/>
          </w:tcPr>
          <w:p w14:paraId="1D9AF47F" w14:textId="77777777" w:rsidR="001B6EA8" w:rsidRPr="009D3726" w:rsidRDefault="001B6EA8" w:rsidP="00C6418A">
            <w:pPr>
              <w:spacing w:after="0" w:line="240" w:lineRule="auto"/>
              <w:jc w:val="center"/>
              <w:rPr>
                <w:rFonts w:eastAsia="Times New Roman" w:cs="Times New Roman"/>
                <w:color w:val="000000"/>
                <w:kern w:val="0"/>
                <w:szCs w:val="24"/>
                <w:lang w:eastAsia="en-IN"/>
                <w14:ligatures w14:val="none"/>
              </w:rPr>
            </w:pPr>
            <w:r w:rsidRPr="009D3726">
              <w:rPr>
                <w:rFonts w:eastAsia="Times New Roman" w:cs="Times New Roman"/>
                <w:color w:val="000000"/>
                <w:kern w:val="0"/>
                <w:szCs w:val="24"/>
                <w:lang w:eastAsia="en-IN"/>
                <w14:ligatures w14:val="none"/>
              </w:rPr>
              <w:t>167825450</w:t>
            </w:r>
          </w:p>
        </w:tc>
        <w:tc>
          <w:tcPr>
            <w:tcW w:w="1653" w:type="dxa"/>
            <w:noWrap/>
            <w:vAlign w:val="center"/>
            <w:hideMark/>
          </w:tcPr>
          <w:p w14:paraId="5CA27650" w14:textId="77777777" w:rsidR="001B6EA8" w:rsidRPr="009D3726" w:rsidRDefault="001B6EA8" w:rsidP="00C6418A">
            <w:pPr>
              <w:spacing w:after="0" w:line="240" w:lineRule="auto"/>
              <w:jc w:val="center"/>
              <w:rPr>
                <w:rFonts w:eastAsia="Times New Roman" w:cs="Times New Roman"/>
                <w:color w:val="000000"/>
                <w:kern w:val="0"/>
                <w:szCs w:val="24"/>
                <w:lang w:eastAsia="en-IN"/>
                <w14:ligatures w14:val="none"/>
              </w:rPr>
            </w:pPr>
            <w:r w:rsidRPr="009D3726">
              <w:rPr>
                <w:rFonts w:eastAsia="Times New Roman" w:cs="Times New Roman"/>
                <w:color w:val="000000"/>
                <w:kern w:val="0"/>
                <w:szCs w:val="24"/>
                <w:lang w:eastAsia="en-IN"/>
                <w14:ligatures w14:val="none"/>
              </w:rPr>
              <w:t>90290000</w:t>
            </w:r>
          </w:p>
        </w:tc>
        <w:tc>
          <w:tcPr>
            <w:tcW w:w="1787" w:type="dxa"/>
            <w:noWrap/>
            <w:vAlign w:val="center"/>
            <w:hideMark/>
          </w:tcPr>
          <w:p w14:paraId="5FA1D485" w14:textId="77777777" w:rsidR="001B6EA8" w:rsidRPr="009D3726" w:rsidRDefault="001B6EA8" w:rsidP="00C6418A">
            <w:pPr>
              <w:spacing w:after="0" w:line="240" w:lineRule="auto"/>
              <w:jc w:val="center"/>
              <w:rPr>
                <w:rFonts w:eastAsia="Times New Roman" w:cs="Times New Roman"/>
                <w:color w:val="000000"/>
                <w:kern w:val="0"/>
                <w:szCs w:val="24"/>
                <w:lang w:eastAsia="en-IN"/>
                <w14:ligatures w14:val="none"/>
              </w:rPr>
            </w:pPr>
            <w:r w:rsidRPr="009D3726">
              <w:rPr>
                <w:rFonts w:eastAsia="Times New Roman" w:cs="Times New Roman"/>
                <w:color w:val="000000"/>
                <w:kern w:val="0"/>
                <w:szCs w:val="24"/>
                <w:lang w:eastAsia="en-IN"/>
                <w14:ligatures w14:val="none"/>
              </w:rPr>
              <w:t>963879997</w:t>
            </w:r>
          </w:p>
        </w:tc>
      </w:tr>
      <w:tr w:rsidR="001B6EA8" w:rsidRPr="009D3726" w14:paraId="09D24064" w14:textId="77777777" w:rsidTr="00E979FF">
        <w:trPr>
          <w:trHeight w:val="305"/>
        </w:trPr>
        <w:tc>
          <w:tcPr>
            <w:tcW w:w="730" w:type="dxa"/>
            <w:noWrap/>
            <w:vAlign w:val="center"/>
            <w:hideMark/>
          </w:tcPr>
          <w:p w14:paraId="11C5AF1C" w14:textId="77777777" w:rsidR="001B6EA8" w:rsidRPr="009D3726" w:rsidRDefault="001B6EA8" w:rsidP="00C6418A">
            <w:pPr>
              <w:spacing w:after="0" w:line="240" w:lineRule="auto"/>
              <w:jc w:val="center"/>
              <w:rPr>
                <w:rFonts w:eastAsia="Times New Roman" w:cs="Times New Roman"/>
                <w:b/>
                <w:bCs/>
                <w:color w:val="000000"/>
                <w:kern w:val="0"/>
                <w:szCs w:val="24"/>
                <w:lang w:eastAsia="en-IN"/>
                <w14:ligatures w14:val="none"/>
              </w:rPr>
            </w:pPr>
            <w:r w:rsidRPr="009D3726">
              <w:rPr>
                <w:rFonts w:eastAsia="Times New Roman" w:cs="Times New Roman"/>
                <w:b/>
                <w:bCs/>
                <w:color w:val="000000"/>
                <w:kern w:val="0"/>
                <w:szCs w:val="24"/>
                <w:lang w:eastAsia="en-IN"/>
                <w14:ligatures w14:val="none"/>
              </w:rPr>
              <w:t>2010</w:t>
            </w:r>
          </w:p>
        </w:tc>
        <w:tc>
          <w:tcPr>
            <w:tcW w:w="1653" w:type="dxa"/>
            <w:noWrap/>
            <w:vAlign w:val="center"/>
            <w:hideMark/>
          </w:tcPr>
          <w:p w14:paraId="67DB71AD" w14:textId="77777777" w:rsidR="001B6EA8" w:rsidRPr="009D3726" w:rsidRDefault="001B6EA8" w:rsidP="00C6418A">
            <w:pPr>
              <w:spacing w:after="0" w:line="240" w:lineRule="auto"/>
              <w:jc w:val="center"/>
              <w:rPr>
                <w:rFonts w:eastAsia="Times New Roman" w:cs="Times New Roman"/>
                <w:color w:val="000000"/>
                <w:kern w:val="0"/>
                <w:szCs w:val="24"/>
                <w:lang w:eastAsia="en-IN"/>
                <w14:ligatures w14:val="none"/>
              </w:rPr>
            </w:pPr>
            <w:r w:rsidRPr="009D3726">
              <w:rPr>
                <w:rFonts w:eastAsia="Times New Roman" w:cs="Times New Roman"/>
                <w:color w:val="000000"/>
                <w:kern w:val="0"/>
                <w:szCs w:val="24"/>
                <w:lang w:eastAsia="en-IN"/>
                <w14:ligatures w14:val="none"/>
              </w:rPr>
              <w:t>429431500</w:t>
            </w:r>
          </w:p>
        </w:tc>
        <w:tc>
          <w:tcPr>
            <w:tcW w:w="1738" w:type="dxa"/>
            <w:noWrap/>
            <w:vAlign w:val="center"/>
            <w:hideMark/>
          </w:tcPr>
          <w:p w14:paraId="68A4F600" w14:textId="77777777" w:rsidR="001B6EA8" w:rsidRPr="009D3726" w:rsidRDefault="001B6EA8" w:rsidP="00C6418A">
            <w:pPr>
              <w:spacing w:after="0" w:line="240" w:lineRule="auto"/>
              <w:jc w:val="center"/>
              <w:rPr>
                <w:rFonts w:eastAsia="Times New Roman" w:cs="Times New Roman"/>
                <w:color w:val="000000"/>
                <w:kern w:val="0"/>
                <w:szCs w:val="24"/>
                <w:lang w:eastAsia="en-IN"/>
                <w14:ligatures w14:val="none"/>
              </w:rPr>
            </w:pPr>
            <w:r w:rsidRPr="009D3726">
              <w:rPr>
                <w:rFonts w:eastAsia="Times New Roman" w:cs="Times New Roman"/>
                <w:color w:val="000000"/>
                <w:kern w:val="0"/>
                <w:szCs w:val="24"/>
                <w:lang w:eastAsia="en-IN"/>
                <w14:ligatures w14:val="none"/>
              </w:rPr>
              <w:t>208181833</w:t>
            </w:r>
          </w:p>
        </w:tc>
        <w:tc>
          <w:tcPr>
            <w:tcW w:w="1616" w:type="dxa"/>
            <w:noWrap/>
            <w:vAlign w:val="center"/>
            <w:hideMark/>
          </w:tcPr>
          <w:p w14:paraId="1B7E5D61" w14:textId="77777777" w:rsidR="001B6EA8" w:rsidRPr="009D3726" w:rsidRDefault="001B6EA8" w:rsidP="00C6418A">
            <w:pPr>
              <w:spacing w:after="0" w:line="240" w:lineRule="auto"/>
              <w:jc w:val="center"/>
              <w:rPr>
                <w:rFonts w:eastAsia="Times New Roman" w:cs="Times New Roman"/>
                <w:color w:val="000000"/>
                <w:kern w:val="0"/>
                <w:szCs w:val="24"/>
                <w:lang w:eastAsia="en-IN"/>
                <w14:ligatures w14:val="none"/>
              </w:rPr>
            </w:pPr>
            <w:r w:rsidRPr="009D3726">
              <w:rPr>
                <w:rFonts w:eastAsia="Times New Roman" w:cs="Times New Roman"/>
                <w:color w:val="000000"/>
                <w:kern w:val="0"/>
                <w:szCs w:val="24"/>
                <w:lang w:eastAsia="en-IN"/>
                <w14:ligatures w14:val="none"/>
              </w:rPr>
              <w:t>187711177</w:t>
            </w:r>
          </w:p>
        </w:tc>
        <w:tc>
          <w:tcPr>
            <w:tcW w:w="1653" w:type="dxa"/>
            <w:noWrap/>
            <w:vAlign w:val="center"/>
            <w:hideMark/>
          </w:tcPr>
          <w:p w14:paraId="59D123FC" w14:textId="77777777" w:rsidR="001B6EA8" w:rsidRPr="009D3726" w:rsidRDefault="001B6EA8" w:rsidP="00C6418A">
            <w:pPr>
              <w:spacing w:after="0" w:line="240" w:lineRule="auto"/>
              <w:jc w:val="center"/>
              <w:rPr>
                <w:rFonts w:eastAsia="Times New Roman" w:cs="Times New Roman"/>
                <w:color w:val="000000"/>
                <w:kern w:val="0"/>
                <w:szCs w:val="24"/>
                <w:lang w:eastAsia="en-IN"/>
                <w14:ligatures w14:val="none"/>
              </w:rPr>
            </w:pPr>
            <w:r w:rsidRPr="009D3726">
              <w:rPr>
                <w:rFonts w:eastAsia="Times New Roman" w:cs="Times New Roman"/>
                <w:color w:val="000000"/>
                <w:kern w:val="0"/>
                <w:szCs w:val="24"/>
                <w:lang w:eastAsia="en-IN"/>
                <w14:ligatures w14:val="none"/>
              </w:rPr>
              <w:t>101367793</w:t>
            </w:r>
          </w:p>
        </w:tc>
        <w:tc>
          <w:tcPr>
            <w:tcW w:w="1787" w:type="dxa"/>
            <w:noWrap/>
            <w:vAlign w:val="center"/>
            <w:hideMark/>
          </w:tcPr>
          <w:p w14:paraId="475E5AE8" w14:textId="77777777" w:rsidR="001B6EA8" w:rsidRPr="009D3726" w:rsidRDefault="001B6EA8" w:rsidP="00C6418A">
            <w:pPr>
              <w:spacing w:after="0" w:line="240" w:lineRule="auto"/>
              <w:jc w:val="center"/>
              <w:rPr>
                <w:rFonts w:eastAsia="Times New Roman" w:cs="Times New Roman"/>
                <w:color w:val="000000"/>
                <w:kern w:val="0"/>
                <w:szCs w:val="24"/>
                <w:lang w:eastAsia="en-IN"/>
                <w14:ligatures w14:val="none"/>
              </w:rPr>
            </w:pPr>
            <w:r w:rsidRPr="009D3726">
              <w:rPr>
                <w:rFonts w:eastAsia="Times New Roman" w:cs="Times New Roman"/>
                <w:color w:val="000000"/>
                <w:kern w:val="0"/>
                <w:szCs w:val="24"/>
                <w:lang w:eastAsia="en-IN"/>
                <w14:ligatures w14:val="none"/>
              </w:rPr>
              <w:t>926692303</w:t>
            </w:r>
          </w:p>
        </w:tc>
      </w:tr>
      <w:tr w:rsidR="001B6EA8" w:rsidRPr="009D3726" w14:paraId="028E771A" w14:textId="77777777" w:rsidTr="00E979FF">
        <w:trPr>
          <w:trHeight w:val="305"/>
        </w:trPr>
        <w:tc>
          <w:tcPr>
            <w:tcW w:w="730" w:type="dxa"/>
            <w:noWrap/>
            <w:vAlign w:val="center"/>
            <w:hideMark/>
          </w:tcPr>
          <w:p w14:paraId="61FCE217" w14:textId="77777777" w:rsidR="001B6EA8" w:rsidRPr="009D3726" w:rsidRDefault="001B6EA8" w:rsidP="00C6418A">
            <w:pPr>
              <w:spacing w:after="0" w:line="240" w:lineRule="auto"/>
              <w:jc w:val="center"/>
              <w:rPr>
                <w:rFonts w:eastAsia="Times New Roman" w:cs="Times New Roman"/>
                <w:b/>
                <w:bCs/>
                <w:color w:val="000000"/>
                <w:kern w:val="0"/>
                <w:szCs w:val="24"/>
                <w:lang w:eastAsia="en-IN"/>
                <w14:ligatures w14:val="none"/>
              </w:rPr>
            </w:pPr>
            <w:r w:rsidRPr="009D3726">
              <w:rPr>
                <w:rFonts w:eastAsia="Times New Roman" w:cs="Times New Roman"/>
                <w:b/>
                <w:bCs/>
                <w:color w:val="000000"/>
                <w:kern w:val="0"/>
                <w:szCs w:val="24"/>
                <w:lang w:eastAsia="en-IN"/>
                <w14:ligatures w14:val="none"/>
              </w:rPr>
              <w:t>2011</w:t>
            </w:r>
          </w:p>
        </w:tc>
        <w:tc>
          <w:tcPr>
            <w:tcW w:w="1653" w:type="dxa"/>
            <w:noWrap/>
            <w:vAlign w:val="center"/>
            <w:hideMark/>
          </w:tcPr>
          <w:p w14:paraId="3D7A7B2D" w14:textId="77777777" w:rsidR="001B6EA8" w:rsidRPr="009D3726" w:rsidRDefault="001B6EA8" w:rsidP="00C6418A">
            <w:pPr>
              <w:spacing w:after="0" w:line="240" w:lineRule="auto"/>
              <w:jc w:val="center"/>
              <w:rPr>
                <w:rFonts w:eastAsia="Times New Roman" w:cs="Times New Roman"/>
                <w:color w:val="000000"/>
                <w:kern w:val="0"/>
                <w:szCs w:val="24"/>
                <w:lang w:eastAsia="en-IN"/>
                <w14:ligatures w14:val="none"/>
              </w:rPr>
            </w:pPr>
            <w:r w:rsidRPr="009D3726">
              <w:rPr>
                <w:rFonts w:eastAsia="Times New Roman" w:cs="Times New Roman"/>
                <w:color w:val="000000"/>
                <w:kern w:val="0"/>
                <w:szCs w:val="24"/>
                <w:lang w:eastAsia="en-IN"/>
                <w14:ligatures w14:val="none"/>
              </w:rPr>
              <w:t>904288245</w:t>
            </w:r>
          </w:p>
        </w:tc>
        <w:tc>
          <w:tcPr>
            <w:tcW w:w="1738" w:type="dxa"/>
            <w:noWrap/>
            <w:vAlign w:val="center"/>
            <w:hideMark/>
          </w:tcPr>
          <w:p w14:paraId="1ED439A1" w14:textId="77777777" w:rsidR="001B6EA8" w:rsidRPr="009D3726" w:rsidRDefault="001B6EA8" w:rsidP="00C6418A">
            <w:pPr>
              <w:spacing w:after="0" w:line="240" w:lineRule="auto"/>
              <w:jc w:val="center"/>
              <w:rPr>
                <w:rFonts w:eastAsia="Times New Roman" w:cs="Times New Roman"/>
                <w:color w:val="000000"/>
                <w:kern w:val="0"/>
                <w:szCs w:val="24"/>
                <w:lang w:eastAsia="en-IN"/>
                <w14:ligatures w14:val="none"/>
              </w:rPr>
            </w:pPr>
            <w:r w:rsidRPr="009D3726">
              <w:rPr>
                <w:rFonts w:eastAsia="Times New Roman" w:cs="Times New Roman"/>
                <w:color w:val="000000"/>
                <w:kern w:val="0"/>
                <w:szCs w:val="24"/>
                <w:lang w:eastAsia="en-IN"/>
                <w14:ligatures w14:val="none"/>
              </w:rPr>
              <w:t>67331667</w:t>
            </w:r>
          </w:p>
        </w:tc>
        <w:tc>
          <w:tcPr>
            <w:tcW w:w="1616" w:type="dxa"/>
            <w:noWrap/>
            <w:vAlign w:val="center"/>
            <w:hideMark/>
          </w:tcPr>
          <w:p w14:paraId="4EB38584" w14:textId="77777777" w:rsidR="001B6EA8" w:rsidRPr="009D3726" w:rsidRDefault="001B6EA8" w:rsidP="00C6418A">
            <w:pPr>
              <w:spacing w:after="0" w:line="240" w:lineRule="auto"/>
              <w:jc w:val="center"/>
              <w:rPr>
                <w:rFonts w:eastAsia="Times New Roman" w:cs="Times New Roman"/>
                <w:color w:val="000000"/>
                <w:kern w:val="0"/>
                <w:szCs w:val="24"/>
                <w:lang w:eastAsia="en-IN"/>
                <w14:ligatures w14:val="none"/>
              </w:rPr>
            </w:pPr>
            <w:r w:rsidRPr="009D3726">
              <w:rPr>
                <w:rFonts w:eastAsia="Times New Roman" w:cs="Times New Roman"/>
                <w:color w:val="000000"/>
                <w:kern w:val="0"/>
                <w:szCs w:val="24"/>
                <w:lang w:eastAsia="en-IN"/>
                <w14:ligatures w14:val="none"/>
              </w:rPr>
              <w:t>251758513</w:t>
            </w:r>
          </w:p>
        </w:tc>
        <w:tc>
          <w:tcPr>
            <w:tcW w:w="1653" w:type="dxa"/>
            <w:noWrap/>
            <w:vAlign w:val="center"/>
            <w:hideMark/>
          </w:tcPr>
          <w:p w14:paraId="5816035A" w14:textId="77777777" w:rsidR="001B6EA8" w:rsidRPr="009D3726" w:rsidRDefault="001B6EA8" w:rsidP="00C6418A">
            <w:pPr>
              <w:spacing w:after="0" w:line="240" w:lineRule="auto"/>
              <w:jc w:val="center"/>
              <w:rPr>
                <w:rFonts w:eastAsia="Times New Roman" w:cs="Times New Roman"/>
                <w:color w:val="000000"/>
                <w:kern w:val="0"/>
                <w:szCs w:val="24"/>
                <w:lang w:eastAsia="en-IN"/>
                <w14:ligatures w14:val="none"/>
              </w:rPr>
            </w:pPr>
            <w:r w:rsidRPr="009D3726">
              <w:rPr>
                <w:rFonts w:eastAsia="Times New Roman" w:cs="Times New Roman"/>
                <w:color w:val="000000"/>
                <w:kern w:val="0"/>
                <w:szCs w:val="24"/>
                <w:lang w:eastAsia="en-IN"/>
                <w14:ligatures w14:val="none"/>
              </w:rPr>
              <w:t>317537850</w:t>
            </w:r>
          </w:p>
        </w:tc>
        <w:tc>
          <w:tcPr>
            <w:tcW w:w="1787" w:type="dxa"/>
            <w:noWrap/>
            <w:vAlign w:val="center"/>
            <w:hideMark/>
          </w:tcPr>
          <w:p w14:paraId="5F8B6AD6" w14:textId="77777777" w:rsidR="001B6EA8" w:rsidRPr="009D3726" w:rsidRDefault="001B6EA8" w:rsidP="00C6418A">
            <w:pPr>
              <w:spacing w:after="0" w:line="240" w:lineRule="auto"/>
              <w:jc w:val="center"/>
              <w:rPr>
                <w:rFonts w:eastAsia="Times New Roman" w:cs="Times New Roman"/>
                <w:color w:val="000000"/>
                <w:kern w:val="0"/>
                <w:szCs w:val="24"/>
                <w:lang w:eastAsia="en-IN"/>
                <w14:ligatures w14:val="none"/>
              </w:rPr>
            </w:pPr>
            <w:r w:rsidRPr="009D3726">
              <w:rPr>
                <w:rFonts w:eastAsia="Times New Roman" w:cs="Times New Roman"/>
                <w:color w:val="000000"/>
                <w:kern w:val="0"/>
                <w:szCs w:val="24"/>
                <w:lang w:eastAsia="en-IN"/>
                <w14:ligatures w14:val="none"/>
              </w:rPr>
              <w:t>1540916275</w:t>
            </w:r>
          </w:p>
        </w:tc>
      </w:tr>
      <w:tr w:rsidR="001B6EA8" w:rsidRPr="009D3726" w14:paraId="5A993525" w14:textId="77777777" w:rsidTr="00E979FF">
        <w:trPr>
          <w:trHeight w:val="305"/>
        </w:trPr>
        <w:tc>
          <w:tcPr>
            <w:tcW w:w="730" w:type="dxa"/>
            <w:noWrap/>
            <w:vAlign w:val="center"/>
            <w:hideMark/>
          </w:tcPr>
          <w:p w14:paraId="2E7BCE61" w14:textId="77777777" w:rsidR="001B6EA8" w:rsidRPr="009D3726" w:rsidRDefault="001B6EA8" w:rsidP="00C6418A">
            <w:pPr>
              <w:spacing w:after="0" w:line="240" w:lineRule="auto"/>
              <w:jc w:val="center"/>
              <w:rPr>
                <w:rFonts w:eastAsia="Times New Roman" w:cs="Times New Roman"/>
                <w:b/>
                <w:bCs/>
                <w:color w:val="000000"/>
                <w:kern w:val="0"/>
                <w:szCs w:val="24"/>
                <w:lang w:eastAsia="en-IN"/>
                <w14:ligatures w14:val="none"/>
              </w:rPr>
            </w:pPr>
            <w:r w:rsidRPr="009D3726">
              <w:rPr>
                <w:rFonts w:eastAsia="Times New Roman" w:cs="Times New Roman"/>
                <w:b/>
                <w:bCs/>
                <w:color w:val="000000"/>
                <w:kern w:val="0"/>
                <w:szCs w:val="24"/>
                <w:lang w:eastAsia="en-IN"/>
                <w14:ligatures w14:val="none"/>
              </w:rPr>
              <w:t>2012</w:t>
            </w:r>
          </w:p>
        </w:tc>
        <w:tc>
          <w:tcPr>
            <w:tcW w:w="1653" w:type="dxa"/>
            <w:noWrap/>
            <w:vAlign w:val="center"/>
            <w:hideMark/>
          </w:tcPr>
          <w:p w14:paraId="5EA91FFA" w14:textId="77777777" w:rsidR="001B6EA8" w:rsidRPr="009D3726" w:rsidRDefault="001B6EA8" w:rsidP="00C6418A">
            <w:pPr>
              <w:spacing w:after="0" w:line="240" w:lineRule="auto"/>
              <w:jc w:val="center"/>
              <w:rPr>
                <w:rFonts w:eastAsia="Times New Roman" w:cs="Times New Roman"/>
                <w:color w:val="000000"/>
                <w:kern w:val="0"/>
                <w:szCs w:val="24"/>
                <w:lang w:eastAsia="en-IN"/>
                <w14:ligatures w14:val="none"/>
              </w:rPr>
            </w:pPr>
            <w:r w:rsidRPr="009D3726">
              <w:rPr>
                <w:rFonts w:eastAsia="Times New Roman" w:cs="Times New Roman"/>
                <w:color w:val="000000"/>
                <w:kern w:val="0"/>
                <w:szCs w:val="24"/>
                <w:lang w:eastAsia="en-IN"/>
                <w14:ligatures w14:val="none"/>
              </w:rPr>
              <w:t>940141504</w:t>
            </w:r>
          </w:p>
        </w:tc>
        <w:tc>
          <w:tcPr>
            <w:tcW w:w="1738" w:type="dxa"/>
            <w:noWrap/>
            <w:vAlign w:val="center"/>
            <w:hideMark/>
          </w:tcPr>
          <w:p w14:paraId="193CA844" w14:textId="77777777" w:rsidR="001B6EA8" w:rsidRPr="009D3726" w:rsidRDefault="001B6EA8" w:rsidP="00C6418A">
            <w:pPr>
              <w:spacing w:after="0" w:line="240" w:lineRule="auto"/>
              <w:jc w:val="center"/>
              <w:rPr>
                <w:rFonts w:eastAsia="Times New Roman" w:cs="Times New Roman"/>
                <w:color w:val="000000"/>
                <w:kern w:val="0"/>
                <w:szCs w:val="24"/>
                <w:lang w:eastAsia="en-IN"/>
                <w14:ligatures w14:val="none"/>
              </w:rPr>
            </w:pPr>
            <w:r w:rsidRPr="009D3726">
              <w:rPr>
                <w:rFonts w:eastAsia="Times New Roman" w:cs="Times New Roman"/>
                <w:color w:val="000000"/>
                <w:kern w:val="0"/>
                <w:szCs w:val="24"/>
                <w:lang w:eastAsia="en-IN"/>
                <w14:ligatures w14:val="none"/>
              </w:rPr>
              <w:t>824039552</w:t>
            </w:r>
          </w:p>
        </w:tc>
        <w:tc>
          <w:tcPr>
            <w:tcW w:w="1616" w:type="dxa"/>
            <w:noWrap/>
            <w:vAlign w:val="center"/>
            <w:hideMark/>
          </w:tcPr>
          <w:p w14:paraId="47100880" w14:textId="77777777" w:rsidR="001B6EA8" w:rsidRPr="009D3726" w:rsidRDefault="001B6EA8" w:rsidP="00C6418A">
            <w:pPr>
              <w:spacing w:after="0" w:line="240" w:lineRule="auto"/>
              <w:jc w:val="center"/>
              <w:rPr>
                <w:rFonts w:eastAsia="Times New Roman" w:cs="Times New Roman"/>
                <w:color w:val="000000"/>
                <w:kern w:val="0"/>
                <w:szCs w:val="24"/>
                <w:lang w:eastAsia="en-IN"/>
                <w14:ligatures w14:val="none"/>
              </w:rPr>
            </w:pPr>
            <w:r w:rsidRPr="009D3726">
              <w:rPr>
                <w:rFonts w:eastAsia="Times New Roman" w:cs="Times New Roman"/>
                <w:color w:val="000000"/>
                <w:kern w:val="0"/>
                <w:szCs w:val="24"/>
                <w:lang w:eastAsia="en-IN"/>
                <w14:ligatures w14:val="none"/>
              </w:rPr>
              <w:t>267872113</w:t>
            </w:r>
          </w:p>
        </w:tc>
        <w:tc>
          <w:tcPr>
            <w:tcW w:w="1653" w:type="dxa"/>
            <w:noWrap/>
            <w:vAlign w:val="center"/>
            <w:hideMark/>
          </w:tcPr>
          <w:p w14:paraId="4D23017F" w14:textId="77777777" w:rsidR="001B6EA8" w:rsidRPr="009D3726" w:rsidRDefault="001B6EA8" w:rsidP="00C6418A">
            <w:pPr>
              <w:spacing w:after="0" w:line="240" w:lineRule="auto"/>
              <w:jc w:val="center"/>
              <w:rPr>
                <w:rFonts w:eastAsia="Times New Roman" w:cs="Times New Roman"/>
                <w:color w:val="000000"/>
                <w:kern w:val="0"/>
                <w:szCs w:val="24"/>
                <w:lang w:eastAsia="en-IN"/>
                <w14:ligatures w14:val="none"/>
              </w:rPr>
            </w:pPr>
            <w:r w:rsidRPr="009D3726">
              <w:rPr>
                <w:rFonts w:eastAsia="Times New Roman" w:cs="Times New Roman"/>
                <w:color w:val="000000"/>
                <w:kern w:val="0"/>
                <w:szCs w:val="24"/>
                <w:lang w:eastAsia="en-IN"/>
                <w14:ligatures w14:val="none"/>
              </w:rPr>
              <w:t>300357920</w:t>
            </w:r>
          </w:p>
        </w:tc>
        <w:tc>
          <w:tcPr>
            <w:tcW w:w="1787" w:type="dxa"/>
            <w:noWrap/>
            <w:vAlign w:val="center"/>
            <w:hideMark/>
          </w:tcPr>
          <w:p w14:paraId="52FD4DA9" w14:textId="77777777" w:rsidR="001B6EA8" w:rsidRPr="009D3726" w:rsidRDefault="001B6EA8" w:rsidP="00C6418A">
            <w:pPr>
              <w:spacing w:after="0" w:line="240" w:lineRule="auto"/>
              <w:jc w:val="center"/>
              <w:rPr>
                <w:rFonts w:eastAsia="Times New Roman" w:cs="Times New Roman"/>
                <w:color w:val="000000"/>
                <w:kern w:val="0"/>
                <w:szCs w:val="24"/>
                <w:lang w:eastAsia="en-IN"/>
                <w14:ligatures w14:val="none"/>
              </w:rPr>
            </w:pPr>
            <w:r w:rsidRPr="009D3726">
              <w:rPr>
                <w:rFonts w:eastAsia="Times New Roman" w:cs="Times New Roman"/>
                <w:color w:val="000000"/>
                <w:kern w:val="0"/>
                <w:szCs w:val="24"/>
                <w:lang w:eastAsia="en-IN"/>
                <w14:ligatures w14:val="none"/>
              </w:rPr>
              <w:t>2332411089</w:t>
            </w:r>
          </w:p>
        </w:tc>
      </w:tr>
      <w:tr w:rsidR="001B6EA8" w:rsidRPr="009D3726" w14:paraId="21C8903B" w14:textId="77777777" w:rsidTr="00E979FF">
        <w:trPr>
          <w:trHeight w:val="305"/>
        </w:trPr>
        <w:tc>
          <w:tcPr>
            <w:tcW w:w="730" w:type="dxa"/>
            <w:noWrap/>
            <w:vAlign w:val="center"/>
            <w:hideMark/>
          </w:tcPr>
          <w:p w14:paraId="4298A3BC" w14:textId="77777777" w:rsidR="001B6EA8" w:rsidRPr="009D3726" w:rsidRDefault="001B6EA8" w:rsidP="00C6418A">
            <w:pPr>
              <w:spacing w:after="0" w:line="240" w:lineRule="auto"/>
              <w:jc w:val="center"/>
              <w:rPr>
                <w:rFonts w:eastAsia="Times New Roman" w:cs="Times New Roman"/>
                <w:b/>
                <w:bCs/>
                <w:color w:val="000000"/>
                <w:kern w:val="0"/>
                <w:szCs w:val="24"/>
                <w:lang w:eastAsia="en-IN"/>
                <w14:ligatures w14:val="none"/>
              </w:rPr>
            </w:pPr>
            <w:r w:rsidRPr="009D3726">
              <w:rPr>
                <w:rFonts w:eastAsia="Times New Roman" w:cs="Times New Roman"/>
                <w:b/>
                <w:bCs/>
                <w:color w:val="000000"/>
                <w:kern w:val="0"/>
                <w:szCs w:val="24"/>
                <w:lang w:eastAsia="en-IN"/>
                <w14:ligatures w14:val="none"/>
              </w:rPr>
              <w:t>2013</w:t>
            </w:r>
          </w:p>
        </w:tc>
        <w:tc>
          <w:tcPr>
            <w:tcW w:w="1653" w:type="dxa"/>
            <w:noWrap/>
            <w:vAlign w:val="center"/>
            <w:hideMark/>
          </w:tcPr>
          <w:p w14:paraId="74CE2E39" w14:textId="77777777" w:rsidR="001B6EA8" w:rsidRPr="009D3726" w:rsidRDefault="001B6EA8" w:rsidP="00C6418A">
            <w:pPr>
              <w:spacing w:after="0" w:line="240" w:lineRule="auto"/>
              <w:jc w:val="center"/>
              <w:rPr>
                <w:rFonts w:eastAsia="Times New Roman" w:cs="Times New Roman"/>
                <w:color w:val="000000"/>
                <w:kern w:val="0"/>
                <w:szCs w:val="24"/>
                <w:lang w:eastAsia="en-IN"/>
                <w14:ligatures w14:val="none"/>
              </w:rPr>
            </w:pPr>
            <w:r w:rsidRPr="009D3726">
              <w:rPr>
                <w:rFonts w:eastAsia="Times New Roman" w:cs="Times New Roman"/>
                <w:color w:val="000000"/>
                <w:kern w:val="0"/>
                <w:szCs w:val="24"/>
                <w:lang w:eastAsia="en-IN"/>
                <w14:ligatures w14:val="none"/>
              </w:rPr>
              <w:t>1425047769</w:t>
            </w:r>
          </w:p>
        </w:tc>
        <w:tc>
          <w:tcPr>
            <w:tcW w:w="1738" w:type="dxa"/>
            <w:noWrap/>
            <w:vAlign w:val="center"/>
            <w:hideMark/>
          </w:tcPr>
          <w:p w14:paraId="24D03320" w14:textId="77777777" w:rsidR="001B6EA8" w:rsidRPr="009D3726" w:rsidRDefault="001B6EA8" w:rsidP="00C6418A">
            <w:pPr>
              <w:spacing w:after="0" w:line="240" w:lineRule="auto"/>
              <w:jc w:val="center"/>
              <w:rPr>
                <w:rFonts w:eastAsia="Times New Roman" w:cs="Times New Roman"/>
                <w:color w:val="000000"/>
                <w:kern w:val="0"/>
                <w:szCs w:val="24"/>
                <w:lang w:eastAsia="en-IN"/>
                <w14:ligatures w14:val="none"/>
              </w:rPr>
            </w:pPr>
            <w:r w:rsidRPr="009D3726">
              <w:rPr>
                <w:rFonts w:eastAsia="Times New Roman" w:cs="Times New Roman"/>
                <w:color w:val="000000"/>
                <w:kern w:val="0"/>
                <w:szCs w:val="24"/>
                <w:lang w:eastAsia="en-IN"/>
                <w14:ligatures w14:val="none"/>
              </w:rPr>
              <w:t>615456441</w:t>
            </w:r>
          </w:p>
        </w:tc>
        <w:tc>
          <w:tcPr>
            <w:tcW w:w="1616" w:type="dxa"/>
            <w:noWrap/>
            <w:vAlign w:val="center"/>
            <w:hideMark/>
          </w:tcPr>
          <w:p w14:paraId="6246142F" w14:textId="77777777" w:rsidR="001B6EA8" w:rsidRPr="009D3726" w:rsidRDefault="001B6EA8" w:rsidP="00C6418A">
            <w:pPr>
              <w:spacing w:after="0" w:line="240" w:lineRule="auto"/>
              <w:jc w:val="center"/>
              <w:rPr>
                <w:rFonts w:eastAsia="Times New Roman" w:cs="Times New Roman"/>
                <w:color w:val="000000"/>
                <w:kern w:val="0"/>
                <w:szCs w:val="24"/>
                <w:lang w:eastAsia="en-IN"/>
                <w14:ligatures w14:val="none"/>
              </w:rPr>
            </w:pPr>
            <w:r w:rsidRPr="009D3726">
              <w:rPr>
                <w:rFonts w:eastAsia="Times New Roman" w:cs="Times New Roman"/>
                <w:color w:val="000000"/>
                <w:kern w:val="0"/>
                <w:szCs w:val="24"/>
                <w:lang w:eastAsia="en-IN"/>
                <w14:ligatures w14:val="none"/>
              </w:rPr>
              <w:t>429582505</w:t>
            </w:r>
          </w:p>
        </w:tc>
        <w:tc>
          <w:tcPr>
            <w:tcW w:w="1653" w:type="dxa"/>
            <w:noWrap/>
            <w:vAlign w:val="center"/>
            <w:hideMark/>
          </w:tcPr>
          <w:p w14:paraId="35814CCE" w14:textId="77777777" w:rsidR="001B6EA8" w:rsidRPr="009D3726" w:rsidRDefault="001B6EA8" w:rsidP="00C6418A">
            <w:pPr>
              <w:spacing w:after="0" w:line="240" w:lineRule="auto"/>
              <w:jc w:val="center"/>
              <w:rPr>
                <w:rFonts w:eastAsia="Times New Roman" w:cs="Times New Roman"/>
                <w:color w:val="000000"/>
                <w:kern w:val="0"/>
                <w:szCs w:val="24"/>
                <w:lang w:eastAsia="en-IN"/>
                <w14:ligatures w14:val="none"/>
              </w:rPr>
            </w:pPr>
            <w:r w:rsidRPr="009D3726">
              <w:rPr>
                <w:rFonts w:eastAsia="Times New Roman" w:cs="Times New Roman"/>
                <w:color w:val="000000"/>
                <w:kern w:val="0"/>
                <w:szCs w:val="24"/>
                <w:lang w:eastAsia="en-IN"/>
                <w14:ligatures w14:val="none"/>
              </w:rPr>
              <w:t>484924526</w:t>
            </w:r>
          </w:p>
        </w:tc>
        <w:tc>
          <w:tcPr>
            <w:tcW w:w="1787" w:type="dxa"/>
            <w:noWrap/>
            <w:vAlign w:val="center"/>
            <w:hideMark/>
          </w:tcPr>
          <w:p w14:paraId="3C6C4CBC" w14:textId="77777777" w:rsidR="001B6EA8" w:rsidRPr="009D3726" w:rsidRDefault="001B6EA8" w:rsidP="00C6418A">
            <w:pPr>
              <w:spacing w:after="0" w:line="240" w:lineRule="auto"/>
              <w:jc w:val="center"/>
              <w:rPr>
                <w:rFonts w:eastAsia="Times New Roman" w:cs="Times New Roman"/>
                <w:color w:val="000000"/>
                <w:kern w:val="0"/>
                <w:szCs w:val="24"/>
                <w:lang w:eastAsia="en-IN"/>
                <w14:ligatures w14:val="none"/>
              </w:rPr>
            </w:pPr>
            <w:r w:rsidRPr="009D3726">
              <w:rPr>
                <w:rFonts w:eastAsia="Times New Roman" w:cs="Times New Roman"/>
                <w:color w:val="000000"/>
                <w:kern w:val="0"/>
                <w:szCs w:val="24"/>
                <w:lang w:eastAsia="en-IN"/>
                <w14:ligatures w14:val="none"/>
              </w:rPr>
              <w:t>2955011241</w:t>
            </w:r>
          </w:p>
        </w:tc>
      </w:tr>
      <w:tr w:rsidR="001B6EA8" w:rsidRPr="009D3726" w14:paraId="224BD6CF" w14:textId="77777777" w:rsidTr="00E979FF">
        <w:trPr>
          <w:trHeight w:val="305"/>
        </w:trPr>
        <w:tc>
          <w:tcPr>
            <w:tcW w:w="730" w:type="dxa"/>
            <w:noWrap/>
            <w:vAlign w:val="center"/>
            <w:hideMark/>
          </w:tcPr>
          <w:p w14:paraId="2651E94C" w14:textId="77777777" w:rsidR="001B6EA8" w:rsidRPr="009D3726" w:rsidRDefault="001B6EA8" w:rsidP="00C6418A">
            <w:pPr>
              <w:spacing w:after="0" w:line="240" w:lineRule="auto"/>
              <w:jc w:val="center"/>
              <w:rPr>
                <w:rFonts w:eastAsia="Times New Roman" w:cs="Times New Roman"/>
                <w:b/>
                <w:bCs/>
                <w:color w:val="000000"/>
                <w:kern w:val="0"/>
                <w:szCs w:val="24"/>
                <w:lang w:eastAsia="en-IN"/>
                <w14:ligatures w14:val="none"/>
              </w:rPr>
            </w:pPr>
            <w:r w:rsidRPr="009D3726">
              <w:rPr>
                <w:rFonts w:eastAsia="Times New Roman" w:cs="Times New Roman"/>
                <w:b/>
                <w:bCs/>
                <w:color w:val="000000"/>
                <w:kern w:val="0"/>
                <w:szCs w:val="24"/>
                <w:lang w:eastAsia="en-IN"/>
                <w14:ligatures w14:val="none"/>
              </w:rPr>
              <w:t>2014</w:t>
            </w:r>
          </w:p>
        </w:tc>
        <w:tc>
          <w:tcPr>
            <w:tcW w:w="1653" w:type="dxa"/>
            <w:noWrap/>
            <w:vAlign w:val="center"/>
            <w:hideMark/>
          </w:tcPr>
          <w:p w14:paraId="2F6FD57D" w14:textId="77777777" w:rsidR="001B6EA8" w:rsidRPr="009D3726" w:rsidRDefault="001B6EA8" w:rsidP="00C6418A">
            <w:pPr>
              <w:spacing w:after="0" w:line="240" w:lineRule="auto"/>
              <w:jc w:val="center"/>
              <w:rPr>
                <w:rFonts w:eastAsia="Times New Roman" w:cs="Times New Roman"/>
                <w:color w:val="000000"/>
                <w:kern w:val="0"/>
                <w:szCs w:val="24"/>
                <w:lang w:eastAsia="en-IN"/>
                <w14:ligatures w14:val="none"/>
              </w:rPr>
            </w:pPr>
            <w:r w:rsidRPr="009D3726">
              <w:rPr>
                <w:rFonts w:eastAsia="Times New Roman" w:cs="Times New Roman"/>
                <w:color w:val="000000"/>
                <w:kern w:val="0"/>
                <w:szCs w:val="24"/>
                <w:lang w:eastAsia="en-IN"/>
                <w14:ligatures w14:val="none"/>
              </w:rPr>
              <w:t>5166669118</w:t>
            </w:r>
          </w:p>
        </w:tc>
        <w:tc>
          <w:tcPr>
            <w:tcW w:w="1738" w:type="dxa"/>
            <w:noWrap/>
            <w:vAlign w:val="center"/>
            <w:hideMark/>
          </w:tcPr>
          <w:p w14:paraId="705DDDD2" w14:textId="77777777" w:rsidR="001B6EA8" w:rsidRPr="009D3726" w:rsidRDefault="001B6EA8" w:rsidP="00C6418A">
            <w:pPr>
              <w:spacing w:after="0" w:line="240" w:lineRule="auto"/>
              <w:jc w:val="center"/>
              <w:rPr>
                <w:rFonts w:eastAsia="Times New Roman" w:cs="Times New Roman"/>
                <w:color w:val="000000"/>
                <w:kern w:val="0"/>
                <w:szCs w:val="24"/>
                <w:lang w:eastAsia="en-IN"/>
                <w14:ligatures w14:val="none"/>
              </w:rPr>
            </w:pPr>
            <w:r w:rsidRPr="009D3726">
              <w:rPr>
                <w:rFonts w:eastAsia="Times New Roman" w:cs="Times New Roman"/>
                <w:color w:val="000000"/>
                <w:kern w:val="0"/>
                <w:szCs w:val="24"/>
                <w:lang w:eastAsia="en-IN"/>
                <w14:ligatures w14:val="none"/>
              </w:rPr>
              <w:t>8507747955</w:t>
            </w:r>
          </w:p>
        </w:tc>
        <w:tc>
          <w:tcPr>
            <w:tcW w:w="1616" w:type="dxa"/>
            <w:noWrap/>
            <w:vAlign w:val="center"/>
            <w:hideMark/>
          </w:tcPr>
          <w:p w14:paraId="5C13B115" w14:textId="77777777" w:rsidR="001B6EA8" w:rsidRPr="009D3726" w:rsidRDefault="001B6EA8" w:rsidP="00C6418A">
            <w:pPr>
              <w:spacing w:after="0" w:line="240" w:lineRule="auto"/>
              <w:jc w:val="center"/>
              <w:rPr>
                <w:rFonts w:eastAsia="Times New Roman" w:cs="Times New Roman"/>
                <w:color w:val="000000"/>
                <w:kern w:val="0"/>
                <w:szCs w:val="24"/>
                <w:lang w:eastAsia="en-IN"/>
                <w14:ligatures w14:val="none"/>
              </w:rPr>
            </w:pPr>
            <w:r w:rsidRPr="009D3726">
              <w:rPr>
                <w:rFonts w:eastAsia="Times New Roman" w:cs="Times New Roman"/>
                <w:color w:val="000000"/>
                <w:kern w:val="0"/>
                <w:szCs w:val="24"/>
                <w:lang w:eastAsia="en-IN"/>
                <w14:ligatures w14:val="none"/>
              </w:rPr>
              <w:t>629250705</w:t>
            </w:r>
          </w:p>
        </w:tc>
        <w:tc>
          <w:tcPr>
            <w:tcW w:w="1653" w:type="dxa"/>
            <w:noWrap/>
            <w:vAlign w:val="center"/>
            <w:hideMark/>
          </w:tcPr>
          <w:p w14:paraId="7A7D4CC4" w14:textId="77777777" w:rsidR="001B6EA8" w:rsidRPr="009D3726" w:rsidRDefault="001B6EA8" w:rsidP="00C6418A">
            <w:pPr>
              <w:spacing w:after="0" w:line="240" w:lineRule="auto"/>
              <w:jc w:val="center"/>
              <w:rPr>
                <w:rFonts w:eastAsia="Times New Roman" w:cs="Times New Roman"/>
                <w:color w:val="000000"/>
                <w:kern w:val="0"/>
                <w:szCs w:val="24"/>
                <w:lang w:eastAsia="en-IN"/>
                <w14:ligatures w14:val="none"/>
              </w:rPr>
            </w:pPr>
            <w:r w:rsidRPr="009D3726">
              <w:rPr>
                <w:rFonts w:eastAsia="Times New Roman" w:cs="Times New Roman"/>
                <w:color w:val="000000"/>
                <w:kern w:val="0"/>
                <w:szCs w:val="24"/>
                <w:lang w:eastAsia="en-IN"/>
                <w14:ligatures w14:val="none"/>
              </w:rPr>
              <w:t>4720801320</w:t>
            </w:r>
          </w:p>
        </w:tc>
        <w:tc>
          <w:tcPr>
            <w:tcW w:w="1787" w:type="dxa"/>
            <w:noWrap/>
            <w:vAlign w:val="center"/>
            <w:hideMark/>
          </w:tcPr>
          <w:p w14:paraId="33F6E8C0" w14:textId="77777777" w:rsidR="001B6EA8" w:rsidRPr="009D3726" w:rsidRDefault="001B6EA8" w:rsidP="00C6418A">
            <w:pPr>
              <w:spacing w:after="0" w:line="240" w:lineRule="auto"/>
              <w:jc w:val="center"/>
              <w:rPr>
                <w:rFonts w:eastAsia="Times New Roman" w:cs="Times New Roman"/>
                <w:color w:val="000000"/>
                <w:kern w:val="0"/>
                <w:szCs w:val="24"/>
                <w:lang w:eastAsia="en-IN"/>
                <w14:ligatures w14:val="none"/>
              </w:rPr>
            </w:pPr>
            <w:r w:rsidRPr="009D3726">
              <w:rPr>
                <w:rFonts w:eastAsia="Times New Roman" w:cs="Times New Roman"/>
                <w:color w:val="000000"/>
                <w:kern w:val="0"/>
                <w:szCs w:val="24"/>
                <w:lang w:eastAsia="en-IN"/>
                <w14:ligatures w14:val="none"/>
              </w:rPr>
              <w:t>19024469098</w:t>
            </w:r>
          </w:p>
        </w:tc>
      </w:tr>
      <w:tr w:rsidR="001B6EA8" w:rsidRPr="009D3726" w14:paraId="636A7704" w14:textId="77777777" w:rsidTr="00E979FF">
        <w:trPr>
          <w:trHeight w:val="305"/>
        </w:trPr>
        <w:tc>
          <w:tcPr>
            <w:tcW w:w="730" w:type="dxa"/>
            <w:noWrap/>
            <w:vAlign w:val="center"/>
            <w:hideMark/>
          </w:tcPr>
          <w:p w14:paraId="527C7A7F" w14:textId="77777777" w:rsidR="001B6EA8" w:rsidRPr="009D3726" w:rsidRDefault="001B6EA8" w:rsidP="00C6418A">
            <w:pPr>
              <w:spacing w:after="0" w:line="240" w:lineRule="auto"/>
              <w:jc w:val="center"/>
              <w:rPr>
                <w:rFonts w:eastAsia="Times New Roman" w:cs="Times New Roman"/>
                <w:b/>
                <w:bCs/>
                <w:color w:val="000000"/>
                <w:kern w:val="0"/>
                <w:szCs w:val="24"/>
                <w:lang w:eastAsia="en-IN"/>
                <w14:ligatures w14:val="none"/>
              </w:rPr>
            </w:pPr>
            <w:r w:rsidRPr="009D3726">
              <w:rPr>
                <w:rFonts w:eastAsia="Times New Roman" w:cs="Times New Roman"/>
                <w:b/>
                <w:bCs/>
                <w:color w:val="000000"/>
                <w:kern w:val="0"/>
                <w:szCs w:val="24"/>
                <w:lang w:eastAsia="en-IN"/>
                <w14:ligatures w14:val="none"/>
              </w:rPr>
              <w:t>2015</w:t>
            </w:r>
          </w:p>
        </w:tc>
        <w:tc>
          <w:tcPr>
            <w:tcW w:w="1653" w:type="dxa"/>
            <w:noWrap/>
            <w:vAlign w:val="center"/>
            <w:hideMark/>
          </w:tcPr>
          <w:p w14:paraId="0C7435ED" w14:textId="77777777" w:rsidR="001B6EA8" w:rsidRPr="009D3726" w:rsidRDefault="001B6EA8" w:rsidP="00C6418A">
            <w:pPr>
              <w:spacing w:after="0" w:line="240" w:lineRule="auto"/>
              <w:jc w:val="center"/>
              <w:rPr>
                <w:rFonts w:eastAsia="Times New Roman" w:cs="Times New Roman"/>
                <w:color w:val="000000"/>
                <w:kern w:val="0"/>
                <w:szCs w:val="24"/>
                <w:lang w:eastAsia="en-IN"/>
                <w14:ligatures w14:val="none"/>
              </w:rPr>
            </w:pPr>
            <w:r w:rsidRPr="009D3726">
              <w:rPr>
                <w:rFonts w:eastAsia="Times New Roman" w:cs="Times New Roman"/>
                <w:color w:val="000000"/>
                <w:kern w:val="0"/>
                <w:szCs w:val="24"/>
                <w:lang w:eastAsia="en-IN"/>
                <w14:ligatures w14:val="none"/>
              </w:rPr>
              <w:t>11331330892</w:t>
            </w:r>
          </w:p>
        </w:tc>
        <w:tc>
          <w:tcPr>
            <w:tcW w:w="1738" w:type="dxa"/>
            <w:noWrap/>
            <w:vAlign w:val="center"/>
            <w:hideMark/>
          </w:tcPr>
          <w:p w14:paraId="61458C21" w14:textId="77777777" w:rsidR="001B6EA8" w:rsidRPr="009D3726" w:rsidRDefault="001B6EA8" w:rsidP="00C6418A">
            <w:pPr>
              <w:spacing w:after="0" w:line="240" w:lineRule="auto"/>
              <w:jc w:val="center"/>
              <w:rPr>
                <w:rFonts w:eastAsia="Times New Roman" w:cs="Times New Roman"/>
                <w:color w:val="000000"/>
                <w:kern w:val="0"/>
                <w:szCs w:val="24"/>
                <w:lang w:eastAsia="en-IN"/>
                <w14:ligatures w14:val="none"/>
              </w:rPr>
            </w:pPr>
            <w:r w:rsidRPr="009D3726">
              <w:rPr>
                <w:rFonts w:eastAsia="Times New Roman" w:cs="Times New Roman"/>
                <w:color w:val="000000"/>
                <w:kern w:val="0"/>
                <w:szCs w:val="24"/>
                <w:lang w:eastAsia="en-IN"/>
                <w14:ligatures w14:val="none"/>
              </w:rPr>
              <w:t>4061273389</w:t>
            </w:r>
          </w:p>
        </w:tc>
        <w:tc>
          <w:tcPr>
            <w:tcW w:w="1616" w:type="dxa"/>
            <w:noWrap/>
            <w:vAlign w:val="center"/>
            <w:hideMark/>
          </w:tcPr>
          <w:p w14:paraId="441DAF52" w14:textId="77777777" w:rsidR="001B6EA8" w:rsidRPr="009D3726" w:rsidRDefault="001B6EA8" w:rsidP="00C6418A">
            <w:pPr>
              <w:spacing w:after="0" w:line="240" w:lineRule="auto"/>
              <w:jc w:val="center"/>
              <w:rPr>
                <w:rFonts w:eastAsia="Times New Roman" w:cs="Times New Roman"/>
                <w:color w:val="000000"/>
                <w:kern w:val="0"/>
                <w:szCs w:val="24"/>
                <w:lang w:eastAsia="en-IN"/>
                <w14:ligatures w14:val="none"/>
              </w:rPr>
            </w:pPr>
            <w:r w:rsidRPr="009D3726">
              <w:rPr>
                <w:rFonts w:eastAsia="Times New Roman" w:cs="Times New Roman"/>
                <w:color w:val="000000"/>
                <w:kern w:val="0"/>
                <w:szCs w:val="24"/>
                <w:lang w:eastAsia="en-IN"/>
                <w14:ligatures w14:val="none"/>
              </w:rPr>
              <w:t>1301080627</w:t>
            </w:r>
          </w:p>
        </w:tc>
        <w:tc>
          <w:tcPr>
            <w:tcW w:w="1653" w:type="dxa"/>
            <w:noWrap/>
            <w:vAlign w:val="center"/>
            <w:hideMark/>
          </w:tcPr>
          <w:p w14:paraId="41DBB4C1" w14:textId="77777777" w:rsidR="001B6EA8" w:rsidRPr="009D3726" w:rsidRDefault="001B6EA8" w:rsidP="00C6418A">
            <w:pPr>
              <w:spacing w:after="0" w:line="240" w:lineRule="auto"/>
              <w:jc w:val="center"/>
              <w:rPr>
                <w:rFonts w:eastAsia="Times New Roman" w:cs="Times New Roman"/>
                <w:color w:val="000000"/>
                <w:kern w:val="0"/>
                <w:szCs w:val="24"/>
                <w:lang w:eastAsia="en-IN"/>
                <w14:ligatures w14:val="none"/>
              </w:rPr>
            </w:pPr>
            <w:r w:rsidRPr="009D3726">
              <w:rPr>
                <w:rFonts w:eastAsia="Times New Roman" w:cs="Times New Roman"/>
                <w:color w:val="000000"/>
                <w:kern w:val="0"/>
                <w:szCs w:val="24"/>
                <w:lang w:eastAsia="en-IN"/>
                <w14:ligatures w14:val="none"/>
              </w:rPr>
              <w:t>1856109676</w:t>
            </w:r>
          </w:p>
        </w:tc>
        <w:tc>
          <w:tcPr>
            <w:tcW w:w="1787" w:type="dxa"/>
            <w:noWrap/>
            <w:vAlign w:val="center"/>
            <w:hideMark/>
          </w:tcPr>
          <w:p w14:paraId="24B23365" w14:textId="77777777" w:rsidR="001B6EA8" w:rsidRPr="009D3726" w:rsidRDefault="001B6EA8" w:rsidP="00C6418A">
            <w:pPr>
              <w:spacing w:after="0" w:line="240" w:lineRule="auto"/>
              <w:jc w:val="center"/>
              <w:rPr>
                <w:rFonts w:eastAsia="Times New Roman" w:cs="Times New Roman"/>
                <w:color w:val="000000"/>
                <w:kern w:val="0"/>
                <w:szCs w:val="24"/>
                <w:lang w:eastAsia="en-IN"/>
                <w14:ligatures w14:val="none"/>
              </w:rPr>
            </w:pPr>
            <w:r w:rsidRPr="009D3726">
              <w:rPr>
                <w:rFonts w:eastAsia="Times New Roman" w:cs="Times New Roman"/>
                <w:color w:val="000000"/>
                <w:kern w:val="0"/>
                <w:szCs w:val="24"/>
                <w:lang w:eastAsia="en-IN"/>
                <w14:ligatures w14:val="none"/>
              </w:rPr>
              <w:t>18549794584</w:t>
            </w:r>
          </w:p>
        </w:tc>
      </w:tr>
      <w:tr w:rsidR="001B6EA8" w:rsidRPr="009D3726" w14:paraId="750A2167" w14:textId="77777777" w:rsidTr="00E979FF">
        <w:trPr>
          <w:trHeight w:val="305"/>
        </w:trPr>
        <w:tc>
          <w:tcPr>
            <w:tcW w:w="730" w:type="dxa"/>
            <w:noWrap/>
            <w:vAlign w:val="center"/>
            <w:hideMark/>
          </w:tcPr>
          <w:p w14:paraId="0664BFAE" w14:textId="77777777" w:rsidR="001B6EA8" w:rsidRPr="009D3726" w:rsidRDefault="001B6EA8" w:rsidP="00C6418A">
            <w:pPr>
              <w:spacing w:after="0" w:line="240" w:lineRule="auto"/>
              <w:jc w:val="center"/>
              <w:rPr>
                <w:rFonts w:eastAsia="Times New Roman" w:cs="Times New Roman"/>
                <w:b/>
                <w:bCs/>
                <w:color w:val="000000"/>
                <w:kern w:val="0"/>
                <w:szCs w:val="24"/>
                <w:lang w:eastAsia="en-IN"/>
                <w14:ligatures w14:val="none"/>
              </w:rPr>
            </w:pPr>
            <w:r w:rsidRPr="009D3726">
              <w:rPr>
                <w:rFonts w:eastAsia="Times New Roman" w:cs="Times New Roman"/>
                <w:b/>
                <w:bCs/>
                <w:color w:val="000000"/>
                <w:kern w:val="0"/>
                <w:szCs w:val="24"/>
                <w:lang w:eastAsia="en-IN"/>
                <w14:ligatures w14:val="none"/>
              </w:rPr>
              <w:t>2016</w:t>
            </w:r>
          </w:p>
        </w:tc>
        <w:tc>
          <w:tcPr>
            <w:tcW w:w="1653" w:type="dxa"/>
            <w:noWrap/>
            <w:vAlign w:val="center"/>
            <w:hideMark/>
          </w:tcPr>
          <w:p w14:paraId="621A26EA" w14:textId="77777777" w:rsidR="001B6EA8" w:rsidRPr="009D3726" w:rsidRDefault="001B6EA8" w:rsidP="00C6418A">
            <w:pPr>
              <w:spacing w:after="0" w:line="240" w:lineRule="auto"/>
              <w:jc w:val="center"/>
              <w:rPr>
                <w:rFonts w:eastAsia="Times New Roman" w:cs="Times New Roman"/>
                <w:color w:val="000000"/>
                <w:kern w:val="0"/>
                <w:szCs w:val="24"/>
                <w:lang w:eastAsia="en-IN"/>
                <w14:ligatures w14:val="none"/>
              </w:rPr>
            </w:pPr>
            <w:r w:rsidRPr="009D3726">
              <w:rPr>
                <w:rFonts w:eastAsia="Times New Roman" w:cs="Times New Roman"/>
                <w:color w:val="000000"/>
                <w:kern w:val="0"/>
                <w:szCs w:val="24"/>
                <w:lang w:eastAsia="en-IN"/>
                <w14:ligatures w14:val="none"/>
              </w:rPr>
              <w:t>22196696169</w:t>
            </w:r>
          </w:p>
        </w:tc>
        <w:tc>
          <w:tcPr>
            <w:tcW w:w="1738" w:type="dxa"/>
            <w:noWrap/>
            <w:vAlign w:val="center"/>
            <w:hideMark/>
          </w:tcPr>
          <w:p w14:paraId="2053BB66" w14:textId="77777777" w:rsidR="001B6EA8" w:rsidRPr="009D3726" w:rsidRDefault="001B6EA8" w:rsidP="00C6418A">
            <w:pPr>
              <w:spacing w:after="0" w:line="240" w:lineRule="auto"/>
              <w:jc w:val="center"/>
              <w:rPr>
                <w:rFonts w:eastAsia="Times New Roman" w:cs="Times New Roman"/>
                <w:color w:val="000000"/>
                <w:kern w:val="0"/>
                <w:szCs w:val="24"/>
                <w:lang w:eastAsia="en-IN"/>
                <w14:ligatures w14:val="none"/>
              </w:rPr>
            </w:pPr>
            <w:r w:rsidRPr="009D3726">
              <w:rPr>
                <w:rFonts w:eastAsia="Times New Roman" w:cs="Times New Roman"/>
                <w:color w:val="000000"/>
                <w:kern w:val="0"/>
                <w:szCs w:val="24"/>
                <w:lang w:eastAsia="en-IN"/>
                <w14:ligatures w14:val="none"/>
              </w:rPr>
              <w:t>7646500038</w:t>
            </w:r>
          </w:p>
        </w:tc>
        <w:tc>
          <w:tcPr>
            <w:tcW w:w="1616" w:type="dxa"/>
            <w:noWrap/>
            <w:vAlign w:val="center"/>
            <w:hideMark/>
          </w:tcPr>
          <w:p w14:paraId="4748EA1B" w14:textId="77777777" w:rsidR="001B6EA8" w:rsidRPr="009D3726" w:rsidRDefault="001B6EA8" w:rsidP="00C6418A">
            <w:pPr>
              <w:spacing w:after="0" w:line="240" w:lineRule="auto"/>
              <w:jc w:val="center"/>
              <w:rPr>
                <w:rFonts w:eastAsia="Times New Roman" w:cs="Times New Roman"/>
                <w:color w:val="000000"/>
                <w:kern w:val="0"/>
                <w:szCs w:val="24"/>
                <w:lang w:eastAsia="en-IN"/>
                <w14:ligatures w14:val="none"/>
              </w:rPr>
            </w:pPr>
            <w:r w:rsidRPr="009D3726">
              <w:rPr>
                <w:rFonts w:eastAsia="Times New Roman" w:cs="Times New Roman"/>
                <w:color w:val="000000"/>
                <w:kern w:val="0"/>
                <w:szCs w:val="24"/>
                <w:lang w:eastAsia="en-IN"/>
                <w14:ligatures w14:val="none"/>
              </w:rPr>
              <w:t>3092862995</w:t>
            </w:r>
          </w:p>
        </w:tc>
        <w:tc>
          <w:tcPr>
            <w:tcW w:w="1653" w:type="dxa"/>
            <w:noWrap/>
            <w:vAlign w:val="center"/>
            <w:hideMark/>
          </w:tcPr>
          <w:p w14:paraId="5349F489" w14:textId="77777777" w:rsidR="001B6EA8" w:rsidRPr="009D3726" w:rsidRDefault="001B6EA8" w:rsidP="00C6418A">
            <w:pPr>
              <w:spacing w:after="0" w:line="240" w:lineRule="auto"/>
              <w:jc w:val="center"/>
              <w:rPr>
                <w:rFonts w:eastAsia="Times New Roman" w:cs="Times New Roman"/>
                <w:color w:val="000000"/>
                <w:kern w:val="0"/>
                <w:szCs w:val="24"/>
                <w:lang w:eastAsia="en-IN"/>
                <w14:ligatures w14:val="none"/>
              </w:rPr>
            </w:pPr>
            <w:r w:rsidRPr="009D3726">
              <w:rPr>
                <w:rFonts w:eastAsia="Times New Roman" w:cs="Times New Roman"/>
                <w:color w:val="000000"/>
                <w:kern w:val="0"/>
                <w:szCs w:val="24"/>
                <w:lang w:eastAsia="en-IN"/>
                <w14:ligatures w14:val="none"/>
              </w:rPr>
              <w:t>4846789855</w:t>
            </w:r>
          </w:p>
        </w:tc>
        <w:tc>
          <w:tcPr>
            <w:tcW w:w="1787" w:type="dxa"/>
            <w:noWrap/>
            <w:vAlign w:val="center"/>
            <w:hideMark/>
          </w:tcPr>
          <w:p w14:paraId="573706BB" w14:textId="77777777" w:rsidR="001B6EA8" w:rsidRPr="009D3726" w:rsidRDefault="001B6EA8" w:rsidP="00C6418A">
            <w:pPr>
              <w:spacing w:after="0" w:line="240" w:lineRule="auto"/>
              <w:jc w:val="center"/>
              <w:rPr>
                <w:rFonts w:eastAsia="Times New Roman" w:cs="Times New Roman"/>
                <w:color w:val="000000"/>
                <w:kern w:val="0"/>
                <w:szCs w:val="24"/>
                <w:lang w:eastAsia="en-IN"/>
                <w14:ligatures w14:val="none"/>
              </w:rPr>
            </w:pPr>
            <w:r w:rsidRPr="009D3726">
              <w:rPr>
                <w:rFonts w:eastAsia="Times New Roman" w:cs="Times New Roman"/>
                <w:color w:val="000000"/>
                <w:kern w:val="0"/>
                <w:szCs w:val="24"/>
                <w:lang w:eastAsia="en-IN"/>
                <w14:ligatures w14:val="none"/>
              </w:rPr>
              <w:t>37782849057</w:t>
            </w:r>
          </w:p>
        </w:tc>
      </w:tr>
      <w:tr w:rsidR="001B6EA8" w:rsidRPr="009D3726" w14:paraId="6754CC64" w14:textId="77777777" w:rsidTr="00E979FF">
        <w:trPr>
          <w:trHeight w:val="305"/>
        </w:trPr>
        <w:tc>
          <w:tcPr>
            <w:tcW w:w="730" w:type="dxa"/>
            <w:noWrap/>
            <w:vAlign w:val="center"/>
            <w:hideMark/>
          </w:tcPr>
          <w:p w14:paraId="20B054B8" w14:textId="77777777" w:rsidR="001B6EA8" w:rsidRPr="009D3726" w:rsidRDefault="001B6EA8" w:rsidP="00C6418A">
            <w:pPr>
              <w:spacing w:after="0" w:line="240" w:lineRule="auto"/>
              <w:jc w:val="center"/>
              <w:rPr>
                <w:rFonts w:eastAsia="Times New Roman" w:cs="Times New Roman"/>
                <w:b/>
                <w:bCs/>
                <w:color w:val="000000"/>
                <w:kern w:val="0"/>
                <w:szCs w:val="24"/>
                <w:lang w:eastAsia="en-IN"/>
                <w14:ligatures w14:val="none"/>
              </w:rPr>
            </w:pPr>
            <w:r w:rsidRPr="009D3726">
              <w:rPr>
                <w:rFonts w:eastAsia="Times New Roman" w:cs="Times New Roman"/>
                <w:b/>
                <w:bCs/>
                <w:color w:val="000000"/>
                <w:kern w:val="0"/>
                <w:szCs w:val="24"/>
                <w:lang w:eastAsia="en-IN"/>
                <w14:ligatures w14:val="none"/>
              </w:rPr>
              <w:t>2017</w:t>
            </w:r>
          </w:p>
        </w:tc>
        <w:tc>
          <w:tcPr>
            <w:tcW w:w="1653" w:type="dxa"/>
            <w:noWrap/>
            <w:vAlign w:val="center"/>
            <w:hideMark/>
          </w:tcPr>
          <w:p w14:paraId="27AEEAB1" w14:textId="77777777" w:rsidR="001B6EA8" w:rsidRPr="009D3726" w:rsidRDefault="001B6EA8" w:rsidP="00C6418A">
            <w:pPr>
              <w:spacing w:after="0" w:line="240" w:lineRule="auto"/>
              <w:jc w:val="center"/>
              <w:rPr>
                <w:rFonts w:eastAsia="Times New Roman" w:cs="Times New Roman"/>
                <w:color w:val="000000"/>
                <w:kern w:val="0"/>
                <w:szCs w:val="24"/>
                <w:lang w:eastAsia="en-IN"/>
                <w14:ligatures w14:val="none"/>
              </w:rPr>
            </w:pPr>
            <w:r w:rsidRPr="009D3726">
              <w:rPr>
                <w:rFonts w:eastAsia="Times New Roman" w:cs="Times New Roman"/>
                <w:color w:val="000000"/>
                <w:kern w:val="0"/>
                <w:szCs w:val="24"/>
                <w:lang w:eastAsia="en-IN"/>
                <w14:ligatures w14:val="none"/>
              </w:rPr>
              <w:t>11568260548</w:t>
            </w:r>
          </w:p>
        </w:tc>
        <w:tc>
          <w:tcPr>
            <w:tcW w:w="1738" w:type="dxa"/>
            <w:noWrap/>
            <w:vAlign w:val="center"/>
            <w:hideMark/>
          </w:tcPr>
          <w:p w14:paraId="7C6E4597" w14:textId="77777777" w:rsidR="001B6EA8" w:rsidRPr="009D3726" w:rsidRDefault="001B6EA8" w:rsidP="00C6418A">
            <w:pPr>
              <w:spacing w:after="0" w:line="240" w:lineRule="auto"/>
              <w:jc w:val="center"/>
              <w:rPr>
                <w:rFonts w:eastAsia="Times New Roman" w:cs="Times New Roman"/>
                <w:color w:val="000000"/>
                <w:kern w:val="0"/>
                <w:szCs w:val="24"/>
                <w:lang w:eastAsia="en-IN"/>
                <w14:ligatures w14:val="none"/>
              </w:rPr>
            </w:pPr>
            <w:r w:rsidRPr="009D3726">
              <w:rPr>
                <w:rFonts w:eastAsia="Times New Roman" w:cs="Times New Roman"/>
                <w:color w:val="000000"/>
                <w:kern w:val="0"/>
                <w:szCs w:val="24"/>
                <w:lang w:eastAsia="en-IN"/>
                <w14:ligatures w14:val="none"/>
              </w:rPr>
              <w:t>8066970632</w:t>
            </w:r>
          </w:p>
        </w:tc>
        <w:tc>
          <w:tcPr>
            <w:tcW w:w="1616" w:type="dxa"/>
            <w:noWrap/>
            <w:vAlign w:val="center"/>
            <w:hideMark/>
          </w:tcPr>
          <w:p w14:paraId="2D70A206" w14:textId="77777777" w:rsidR="001B6EA8" w:rsidRPr="009D3726" w:rsidRDefault="001B6EA8" w:rsidP="00C6418A">
            <w:pPr>
              <w:spacing w:after="0" w:line="240" w:lineRule="auto"/>
              <w:jc w:val="center"/>
              <w:rPr>
                <w:rFonts w:eastAsia="Times New Roman" w:cs="Times New Roman"/>
                <w:color w:val="000000"/>
                <w:kern w:val="0"/>
                <w:szCs w:val="24"/>
                <w:lang w:eastAsia="en-IN"/>
                <w14:ligatures w14:val="none"/>
              </w:rPr>
            </w:pPr>
            <w:r w:rsidRPr="009D3726">
              <w:rPr>
                <w:rFonts w:eastAsia="Times New Roman" w:cs="Times New Roman"/>
                <w:color w:val="000000"/>
                <w:kern w:val="0"/>
                <w:szCs w:val="24"/>
                <w:lang w:eastAsia="en-IN"/>
                <w14:ligatures w14:val="none"/>
              </w:rPr>
              <w:t>1515457599</w:t>
            </w:r>
          </w:p>
        </w:tc>
        <w:tc>
          <w:tcPr>
            <w:tcW w:w="1653" w:type="dxa"/>
            <w:noWrap/>
            <w:vAlign w:val="center"/>
            <w:hideMark/>
          </w:tcPr>
          <w:p w14:paraId="550496DF" w14:textId="77777777" w:rsidR="001B6EA8" w:rsidRPr="009D3726" w:rsidRDefault="001B6EA8" w:rsidP="00C6418A">
            <w:pPr>
              <w:spacing w:after="0" w:line="240" w:lineRule="auto"/>
              <w:jc w:val="center"/>
              <w:rPr>
                <w:rFonts w:eastAsia="Times New Roman" w:cs="Times New Roman"/>
                <w:color w:val="000000"/>
                <w:kern w:val="0"/>
                <w:szCs w:val="24"/>
                <w:lang w:eastAsia="en-IN"/>
                <w14:ligatures w14:val="none"/>
              </w:rPr>
            </w:pPr>
            <w:r w:rsidRPr="009D3726">
              <w:rPr>
                <w:rFonts w:eastAsia="Times New Roman" w:cs="Times New Roman"/>
                <w:color w:val="000000"/>
                <w:kern w:val="0"/>
                <w:szCs w:val="24"/>
                <w:lang w:eastAsia="en-IN"/>
                <w14:ligatures w14:val="none"/>
              </w:rPr>
              <w:t>3482358996</w:t>
            </w:r>
          </w:p>
        </w:tc>
        <w:tc>
          <w:tcPr>
            <w:tcW w:w="1787" w:type="dxa"/>
            <w:noWrap/>
            <w:vAlign w:val="center"/>
            <w:hideMark/>
          </w:tcPr>
          <w:p w14:paraId="2C1CC8EC" w14:textId="77777777" w:rsidR="001B6EA8" w:rsidRPr="009D3726" w:rsidRDefault="001B6EA8" w:rsidP="00C6418A">
            <w:pPr>
              <w:spacing w:after="0" w:line="240" w:lineRule="auto"/>
              <w:jc w:val="center"/>
              <w:rPr>
                <w:rFonts w:eastAsia="Times New Roman" w:cs="Times New Roman"/>
                <w:color w:val="000000"/>
                <w:kern w:val="0"/>
                <w:szCs w:val="24"/>
                <w:lang w:eastAsia="en-IN"/>
                <w14:ligatures w14:val="none"/>
              </w:rPr>
            </w:pPr>
            <w:r w:rsidRPr="009D3726">
              <w:rPr>
                <w:rFonts w:eastAsia="Times New Roman" w:cs="Times New Roman"/>
                <w:color w:val="000000"/>
                <w:kern w:val="0"/>
                <w:szCs w:val="24"/>
                <w:lang w:eastAsia="en-IN"/>
                <w14:ligatures w14:val="none"/>
              </w:rPr>
              <w:t>24633047775</w:t>
            </w:r>
          </w:p>
        </w:tc>
      </w:tr>
      <w:tr w:rsidR="001B6EA8" w:rsidRPr="009D3726" w14:paraId="49B7F526" w14:textId="77777777" w:rsidTr="00E979FF">
        <w:trPr>
          <w:trHeight w:val="305"/>
        </w:trPr>
        <w:tc>
          <w:tcPr>
            <w:tcW w:w="730" w:type="dxa"/>
            <w:noWrap/>
            <w:vAlign w:val="center"/>
            <w:hideMark/>
          </w:tcPr>
          <w:p w14:paraId="3B31FD2F" w14:textId="77777777" w:rsidR="001B6EA8" w:rsidRPr="009D3726" w:rsidRDefault="001B6EA8" w:rsidP="00C6418A">
            <w:pPr>
              <w:spacing w:after="0" w:line="240" w:lineRule="auto"/>
              <w:jc w:val="center"/>
              <w:rPr>
                <w:rFonts w:eastAsia="Times New Roman" w:cs="Times New Roman"/>
                <w:b/>
                <w:bCs/>
                <w:color w:val="000000"/>
                <w:kern w:val="0"/>
                <w:szCs w:val="24"/>
                <w:lang w:eastAsia="en-IN"/>
                <w14:ligatures w14:val="none"/>
              </w:rPr>
            </w:pPr>
            <w:r w:rsidRPr="009D3726">
              <w:rPr>
                <w:rFonts w:eastAsia="Times New Roman" w:cs="Times New Roman"/>
                <w:b/>
                <w:bCs/>
                <w:color w:val="000000"/>
                <w:kern w:val="0"/>
                <w:szCs w:val="24"/>
                <w:lang w:eastAsia="en-IN"/>
                <w14:ligatures w14:val="none"/>
              </w:rPr>
              <w:t>2018</w:t>
            </w:r>
          </w:p>
        </w:tc>
        <w:tc>
          <w:tcPr>
            <w:tcW w:w="1653" w:type="dxa"/>
            <w:noWrap/>
            <w:vAlign w:val="center"/>
            <w:hideMark/>
          </w:tcPr>
          <w:p w14:paraId="07CABA49" w14:textId="77777777" w:rsidR="001B6EA8" w:rsidRPr="009D3726" w:rsidRDefault="001B6EA8" w:rsidP="00C6418A">
            <w:pPr>
              <w:spacing w:after="0" w:line="240" w:lineRule="auto"/>
              <w:jc w:val="center"/>
              <w:rPr>
                <w:rFonts w:eastAsia="Times New Roman" w:cs="Times New Roman"/>
                <w:color w:val="000000"/>
                <w:kern w:val="0"/>
                <w:szCs w:val="24"/>
                <w:lang w:eastAsia="en-IN"/>
                <w14:ligatures w14:val="none"/>
              </w:rPr>
            </w:pPr>
            <w:r w:rsidRPr="009D3726">
              <w:rPr>
                <w:rFonts w:eastAsia="Times New Roman" w:cs="Times New Roman"/>
                <w:color w:val="000000"/>
                <w:kern w:val="0"/>
                <w:szCs w:val="24"/>
                <w:lang w:eastAsia="en-IN"/>
                <w14:ligatures w14:val="none"/>
              </w:rPr>
              <w:t>23238654929</w:t>
            </w:r>
          </w:p>
        </w:tc>
        <w:tc>
          <w:tcPr>
            <w:tcW w:w="1738" w:type="dxa"/>
            <w:noWrap/>
            <w:vAlign w:val="center"/>
            <w:hideMark/>
          </w:tcPr>
          <w:p w14:paraId="07593D91" w14:textId="77777777" w:rsidR="001B6EA8" w:rsidRPr="009D3726" w:rsidRDefault="001B6EA8" w:rsidP="00C6418A">
            <w:pPr>
              <w:spacing w:after="0" w:line="240" w:lineRule="auto"/>
              <w:jc w:val="center"/>
              <w:rPr>
                <w:rFonts w:eastAsia="Times New Roman" w:cs="Times New Roman"/>
                <w:color w:val="000000"/>
                <w:kern w:val="0"/>
                <w:szCs w:val="24"/>
                <w:lang w:eastAsia="en-IN"/>
                <w14:ligatures w14:val="none"/>
              </w:rPr>
            </w:pPr>
            <w:r w:rsidRPr="009D3726">
              <w:rPr>
                <w:rFonts w:eastAsia="Times New Roman" w:cs="Times New Roman"/>
                <w:color w:val="000000"/>
                <w:kern w:val="0"/>
                <w:szCs w:val="24"/>
                <w:lang w:eastAsia="en-IN"/>
                <w14:ligatures w14:val="none"/>
              </w:rPr>
              <w:t>11436566009</w:t>
            </w:r>
          </w:p>
        </w:tc>
        <w:tc>
          <w:tcPr>
            <w:tcW w:w="1616" w:type="dxa"/>
            <w:noWrap/>
            <w:vAlign w:val="center"/>
            <w:hideMark/>
          </w:tcPr>
          <w:p w14:paraId="059B9C40" w14:textId="77777777" w:rsidR="001B6EA8" w:rsidRPr="009D3726" w:rsidRDefault="001B6EA8" w:rsidP="00C6418A">
            <w:pPr>
              <w:spacing w:after="0" w:line="240" w:lineRule="auto"/>
              <w:jc w:val="center"/>
              <w:rPr>
                <w:rFonts w:eastAsia="Times New Roman" w:cs="Times New Roman"/>
                <w:color w:val="000000"/>
                <w:kern w:val="0"/>
                <w:szCs w:val="24"/>
                <w:lang w:eastAsia="en-IN"/>
                <w14:ligatures w14:val="none"/>
              </w:rPr>
            </w:pPr>
            <w:r w:rsidRPr="009D3726">
              <w:rPr>
                <w:rFonts w:eastAsia="Times New Roman" w:cs="Times New Roman"/>
                <w:color w:val="000000"/>
                <w:kern w:val="0"/>
                <w:szCs w:val="24"/>
                <w:lang w:eastAsia="en-IN"/>
                <w14:ligatures w14:val="none"/>
              </w:rPr>
              <w:t>3092761980</w:t>
            </w:r>
          </w:p>
        </w:tc>
        <w:tc>
          <w:tcPr>
            <w:tcW w:w="1653" w:type="dxa"/>
            <w:noWrap/>
            <w:vAlign w:val="center"/>
            <w:hideMark/>
          </w:tcPr>
          <w:p w14:paraId="3DC5FC0C" w14:textId="77777777" w:rsidR="001B6EA8" w:rsidRPr="009D3726" w:rsidRDefault="001B6EA8" w:rsidP="00C6418A">
            <w:pPr>
              <w:spacing w:after="0" w:line="240" w:lineRule="auto"/>
              <w:jc w:val="center"/>
              <w:rPr>
                <w:rFonts w:eastAsia="Times New Roman" w:cs="Times New Roman"/>
                <w:color w:val="000000"/>
                <w:kern w:val="0"/>
                <w:szCs w:val="24"/>
                <w:lang w:eastAsia="en-IN"/>
                <w14:ligatures w14:val="none"/>
              </w:rPr>
            </w:pPr>
            <w:r w:rsidRPr="009D3726">
              <w:rPr>
                <w:rFonts w:eastAsia="Times New Roman" w:cs="Times New Roman"/>
                <w:color w:val="000000"/>
                <w:kern w:val="0"/>
                <w:szCs w:val="24"/>
                <w:lang w:eastAsia="en-IN"/>
                <w14:ligatures w14:val="none"/>
              </w:rPr>
              <w:t>12279956366</w:t>
            </w:r>
          </w:p>
        </w:tc>
        <w:tc>
          <w:tcPr>
            <w:tcW w:w="1787" w:type="dxa"/>
            <w:noWrap/>
            <w:vAlign w:val="center"/>
            <w:hideMark/>
          </w:tcPr>
          <w:p w14:paraId="6F63260F" w14:textId="77777777" w:rsidR="001B6EA8" w:rsidRPr="009D3726" w:rsidRDefault="001B6EA8" w:rsidP="00C6418A">
            <w:pPr>
              <w:spacing w:after="0" w:line="240" w:lineRule="auto"/>
              <w:jc w:val="center"/>
              <w:rPr>
                <w:rFonts w:eastAsia="Times New Roman" w:cs="Times New Roman"/>
                <w:color w:val="000000"/>
                <w:kern w:val="0"/>
                <w:szCs w:val="24"/>
                <w:lang w:eastAsia="en-IN"/>
                <w14:ligatures w14:val="none"/>
              </w:rPr>
            </w:pPr>
            <w:r w:rsidRPr="009D3726">
              <w:rPr>
                <w:rFonts w:eastAsia="Times New Roman" w:cs="Times New Roman"/>
                <w:color w:val="000000"/>
                <w:kern w:val="0"/>
                <w:szCs w:val="24"/>
                <w:lang w:eastAsia="en-IN"/>
                <w14:ligatures w14:val="none"/>
              </w:rPr>
              <w:t>50047939284</w:t>
            </w:r>
          </w:p>
        </w:tc>
      </w:tr>
      <w:tr w:rsidR="001B6EA8" w:rsidRPr="009D3726" w14:paraId="63B9F366" w14:textId="77777777" w:rsidTr="00E979FF">
        <w:trPr>
          <w:trHeight w:val="305"/>
        </w:trPr>
        <w:tc>
          <w:tcPr>
            <w:tcW w:w="730" w:type="dxa"/>
            <w:noWrap/>
            <w:vAlign w:val="center"/>
            <w:hideMark/>
          </w:tcPr>
          <w:p w14:paraId="31449BA1" w14:textId="77777777" w:rsidR="001B6EA8" w:rsidRPr="009D3726" w:rsidRDefault="001B6EA8" w:rsidP="00C6418A">
            <w:pPr>
              <w:spacing w:after="0" w:line="240" w:lineRule="auto"/>
              <w:jc w:val="center"/>
              <w:rPr>
                <w:rFonts w:eastAsia="Times New Roman" w:cs="Times New Roman"/>
                <w:b/>
                <w:bCs/>
                <w:color w:val="000000"/>
                <w:kern w:val="0"/>
                <w:szCs w:val="24"/>
                <w:lang w:eastAsia="en-IN"/>
                <w14:ligatures w14:val="none"/>
              </w:rPr>
            </w:pPr>
            <w:r w:rsidRPr="009D3726">
              <w:rPr>
                <w:rFonts w:eastAsia="Times New Roman" w:cs="Times New Roman"/>
                <w:b/>
                <w:bCs/>
                <w:color w:val="000000"/>
                <w:kern w:val="0"/>
                <w:szCs w:val="24"/>
                <w:lang w:eastAsia="en-IN"/>
                <w14:ligatures w14:val="none"/>
              </w:rPr>
              <w:t>2019</w:t>
            </w:r>
          </w:p>
        </w:tc>
        <w:tc>
          <w:tcPr>
            <w:tcW w:w="1653" w:type="dxa"/>
            <w:noWrap/>
            <w:vAlign w:val="center"/>
            <w:hideMark/>
          </w:tcPr>
          <w:p w14:paraId="30134DC0" w14:textId="77777777" w:rsidR="001B6EA8" w:rsidRPr="009D3726" w:rsidRDefault="001B6EA8" w:rsidP="00C6418A">
            <w:pPr>
              <w:spacing w:after="0" w:line="240" w:lineRule="auto"/>
              <w:jc w:val="center"/>
              <w:rPr>
                <w:rFonts w:eastAsia="Times New Roman" w:cs="Times New Roman"/>
                <w:color w:val="000000"/>
                <w:kern w:val="0"/>
                <w:szCs w:val="24"/>
                <w:lang w:eastAsia="en-IN"/>
                <w14:ligatures w14:val="none"/>
              </w:rPr>
            </w:pPr>
            <w:r w:rsidRPr="009D3726">
              <w:rPr>
                <w:rFonts w:eastAsia="Times New Roman" w:cs="Times New Roman"/>
                <w:color w:val="000000"/>
                <w:kern w:val="0"/>
                <w:szCs w:val="24"/>
                <w:lang w:eastAsia="en-IN"/>
                <w14:ligatures w14:val="none"/>
              </w:rPr>
              <w:t>13985928274</w:t>
            </w:r>
          </w:p>
        </w:tc>
        <w:tc>
          <w:tcPr>
            <w:tcW w:w="1738" w:type="dxa"/>
            <w:noWrap/>
            <w:vAlign w:val="center"/>
            <w:hideMark/>
          </w:tcPr>
          <w:p w14:paraId="6F9A858E" w14:textId="77777777" w:rsidR="001B6EA8" w:rsidRPr="009D3726" w:rsidRDefault="001B6EA8" w:rsidP="00C6418A">
            <w:pPr>
              <w:spacing w:after="0" w:line="240" w:lineRule="auto"/>
              <w:jc w:val="center"/>
              <w:rPr>
                <w:rFonts w:eastAsia="Times New Roman" w:cs="Times New Roman"/>
                <w:color w:val="000000"/>
                <w:kern w:val="0"/>
                <w:szCs w:val="24"/>
                <w:lang w:eastAsia="en-IN"/>
                <w14:ligatures w14:val="none"/>
              </w:rPr>
            </w:pPr>
            <w:r w:rsidRPr="009D3726">
              <w:rPr>
                <w:rFonts w:eastAsia="Times New Roman" w:cs="Times New Roman"/>
                <w:color w:val="000000"/>
                <w:kern w:val="0"/>
                <w:szCs w:val="24"/>
                <w:lang w:eastAsia="en-IN"/>
                <w14:ligatures w14:val="none"/>
              </w:rPr>
              <w:t>7067493609</w:t>
            </w:r>
          </w:p>
        </w:tc>
        <w:tc>
          <w:tcPr>
            <w:tcW w:w="1616" w:type="dxa"/>
            <w:noWrap/>
            <w:vAlign w:val="center"/>
            <w:hideMark/>
          </w:tcPr>
          <w:p w14:paraId="16028B61" w14:textId="77777777" w:rsidR="001B6EA8" w:rsidRPr="009D3726" w:rsidRDefault="001B6EA8" w:rsidP="00C6418A">
            <w:pPr>
              <w:spacing w:after="0" w:line="240" w:lineRule="auto"/>
              <w:jc w:val="center"/>
              <w:rPr>
                <w:rFonts w:eastAsia="Times New Roman" w:cs="Times New Roman"/>
                <w:color w:val="000000"/>
                <w:kern w:val="0"/>
                <w:szCs w:val="24"/>
                <w:lang w:eastAsia="en-IN"/>
                <w14:ligatures w14:val="none"/>
              </w:rPr>
            </w:pPr>
            <w:r w:rsidRPr="009D3726">
              <w:rPr>
                <w:rFonts w:eastAsia="Times New Roman" w:cs="Times New Roman"/>
                <w:color w:val="000000"/>
                <w:kern w:val="0"/>
                <w:szCs w:val="24"/>
                <w:lang w:eastAsia="en-IN"/>
                <w14:ligatures w14:val="none"/>
              </w:rPr>
              <w:t>2277570939</w:t>
            </w:r>
          </w:p>
        </w:tc>
        <w:tc>
          <w:tcPr>
            <w:tcW w:w="1653" w:type="dxa"/>
            <w:noWrap/>
            <w:vAlign w:val="center"/>
            <w:hideMark/>
          </w:tcPr>
          <w:p w14:paraId="7AA9C633" w14:textId="77777777" w:rsidR="001B6EA8" w:rsidRPr="009D3726" w:rsidRDefault="001B6EA8" w:rsidP="00C6418A">
            <w:pPr>
              <w:spacing w:after="0" w:line="240" w:lineRule="auto"/>
              <w:jc w:val="center"/>
              <w:rPr>
                <w:rFonts w:eastAsia="Times New Roman" w:cs="Times New Roman"/>
                <w:color w:val="000000"/>
                <w:kern w:val="0"/>
                <w:szCs w:val="24"/>
                <w:lang w:eastAsia="en-IN"/>
                <w14:ligatures w14:val="none"/>
              </w:rPr>
            </w:pPr>
            <w:r w:rsidRPr="009D3726">
              <w:rPr>
                <w:rFonts w:eastAsia="Times New Roman" w:cs="Times New Roman"/>
                <w:color w:val="000000"/>
                <w:kern w:val="0"/>
                <w:szCs w:val="24"/>
                <w:lang w:eastAsia="en-IN"/>
                <w14:ligatures w14:val="none"/>
              </w:rPr>
              <w:t>2363462159</w:t>
            </w:r>
          </w:p>
        </w:tc>
        <w:tc>
          <w:tcPr>
            <w:tcW w:w="1787" w:type="dxa"/>
            <w:noWrap/>
            <w:vAlign w:val="center"/>
            <w:hideMark/>
          </w:tcPr>
          <w:p w14:paraId="5E259B0C" w14:textId="77777777" w:rsidR="001B6EA8" w:rsidRPr="009D3726" w:rsidRDefault="001B6EA8" w:rsidP="00C6418A">
            <w:pPr>
              <w:spacing w:after="0" w:line="240" w:lineRule="auto"/>
              <w:jc w:val="center"/>
              <w:rPr>
                <w:rFonts w:eastAsia="Times New Roman" w:cs="Times New Roman"/>
                <w:color w:val="000000"/>
                <w:kern w:val="0"/>
                <w:szCs w:val="24"/>
                <w:lang w:eastAsia="en-IN"/>
                <w14:ligatures w14:val="none"/>
              </w:rPr>
            </w:pPr>
            <w:r w:rsidRPr="009D3726">
              <w:rPr>
                <w:rFonts w:eastAsia="Times New Roman" w:cs="Times New Roman"/>
                <w:color w:val="000000"/>
                <w:kern w:val="0"/>
                <w:szCs w:val="24"/>
                <w:lang w:eastAsia="en-IN"/>
                <w14:ligatures w14:val="none"/>
              </w:rPr>
              <w:t>25694454981</w:t>
            </w:r>
          </w:p>
        </w:tc>
      </w:tr>
      <w:tr w:rsidR="001B6EA8" w:rsidRPr="009D3726" w14:paraId="2C84A8CE" w14:textId="77777777" w:rsidTr="00E979FF">
        <w:trPr>
          <w:trHeight w:val="305"/>
        </w:trPr>
        <w:tc>
          <w:tcPr>
            <w:tcW w:w="730" w:type="dxa"/>
            <w:noWrap/>
            <w:vAlign w:val="center"/>
            <w:hideMark/>
          </w:tcPr>
          <w:p w14:paraId="6FBB7A4D" w14:textId="77777777" w:rsidR="001B6EA8" w:rsidRPr="009D3726" w:rsidRDefault="001B6EA8" w:rsidP="00C6418A">
            <w:pPr>
              <w:spacing w:after="0" w:line="240" w:lineRule="auto"/>
              <w:jc w:val="center"/>
              <w:rPr>
                <w:rFonts w:eastAsia="Times New Roman" w:cs="Times New Roman"/>
                <w:b/>
                <w:bCs/>
                <w:color w:val="000000"/>
                <w:kern w:val="0"/>
                <w:szCs w:val="24"/>
                <w:lang w:eastAsia="en-IN"/>
                <w14:ligatures w14:val="none"/>
              </w:rPr>
            </w:pPr>
            <w:r w:rsidRPr="009D3726">
              <w:rPr>
                <w:rFonts w:eastAsia="Times New Roman" w:cs="Times New Roman"/>
                <w:b/>
                <w:bCs/>
                <w:color w:val="000000"/>
                <w:kern w:val="0"/>
                <w:szCs w:val="24"/>
                <w:lang w:eastAsia="en-IN"/>
                <w14:ligatures w14:val="none"/>
              </w:rPr>
              <w:t>2020</w:t>
            </w:r>
          </w:p>
        </w:tc>
        <w:tc>
          <w:tcPr>
            <w:tcW w:w="1653" w:type="dxa"/>
            <w:noWrap/>
            <w:vAlign w:val="center"/>
            <w:hideMark/>
          </w:tcPr>
          <w:p w14:paraId="064FCB8B" w14:textId="77777777" w:rsidR="001B6EA8" w:rsidRPr="009D3726" w:rsidRDefault="001B6EA8" w:rsidP="00C6418A">
            <w:pPr>
              <w:spacing w:after="0" w:line="240" w:lineRule="auto"/>
              <w:jc w:val="center"/>
              <w:rPr>
                <w:rFonts w:eastAsia="Times New Roman" w:cs="Times New Roman"/>
                <w:color w:val="000000"/>
                <w:kern w:val="0"/>
                <w:szCs w:val="24"/>
                <w:lang w:eastAsia="en-IN"/>
                <w14:ligatures w14:val="none"/>
              </w:rPr>
            </w:pPr>
            <w:r w:rsidRPr="009D3726">
              <w:rPr>
                <w:rFonts w:eastAsia="Times New Roman" w:cs="Times New Roman"/>
                <w:color w:val="000000"/>
                <w:kern w:val="0"/>
                <w:szCs w:val="24"/>
                <w:lang w:eastAsia="en-IN"/>
                <w14:ligatures w14:val="none"/>
              </w:rPr>
              <w:t>18355815121</w:t>
            </w:r>
          </w:p>
        </w:tc>
        <w:tc>
          <w:tcPr>
            <w:tcW w:w="1738" w:type="dxa"/>
            <w:noWrap/>
            <w:vAlign w:val="center"/>
            <w:hideMark/>
          </w:tcPr>
          <w:p w14:paraId="3E4058CE" w14:textId="77777777" w:rsidR="001B6EA8" w:rsidRPr="009D3726" w:rsidRDefault="001B6EA8" w:rsidP="00C6418A">
            <w:pPr>
              <w:spacing w:after="0" w:line="240" w:lineRule="auto"/>
              <w:jc w:val="center"/>
              <w:rPr>
                <w:rFonts w:eastAsia="Times New Roman" w:cs="Times New Roman"/>
                <w:color w:val="000000"/>
                <w:kern w:val="0"/>
                <w:szCs w:val="24"/>
                <w:lang w:eastAsia="en-IN"/>
                <w14:ligatures w14:val="none"/>
              </w:rPr>
            </w:pPr>
            <w:r w:rsidRPr="009D3726">
              <w:rPr>
                <w:rFonts w:eastAsia="Times New Roman" w:cs="Times New Roman"/>
                <w:color w:val="000000"/>
                <w:kern w:val="0"/>
                <w:szCs w:val="24"/>
                <w:lang w:eastAsia="en-IN"/>
                <w14:ligatures w14:val="none"/>
              </w:rPr>
              <w:t>3901034485</w:t>
            </w:r>
          </w:p>
        </w:tc>
        <w:tc>
          <w:tcPr>
            <w:tcW w:w="1616" w:type="dxa"/>
            <w:noWrap/>
            <w:vAlign w:val="center"/>
            <w:hideMark/>
          </w:tcPr>
          <w:p w14:paraId="459BB159" w14:textId="77777777" w:rsidR="001B6EA8" w:rsidRPr="009D3726" w:rsidRDefault="001B6EA8" w:rsidP="00C6418A">
            <w:pPr>
              <w:spacing w:after="0" w:line="240" w:lineRule="auto"/>
              <w:jc w:val="center"/>
              <w:rPr>
                <w:rFonts w:eastAsia="Times New Roman" w:cs="Times New Roman"/>
                <w:color w:val="000000"/>
                <w:kern w:val="0"/>
                <w:szCs w:val="24"/>
                <w:lang w:eastAsia="en-IN"/>
                <w14:ligatures w14:val="none"/>
              </w:rPr>
            </w:pPr>
            <w:r w:rsidRPr="009D3726">
              <w:rPr>
                <w:rFonts w:eastAsia="Times New Roman" w:cs="Times New Roman"/>
                <w:color w:val="000000"/>
                <w:kern w:val="0"/>
                <w:szCs w:val="24"/>
                <w:lang w:eastAsia="en-IN"/>
                <w14:ligatures w14:val="none"/>
              </w:rPr>
              <w:t>2805171766</w:t>
            </w:r>
          </w:p>
        </w:tc>
        <w:tc>
          <w:tcPr>
            <w:tcW w:w="1653" w:type="dxa"/>
            <w:noWrap/>
            <w:vAlign w:val="center"/>
            <w:hideMark/>
          </w:tcPr>
          <w:p w14:paraId="00EF8D5C" w14:textId="77777777" w:rsidR="001B6EA8" w:rsidRPr="009D3726" w:rsidRDefault="001B6EA8" w:rsidP="00C6418A">
            <w:pPr>
              <w:spacing w:after="0" w:line="240" w:lineRule="auto"/>
              <w:jc w:val="center"/>
              <w:rPr>
                <w:rFonts w:eastAsia="Times New Roman" w:cs="Times New Roman"/>
                <w:color w:val="000000"/>
                <w:kern w:val="0"/>
                <w:szCs w:val="24"/>
                <w:lang w:eastAsia="en-IN"/>
                <w14:ligatures w14:val="none"/>
              </w:rPr>
            </w:pPr>
            <w:r w:rsidRPr="009D3726">
              <w:rPr>
                <w:rFonts w:eastAsia="Times New Roman" w:cs="Times New Roman"/>
                <w:color w:val="000000"/>
                <w:kern w:val="0"/>
                <w:szCs w:val="24"/>
                <w:lang w:eastAsia="en-IN"/>
                <w14:ligatures w14:val="none"/>
              </w:rPr>
              <w:t>7488239781</w:t>
            </w:r>
          </w:p>
        </w:tc>
        <w:tc>
          <w:tcPr>
            <w:tcW w:w="1787" w:type="dxa"/>
            <w:noWrap/>
            <w:vAlign w:val="center"/>
            <w:hideMark/>
          </w:tcPr>
          <w:p w14:paraId="010EB6BA" w14:textId="77777777" w:rsidR="001B6EA8" w:rsidRPr="009D3726" w:rsidRDefault="001B6EA8" w:rsidP="00C6418A">
            <w:pPr>
              <w:spacing w:after="0" w:line="240" w:lineRule="auto"/>
              <w:jc w:val="center"/>
              <w:rPr>
                <w:rFonts w:eastAsia="Times New Roman" w:cs="Times New Roman"/>
                <w:color w:val="000000"/>
                <w:kern w:val="0"/>
                <w:szCs w:val="24"/>
                <w:lang w:eastAsia="en-IN"/>
                <w14:ligatures w14:val="none"/>
              </w:rPr>
            </w:pPr>
            <w:r w:rsidRPr="009D3726">
              <w:rPr>
                <w:rFonts w:eastAsia="Times New Roman" w:cs="Times New Roman"/>
                <w:color w:val="000000"/>
                <w:kern w:val="0"/>
                <w:szCs w:val="24"/>
                <w:lang w:eastAsia="en-IN"/>
                <w14:ligatures w14:val="none"/>
              </w:rPr>
              <w:t>32550261153</w:t>
            </w:r>
          </w:p>
        </w:tc>
      </w:tr>
      <w:tr w:rsidR="001B6EA8" w:rsidRPr="009D3726" w14:paraId="225880F8" w14:textId="77777777" w:rsidTr="00E979FF">
        <w:trPr>
          <w:trHeight w:val="305"/>
        </w:trPr>
        <w:tc>
          <w:tcPr>
            <w:tcW w:w="730" w:type="dxa"/>
            <w:noWrap/>
            <w:vAlign w:val="center"/>
            <w:hideMark/>
          </w:tcPr>
          <w:p w14:paraId="784CC4C1" w14:textId="77777777" w:rsidR="001B6EA8" w:rsidRPr="009D3726" w:rsidRDefault="001B6EA8" w:rsidP="00C6418A">
            <w:pPr>
              <w:spacing w:after="0" w:line="240" w:lineRule="auto"/>
              <w:jc w:val="center"/>
              <w:rPr>
                <w:rFonts w:eastAsia="Times New Roman" w:cs="Times New Roman"/>
                <w:b/>
                <w:bCs/>
                <w:color w:val="000000"/>
                <w:kern w:val="0"/>
                <w:szCs w:val="24"/>
                <w:lang w:eastAsia="en-IN"/>
                <w14:ligatures w14:val="none"/>
              </w:rPr>
            </w:pPr>
            <w:r w:rsidRPr="009D3726">
              <w:rPr>
                <w:rFonts w:eastAsia="Times New Roman" w:cs="Times New Roman"/>
                <w:b/>
                <w:bCs/>
                <w:color w:val="000000"/>
                <w:kern w:val="0"/>
                <w:szCs w:val="24"/>
                <w:lang w:eastAsia="en-IN"/>
                <w14:ligatures w14:val="none"/>
              </w:rPr>
              <w:t>2021</w:t>
            </w:r>
          </w:p>
        </w:tc>
        <w:tc>
          <w:tcPr>
            <w:tcW w:w="1653" w:type="dxa"/>
            <w:noWrap/>
            <w:vAlign w:val="center"/>
            <w:hideMark/>
          </w:tcPr>
          <w:p w14:paraId="34251078" w14:textId="77777777" w:rsidR="001B6EA8" w:rsidRPr="009D3726" w:rsidRDefault="001B6EA8" w:rsidP="00C6418A">
            <w:pPr>
              <w:spacing w:after="0" w:line="240" w:lineRule="auto"/>
              <w:jc w:val="center"/>
              <w:rPr>
                <w:rFonts w:eastAsia="Times New Roman" w:cs="Times New Roman"/>
                <w:color w:val="000000"/>
                <w:kern w:val="0"/>
                <w:szCs w:val="24"/>
                <w:lang w:eastAsia="en-IN"/>
                <w14:ligatures w14:val="none"/>
              </w:rPr>
            </w:pPr>
            <w:r w:rsidRPr="009D3726">
              <w:rPr>
                <w:rFonts w:eastAsia="Times New Roman" w:cs="Times New Roman"/>
                <w:color w:val="000000"/>
                <w:kern w:val="0"/>
                <w:szCs w:val="24"/>
                <w:lang w:eastAsia="en-IN"/>
                <w14:ligatures w14:val="none"/>
              </w:rPr>
              <w:t>19388154114</w:t>
            </w:r>
          </w:p>
        </w:tc>
        <w:tc>
          <w:tcPr>
            <w:tcW w:w="1738" w:type="dxa"/>
            <w:noWrap/>
            <w:vAlign w:val="center"/>
            <w:hideMark/>
          </w:tcPr>
          <w:p w14:paraId="0CF5A07E" w14:textId="77777777" w:rsidR="001B6EA8" w:rsidRPr="009D3726" w:rsidRDefault="001B6EA8" w:rsidP="00C6418A">
            <w:pPr>
              <w:spacing w:after="0" w:line="240" w:lineRule="auto"/>
              <w:jc w:val="center"/>
              <w:rPr>
                <w:rFonts w:eastAsia="Times New Roman" w:cs="Times New Roman"/>
                <w:color w:val="000000"/>
                <w:kern w:val="0"/>
                <w:szCs w:val="24"/>
                <w:lang w:eastAsia="en-IN"/>
                <w14:ligatures w14:val="none"/>
              </w:rPr>
            </w:pPr>
            <w:r w:rsidRPr="009D3726">
              <w:rPr>
                <w:rFonts w:eastAsia="Times New Roman" w:cs="Times New Roman"/>
                <w:color w:val="000000"/>
                <w:kern w:val="0"/>
                <w:szCs w:val="24"/>
                <w:lang w:eastAsia="en-IN"/>
                <w14:ligatures w14:val="none"/>
              </w:rPr>
              <w:t>13809268640</w:t>
            </w:r>
          </w:p>
        </w:tc>
        <w:tc>
          <w:tcPr>
            <w:tcW w:w="1616" w:type="dxa"/>
            <w:noWrap/>
            <w:vAlign w:val="center"/>
            <w:hideMark/>
          </w:tcPr>
          <w:p w14:paraId="461AAD88" w14:textId="77777777" w:rsidR="001B6EA8" w:rsidRPr="009D3726" w:rsidRDefault="001B6EA8" w:rsidP="00C6418A">
            <w:pPr>
              <w:spacing w:after="0" w:line="240" w:lineRule="auto"/>
              <w:jc w:val="center"/>
              <w:rPr>
                <w:rFonts w:eastAsia="Times New Roman" w:cs="Times New Roman"/>
                <w:color w:val="000000"/>
                <w:kern w:val="0"/>
                <w:szCs w:val="24"/>
                <w:lang w:eastAsia="en-IN"/>
                <w14:ligatures w14:val="none"/>
              </w:rPr>
            </w:pPr>
            <w:r w:rsidRPr="009D3726">
              <w:rPr>
                <w:rFonts w:eastAsia="Times New Roman" w:cs="Times New Roman"/>
                <w:color w:val="000000"/>
                <w:kern w:val="0"/>
                <w:szCs w:val="24"/>
                <w:lang w:eastAsia="en-IN"/>
                <w14:ligatures w14:val="none"/>
              </w:rPr>
              <w:t>3726176534</w:t>
            </w:r>
          </w:p>
        </w:tc>
        <w:tc>
          <w:tcPr>
            <w:tcW w:w="1653" w:type="dxa"/>
            <w:noWrap/>
            <w:vAlign w:val="center"/>
            <w:hideMark/>
          </w:tcPr>
          <w:p w14:paraId="0880173F" w14:textId="77777777" w:rsidR="001B6EA8" w:rsidRPr="009D3726" w:rsidRDefault="001B6EA8" w:rsidP="00C6418A">
            <w:pPr>
              <w:spacing w:after="0" w:line="240" w:lineRule="auto"/>
              <w:jc w:val="center"/>
              <w:rPr>
                <w:rFonts w:eastAsia="Times New Roman" w:cs="Times New Roman"/>
                <w:color w:val="000000"/>
                <w:kern w:val="0"/>
                <w:szCs w:val="24"/>
                <w:lang w:eastAsia="en-IN"/>
                <w14:ligatures w14:val="none"/>
              </w:rPr>
            </w:pPr>
            <w:r w:rsidRPr="009D3726">
              <w:rPr>
                <w:rFonts w:eastAsia="Times New Roman" w:cs="Times New Roman"/>
                <w:color w:val="000000"/>
                <w:kern w:val="0"/>
                <w:szCs w:val="24"/>
                <w:lang w:eastAsia="en-IN"/>
                <w14:ligatures w14:val="none"/>
              </w:rPr>
              <w:t>16204664908</w:t>
            </w:r>
          </w:p>
        </w:tc>
        <w:tc>
          <w:tcPr>
            <w:tcW w:w="1787" w:type="dxa"/>
            <w:noWrap/>
            <w:vAlign w:val="center"/>
            <w:hideMark/>
          </w:tcPr>
          <w:p w14:paraId="35088163" w14:textId="77777777" w:rsidR="001B6EA8" w:rsidRPr="009D3726" w:rsidRDefault="001B6EA8" w:rsidP="00C6418A">
            <w:pPr>
              <w:spacing w:after="0" w:line="240" w:lineRule="auto"/>
              <w:jc w:val="center"/>
              <w:rPr>
                <w:rFonts w:eastAsia="Times New Roman" w:cs="Times New Roman"/>
                <w:color w:val="000000"/>
                <w:kern w:val="0"/>
                <w:szCs w:val="24"/>
                <w:lang w:eastAsia="en-IN"/>
                <w14:ligatures w14:val="none"/>
              </w:rPr>
            </w:pPr>
            <w:r w:rsidRPr="009D3726">
              <w:rPr>
                <w:rFonts w:eastAsia="Times New Roman" w:cs="Times New Roman"/>
                <w:color w:val="000000"/>
                <w:kern w:val="0"/>
                <w:szCs w:val="24"/>
                <w:lang w:eastAsia="en-IN"/>
                <w14:ligatures w14:val="none"/>
              </w:rPr>
              <w:t>53128264196</w:t>
            </w:r>
          </w:p>
        </w:tc>
      </w:tr>
      <w:tr w:rsidR="001B6EA8" w:rsidRPr="009D3726" w14:paraId="0FFA9275" w14:textId="77777777" w:rsidTr="00E979FF">
        <w:trPr>
          <w:trHeight w:val="305"/>
        </w:trPr>
        <w:tc>
          <w:tcPr>
            <w:tcW w:w="730" w:type="dxa"/>
            <w:noWrap/>
            <w:vAlign w:val="center"/>
            <w:hideMark/>
          </w:tcPr>
          <w:p w14:paraId="385860F1" w14:textId="77777777" w:rsidR="001B6EA8" w:rsidRPr="009D3726" w:rsidRDefault="001B6EA8" w:rsidP="00C6418A">
            <w:pPr>
              <w:spacing w:after="0" w:line="240" w:lineRule="auto"/>
              <w:jc w:val="center"/>
              <w:rPr>
                <w:rFonts w:eastAsia="Times New Roman" w:cs="Times New Roman"/>
                <w:b/>
                <w:bCs/>
                <w:color w:val="000000"/>
                <w:kern w:val="0"/>
                <w:szCs w:val="24"/>
                <w:lang w:eastAsia="en-IN"/>
                <w14:ligatures w14:val="none"/>
              </w:rPr>
            </w:pPr>
            <w:r w:rsidRPr="009D3726">
              <w:rPr>
                <w:rFonts w:eastAsia="Times New Roman" w:cs="Times New Roman"/>
                <w:b/>
                <w:bCs/>
                <w:color w:val="000000"/>
                <w:kern w:val="0"/>
                <w:szCs w:val="24"/>
                <w:lang w:eastAsia="en-IN"/>
                <w14:ligatures w14:val="none"/>
              </w:rPr>
              <w:t>2022</w:t>
            </w:r>
          </w:p>
        </w:tc>
        <w:tc>
          <w:tcPr>
            <w:tcW w:w="1653" w:type="dxa"/>
            <w:noWrap/>
            <w:vAlign w:val="center"/>
            <w:hideMark/>
          </w:tcPr>
          <w:p w14:paraId="318BD5E4" w14:textId="77777777" w:rsidR="001B6EA8" w:rsidRPr="009D3726" w:rsidRDefault="001B6EA8" w:rsidP="00C6418A">
            <w:pPr>
              <w:spacing w:after="0" w:line="240" w:lineRule="auto"/>
              <w:jc w:val="center"/>
              <w:rPr>
                <w:rFonts w:eastAsia="Times New Roman" w:cs="Times New Roman"/>
                <w:color w:val="000000"/>
                <w:kern w:val="0"/>
                <w:szCs w:val="24"/>
                <w:lang w:eastAsia="en-IN"/>
                <w14:ligatures w14:val="none"/>
              </w:rPr>
            </w:pPr>
            <w:r w:rsidRPr="009D3726">
              <w:rPr>
                <w:rFonts w:eastAsia="Times New Roman" w:cs="Times New Roman"/>
                <w:color w:val="000000"/>
                <w:kern w:val="0"/>
                <w:szCs w:val="24"/>
                <w:lang w:eastAsia="en-IN"/>
                <w14:ligatures w14:val="none"/>
              </w:rPr>
              <w:t>16557661941</w:t>
            </w:r>
          </w:p>
        </w:tc>
        <w:tc>
          <w:tcPr>
            <w:tcW w:w="1738" w:type="dxa"/>
            <w:noWrap/>
            <w:vAlign w:val="center"/>
            <w:hideMark/>
          </w:tcPr>
          <w:p w14:paraId="5C996B96" w14:textId="77777777" w:rsidR="001B6EA8" w:rsidRPr="009D3726" w:rsidRDefault="001B6EA8" w:rsidP="00C6418A">
            <w:pPr>
              <w:spacing w:after="0" w:line="240" w:lineRule="auto"/>
              <w:jc w:val="center"/>
              <w:rPr>
                <w:rFonts w:eastAsia="Times New Roman" w:cs="Times New Roman"/>
                <w:color w:val="000000"/>
                <w:kern w:val="0"/>
                <w:szCs w:val="24"/>
                <w:lang w:eastAsia="en-IN"/>
                <w14:ligatures w14:val="none"/>
              </w:rPr>
            </w:pPr>
            <w:r w:rsidRPr="009D3726">
              <w:rPr>
                <w:rFonts w:eastAsia="Times New Roman" w:cs="Times New Roman"/>
                <w:color w:val="000000"/>
                <w:kern w:val="0"/>
                <w:szCs w:val="24"/>
                <w:lang w:eastAsia="en-IN"/>
                <w14:ligatures w14:val="none"/>
              </w:rPr>
              <w:t>2388376109</w:t>
            </w:r>
          </w:p>
        </w:tc>
        <w:tc>
          <w:tcPr>
            <w:tcW w:w="1616" w:type="dxa"/>
            <w:noWrap/>
            <w:vAlign w:val="center"/>
            <w:hideMark/>
          </w:tcPr>
          <w:p w14:paraId="04C13895" w14:textId="77777777" w:rsidR="001B6EA8" w:rsidRPr="009D3726" w:rsidRDefault="001B6EA8" w:rsidP="00C6418A">
            <w:pPr>
              <w:spacing w:after="0" w:line="240" w:lineRule="auto"/>
              <w:jc w:val="center"/>
              <w:rPr>
                <w:rFonts w:eastAsia="Times New Roman" w:cs="Times New Roman"/>
                <w:color w:val="000000"/>
                <w:kern w:val="0"/>
                <w:szCs w:val="24"/>
                <w:lang w:eastAsia="en-IN"/>
                <w14:ligatures w14:val="none"/>
              </w:rPr>
            </w:pPr>
            <w:r w:rsidRPr="009D3726">
              <w:rPr>
                <w:rFonts w:eastAsia="Times New Roman" w:cs="Times New Roman"/>
                <w:color w:val="000000"/>
                <w:kern w:val="0"/>
                <w:szCs w:val="24"/>
                <w:lang w:eastAsia="en-IN"/>
                <w14:ligatures w14:val="none"/>
              </w:rPr>
              <w:t>4876410233</w:t>
            </w:r>
          </w:p>
        </w:tc>
        <w:tc>
          <w:tcPr>
            <w:tcW w:w="1653" w:type="dxa"/>
            <w:noWrap/>
            <w:vAlign w:val="center"/>
            <w:hideMark/>
          </w:tcPr>
          <w:p w14:paraId="03A44C80" w14:textId="77777777" w:rsidR="001B6EA8" w:rsidRPr="009D3726" w:rsidRDefault="001B6EA8" w:rsidP="00C6418A">
            <w:pPr>
              <w:spacing w:after="0" w:line="240" w:lineRule="auto"/>
              <w:jc w:val="center"/>
              <w:rPr>
                <w:rFonts w:eastAsia="Times New Roman" w:cs="Times New Roman"/>
                <w:color w:val="000000"/>
                <w:kern w:val="0"/>
                <w:szCs w:val="24"/>
                <w:lang w:eastAsia="en-IN"/>
                <w14:ligatures w14:val="none"/>
              </w:rPr>
            </w:pPr>
            <w:r w:rsidRPr="009D3726">
              <w:rPr>
                <w:rFonts w:eastAsia="Times New Roman" w:cs="Times New Roman"/>
                <w:color w:val="000000"/>
                <w:kern w:val="0"/>
                <w:szCs w:val="24"/>
                <w:lang w:eastAsia="en-IN"/>
                <w14:ligatures w14:val="none"/>
              </w:rPr>
              <w:t>6044453621</w:t>
            </w:r>
          </w:p>
        </w:tc>
        <w:tc>
          <w:tcPr>
            <w:tcW w:w="1787" w:type="dxa"/>
            <w:noWrap/>
            <w:vAlign w:val="center"/>
            <w:hideMark/>
          </w:tcPr>
          <w:p w14:paraId="51178FF5" w14:textId="77777777" w:rsidR="001B6EA8" w:rsidRPr="009D3726" w:rsidRDefault="001B6EA8" w:rsidP="00C6418A">
            <w:pPr>
              <w:spacing w:after="0" w:line="240" w:lineRule="auto"/>
              <w:jc w:val="center"/>
              <w:rPr>
                <w:rFonts w:eastAsia="Times New Roman" w:cs="Times New Roman"/>
                <w:color w:val="000000"/>
                <w:kern w:val="0"/>
                <w:szCs w:val="24"/>
                <w:lang w:eastAsia="en-IN"/>
                <w14:ligatures w14:val="none"/>
              </w:rPr>
            </w:pPr>
            <w:r w:rsidRPr="009D3726">
              <w:rPr>
                <w:rFonts w:eastAsia="Times New Roman" w:cs="Times New Roman"/>
                <w:color w:val="000000"/>
                <w:kern w:val="0"/>
                <w:szCs w:val="24"/>
                <w:lang w:eastAsia="en-IN"/>
                <w14:ligatures w14:val="none"/>
              </w:rPr>
              <w:t>29866901904</w:t>
            </w:r>
          </w:p>
        </w:tc>
      </w:tr>
      <w:tr w:rsidR="001B6EA8" w:rsidRPr="009D3726" w14:paraId="291D5E22" w14:textId="77777777" w:rsidTr="00E979FF">
        <w:trPr>
          <w:trHeight w:val="305"/>
        </w:trPr>
        <w:tc>
          <w:tcPr>
            <w:tcW w:w="730" w:type="dxa"/>
            <w:noWrap/>
            <w:vAlign w:val="center"/>
            <w:hideMark/>
          </w:tcPr>
          <w:p w14:paraId="1AD14DED" w14:textId="77777777" w:rsidR="001B6EA8" w:rsidRPr="009D3726" w:rsidRDefault="001B6EA8" w:rsidP="00C6418A">
            <w:pPr>
              <w:spacing w:after="0" w:line="240" w:lineRule="auto"/>
              <w:jc w:val="center"/>
              <w:rPr>
                <w:rFonts w:eastAsia="Times New Roman" w:cs="Times New Roman"/>
                <w:b/>
                <w:bCs/>
                <w:color w:val="000000"/>
                <w:kern w:val="0"/>
                <w:szCs w:val="24"/>
                <w:lang w:eastAsia="en-IN"/>
                <w14:ligatures w14:val="none"/>
              </w:rPr>
            </w:pPr>
            <w:r w:rsidRPr="009D3726">
              <w:rPr>
                <w:rFonts w:eastAsia="Times New Roman" w:cs="Times New Roman"/>
                <w:b/>
                <w:bCs/>
                <w:color w:val="000000"/>
                <w:kern w:val="0"/>
                <w:szCs w:val="24"/>
                <w:lang w:eastAsia="en-IN"/>
                <w14:ligatures w14:val="none"/>
              </w:rPr>
              <w:t>2023</w:t>
            </w:r>
          </w:p>
        </w:tc>
        <w:tc>
          <w:tcPr>
            <w:tcW w:w="1653" w:type="dxa"/>
            <w:noWrap/>
            <w:vAlign w:val="center"/>
            <w:hideMark/>
          </w:tcPr>
          <w:p w14:paraId="6AA73225" w14:textId="77777777" w:rsidR="001B6EA8" w:rsidRPr="009D3726" w:rsidRDefault="001B6EA8" w:rsidP="00C6418A">
            <w:pPr>
              <w:spacing w:after="0" w:line="240" w:lineRule="auto"/>
              <w:jc w:val="center"/>
              <w:rPr>
                <w:rFonts w:eastAsia="Times New Roman" w:cs="Times New Roman"/>
                <w:color w:val="000000"/>
                <w:kern w:val="0"/>
                <w:szCs w:val="24"/>
                <w:lang w:eastAsia="en-IN"/>
                <w14:ligatures w14:val="none"/>
              </w:rPr>
            </w:pPr>
            <w:r w:rsidRPr="009D3726">
              <w:rPr>
                <w:rFonts w:eastAsia="Times New Roman" w:cs="Times New Roman"/>
                <w:color w:val="000000"/>
                <w:kern w:val="0"/>
                <w:szCs w:val="24"/>
                <w:lang w:eastAsia="en-IN"/>
                <w14:ligatures w14:val="none"/>
              </w:rPr>
              <w:t>8136033121</w:t>
            </w:r>
          </w:p>
        </w:tc>
        <w:tc>
          <w:tcPr>
            <w:tcW w:w="1738" w:type="dxa"/>
            <w:noWrap/>
            <w:vAlign w:val="center"/>
            <w:hideMark/>
          </w:tcPr>
          <w:p w14:paraId="2B3BA65C" w14:textId="77777777" w:rsidR="001B6EA8" w:rsidRPr="009D3726" w:rsidRDefault="001B6EA8" w:rsidP="00C6418A">
            <w:pPr>
              <w:spacing w:after="0" w:line="240" w:lineRule="auto"/>
              <w:jc w:val="center"/>
              <w:rPr>
                <w:rFonts w:eastAsia="Times New Roman" w:cs="Times New Roman"/>
                <w:color w:val="000000"/>
                <w:kern w:val="0"/>
                <w:szCs w:val="24"/>
                <w:lang w:eastAsia="en-IN"/>
                <w14:ligatures w14:val="none"/>
              </w:rPr>
            </w:pPr>
            <w:r w:rsidRPr="009D3726">
              <w:rPr>
                <w:rFonts w:eastAsia="Times New Roman" w:cs="Times New Roman"/>
                <w:color w:val="000000"/>
                <w:kern w:val="0"/>
                <w:szCs w:val="24"/>
                <w:lang w:eastAsia="en-IN"/>
                <w14:ligatures w14:val="none"/>
              </w:rPr>
              <w:t>2366212878</w:t>
            </w:r>
          </w:p>
        </w:tc>
        <w:tc>
          <w:tcPr>
            <w:tcW w:w="1616" w:type="dxa"/>
            <w:noWrap/>
            <w:vAlign w:val="center"/>
            <w:hideMark/>
          </w:tcPr>
          <w:p w14:paraId="2A69E6FF" w14:textId="77777777" w:rsidR="001B6EA8" w:rsidRPr="009D3726" w:rsidRDefault="001B6EA8" w:rsidP="00C6418A">
            <w:pPr>
              <w:spacing w:after="0" w:line="240" w:lineRule="auto"/>
              <w:jc w:val="center"/>
              <w:rPr>
                <w:rFonts w:eastAsia="Times New Roman" w:cs="Times New Roman"/>
                <w:color w:val="000000"/>
                <w:kern w:val="0"/>
                <w:szCs w:val="24"/>
                <w:lang w:eastAsia="en-IN"/>
                <w14:ligatures w14:val="none"/>
              </w:rPr>
            </w:pPr>
            <w:r w:rsidRPr="009D3726">
              <w:rPr>
                <w:rFonts w:eastAsia="Times New Roman" w:cs="Times New Roman"/>
                <w:color w:val="000000"/>
                <w:kern w:val="0"/>
                <w:szCs w:val="24"/>
                <w:lang w:eastAsia="en-IN"/>
                <w14:ligatures w14:val="none"/>
              </w:rPr>
              <w:t>5242616374</w:t>
            </w:r>
          </w:p>
        </w:tc>
        <w:tc>
          <w:tcPr>
            <w:tcW w:w="1653" w:type="dxa"/>
            <w:noWrap/>
            <w:vAlign w:val="center"/>
            <w:hideMark/>
          </w:tcPr>
          <w:p w14:paraId="3BCF9ABB" w14:textId="77777777" w:rsidR="001B6EA8" w:rsidRPr="009D3726" w:rsidRDefault="001B6EA8" w:rsidP="00C6418A">
            <w:pPr>
              <w:spacing w:after="0" w:line="240" w:lineRule="auto"/>
              <w:jc w:val="center"/>
              <w:rPr>
                <w:rFonts w:eastAsia="Times New Roman" w:cs="Times New Roman"/>
                <w:color w:val="000000"/>
                <w:kern w:val="0"/>
                <w:szCs w:val="24"/>
                <w:lang w:eastAsia="en-IN"/>
                <w14:ligatures w14:val="none"/>
              </w:rPr>
            </w:pPr>
            <w:r w:rsidRPr="009D3726">
              <w:rPr>
                <w:rFonts w:eastAsia="Times New Roman" w:cs="Times New Roman"/>
                <w:color w:val="000000"/>
                <w:kern w:val="0"/>
                <w:szCs w:val="24"/>
                <w:lang w:eastAsia="en-IN"/>
                <w14:ligatures w14:val="none"/>
              </w:rPr>
              <w:t>7031481020</w:t>
            </w:r>
          </w:p>
        </w:tc>
        <w:tc>
          <w:tcPr>
            <w:tcW w:w="1787" w:type="dxa"/>
            <w:noWrap/>
            <w:vAlign w:val="center"/>
            <w:hideMark/>
          </w:tcPr>
          <w:p w14:paraId="266FC676" w14:textId="77777777" w:rsidR="001B6EA8" w:rsidRPr="009D3726" w:rsidRDefault="001B6EA8" w:rsidP="00C6418A">
            <w:pPr>
              <w:spacing w:after="0" w:line="240" w:lineRule="auto"/>
              <w:jc w:val="center"/>
              <w:rPr>
                <w:rFonts w:eastAsia="Times New Roman" w:cs="Times New Roman"/>
                <w:color w:val="000000"/>
                <w:kern w:val="0"/>
                <w:szCs w:val="24"/>
                <w:lang w:eastAsia="en-IN"/>
                <w14:ligatures w14:val="none"/>
              </w:rPr>
            </w:pPr>
            <w:r w:rsidRPr="009D3726">
              <w:rPr>
                <w:rFonts w:eastAsia="Times New Roman" w:cs="Times New Roman"/>
                <w:color w:val="000000"/>
                <w:kern w:val="0"/>
                <w:szCs w:val="24"/>
                <w:lang w:eastAsia="en-IN"/>
                <w14:ligatures w14:val="none"/>
              </w:rPr>
              <w:t>22776343393</w:t>
            </w:r>
          </w:p>
        </w:tc>
      </w:tr>
      <w:tr w:rsidR="001B6EA8" w:rsidRPr="009D3726" w14:paraId="7C67368C" w14:textId="77777777" w:rsidTr="00E979FF">
        <w:trPr>
          <w:trHeight w:val="305"/>
        </w:trPr>
        <w:tc>
          <w:tcPr>
            <w:tcW w:w="730" w:type="dxa"/>
            <w:noWrap/>
            <w:vAlign w:val="center"/>
            <w:hideMark/>
          </w:tcPr>
          <w:p w14:paraId="66B0F9D8" w14:textId="77777777" w:rsidR="001B6EA8" w:rsidRPr="009D3726" w:rsidRDefault="001B6EA8" w:rsidP="00C6418A">
            <w:pPr>
              <w:spacing w:after="0" w:line="240" w:lineRule="auto"/>
              <w:jc w:val="center"/>
              <w:rPr>
                <w:rFonts w:eastAsia="Times New Roman" w:cs="Times New Roman"/>
                <w:b/>
                <w:bCs/>
                <w:color w:val="000000"/>
                <w:kern w:val="0"/>
                <w:szCs w:val="24"/>
                <w:lang w:eastAsia="en-IN"/>
                <w14:ligatures w14:val="none"/>
              </w:rPr>
            </w:pPr>
            <w:r w:rsidRPr="009D3726">
              <w:rPr>
                <w:rFonts w:eastAsia="Times New Roman" w:cs="Times New Roman"/>
                <w:b/>
                <w:bCs/>
                <w:color w:val="000000"/>
                <w:kern w:val="0"/>
                <w:szCs w:val="24"/>
                <w:lang w:eastAsia="en-IN"/>
                <w14:ligatures w14:val="none"/>
              </w:rPr>
              <w:t>2024</w:t>
            </w:r>
          </w:p>
        </w:tc>
        <w:tc>
          <w:tcPr>
            <w:tcW w:w="1653" w:type="dxa"/>
            <w:noWrap/>
            <w:vAlign w:val="center"/>
            <w:hideMark/>
          </w:tcPr>
          <w:p w14:paraId="2E6DB5DA" w14:textId="77777777" w:rsidR="001B6EA8" w:rsidRPr="009D3726" w:rsidRDefault="001B6EA8" w:rsidP="00C6418A">
            <w:pPr>
              <w:spacing w:after="0" w:line="240" w:lineRule="auto"/>
              <w:jc w:val="center"/>
              <w:rPr>
                <w:rFonts w:eastAsia="Times New Roman" w:cs="Times New Roman"/>
                <w:color w:val="000000"/>
                <w:kern w:val="0"/>
                <w:szCs w:val="24"/>
                <w:lang w:eastAsia="en-IN"/>
                <w14:ligatures w14:val="none"/>
              </w:rPr>
            </w:pPr>
            <w:r w:rsidRPr="009D3726">
              <w:rPr>
                <w:rFonts w:eastAsia="Times New Roman" w:cs="Times New Roman"/>
                <w:color w:val="000000"/>
                <w:kern w:val="0"/>
                <w:szCs w:val="24"/>
                <w:lang w:eastAsia="en-IN"/>
                <w14:ligatures w14:val="none"/>
              </w:rPr>
              <w:t>16655596387</w:t>
            </w:r>
          </w:p>
        </w:tc>
        <w:tc>
          <w:tcPr>
            <w:tcW w:w="1738" w:type="dxa"/>
            <w:noWrap/>
            <w:vAlign w:val="center"/>
            <w:hideMark/>
          </w:tcPr>
          <w:p w14:paraId="41E632A1" w14:textId="77777777" w:rsidR="001B6EA8" w:rsidRPr="009D3726" w:rsidRDefault="001B6EA8" w:rsidP="00C6418A">
            <w:pPr>
              <w:spacing w:after="0" w:line="240" w:lineRule="auto"/>
              <w:jc w:val="center"/>
              <w:rPr>
                <w:rFonts w:eastAsia="Times New Roman" w:cs="Times New Roman"/>
                <w:color w:val="000000"/>
                <w:kern w:val="0"/>
                <w:szCs w:val="24"/>
                <w:lang w:eastAsia="en-IN"/>
                <w14:ligatures w14:val="none"/>
              </w:rPr>
            </w:pPr>
            <w:r w:rsidRPr="009D3726">
              <w:rPr>
                <w:rFonts w:eastAsia="Times New Roman" w:cs="Times New Roman"/>
                <w:color w:val="000000"/>
                <w:kern w:val="0"/>
                <w:szCs w:val="24"/>
                <w:lang w:eastAsia="en-IN"/>
                <w14:ligatures w14:val="none"/>
              </w:rPr>
              <w:t>4515460225</w:t>
            </w:r>
          </w:p>
        </w:tc>
        <w:tc>
          <w:tcPr>
            <w:tcW w:w="1616" w:type="dxa"/>
            <w:noWrap/>
            <w:vAlign w:val="center"/>
            <w:hideMark/>
          </w:tcPr>
          <w:p w14:paraId="37311A70" w14:textId="77777777" w:rsidR="001B6EA8" w:rsidRPr="009D3726" w:rsidRDefault="001B6EA8" w:rsidP="00C6418A">
            <w:pPr>
              <w:spacing w:after="0" w:line="240" w:lineRule="auto"/>
              <w:jc w:val="center"/>
              <w:rPr>
                <w:rFonts w:eastAsia="Times New Roman" w:cs="Times New Roman"/>
                <w:color w:val="000000"/>
                <w:kern w:val="0"/>
                <w:szCs w:val="24"/>
                <w:lang w:eastAsia="en-IN"/>
                <w14:ligatures w14:val="none"/>
              </w:rPr>
            </w:pPr>
            <w:r w:rsidRPr="009D3726">
              <w:rPr>
                <w:rFonts w:eastAsia="Times New Roman" w:cs="Times New Roman"/>
                <w:color w:val="000000"/>
                <w:kern w:val="0"/>
                <w:szCs w:val="24"/>
                <w:lang w:eastAsia="en-IN"/>
                <w14:ligatures w14:val="none"/>
              </w:rPr>
              <w:t>5327840668</w:t>
            </w:r>
          </w:p>
        </w:tc>
        <w:tc>
          <w:tcPr>
            <w:tcW w:w="1653" w:type="dxa"/>
            <w:noWrap/>
            <w:vAlign w:val="center"/>
            <w:hideMark/>
          </w:tcPr>
          <w:p w14:paraId="71D00D41" w14:textId="77777777" w:rsidR="001B6EA8" w:rsidRPr="009D3726" w:rsidRDefault="001B6EA8" w:rsidP="00C6418A">
            <w:pPr>
              <w:spacing w:after="0" w:line="240" w:lineRule="auto"/>
              <w:jc w:val="center"/>
              <w:rPr>
                <w:rFonts w:eastAsia="Times New Roman" w:cs="Times New Roman"/>
                <w:color w:val="000000"/>
                <w:kern w:val="0"/>
                <w:szCs w:val="24"/>
                <w:lang w:eastAsia="en-IN"/>
                <w14:ligatures w14:val="none"/>
              </w:rPr>
            </w:pPr>
            <w:r w:rsidRPr="009D3726">
              <w:rPr>
                <w:rFonts w:eastAsia="Times New Roman" w:cs="Times New Roman"/>
                <w:color w:val="000000"/>
                <w:kern w:val="0"/>
                <w:szCs w:val="24"/>
                <w:lang w:eastAsia="en-IN"/>
                <w14:ligatures w14:val="none"/>
              </w:rPr>
              <w:t>6985950940</w:t>
            </w:r>
          </w:p>
        </w:tc>
        <w:tc>
          <w:tcPr>
            <w:tcW w:w="1787" w:type="dxa"/>
            <w:noWrap/>
            <w:vAlign w:val="center"/>
            <w:hideMark/>
          </w:tcPr>
          <w:p w14:paraId="55997D42" w14:textId="77777777" w:rsidR="001B6EA8" w:rsidRPr="009D3726" w:rsidRDefault="001B6EA8" w:rsidP="00C6418A">
            <w:pPr>
              <w:spacing w:after="0" w:line="240" w:lineRule="auto"/>
              <w:jc w:val="center"/>
              <w:rPr>
                <w:rFonts w:eastAsia="Times New Roman" w:cs="Times New Roman"/>
                <w:color w:val="000000"/>
                <w:kern w:val="0"/>
                <w:szCs w:val="24"/>
                <w:lang w:eastAsia="en-IN"/>
                <w14:ligatures w14:val="none"/>
              </w:rPr>
            </w:pPr>
            <w:r w:rsidRPr="009D3726">
              <w:rPr>
                <w:rFonts w:eastAsia="Times New Roman" w:cs="Times New Roman"/>
                <w:color w:val="000000"/>
                <w:kern w:val="0"/>
                <w:szCs w:val="24"/>
                <w:lang w:eastAsia="en-IN"/>
                <w14:ligatures w14:val="none"/>
              </w:rPr>
              <w:t>33484848220</w:t>
            </w:r>
          </w:p>
        </w:tc>
      </w:tr>
      <w:tr w:rsidR="001B6EA8" w:rsidRPr="009D3726" w14:paraId="57BCB567" w14:textId="77777777" w:rsidTr="00E979FF">
        <w:trPr>
          <w:trHeight w:val="305"/>
        </w:trPr>
        <w:tc>
          <w:tcPr>
            <w:tcW w:w="730" w:type="dxa"/>
            <w:noWrap/>
            <w:vAlign w:val="center"/>
            <w:hideMark/>
          </w:tcPr>
          <w:p w14:paraId="1EA49671" w14:textId="77777777" w:rsidR="001B6EA8" w:rsidRPr="009D3726" w:rsidRDefault="001B6EA8" w:rsidP="00C6418A">
            <w:pPr>
              <w:spacing w:after="0" w:line="240" w:lineRule="auto"/>
              <w:jc w:val="center"/>
              <w:rPr>
                <w:rFonts w:eastAsia="Times New Roman" w:cs="Times New Roman"/>
                <w:b/>
                <w:bCs/>
                <w:color w:val="000000"/>
                <w:kern w:val="0"/>
                <w:szCs w:val="24"/>
                <w:lang w:eastAsia="en-IN"/>
                <w14:ligatures w14:val="none"/>
              </w:rPr>
            </w:pPr>
            <w:r w:rsidRPr="009D3726">
              <w:rPr>
                <w:rFonts w:eastAsia="Times New Roman" w:cs="Times New Roman"/>
                <w:b/>
                <w:bCs/>
                <w:color w:val="000000"/>
                <w:kern w:val="0"/>
                <w:szCs w:val="24"/>
                <w:lang w:eastAsia="en-IN"/>
                <w14:ligatures w14:val="none"/>
              </w:rPr>
              <w:t>2025</w:t>
            </w:r>
          </w:p>
        </w:tc>
        <w:tc>
          <w:tcPr>
            <w:tcW w:w="1653" w:type="dxa"/>
            <w:noWrap/>
            <w:vAlign w:val="center"/>
            <w:hideMark/>
          </w:tcPr>
          <w:p w14:paraId="2B2C3103" w14:textId="77777777" w:rsidR="001B6EA8" w:rsidRPr="009D3726" w:rsidRDefault="001B6EA8" w:rsidP="00C6418A">
            <w:pPr>
              <w:spacing w:after="0" w:line="240" w:lineRule="auto"/>
              <w:jc w:val="center"/>
              <w:rPr>
                <w:rFonts w:eastAsia="Times New Roman" w:cs="Times New Roman"/>
                <w:color w:val="000000"/>
                <w:kern w:val="0"/>
                <w:szCs w:val="24"/>
                <w:lang w:eastAsia="en-IN"/>
                <w14:ligatures w14:val="none"/>
              </w:rPr>
            </w:pPr>
            <w:r w:rsidRPr="009D3726">
              <w:rPr>
                <w:rFonts w:eastAsia="Times New Roman" w:cs="Times New Roman"/>
                <w:color w:val="000000"/>
                <w:kern w:val="0"/>
                <w:szCs w:val="24"/>
                <w:lang w:eastAsia="en-IN"/>
                <w14:ligatures w14:val="none"/>
              </w:rPr>
              <w:t>22272678461</w:t>
            </w:r>
          </w:p>
        </w:tc>
        <w:tc>
          <w:tcPr>
            <w:tcW w:w="1738" w:type="dxa"/>
            <w:noWrap/>
            <w:vAlign w:val="center"/>
            <w:hideMark/>
          </w:tcPr>
          <w:p w14:paraId="59611043" w14:textId="77777777" w:rsidR="001B6EA8" w:rsidRPr="009D3726" w:rsidRDefault="001B6EA8" w:rsidP="00C6418A">
            <w:pPr>
              <w:spacing w:after="0" w:line="240" w:lineRule="auto"/>
              <w:jc w:val="center"/>
              <w:rPr>
                <w:rFonts w:eastAsia="Times New Roman" w:cs="Times New Roman"/>
                <w:color w:val="000000"/>
                <w:kern w:val="0"/>
                <w:szCs w:val="24"/>
                <w:lang w:eastAsia="en-IN"/>
                <w14:ligatures w14:val="none"/>
              </w:rPr>
            </w:pPr>
            <w:r w:rsidRPr="009D3726">
              <w:rPr>
                <w:rFonts w:eastAsia="Times New Roman" w:cs="Times New Roman"/>
                <w:color w:val="000000"/>
                <w:kern w:val="0"/>
                <w:szCs w:val="24"/>
                <w:lang w:eastAsia="en-IN"/>
                <w14:ligatures w14:val="none"/>
              </w:rPr>
              <w:t>17680824072</w:t>
            </w:r>
          </w:p>
        </w:tc>
        <w:tc>
          <w:tcPr>
            <w:tcW w:w="1616" w:type="dxa"/>
            <w:noWrap/>
            <w:vAlign w:val="center"/>
            <w:hideMark/>
          </w:tcPr>
          <w:p w14:paraId="7BB9C1D0" w14:textId="77777777" w:rsidR="001B6EA8" w:rsidRPr="009D3726" w:rsidRDefault="001B6EA8" w:rsidP="00C6418A">
            <w:pPr>
              <w:spacing w:after="0" w:line="240" w:lineRule="auto"/>
              <w:jc w:val="center"/>
              <w:rPr>
                <w:rFonts w:eastAsia="Times New Roman" w:cs="Times New Roman"/>
                <w:color w:val="000000"/>
                <w:kern w:val="0"/>
                <w:szCs w:val="24"/>
                <w:lang w:eastAsia="en-IN"/>
                <w14:ligatures w14:val="none"/>
              </w:rPr>
            </w:pPr>
            <w:r w:rsidRPr="009D3726">
              <w:rPr>
                <w:rFonts w:eastAsia="Times New Roman" w:cs="Times New Roman"/>
                <w:color w:val="000000"/>
                <w:kern w:val="0"/>
                <w:szCs w:val="24"/>
                <w:lang w:eastAsia="en-IN"/>
                <w14:ligatures w14:val="none"/>
              </w:rPr>
              <w:t>9413090215</w:t>
            </w:r>
          </w:p>
        </w:tc>
        <w:tc>
          <w:tcPr>
            <w:tcW w:w="1653" w:type="dxa"/>
            <w:noWrap/>
            <w:vAlign w:val="center"/>
            <w:hideMark/>
          </w:tcPr>
          <w:p w14:paraId="204D42D9" w14:textId="77777777" w:rsidR="001B6EA8" w:rsidRPr="009D3726" w:rsidRDefault="001B6EA8" w:rsidP="00C6418A">
            <w:pPr>
              <w:spacing w:after="0" w:line="240" w:lineRule="auto"/>
              <w:jc w:val="center"/>
              <w:rPr>
                <w:rFonts w:eastAsia="Times New Roman" w:cs="Times New Roman"/>
                <w:color w:val="000000"/>
                <w:kern w:val="0"/>
                <w:szCs w:val="24"/>
                <w:lang w:eastAsia="en-IN"/>
                <w14:ligatures w14:val="none"/>
              </w:rPr>
            </w:pPr>
            <w:r w:rsidRPr="009D3726">
              <w:rPr>
                <w:rFonts w:eastAsia="Times New Roman" w:cs="Times New Roman"/>
                <w:color w:val="000000"/>
                <w:kern w:val="0"/>
                <w:szCs w:val="24"/>
                <w:lang w:eastAsia="en-IN"/>
                <w14:ligatures w14:val="none"/>
              </w:rPr>
              <w:t>5888178080</w:t>
            </w:r>
          </w:p>
        </w:tc>
        <w:tc>
          <w:tcPr>
            <w:tcW w:w="1787" w:type="dxa"/>
            <w:noWrap/>
            <w:vAlign w:val="center"/>
            <w:hideMark/>
          </w:tcPr>
          <w:p w14:paraId="4F0A4317" w14:textId="77777777" w:rsidR="001B6EA8" w:rsidRPr="009D3726" w:rsidRDefault="001B6EA8" w:rsidP="00C6418A">
            <w:pPr>
              <w:spacing w:after="0" w:line="240" w:lineRule="auto"/>
              <w:jc w:val="center"/>
              <w:rPr>
                <w:rFonts w:eastAsia="Times New Roman" w:cs="Times New Roman"/>
                <w:color w:val="000000"/>
                <w:kern w:val="0"/>
                <w:szCs w:val="24"/>
                <w:lang w:eastAsia="en-IN"/>
                <w14:ligatures w14:val="none"/>
              </w:rPr>
            </w:pPr>
            <w:r w:rsidRPr="009D3726">
              <w:rPr>
                <w:rFonts w:eastAsia="Times New Roman" w:cs="Times New Roman"/>
                <w:color w:val="000000"/>
                <w:kern w:val="0"/>
                <w:szCs w:val="24"/>
                <w:lang w:eastAsia="en-IN"/>
                <w14:ligatures w14:val="none"/>
              </w:rPr>
              <w:t>55254770828</w:t>
            </w:r>
          </w:p>
        </w:tc>
      </w:tr>
    </w:tbl>
    <w:p w14:paraId="6EA2BE59" w14:textId="54F3B799" w:rsidR="001B6EA8" w:rsidRPr="009D3726" w:rsidRDefault="000D06E2" w:rsidP="00C6418A">
      <w:pPr>
        <w:spacing w:line="240" w:lineRule="auto"/>
        <w:jc w:val="center"/>
        <w:rPr>
          <w:b/>
          <w:bCs/>
          <w:szCs w:val="24"/>
        </w:rPr>
      </w:pPr>
      <w:r w:rsidRPr="009D3726">
        <w:rPr>
          <w:b/>
          <w:bCs/>
          <w:szCs w:val="24"/>
        </w:rPr>
        <w:t>(Source: Data has been extracted from the Space Capital Database</w:t>
      </w:r>
      <w:r w:rsidR="00E74B6F" w:rsidRPr="009D3726">
        <w:rPr>
          <w:b/>
          <w:bCs/>
          <w:szCs w:val="24"/>
        </w:rPr>
        <w:t xml:space="preserve"> </w:t>
      </w:r>
      <w:r w:rsidR="00044833" w:rsidRPr="009D3726">
        <w:rPr>
          <w:b/>
          <w:bCs/>
          <w:szCs w:val="24"/>
        </w:rPr>
        <w:t xml:space="preserve">for the United States </w:t>
      </w:r>
      <w:r w:rsidR="00E74B6F" w:rsidRPr="009D3726">
        <w:rPr>
          <w:b/>
          <w:bCs/>
          <w:szCs w:val="24"/>
        </w:rPr>
        <w:t>on 8</w:t>
      </w:r>
      <w:r w:rsidR="00E74B6F" w:rsidRPr="009D3726">
        <w:rPr>
          <w:b/>
          <w:bCs/>
          <w:szCs w:val="24"/>
          <w:vertAlign w:val="superscript"/>
        </w:rPr>
        <w:t>th</w:t>
      </w:r>
      <w:r w:rsidR="00E74B6F" w:rsidRPr="009D3726">
        <w:rPr>
          <w:b/>
          <w:bCs/>
          <w:szCs w:val="24"/>
        </w:rPr>
        <w:t xml:space="preserve"> January 2026</w:t>
      </w:r>
      <w:r w:rsidRPr="009D3726">
        <w:rPr>
          <w:b/>
          <w:bCs/>
          <w:szCs w:val="24"/>
        </w:rPr>
        <w:t>)</w:t>
      </w:r>
    </w:p>
    <w:p w14:paraId="6F3B6978" w14:textId="5693150A" w:rsidR="00A85799" w:rsidRPr="009D3726" w:rsidRDefault="00925464" w:rsidP="00C6418A">
      <w:pPr>
        <w:spacing w:line="240" w:lineRule="auto"/>
        <w:rPr>
          <w:szCs w:val="24"/>
        </w:rPr>
      </w:pPr>
      <w:r w:rsidRPr="009D3726">
        <w:rPr>
          <w:szCs w:val="24"/>
        </w:rPr>
        <w:t xml:space="preserve">The analysis of this data </w:t>
      </w:r>
      <w:r w:rsidR="00A85799" w:rsidRPr="009D3726">
        <w:rPr>
          <w:szCs w:val="24"/>
        </w:rPr>
        <w:t>relies</w:t>
      </w:r>
      <w:r w:rsidRPr="009D3726">
        <w:rPr>
          <w:szCs w:val="24"/>
        </w:rPr>
        <w:t xml:space="preserve"> primarily on the </w:t>
      </w:r>
      <w:r w:rsidR="00A85799" w:rsidRPr="009D3726">
        <w:rPr>
          <w:szCs w:val="24"/>
        </w:rPr>
        <w:t>longitudinal</w:t>
      </w:r>
      <w:r w:rsidRPr="009D3726">
        <w:rPr>
          <w:szCs w:val="24"/>
        </w:rPr>
        <w:t xml:space="preserve"> descriptive statistics for </w:t>
      </w:r>
      <w:r w:rsidR="00A85799" w:rsidRPr="009D3726">
        <w:rPr>
          <w:szCs w:val="24"/>
        </w:rPr>
        <w:t xml:space="preserve">the </w:t>
      </w:r>
      <w:r w:rsidRPr="009D3726">
        <w:rPr>
          <w:szCs w:val="24"/>
        </w:rPr>
        <w:t xml:space="preserve">identification of investment patterns before and after the enactment of the USCSLCA, 2015. This study </w:t>
      </w:r>
      <w:r w:rsidR="00A85799" w:rsidRPr="009D3726">
        <w:rPr>
          <w:szCs w:val="24"/>
        </w:rPr>
        <w:t>aims</w:t>
      </w:r>
      <w:r w:rsidRPr="009D3726">
        <w:rPr>
          <w:szCs w:val="24"/>
        </w:rPr>
        <w:t xml:space="preserve"> to draw out inferences </w:t>
      </w:r>
      <w:r w:rsidR="00A85799" w:rsidRPr="009D3726">
        <w:rPr>
          <w:szCs w:val="24"/>
        </w:rPr>
        <w:t>that</w:t>
      </w:r>
      <w:r w:rsidRPr="009D3726">
        <w:rPr>
          <w:szCs w:val="24"/>
        </w:rPr>
        <w:t xml:space="preserve"> are economically reasoned</w:t>
      </w:r>
      <w:r w:rsidR="00A85799" w:rsidRPr="009D3726">
        <w:rPr>
          <w:szCs w:val="24"/>
        </w:rPr>
        <w:t xml:space="preserve"> with respect to the role of legal certainty in mobilization of capital. </w:t>
      </w:r>
    </w:p>
    <w:p w14:paraId="4B038B94" w14:textId="317FB256" w:rsidR="00A85799" w:rsidRPr="009D3726" w:rsidRDefault="00A85799" w:rsidP="00C6418A">
      <w:pPr>
        <w:pStyle w:val="ListParagraph"/>
        <w:numPr>
          <w:ilvl w:val="0"/>
          <w:numId w:val="2"/>
        </w:numPr>
        <w:spacing w:line="240" w:lineRule="auto"/>
        <w:rPr>
          <w:b/>
          <w:bCs/>
          <w:szCs w:val="24"/>
        </w:rPr>
      </w:pPr>
      <w:r w:rsidRPr="009D3726">
        <w:rPr>
          <w:b/>
          <w:bCs/>
          <w:i/>
          <w:iCs/>
          <w:szCs w:val="24"/>
        </w:rPr>
        <w:t xml:space="preserve">Developing the Economic Narrative </w:t>
      </w:r>
    </w:p>
    <w:p w14:paraId="6F1FC31E" w14:textId="1A0925FA" w:rsidR="00A85799" w:rsidRPr="009D3726" w:rsidRDefault="00A85799" w:rsidP="00C6418A">
      <w:pPr>
        <w:pStyle w:val="ListParagraph"/>
        <w:numPr>
          <w:ilvl w:val="0"/>
          <w:numId w:val="1"/>
        </w:numPr>
        <w:spacing w:line="240" w:lineRule="auto"/>
        <w:rPr>
          <w:szCs w:val="24"/>
        </w:rPr>
      </w:pPr>
      <w:r w:rsidRPr="009D3726">
        <w:rPr>
          <w:szCs w:val="24"/>
        </w:rPr>
        <w:t>Pre-2015 (2009-2014) – During this time, there was no statutory recognition of space resource rights. During this time</w:t>
      </w:r>
      <w:r w:rsidR="004C4D41" w:rsidRPr="009D3726">
        <w:rPr>
          <w:szCs w:val="24"/>
        </w:rPr>
        <w:t>,</w:t>
      </w:r>
      <w:r w:rsidRPr="009D3726">
        <w:rPr>
          <w:szCs w:val="24"/>
        </w:rPr>
        <w:t xml:space="preserve"> </w:t>
      </w:r>
      <w:r w:rsidR="004C4D41" w:rsidRPr="009D3726">
        <w:rPr>
          <w:szCs w:val="24"/>
        </w:rPr>
        <w:t xml:space="preserve">investment ranges from approximately $ 0.9 Billion to $19 Billion. </w:t>
      </w:r>
    </w:p>
    <w:p w14:paraId="14284C42" w14:textId="3777B1E0" w:rsidR="00A85799" w:rsidRPr="009D3726" w:rsidRDefault="00A85799" w:rsidP="00C6418A">
      <w:pPr>
        <w:pStyle w:val="ListParagraph"/>
        <w:numPr>
          <w:ilvl w:val="0"/>
          <w:numId w:val="1"/>
        </w:numPr>
        <w:spacing w:line="240" w:lineRule="auto"/>
        <w:rPr>
          <w:szCs w:val="24"/>
        </w:rPr>
      </w:pPr>
      <w:r w:rsidRPr="009D3726">
        <w:rPr>
          <w:szCs w:val="24"/>
        </w:rPr>
        <w:t xml:space="preserve">2015- In this year, the legislation was enacted by the U.S. Congress and signed by the President. </w:t>
      </w:r>
    </w:p>
    <w:p w14:paraId="30F2EEBB" w14:textId="78400368" w:rsidR="004C4D41" w:rsidRPr="009D3726" w:rsidRDefault="00A85799" w:rsidP="00C6418A">
      <w:pPr>
        <w:pStyle w:val="ListParagraph"/>
        <w:numPr>
          <w:ilvl w:val="0"/>
          <w:numId w:val="1"/>
        </w:numPr>
        <w:spacing w:line="240" w:lineRule="auto"/>
        <w:rPr>
          <w:szCs w:val="24"/>
        </w:rPr>
      </w:pPr>
      <w:r w:rsidRPr="009D3726">
        <w:rPr>
          <w:szCs w:val="24"/>
        </w:rPr>
        <w:t xml:space="preserve">Post-2015 (2016-2025)- Legal recognition of private entities having property rights over space resources. </w:t>
      </w:r>
      <w:r w:rsidR="004C4D41" w:rsidRPr="009D3726">
        <w:rPr>
          <w:szCs w:val="24"/>
        </w:rPr>
        <w:t xml:space="preserve">It has been observed that total investment has never fallen below $22.7 Billion. Investment also peaks in 2025 at $55.2 Billion, thus the floor of investment is shifting upwards permanently. </w:t>
      </w:r>
    </w:p>
    <w:p w14:paraId="1AFB5F01" w14:textId="254E4D4E" w:rsidR="004C4D41" w:rsidRPr="009D3726" w:rsidRDefault="004C4D41" w:rsidP="00C6418A">
      <w:pPr>
        <w:spacing w:line="240" w:lineRule="auto"/>
        <w:rPr>
          <w:szCs w:val="24"/>
        </w:rPr>
      </w:pPr>
      <w:r w:rsidRPr="009D3726">
        <w:rPr>
          <w:b/>
          <w:bCs/>
          <w:i/>
          <w:iCs/>
          <w:szCs w:val="24"/>
        </w:rPr>
        <w:lastRenderedPageBreak/>
        <w:t>Inference Drawn:</w:t>
      </w:r>
      <w:r w:rsidRPr="009D3726">
        <w:rPr>
          <w:szCs w:val="24"/>
        </w:rPr>
        <w:t xml:space="preserve"> </w:t>
      </w:r>
      <w:r w:rsidR="00F606F4" w:rsidRPr="009D3726">
        <w:rPr>
          <w:szCs w:val="24"/>
        </w:rPr>
        <w:t>the post-2015 period is showing a new investment baseline, which shows that there is a structural change rather than a cyclical change</w:t>
      </w:r>
    </w:p>
    <w:p w14:paraId="0D575279" w14:textId="5529802B" w:rsidR="00F606F4" w:rsidRPr="009D3726" w:rsidRDefault="00F606F4" w:rsidP="00C6418A">
      <w:pPr>
        <w:pStyle w:val="ListParagraph"/>
        <w:numPr>
          <w:ilvl w:val="0"/>
          <w:numId w:val="2"/>
        </w:numPr>
        <w:spacing w:line="240" w:lineRule="auto"/>
        <w:rPr>
          <w:b/>
          <w:bCs/>
          <w:i/>
          <w:iCs/>
          <w:szCs w:val="24"/>
        </w:rPr>
      </w:pPr>
      <w:r w:rsidRPr="009D3726">
        <w:rPr>
          <w:b/>
          <w:bCs/>
          <w:i/>
          <w:iCs/>
          <w:szCs w:val="24"/>
        </w:rPr>
        <w:t xml:space="preserve">Behaviour of Venture Capital </w:t>
      </w:r>
    </w:p>
    <w:p w14:paraId="14972682" w14:textId="0E9BBF0E" w:rsidR="00F606F4" w:rsidRPr="009D3726" w:rsidRDefault="00F606F4" w:rsidP="00C6418A">
      <w:pPr>
        <w:spacing w:line="240" w:lineRule="auto"/>
        <w:rPr>
          <w:szCs w:val="24"/>
        </w:rPr>
      </w:pPr>
      <w:r w:rsidRPr="009D3726">
        <w:rPr>
          <w:szCs w:val="24"/>
          <w:lang w:val="en-US"/>
        </w:rPr>
        <w:t>Venture Capital is the most legally sensitive capital</w:t>
      </w:r>
      <w:r w:rsidR="00054262" w:rsidRPr="009D3726">
        <w:rPr>
          <w:szCs w:val="24"/>
          <w:lang w:val="en-US"/>
        </w:rPr>
        <w:t xml:space="preserve"> as venture capitalists invest in good industries </w:t>
      </w:r>
      <w:r w:rsidR="00B21231" w:rsidRPr="009D3726">
        <w:rPr>
          <w:szCs w:val="24"/>
        </w:rPr>
        <w:t xml:space="preserve">(Zider, 1998; Cumming et al., 2010, pp. 70-72). </w:t>
      </w:r>
    </w:p>
    <w:tbl>
      <w:tblPr>
        <w:tblStyle w:val="TableGrid"/>
        <w:tblW w:w="0" w:type="auto"/>
        <w:jc w:val="center"/>
        <w:tblLook w:val="04A0" w:firstRow="1" w:lastRow="0" w:firstColumn="1" w:lastColumn="0" w:noHBand="0" w:noVBand="1"/>
      </w:tblPr>
      <w:tblGrid>
        <w:gridCol w:w="696"/>
        <w:gridCol w:w="3674"/>
      </w:tblGrid>
      <w:tr w:rsidR="004E6C8F" w:rsidRPr="009D3726" w14:paraId="2EA8CCD8" w14:textId="77777777" w:rsidTr="009D3726">
        <w:trPr>
          <w:trHeight w:val="299"/>
          <w:jc w:val="center"/>
        </w:trPr>
        <w:tc>
          <w:tcPr>
            <w:tcW w:w="682" w:type="dxa"/>
          </w:tcPr>
          <w:p w14:paraId="50B37CDC" w14:textId="7A75A740" w:rsidR="004E6C8F" w:rsidRPr="009D3726" w:rsidRDefault="004E6C8F" w:rsidP="00C6418A">
            <w:pPr>
              <w:rPr>
                <w:b/>
                <w:bCs/>
                <w:szCs w:val="24"/>
                <w:lang w:val="en-US"/>
              </w:rPr>
            </w:pPr>
            <w:r w:rsidRPr="009D3726">
              <w:rPr>
                <w:b/>
                <w:bCs/>
                <w:szCs w:val="24"/>
                <w:lang w:val="en-US"/>
              </w:rPr>
              <w:t>Year</w:t>
            </w:r>
          </w:p>
        </w:tc>
        <w:tc>
          <w:tcPr>
            <w:tcW w:w="3674" w:type="dxa"/>
          </w:tcPr>
          <w:p w14:paraId="10C9F42B" w14:textId="3B3B2A28" w:rsidR="004E6C8F" w:rsidRPr="009D3726" w:rsidRDefault="004E6C8F" w:rsidP="00C6418A">
            <w:pPr>
              <w:jc w:val="center"/>
              <w:rPr>
                <w:b/>
                <w:bCs/>
                <w:szCs w:val="24"/>
                <w:lang w:val="en-US"/>
              </w:rPr>
            </w:pPr>
            <w:r w:rsidRPr="009D3726">
              <w:rPr>
                <w:b/>
                <w:bCs/>
                <w:szCs w:val="24"/>
                <w:lang w:val="en-US"/>
              </w:rPr>
              <w:t>VC Investment (Approx.)</w:t>
            </w:r>
          </w:p>
        </w:tc>
      </w:tr>
      <w:tr w:rsidR="004E6C8F" w:rsidRPr="009D3726" w14:paraId="08956EFA" w14:textId="77777777" w:rsidTr="009D3726">
        <w:trPr>
          <w:trHeight w:val="299"/>
          <w:jc w:val="center"/>
        </w:trPr>
        <w:tc>
          <w:tcPr>
            <w:tcW w:w="682" w:type="dxa"/>
          </w:tcPr>
          <w:p w14:paraId="1D6A078B" w14:textId="05414234" w:rsidR="004E6C8F" w:rsidRPr="009D3726" w:rsidRDefault="004E6C8F" w:rsidP="00C6418A">
            <w:pPr>
              <w:jc w:val="center"/>
              <w:rPr>
                <w:b/>
                <w:bCs/>
                <w:szCs w:val="24"/>
                <w:lang w:val="en-US"/>
              </w:rPr>
            </w:pPr>
            <w:r w:rsidRPr="009D3726">
              <w:rPr>
                <w:b/>
                <w:bCs/>
                <w:szCs w:val="24"/>
                <w:lang w:val="en-US"/>
              </w:rPr>
              <w:t>2014</w:t>
            </w:r>
          </w:p>
        </w:tc>
        <w:tc>
          <w:tcPr>
            <w:tcW w:w="3674" w:type="dxa"/>
          </w:tcPr>
          <w:p w14:paraId="07B01154" w14:textId="18AC411F" w:rsidR="004E6C8F" w:rsidRPr="009D3726" w:rsidRDefault="004E6C8F" w:rsidP="00C6418A">
            <w:pPr>
              <w:jc w:val="center"/>
              <w:rPr>
                <w:szCs w:val="24"/>
                <w:lang w:val="en-US"/>
              </w:rPr>
            </w:pPr>
            <w:r w:rsidRPr="009D3726">
              <w:rPr>
                <w:szCs w:val="24"/>
                <w:lang w:val="en-US"/>
              </w:rPr>
              <w:t>$5.16Billion</w:t>
            </w:r>
          </w:p>
        </w:tc>
      </w:tr>
      <w:tr w:rsidR="004E6C8F" w:rsidRPr="009D3726" w14:paraId="608378DD" w14:textId="77777777" w:rsidTr="009D3726">
        <w:trPr>
          <w:trHeight w:val="299"/>
          <w:jc w:val="center"/>
        </w:trPr>
        <w:tc>
          <w:tcPr>
            <w:tcW w:w="682" w:type="dxa"/>
          </w:tcPr>
          <w:p w14:paraId="67CF2DC8" w14:textId="1F2DA36E" w:rsidR="004E6C8F" w:rsidRPr="009D3726" w:rsidRDefault="004E6C8F" w:rsidP="00C6418A">
            <w:pPr>
              <w:jc w:val="center"/>
              <w:rPr>
                <w:b/>
                <w:bCs/>
                <w:szCs w:val="24"/>
                <w:lang w:val="en-US"/>
              </w:rPr>
            </w:pPr>
            <w:r w:rsidRPr="009D3726">
              <w:rPr>
                <w:b/>
                <w:bCs/>
                <w:szCs w:val="24"/>
                <w:lang w:val="en-US"/>
              </w:rPr>
              <w:t>2015</w:t>
            </w:r>
          </w:p>
        </w:tc>
        <w:tc>
          <w:tcPr>
            <w:tcW w:w="3674" w:type="dxa"/>
          </w:tcPr>
          <w:p w14:paraId="121C3E01" w14:textId="574806FF" w:rsidR="004E6C8F" w:rsidRPr="009D3726" w:rsidRDefault="004E6C8F" w:rsidP="00C6418A">
            <w:pPr>
              <w:jc w:val="center"/>
              <w:rPr>
                <w:szCs w:val="24"/>
                <w:lang w:val="en-US"/>
              </w:rPr>
            </w:pPr>
            <w:r w:rsidRPr="009D3726">
              <w:rPr>
                <w:szCs w:val="24"/>
                <w:lang w:val="en-US"/>
              </w:rPr>
              <w:t>$11.33Billion</w:t>
            </w:r>
          </w:p>
        </w:tc>
      </w:tr>
      <w:tr w:rsidR="004E6C8F" w:rsidRPr="009D3726" w14:paraId="3B63B686" w14:textId="77777777" w:rsidTr="009D3726">
        <w:trPr>
          <w:trHeight w:val="285"/>
          <w:jc w:val="center"/>
        </w:trPr>
        <w:tc>
          <w:tcPr>
            <w:tcW w:w="682" w:type="dxa"/>
          </w:tcPr>
          <w:p w14:paraId="2EC0A195" w14:textId="2D91AAD0" w:rsidR="004E6C8F" w:rsidRPr="009D3726" w:rsidRDefault="004E6C8F" w:rsidP="00C6418A">
            <w:pPr>
              <w:jc w:val="center"/>
              <w:rPr>
                <w:b/>
                <w:bCs/>
                <w:szCs w:val="24"/>
                <w:lang w:val="en-US"/>
              </w:rPr>
            </w:pPr>
            <w:r w:rsidRPr="009D3726">
              <w:rPr>
                <w:b/>
                <w:bCs/>
                <w:szCs w:val="24"/>
                <w:lang w:val="en-US"/>
              </w:rPr>
              <w:t>2016</w:t>
            </w:r>
          </w:p>
        </w:tc>
        <w:tc>
          <w:tcPr>
            <w:tcW w:w="3674" w:type="dxa"/>
          </w:tcPr>
          <w:p w14:paraId="2F03AF2A" w14:textId="289426DC" w:rsidR="004E6C8F" w:rsidRPr="009D3726" w:rsidRDefault="004E6C8F" w:rsidP="00C6418A">
            <w:pPr>
              <w:jc w:val="center"/>
              <w:rPr>
                <w:szCs w:val="24"/>
                <w:lang w:val="en-US"/>
              </w:rPr>
            </w:pPr>
            <w:r w:rsidRPr="009D3726">
              <w:rPr>
                <w:szCs w:val="24"/>
                <w:lang w:val="en-US"/>
              </w:rPr>
              <w:t>$22.19Billion</w:t>
            </w:r>
          </w:p>
        </w:tc>
      </w:tr>
      <w:tr w:rsidR="004E6C8F" w:rsidRPr="009D3726" w14:paraId="0A4BC7D5" w14:textId="77777777" w:rsidTr="009D3726">
        <w:trPr>
          <w:trHeight w:val="299"/>
          <w:jc w:val="center"/>
        </w:trPr>
        <w:tc>
          <w:tcPr>
            <w:tcW w:w="682" w:type="dxa"/>
          </w:tcPr>
          <w:p w14:paraId="7B5E0B77" w14:textId="61927DD4" w:rsidR="004E6C8F" w:rsidRPr="009D3726" w:rsidRDefault="004E6C8F" w:rsidP="00C6418A">
            <w:pPr>
              <w:jc w:val="center"/>
              <w:rPr>
                <w:b/>
                <w:bCs/>
                <w:szCs w:val="24"/>
                <w:lang w:val="en-US"/>
              </w:rPr>
            </w:pPr>
            <w:r w:rsidRPr="009D3726">
              <w:rPr>
                <w:b/>
                <w:bCs/>
                <w:szCs w:val="24"/>
                <w:lang w:val="en-US"/>
              </w:rPr>
              <w:t>2018</w:t>
            </w:r>
          </w:p>
        </w:tc>
        <w:tc>
          <w:tcPr>
            <w:tcW w:w="3674" w:type="dxa"/>
          </w:tcPr>
          <w:p w14:paraId="61EADDCC" w14:textId="4FB8F4BA" w:rsidR="004E6C8F" w:rsidRPr="009D3726" w:rsidRDefault="004E6C8F" w:rsidP="00C6418A">
            <w:pPr>
              <w:jc w:val="center"/>
              <w:rPr>
                <w:szCs w:val="24"/>
                <w:lang w:val="en-US"/>
              </w:rPr>
            </w:pPr>
            <w:r w:rsidRPr="009D3726">
              <w:rPr>
                <w:szCs w:val="24"/>
                <w:lang w:val="en-US"/>
              </w:rPr>
              <w:t>$23.23Billion</w:t>
            </w:r>
          </w:p>
        </w:tc>
      </w:tr>
      <w:tr w:rsidR="004E6C8F" w:rsidRPr="009D3726" w14:paraId="766D8F71" w14:textId="77777777" w:rsidTr="009D3726">
        <w:trPr>
          <w:trHeight w:val="299"/>
          <w:jc w:val="center"/>
        </w:trPr>
        <w:tc>
          <w:tcPr>
            <w:tcW w:w="682" w:type="dxa"/>
          </w:tcPr>
          <w:p w14:paraId="183DFF5D" w14:textId="28D7CB15" w:rsidR="004E6C8F" w:rsidRPr="009D3726" w:rsidRDefault="004E6C8F" w:rsidP="00C6418A">
            <w:pPr>
              <w:jc w:val="center"/>
              <w:rPr>
                <w:b/>
                <w:bCs/>
                <w:szCs w:val="24"/>
                <w:lang w:val="en-US"/>
              </w:rPr>
            </w:pPr>
            <w:r w:rsidRPr="009D3726">
              <w:rPr>
                <w:b/>
                <w:bCs/>
                <w:szCs w:val="24"/>
                <w:lang w:val="en-US"/>
              </w:rPr>
              <w:t>2025</w:t>
            </w:r>
          </w:p>
        </w:tc>
        <w:tc>
          <w:tcPr>
            <w:tcW w:w="3674" w:type="dxa"/>
          </w:tcPr>
          <w:p w14:paraId="1D7A431E" w14:textId="7C921FBF" w:rsidR="004E6C8F" w:rsidRPr="009D3726" w:rsidRDefault="004E6C8F" w:rsidP="00C6418A">
            <w:pPr>
              <w:jc w:val="center"/>
              <w:rPr>
                <w:szCs w:val="24"/>
                <w:lang w:val="en-US"/>
              </w:rPr>
            </w:pPr>
            <w:r w:rsidRPr="009D3726">
              <w:rPr>
                <w:szCs w:val="24"/>
                <w:lang w:val="en-US"/>
              </w:rPr>
              <w:t>$22.27Billion</w:t>
            </w:r>
          </w:p>
        </w:tc>
      </w:tr>
    </w:tbl>
    <w:p w14:paraId="12E71FA5" w14:textId="5CAC305C" w:rsidR="004E6C8F" w:rsidRPr="009D3726" w:rsidRDefault="004E6C8F" w:rsidP="00C6418A">
      <w:pPr>
        <w:spacing w:line="240" w:lineRule="auto"/>
        <w:rPr>
          <w:szCs w:val="24"/>
          <w:lang w:val="en-US"/>
        </w:rPr>
      </w:pPr>
      <w:r w:rsidRPr="009D3726">
        <w:rPr>
          <w:szCs w:val="24"/>
          <w:lang w:val="en-US"/>
        </w:rPr>
        <w:t xml:space="preserve">It is observed that Venture Capital doubles immediately around the legislative period of 2015, and post-2015, the venture capital remains consistently high. </w:t>
      </w:r>
    </w:p>
    <w:p w14:paraId="106B4C00" w14:textId="77777777" w:rsidR="00E1203C" w:rsidRPr="009D3726" w:rsidRDefault="00E1203C" w:rsidP="00C6418A">
      <w:pPr>
        <w:spacing w:line="240" w:lineRule="auto"/>
        <w:rPr>
          <w:szCs w:val="24"/>
          <w:lang w:val="en-US"/>
        </w:rPr>
      </w:pPr>
      <w:r w:rsidRPr="009D3726">
        <w:rPr>
          <w:b/>
          <w:bCs/>
          <w:i/>
          <w:iCs/>
          <w:szCs w:val="24"/>
          <w:lang w:val="en-US"/>
        </w:rPr>
        <w:t xml:space="preserve">Inference Drawn: </w:t>
      </w:r>
      <w:r w:rsidRPr="009D3726">
        <w:rPr>
          <w:szCs w:val="24"/>
          <w:lang w:val="en-US"/>
        </w:rPr>
        <w:t xml:space="preserve">Expansion of Venture Capital is suggesting that investors are perceiving a reduction in legal uncertainty affecting the expected returns, which is consistent with the property-rights-based investment theories. </w:t>
      </w:r>
    </w:p>
    <w:p w14:paraId="5FCF35B9" w14:textId="36BB97CF" w:rsidR="0019421B" w:rsidRPr="009D3726" w:rsidRDefault="0019421B" w:rsidP="00C6418A">
      <w:pPr>
        <w:pStyle w:val="ListParagraph"/>
        <w:numPr>
          <w:ilvl w:val="0"/>
          <w:numId w:val="2"/>
        </w:numPr>
        <w:spacing w:line="240" w:lineRule="auto"/>
        <w:rPr>
          <w:b/>
          <w:bCs/>
          <w:i/>
          <w:iCs/>
          <w:szCs w:val="24"/>
          <w:lang w:val="en-US"/>
        </w:rPr>
      </w:pPr>
      <w:r w:rsidRPr="009D3726">
        <w:rPr>
          <w:b/>
          <w:bCs/>
          <w:i/>
          <w:iCs/>
          <w:szCs w:val="24"/>
          <w:lang w:val="en-US"/>
        </w:rPr>
        <w:t xml:space="preserve">Corporate Investment is Increasing </w:t>
      </w:r>
    </w:p>
    <w:p w14:paraId="0EAD1CD6" w14:textId="7F60359F" w:rsidR="0019421B" w:rsidRPr="009D3726" w:rsidRDefault="0019421B" w:rsidP="00C6418A">
      <w:pPr>
        <w:spacing w:line="240" w:lineRule="auto"/>
        <w:rPr>
          <w:szCs w:val="24"/>
          <w:lang w:val="en-US"/>
        </w:rPr>
      </w:pPr>
      <w:r w:rsidRPr="009D3726">
        <w:rPr>
          <w:szCs w:val="24"/>
          <w:lang w:val="en-US"/>
        </w:rPr>
        <w:t>Corporate capital is reflecting a long-term strategic confidence and not speculation</w:t>
      </w:r>
      <w:r w:rsidR="00E1203C" w:rsidRPr="009D3726">
        <w:rPr>
          <w:szCs w:val="24"/>
          <w:lang w:val="en-US"/>
        </w:rPr>
        <w:t>,</w:t>
      </w:r>
      <w:r w:rsidRPr="009D3726">
        <w:rPr>
          <w:szCs w:val="24"/>
          <w:lang w:val="en-US"/>
        </w:rPr>
        <w:t xml:space="preserve"> thus post-2015 corporate investment has grown from $4.06Billion to $17.68 in 2025</w:t>
      </w:r>
      <w:r w:rsidR="00E1203C" w:rsidRPr="009D3726">
        <w:rPr>
          <w:szCs w:val="24"/>
          <w:lang w:val="en-US"/>
        </w:rPr>
        <w:t xml:space="preserve">. This shows that there is an increased stability compared to the pre-2015 volatility. </w:t>
      </w:r>
    </w:p>
    <w:p w14:paraId="5733E759" w14:textId="3D1ECB46" w:rsidR="00E1203C" w:rsidRPr="009D3726" w:rsidRDefault="00E1203C" w:rsidP="00C6418A">
      <w:pPr>
        <w:spacing w:line="240" w:lineRule="auto"/>
        <w:rPr>
          <w:szCs w:val="24"/>
          <w:lang w:val="en-US"/>
        </w:rPr>
      </w:pPr>
      <w:r w:rsidRPr="009D3726">
        <w:rPr>
          <w:b/>
          <w:bCs/>
          <w:i/>
          <w:iCs/>
          <w:szCs w:val="24"/>
          <w:lang w:val="en-US"/>
        </w:rPr>
        <w:t>Inference Drawn</w:t>
      </w:r>
      <w:r w:rsidRPr="009D3726">
        <w:rPr>
          <w:i/>
          <w:iCs/>
          <w:szCs w:val="24"/>
          <w:lang w:val="en-US"/>
        </w:rPr>
        <w:t>:</w:t>
      </w:r>
      <w:r w:rsidRPr="009D3726">
        <w:rPr>
          <w:szCs w:val="24"/>
          <w:lang w:val="en-US"/>
        </w:rPr>
        <w:t xml:space="preserve"> The data is showing that corporations are committed towards the irreversible capital only after the legal framework has introduced certainty with respect to the commercial rights associated with space resource exploitation. </w:t>
      </w:r>
    </w:p>
    <w:p w14:paraId="245CC880" w14:textId="57EA767C" w:rsidR="005A71F4" w:rsidRPr="009D3726" w:rsidRDefault="005A71F4" w:rsidP="00C6418A">
      <w:pPr>
        <w:pStyle w:val="ListParagraph"/>
        <w:numPr>
          <w:ilvl w:val="0"/>
          <w:numId w:val="2"/>
        </w:numPr>
        <w:spacing w:line="240" w:lineRule="auto"/>
        <w:rPr>
          <w:b/>
          <w:bCs/>
          <w:i/>
          <w:iCs/>
          <w:szCs w:val="24"/>
          <w:lang w:val="en-US"/>
        </w:rPr>
      </w:pPr>
      <w:r w:rsidRPr="009D3726">
        <w:rPr>
          <w:b/>
          <w:bCs/>
          <w:i/>
          <w:iCs/>
          <w:szCs w:val="24"/>
          <w:lang w:val="en-US"/>
        </w:rPr>
        <w:t>Diversification of Capital Sources</w:t>
      </w:r>
    </w:p>
    <w:p w14:paraId="35F44527" w14:textId="77777777" w:rsidR="00A83F60" w:rsidRPr="009D3726" w:rsidRDefault="00A83F60" w:rsidP="00C6418A">
      <w:pPr>
        <w:spacing w:line="240" w:lineRule="auto"/>
        <w:rPr>
          <w:szCs w:val="24"/>
          <w:lang w:val="en-US"/>
        </w:rPr>
      </w:pPr>
      <w:r w:rsidRPr="009D3726">
        <w:rPr>
          <w:szCs w:val="24"/>
          <w:lang w:val="en-US"/>
        </w:rPr>
        <w:t>Pre-2015, there was a heavy dependence on a narrow set of funding channels and then post-2015, there was growth in angel investment and “other” institutional and strategic capital. Thus, legal certainty appears to have facilitated the capital market to deepen, thus supporting transaction cost economics.</w:t>
      </w:r>
    </w:p>
    <w:p w14:paraId="3B34AC3E" w14:textId="115BF654" w:rsidR="005A71F4" w:rsidRPr="009D3726" w:rsidRDefault="00A83F60" w:rsidP="00C6418A">
      <w:pPr>
        <w:pStyle w:val="ListParagraph"/>
        <w:numPr>
          <w:ilvl w:val="0"/>
          <w:numId w:val="2"/>
        </w:numPr>
        <w:spacing w:line="240" w:lineRule="auto"/>
        <w:rPr>
          <w:b/>
          <w:bCs/>
          <w:szCs w:val="24"/>
          <w:lang w:val="en-US"/>
        </w:rPr>
      </w:pPr>
      <w:r w:rsidRPr="009D3726">
        <w:rPr>
          <w:b/>
          <w:bCs/>
          <w:szCs w:val="24"/>
          <w:lang w:val="en-US"/>
        </w:rPr>
        <w:t>Overall Interpretation and Inference</w:t>
      </w:r>
      <w:r w:rsidR="00E86AEC" w:rsidRPr="009D3726">
        <w:rPr>
          <w:b/>
          <w:bCs/>
          <w:szCs w:val="24"/>
          <w:lang w:val="en-US"/>
        </w:rPr>
        <w:t xml:space="preserve"> drawn by the Researcher’s own observation and conceptualization</w:t>
      </w:r>
      <w:r w:rsidRPr="009D3726">
        <w:rPr>
          <w:b/>
          <w:bCs/>
          <w:szCs w:val="24"/>
          <w:lang w:val="en-US"/>
        </w:rPr>
        <w:t xml:space="preserve"> </w:t>
      </w:r>
    </w:p>
    <w:p w14:paraId="61AD6E1E" w14:textId="0F56B0C8" w:rsidR="00A83F60" w:rsidRPr="009D3726" w:rsidRDefault="00A83F60" w:rsidP="00C6418A">
      <w:pPr>
        <w:spacing w:line="240" w:lineRule="auto"/>
        <w:rPr>
          <w:szCs w:val="24"/>
          <w:lang w:val="en-US"/>
        </w:rPr>
      </w:pPr>
      <w:r w:rsidRPr="009D3726">
        <w:rPr>
          <w:szCs w:val="24"/>
          <w:lang w:val="en-US"/>
        </w:rPr>
        <w:t xml:space="preserve">Investment in the US Space Sector was growing </w:t>
      </w:r>
      <w:r w:rsidR="00E86AEC" w:rsidRPr="009D3726">
        <w:rPr>
          <w:szCs w:val="24"/>
          <w:lang w:val="en-US"/>
        </w:rPr>
        <w:t>before</w:t>
      </w:r>
      <w:r w:rsidRPr="009D3726">
        <w:rPr>
          <w:szCs w:val="24"/>
          <w:lang w:val="en-US"/>
        </w:rPr>
        <w:t xml:space="preserve"> 2015</w:t>
      </w:r>
      <w:r w:rsidR="00E86AEC" w:rsidRPr="009D3726">
        <w:rPr>
          <w:szCs w:val="24"/>
          <w:lang w:val="en-US"/>
        </w:rPr>
        <w:t>,</w:t>
      </w:r>
      <w:r w:rsidRPr="009D3726">
        <w:rPr>
          <w:szCs w:val="24"/>
          <w:lang w:val="en-US"/>
        </w:rPr>
        <w:t xml:space="preserve"> and </w:t>
      </w:r>
      <w:r w:rsidR="00E86AEC" w:rsidRPr="009D3726">
        <w:rPr>
          <w:szCs w:val="24"/>
          <w:lang w:val="en-US"/>
        </w:rPr>
        <w:t xml:space="preserve">the </w:t>
      </w:r>
      <w:r w:rsidRPr="009D3726">
        <w:rPr>
          <w:szCs w:val="24"/>
          <w:lang w:val="en-US"/>
        </w:rPr>
        <w:t xml:space="preserve">post-2015 period shows that there has been a </w:t>
      </w:r>
      <w:r w:rsidR="00E86AEC" w:rsidRPr="009D3726">
        <w:rPr>
          <w:szCs w:val="24"/>
          <w:lang w:val="en-US"/>
        </w:rPr>
        <w:t>shift</w:t>
      </w:r>
      <w:r w:rsidRPr="009D3726">
        <w:rPr>
          <w:szCs w:val="24"/>
          <w:lang w:val="en-US"/>
        </w:rPr>
        <w:t xml:space="preserve"> </w:t>
      </w:r>
      <w:r w:rsidR="00E86AEC" w:rsidRPr="009D3726">
        <w:rPr>
          <w:szCs w:val="24"/>
          <w:lang w:val="en-US"/>
        </w:rPr>
        <w:t>to</w:t>
      </w:r>
      <w:r w:rsidRPr="009D3726">
        <w:rPr>
          <w:szCs w:val="24"/>
          <w:lang w:val="en-US"/>
        </w:rPr>
        <w:t xml:space="preserve"> </w:t>
      </w:r>
      <w:r w:rsidR="00E86AEC" w:rsidRPr="009D3726">
        <w:rPr>
          <w:szCs w:val="24"/>
          <w:lang w:val="en-US"/>
        </w:rPr>
        <w:t>higher</w:t>
      </w:r>
      <w:r w:rsidRPr="009D3726">
        <w:rPr>
          <w:szCs w:val="24"/>
          <w:lang w:val="en-US"/>
        </w:rPr>
        <w:t xml:space="preserve"> investment</w:t>
      </w:r>
      <w:r w:rsidR="00E86AEC" w:rsidRPr="009D3726">
        <w:rPr>
          <w:szCs w:val="24"/>
          <w:lang w:val="en-US"/>
        </w:rPr>
        <w:t xml:space="preserve">, sustained venture capital participation and increased corporate involvement. Pre-2015, there was a contest between the legality of extracting space resources and post-2015, the statute recognizes and removes ambiguity, therefore boosting investor confidence as they do not fear legal invalidation of returns. By clarifying that entitlement is associated with extracted resources, the legislation has improved the risk-adjusted return of space ventures by making them comparable with terrestrial space industries. Space infrastructure is capital-intensive, irreversible and is a long-term investment; therefore, seeing that post-2015 there was heavy investment, this shows legal durability rather than short-term speculation. The relevance of </w:t>
      </w:r>
      <w:r w:rsidR="00180CFF" w:rsidRPr="009D3726">
        <w:rPr>
          <w:szCs w:val="24"/>
          <w:lang w:val="en-US"/>
        </w:rPr>
        <w:t xml:space="preserve">the </w:t>
      </w:r>
      <w:r w:rsidR="00E86AEC" w:rsidRPr="009D3726">
        <w:rPr>
          <w:szCs w:val="24"/>
          <w:lang w:val="en-US"/>
        </w:rPr>
        <w:t xml:space="preserve">2015 </w:t>
      </w:r>
      <w:r w:rsidR="00180CFF" w:rsidRPr="009D3726">
        <w:rPr>
          <w:szCs w:val="24"/>
          <w:lang w:val="en-US"/>
        </w:rPr>
        <w:t>legislation</w:t>
      </w:r>
      <w:r w:rsidR="00E86AEC" w:rsidRPr="009D3726">
        <w:rPr>
          <w:szCs w:val="24"/>
          <w:lang w:val="en-US"/>
        </w:rPr>
        <w:t xml:space="preserve"> is that it does not initiate growth</w:t>
      </w:r>
      <w:r w:rsidR="00180CFF" w:rsidRPr="009D3726">
        <w:rPr>
          <w:szCs w:val="24"/>
          <w:lang w:val="en-US"/>
        </w:rPr>
        <w:t>,</w:t>
      </w:r>
      <w:r w:rsidR="00E86AEC" w:rsidRPr="009D3726">
        <w:rPr>
          <w:szCs w:val="24"/>
          <w:lang w:val="en-US"/>
        </w:rPr>
        <w:t xml:space="preserve"> but instead transforms the episodic and </w:t>
      </w:r>
      <w:r w:rsidR="00180CFF" w:rsidRPr="009D3726">
        <w:rPr>
          <w:szCs w:val="24"/>
          <w:lang w:val="en-US"/>
        </w:rPr>
        <w:t>volatile</w:t>
      </w:r>
      <w:r w:rsidR="00E86AEC" w:rsidRPr="009D3726">
        <w:rPr>
          <w:szCs w:val="24"/>
          <w:lang w:val="en-US"/>
        </w:rPr>
        <w:t xml:space="preserve"> investment into a structurally higher investment regime</w:t>
      </w:r>
      <w:r w:rsidR="00180CFF" w:rsidRPr="009D3726">
        <w:rPr>
          <w:szCs w:val="24"/>
          <w:lang w:val="en-US"/>
        </w:rPr>
        <w:t>. Although</w:t>
      </w:r>
      <w:r w:rsidR="00E86AEC" w:rsidRPr="009D3726">
        <w:rPr>
          <w:szCs w:val="24"/>
          <w:lang w:val="en-US"/>
        </w:rPr>
        <w:t xml:space="preserve"> technology is important</w:t>
      </w:r>
      <w:r w:rsidR="00180CFF" w:rsidRPr="009D3726">
        <w:rPr>
          <w:szCs w:val="24"/>
          <w:lang w:val="en-US"/>
        </w:rPr>
        <w:t xml:space="preserve">, the concentration and persistence of capital inflows following a statutory recognition of space resource rights show that legal </w:t>
      </w:r>
      <w:r w:rsidR="00180CFF" w:rsidRPr="009D3726">
        <w:rPr>
          <w:szCs w:val="24"/>
          <w:lang w:val="en-US"/>
        </w:rPr>
        <w:lastRenderedPageBreak/>
        <w:t xml:space="preserve">certainty has functioned as a catalyst and not as an exclusive factor. </w:t>
      </w:r>
      <w:r w:rsidR="0041382C" w:rsidRPr="009D3726">
        <w:rPr>
          <w:szCs w:val="24"/>
          <w:lang w:val="en-US"/>
        </w:rPr>
        <w:t xml:space="preserve">Investment capital is jurisdiction-sensitive; therefore, India’s legal silence is creating a comparative disadvantage, hence legislation is an economic necessity and not a policy choice. </w:t>
      </w:r>
    </w:p>
    <w:p w14:paraId="66110342" w14:textId="40A23AD0" w:rsidR="0099339E" w:rsidRPr="009D3726" w:rsidRDefault="0099339E" w:rsidP="00C6418A">
      <w:pPr>
        <w:spacing w:line="240" w:lineRule="auto"/>
        <w:rPr>
          <w:b/>
          <w:bCs/>
          <w:szCs w:val="24"/>
          <w:lang w:val="en-US"/>
        </w:rPr>
      </w:pPr>
      <w:r w:rsidRPr="009D3726">
        <w:rPr>
          <w:b/>
          <w:bCs/>
          <w:szCs w:val="24"/>
          <w:lang w:val="en-US"/>
        </w:rPr>
        <w:t>Comparative Descriptive Evidence: Investment Stability in the Presence (U</w:t>
      </w:r>
      <w:r w:rsidR="00044833" w:rsidRPr="009D3726">
        <w:rPr>
          <w:b/>
          <w:bCs/>
          <w:szCs w:val="24"/>
          <w:lang w:val="en-US"/>
        </w:rPr>
        <w:t>nited States</w:t>
      </w:r>
      <w:r w:rsidRPr="009D3726">
        <w:rPr>
          <w:b/>
          <w:bCs/>
          <w:szCs w:val="24"/>
          <w:lang w:val="en-US"/>
        </w:rPr>
        <w:t>) and Absence of Space Resource Legislation with Respect to India</w:t>
      </w:r>
    </w:p>
    <w:tbl>
      <w:tblPr>
        <w:tblW w:w="9811"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1"/>
        <w:gridCol w:w="1528"/>
        <w:gridCol w:w="1999"/>
        <w:gridCol w:w="1845"/>
        <w:gridCol w:w="1732"/>
        <w:gridCol w:w="1936"/>
      </w:tblGrid>
      <w:tr w:rsidR="0099339E" w:rsidRPr="009D3726" w14:paraId="5B60D623" w14:textId="77777777" w:rsidTr="0099339E">
        <w:trPr>
          <w:trHeight w:val="299"/>
        </w:trPr>
        <w:tc>
          <w:tcPr>
            <w:tcW w:w="771" w:type="dxa"/>
          </w:tcPr>
          <w:p w14:paraId="28B117CA" w14:textId="77777777" w:rsidR="0099339E" w:rsidRPr="009D3726" w:rsidRDefault="0099339E" w:rsidP="00C6418A">
            <w:pPr>
              <w:autoSpaceDE w:val="0"/>
              <w:autoSpaceDN w:val="0"/>
              <w:adjustRightInd w:val="0"/>
              <w:spacing w:after="0" w:line="240" w:lineRule="auto"/>
              <w:jc w:val="center"/>
              <w:rPr>
                <w:rFonts w:cs="Times New Roman"/>
                <w:b/>
                <w:bCs/>
                <w:color w:val="000000"/>
                <w:kern w:val="0"/>
                <w:szCs w:val="24"/>
              </w:rPr>
            </w:pPr>
            <w:r w:rsidRPr="009D3726">
              <w:rPr>
                <w:rFonts w:cs="Times New Roman"/>
                <w:b/>
                <w:bCs/>
                <w:color w:val="000000"/>
                <w:kern w:val="0"/>
                <w:szCs w:val="24"/>
              </w:rPr>
              <w:t>FY</w:t>
            </w:r>
          </w:p>
        </w:tc>
        <w:tc>
          <w:tcPr>
            <w:tcW w:w="1528" w:type="dxa"/>
          </w:tcPr>
          <w:p w14:paraId="2CEA585B" w14:textId="77777777" w:rsidR="0099339E" w:rsidRPr="009D3726" w:rsidRDefault="0099339E" w:rsidP="00C6418A">
            <w:pPr>
              <w:autoSpaceDE w:val="0"/>
              <w:autoSpaceDN w:val="0"/>
              <w:adjustRightInd w:val="0"/>
              <w:spacing w:after="0" w:line="240" w:lineRule="auto"/>
              <w:jc w:val="center"/>
              <w:rPr>
                <w:rFonts w:cs="Times New Roman"/>
                <w:b/>
                <w:bCs/>
                <w:color w:val="000000"/>
                <w:kern w:val="0"/>
                <w:szCs w:val="24"/>
              </w:rPr>
            </w:pPr>
            <w:r w:rsidRPr="009D3726">
              <w:rPr>
                <w:rFonts w:cs="Times New Roman"/>
                <w:b/>
                <w:bCs/>
                <w:color w:val="000000"/>
                <w:kern w:val="0"/>
                <w:szCs w:val="24"/>
              </w:rPr>
              <w:t>Venture Capital ($)</w:t>
            </w:r>
          </w:p>
        </w:tc>
        <w:tc>
          <w:tcPr>
            <w:tcW w:w="1999" w:type="dxa"/>
          </w:tcPr>
          <w:p w14:paraId="354C68D6" w14:textId="77777777" w:rsidR="0099339E" w:rsidRPr="009D3726" w:rsidRDefault="0099339E" w:rsidP="00C6418A">
            <w:pPr>
              <w:autoSpaceDE w:val="0"/>
              <w:autoSpaceDN w:val="0"/>
              <w:adjustRightInd w:val="0"/>
              <w:spacing w:after="0" w:line="240" w:lineRule="auto"/>
              <w:jc w:val="center"/>
              <w:rPr>
                <w:rFonts w:cs="Times New Roman"/>
                <w:b/>
                <w:bCs/>
                <w:color w:val="000000"/>
                <w:kern w:val="0"/>
                <w:szCs w:val="24"/>
              </w:rPr>
            </w:pPr>
            <w:r w:rsidRPr="009D3726">
              <w:rPr>
                <w:rFonts w:cs="Times New Roman"/>
                <w:b/>
                <w:bCs/>
                <w:color w:val="000000"/>
                <w:kern w:val="0"/>
                <w:szCs w:val="24"/>
              </w:rPr>
              <w:t>Corporate ($)</w:t>
            </w:r>
          </w:p>
        </w:tc>
        <w:tc>
          <w:tcPr>
            <w:tcW w:w="1845" w:type="dxa"/>
          </w:tcPr>
          <w:p w14:paraId="4F5EA20C" w14:textId="77777777" w:rsidR="0099339E" w:rsidRPr="009D3726" w:rsidRDefault="0099339E" w:rsidP="00C6418A">
            <w:pPr>
              <w:autoSpaceDE w:val="0"/>
              <w:autoSpaceDN w:val="0"/>
              <w:adjustRightInd w:val="0"/>
              <w:spacing w:after="0" w:line="240" w:lineRule="auto"/>
              <w:jc w:val="center"/>
              <w:rPr>
                <w:rFonts w:cs="Times New Roman"/>
                <w:b/>
                <w:bCs/>
                <w:color w:val="000000"/>
                <w:kern w:val="0"/>
                <w:szCs w:val="24"/>
              </w:rPr>
            </w:pPr>
            <w:r w:rsidRPr="009D3726">
              <w:rPr>
                <w:rFonts w:cs="Times New Roman"/>
                <w:b/>
                <w:bCs/>
                <w:color w:val="000000"/>
                <w:kern w:val="0"/>
                <w:szCs w:val="24"/>
              </w:rPr>
              <w:t>Angel Individual ($)</w:t>
            </w:r>
          </w:p>
        </w:tc>
        <w:tc>
          <w:tcPr>
            <w:tcW w:w="1732" w:type="dxa"/>
          </w:tcPr>
          <w:p w14:paraId="7C7B8B0F" w14:textId="77777777" w:rsidR="0099339E" w:rsidRPr="009D3726" w:rsidRDefault="0099339E" w:rsidP="00C6418A">
            <w:pPr>
              <w:autoSpaceDE w:val="0"/>
              <w:autoSpaceDN w:val="0"/>
              <w:adjustRightInd w:val="0"/>
              <w:spacing w:after="0" w:line="240" w:lineRule="auto"/>
              <w:jc w:val="center"/>
              <w:rPr>
                <w:rFonts w:cs="Times New Roman"/>
                <w:b/>
                <w:bCs/>
                <w:color w:val="000000"/>
                <w:kern w:val="0"/>
                <w:szCs w:val="24"/>
              </w:rPr>
            </w:pPr>
            <w:r w:rsidRPr="009D3726">
              <w:rPr>
                <w:rFonts w:cs="Times New Roman"/>
                <w:b/>
                <w:bCs/>
                <w:color w:val="000000"/>
                <w:kern w:val="0"/>
                <w:szCs w:val="24"/>
              </w:rPr>
              <w:t>Other ($)</w:t>
            </w:r>
          </w:p>
        </w:tc>
        <w:tc>
          <w:tcPr>
            <w:tcW w:w="1936" w:type="dxa"/>
          </w:tcPr>
          <w:p w14:paraId="2A92C373" w14:textId="77777777" w:rsidR="0099339E" w:rsidRPr="009D3726" w:rsidRDefault="0099339E" w:rsidP="00C6418A">
            <w:pPr>
              <w:autoSpaceDE w:val="0"/>
              <w:autoSpaceDN w:val="0"/>
              <w:adjustRightInd w:val="0"/>
              <w:spacing w:after="0" w:line="240" w:lineRule="auto"/>
              <w:jc w:val="center"/>
              <w:rPr>
                <w:rFonts w:cs="Times New Roman"/>
                <w:b/>
                <w:bCs/>
                <w:color w:val="000000"/>
                <w:kern w:val="0"/>
                <w:szCs w:val="24"/>
              </w:rPr>
            </w:pPr>
            <w:r w:rsidRPr="009D3726">
              <w:rPr>
                <w:rFonts w:cs="Times New Roman"/>
                <w:b/>
                <w:bCs/>
                <w:color w:val="000000"/>
                <w:kern w:val="0"/>
                <w:szCs w:val="24"/>
              </w:rPr>
              <w:t>Total Investment ($)</w:t>
            </w:r>
          </w:p>
        </w:tc>
      </w:tr>
      <w:tr w:rsidR="0099339E" w:rsidRPr="009D3726" w14:paraId="6889B36F" w14:textId="77777777" w:rsidTr="0099339E">
        <w:trPr>
          <w:trHeight w:val="306"/>
        </w:trPr>
        <w:tc>
          <w:tcPr>
            <w:tcW w:w="771" w:type="dxa"/>
          </w:tcPr>
          <w:p w14:paraId="2D03E1DF" w14:textId="77777777" w:rsidR="0099339E" w:rsidRPr="009D3726" w:rsidRDefault="0099339E" w:rsidP="00C6418A">
            <w:pPr>
              <w:autoSpaceDE w:val="0"/>
              <w:autoSpaceDN w:val="0"/>
              <w:adjustRightInd w:val="0"/>
              <w:spacing w:after="0" w:line="240" w:lineRule="auto"/>
              <w:jc w:val="center"/>
              <w:rPr>
                <w:rFonts w:cs="Times New Roman"/>
                <w:b/>
                <w:bCs/>
                <w:color w:val="000000"/>
                <w:kern w:val="0"/>
                <w:szCs w:val="24"/>
              </w:rPr>
            </w:pPr>
            <w:r w:rsidRPr="009D3726">
              <w:rPr>
                <w:rFonts w:cs="Times New Roman"/>
                <w:b/>
                <w:bCs/>
                <w:color w:val="000000"/>
                <w:kern w:val="0"/>
                <w:szCs w:val="24"/>
              </w:rPr>
              <w:t>2009</w:t>
            </w:r>
          </w:p>
        </w:tc>
        <w:tc>
          <w:tcPr>
            <w:tcW w:w="1528" w:type="dxa"/>
          </w:tcPr>
          <w:p w14:paraId="08FCE3BC" w14:textId="77777777" w:rsidR="0099339E" w:rsidRPr="009D3726" w:rsidRDefault="0099339E" w:rsidP="00C6418A">
            <w:pPr>
              <w:autoSpaceDE w:val="0"/>
              <w:autoSpaceDN w:val="0"/>
              <w:adjustRightInd w:val="0"/>
              <w:spacing w:after="0" w:line="240" w:lineRule="auto"/>
              <w:jc w:val="center"/>
              <w:rPr>
                <w:rFonts w:cs="Times New Roman"/>
                <w:color w:val="000000"/>
                <w:kern w:val="0"/>
                <w:szCs w:val="24"/>
              </w:rPr>
            </w:pPr>
            <w:r w:rsidRPr="009D3726">
              <w:rPr>
                <w:rFonts w:cs="Times New Roman"/>
                <w:color w:val="000000"/>
                <w:kern w:val="0"/>
                <w:szCs w:val="24"/>
              </w:rPr>
              <w:t>9000000</w:t>
            </w:r>
          </w:p>
        </w:tc>
        <w:tc>
          <w:tcPr>
            <w:tcW w:w="1999" w:type="dxa"/>
          </w:tcPr>
          <w:p w14:paraId="68B94DDB" w14:textId="77777777" w:rsidR="0099339E" w:rsidRPr="009D3726" w:rsidRDefault="0099339E" w:rsidP="00C6418A">
            <w:pPr>
              <w:autoSpaceDE w:val="0"/>
              <w:autoSpaceDN w:val="0"/>
              <w:adjustRightInd w:val="0"/>
              <w:spacing w:after="0" w:line="240" w:lineRule="auto"/>
              <w:jc w:val="center"/>
              <w:rPr>
                <w:rFonts w:cs="Times New Roman"/>
                <w:color w:val="000000"/>
                <w:kern w:val="0"/>
                <w:szCs w:val="24"/>
              </w:rPr>
            </w:pPr>
            <w:r w:rsidRPr="009D3726">
              <w:rPr>
                <w:rFonts w:cs="Times New Roman"/>
                <w:color w:val="000000"/>
                <w:kern w:val="0"/>
                <w:szCs w:val="24"/>
              </w:rPr>
              <w:t>0</w:t>
            </w:r>
          </w:p>
        </w:tc>
        <w:tc>
          <w:tcPr>
            <w:tcW w:w="1845" w:type="dxa"/>
          </w:tcPr>
          <w:p w14:paraId="27ECAAFE" w14:textId="77777777" w:rsidR="0099339E" w:rsidRPr="009D3726" w:rsidRDefault="0099339E" w:rsidP="00C6418A">
            <w:pPr>
              <w:autoSpaceDE w:val="0"/>
              <w:autoSpaceDN w:val="0"/>
              <w:adjustRightInd w:val="0"/>
              <w:spacing w:after="0" w:line="240" w:lineRule="auto"/>
              <w:jc w:val="center"/>
              <w:rPr>
                <w:rFonts w:cs="Times New Roman"/>
                <w:color w:val="000000"/>
                <w:kern w:val="0"/>
                <w:szCs w:val="24"/>
              </w:rPr>
            </w:pPr>
            <w:r w:rsidRPr="009D3726">
              <w:rPr>
                <w:rFonts w:cs="Times New Roman"/>
                <w:color w:val="000000"/>
                <w:kern w:val="0"/>
                <w:szCs w:val="24"/>
              </w:rPr>
              <w:t>0</w:t>
            </w:r>
          </w:p>
        </w:tc>
        <w:tc>
          <w:tcPr>
            <w:tcW w:w="1732" w:type="dxa"/>
          </w:tcPr>
          <w:p w14:paraId="3D68A359" w14:textId="77777777" w:rsidR="0099339E" w:rsidRPr="009D3726" w:rsidRDefault="0099339E" w:rsidP="00C6418A">
            <w:pPr>
              <w:autoSpaceDE w:val="0"/>
              <w:autoSpaceDN w:val="0"/>
              <w:adjustRightInd w:val="0"/>
              <w:spacing w:after="0" w:line="240" w:lineRule="auto"/>
              <w:jc w:val="center"/>
              <w:rPr>
                <w:rFonts w:cs="Times New Roman"/>
                <w:color w:val="000000"/>
                <w:kern w:val="0"/>
                <w:szCs w:val="24"/>
              </w:rPr>
            </w:pPr>
            <w:r w:rsidRPr="009D3726">
              <w:rPr>
                <w:rFonts w:cs="Times New Roman"/>
                <w:color w:val="000000"/>
                <w:kern w:val="0"/>
                <w:szCs w:val="24"/>
              </w:rPr>
              <w:t>0</w:t>
            </w:r>
          </w:p>
        </w:tc>
        <w:tc>
          <w:tcPr>
            <w:tcW w:w="1936" w:type="dxa"/>
          </w:tcPr>
          <w:p w14:paraId="724F5556" w14:textId="77777777" w:rsidR="0099339E" w:rsidRPr="009D3726" w:rsidRDefault="0099339E" w:rsidP="00C6418A">
            <w:pPr>
              <w:autoSpaceDE w:val="0"/>
              <w:autoSpaceDN w:val="0"/>
              <w:adjustRightInd w:val="0"/>
              <w:spacing w:after="0" w:line="240" w:lineRule="auto"/>
              <w:jc w:val="center"/>
              <w:rPr>
                <w:rFonts w:cs="Times New Roman"/>
                <w:color w:val="000000"/>
                <w:kern w:val="0"/>
                <w:szCs w:val="24"/>
              </w:rPr>
            </w:pPr>
            <w:r w:rsidRPr="009D3726">
              <w:rPr>
                <w:rFonts w:cs="Times New Roman"/>
                <w:color w:val="000000"/>
                <w:kern w:val="0"/>
                <w:szCs w:val="24"/>
              </w:rPr>
              <w:t>9000000</w:t>
            </w:r>
          </w:p>
        </w:tc>
      </w:tr>
      <w:tr w:rsidR="0099339E" w:rsidRPr="009D3726" w14:paraId="5CF90315" w14:textId="77777777" w:rsidTr="0099339E">
        <w:trPr>
          <w:trHeight w:val="306"/>
        </w:trPr>
        <w:tc>
          <w:tcPr>
            <w:tcW w:w="771" w:type="dxa"/>
          </w:tcPr>
          <w:p w14:paraId="05B59872" w14:textId="77777777" w:rsidR="0099339E" w:rsidRPr="009D3726" w:rsidRDefault="0099339E" w:rsidP="00C6418A">
            <w:pPr>
              <w:autoSpaceDE w:val="0"/>
              <w:autoSpaceDN w:val="0"/>
              <w:adjustRightInd w:val="0"/>
              <w:spacing w:after="0" w:line="240" w:lineRule="auto"/>
              <w:jc w:val="center"/>
              <w:rPr>
                <w:rFonts w:cs="Times New Roman"/>
                <w:b/>
                <w:bCs/>
                <w:color w:val="000000"/>
                <w:kern w:val="0"/>
                <w:szCs w:val="24"/>
              </w:rPr>
            </w:pPr>
            <w:r w:rsidRPr="009D3726">
              <w:rPr>
                <w:rFonts w:cs="Times New Roman"/>
                <w:b/>
                <w:bCs/>
                <w:color w:val="000000"/>
                <w:kern w:val="0"/>
                <w:szCs w:val="24"/>
              </w:rPr>
              <w:t>2010</w:t>
            </w:r>
          </w:p>
        </w:tc>
        <w:tc>
          <w:tcPr>
            <w:tcW w:w="1528" w:type="dxa"/>
          </w:tcPr>
          <w:p w14:paraId="22A60F34" w14:textId="77777777" w:rsidR="0099339E" w:rsidRPr="009D3726" w:rsidRDefault="0099339E" w:rsidP="00C6418A">
            <w:pPr>
              <w:autoSpaceDE w:val="0"/>
              <w:autoSpaceDN w:val="0"/>
              <w:adjustRightInd w:val="0"/>
              <w:spacing w:after="0" w:line="240" w:lineRule="auto"/>
              <w:jc w:val="center"/>
              <w:rPr>
                <w:rFonts w:cs="Times New Roman"/>
                <w:color w:val="000000"/>
                <w:kern w:val="0"/>
                <w:szCs w:val="24"/>
              </w:rPr>
            </w:pPr>
            <w:r w:rsidRPr="009D3726">
              <w:rPr>
                <w:rFonts w:cs="Times New Roman"/>
                <w:color w:val="000000"/>
                <w:kern w:val="0"/>
                <w:szCs w:val="24"/>
              </w:rPr>
              <w:t>0</w:t>
            </w:r>
          </w:p>
        </w:tc>
        <w:tc>
          <w:tcPr>
            <w:tcW w:w="1999" w:type="dxa"/>
          </w:tcPr>
          <w:p w14:paraId="57A203CC" w14:textId="77777777" w:rsidR="0099339E" w:rsidRPr="009D3726" w:rsidRDefault="0099339E" w:rsidP="00C6418A">
            <w:pPr>
              <w:autoSpaceDE w:val="0"/>
              <w:autoSpaceDN w:val="0"/>
              <w:adjustRightInd w:val="0"/>
              <w:spacing w:after="0" w:line="240" w:lineRule="auto"/>
              <w:jc w:val="center"/>
              <w:rPr>
                <w:rFonts w:cs="Times New Roman"/>
                <w:color w:val="000000"/>
                <w:kern w:val="0"/>
                <w:szCs w:val="24"/>
              </w:rPr>
            </w:pPr>
            <w:r w:rsidRPr="009D3726">
              <w:rPr>
                <w:rFonts w:cs="Times New Roman"/>
                <w:color w:val="000000"/>
                <w:kern w:val="0"/>
                <w:szCs w:val="24"/>
              </w:rPr>
              <w:t>25000000</w:t>
            </w:r>
          </w:p>
        </w:tc>
        <w:tc>
          <w:tcPr>
            <w:tcW w:w="1845" w:type="dxa"/>
          </w:tcPr>
          <w:p w14:paraId="7D789501" w14:textId="77777777" w:rsidR="0099339E" w:rsidRPr="009D3726" w:rsidRDefault="0099339E" w:rsidP="00C6418A">
            <w:pPr>
              <w:autoSpaceDE w:val="0"/>
              <w:autoSpaceDN w:val="0"/>
              <w:adjustRightInd w:val="0"/>
              <w:spacing w:after="0" w:line="240" w:lineRule="auto"/>
              <w:jc w:val="center"/>
              <w:rPr>
                <w:rFonts w:cs="Times New Roman"/>
                <w:color w:val="000000"/>
                <w:kern w:val="0"/>
                <w:szCs w:val="24"/>
              </w:rPr>
            </w:pPr>
            <w:r w:rsidRPr="009D3726">
              <w:rPr>
                <w:rFonts w:cs="Times New Roman"/>
                <w:color w:val="000000"/>
                <w:kern w:val="0"/>
                <w:szCs w:val="24"/>
              </w:rPr>
              <w:t>0</w:t>
            </w:r>
          </w:p>
        </w:tc>
        <w:tc>
          <w:tcPr>
            <w:tcW w:w="1732" w:type="dxa"/>
          </w:tcPr>
          <w:p w14:paraId="15F936C9" w14:textId="77777777" w:rsidR="0099339E" w:rsidRPr="009D3726" w:rsidRDefault="0099339E" w:rsidP="00C6418A">
            <w:pPr>
              <w:autoSpaceDE w:val="0"/>
              <w:autoSpaceDN w:val="0"/>
              <w:adjustRightInd w:val="0"/>
              <w:spacing w:after="0" w:line="240" w:lineRule="auto"/>
              <w:jc w:val="center"/>
              <w:rPr>
                <w:rFonts w:cs="Times New Roman"/>
                <w:color w:val="000000"/>
                <w:kern w:val="0"/>
                <w:szCs w:val="24"/>
              </w:rPr>
            </w:pPr>
            <w:r w:rsidRPr="009D3726">
              <w:rPr>
                <w:rFonts w:cs="Times New Roman"/>
                <w:color w:val="000000"/>
                <w:kern w:val="0"/>
                <w:szCs w:val="24"/>
              </w:rPr>
              <w:t>0</w:t>
            </w:r>
          </w:p>
        </w:tc>
        <w:tc>
          <w:tcPr>
            <w:tcW w:w="1936" w:type="dxa"/>
          </w:tcPr>
          <w:p w14:paraId="14B77465" w14:textId="77777777" w:rsidR="0099339E" w:rsidRPr="009D3726" w:rsidRDefault="0099339E" w:rsidP="00C6418A">
            <w:pPr>
              <w:autoSpaceDE w:val="0"/>
              <w:autoSpaceDN w:val="0"/>
              <w:adjustRightInd w:val="0"/>
              <w:spacing w:after="0" w:line="240" w:lineRule="auto"/>
              <w:jc w:val="center"/>
              <w:rPr>
                <w:rFonts w:cs="Times New Roman"/>
                <w:color w:val="000000"/>
                <w:kern w:val="0"/>
                <w:szCs w:val="24"/>
              </w:rPr>
            </w:pPr>
            <w:r w:rsidRPr="009D3726">
              <w:rPr>
                <w:rFonts w:cs="Times New Roman"/>
                <w:color w:val="000000"/>
                <w:kern w:val="0"/>
                <w:szCs w:val="24"/>
              </w:rPr>
              <w:t>25000000</w:t>
            </w:r>
          </w:p>
        </w:tc>
      </w:tr>
      <w:tr w:rsidR="0099339E" w:rsidRPr="009D3726" w14:paraId="2C5959C9" w14:textId="77777777" w:rsidTr="0099339E">
        <w:trPr>
          <w:trHeight w:val="306"/>
        </w:trPr>
        <w:tc>
          <w:tcPr>
            <w:tcW w:w="771" w:type="dxa"/>
          </w:tcPr>
          <w:p w14:paraId="57F825E7" w14:textId="77777777" w:rsidR="0099339E" w:rsidRPr="009D3726" w:rsidRDefault="0099339E" w:rsidP="00C6418A">
            <w:pPr>
              <w:autoSpaceDE w:val="0"/>
              <w:autoSpaceDN w:val="0"/>
              <w:adjustRightInd w:val="0"/>
              <w:spacing w:after="0" w:line="240" w:lineRule="auto"/>
              <w:jc w:val="center"/>
              <w:rPr>
                <w:rFonts w:cs="Times New Roman"/>
                <w:b/>
                <w:bCs/>
                <w:color w:val="000000"/>
                <w:kern w:val="0"/>
                <w:szCs w:val="24"/>
              </w:rPr>
            </w:pPr>
            <w:r w:rsidRPr="009D3726">
              <w:rPr>
                <w:rFonts w:cs="Times New Roman"/>
                <w:b/>
                <w:bCs/>
                <w:color w:val="000000"/>
                <w:kern w:val="0"/>
                <w:szCs w:val="24"/>
              </w:rPr>
              <w:t>2011</w:t>
            </w:r>
          </w:p>
        </w:tc>
        <w:tc>
          <w:tcPr>
            <w:tcW w:w="1528" w:type="dxa"/>
          </w:tcPr>
          <w:p w14:paraId="65D2F09F" w14:textId="77777777" w:rsidR="0099339E" w:rsidRPr="009D3726" w:rsidRDefault="0099339E" w:rsidP="00C6418A">
            <w:pPr>
              <w:autoSpaceDE w:val="0"/>
              <w:autoSpaceDN w:val="0"/>
              <w:adjustRightInd w:val="0"/>
              <w:spacing w:after="0" w:line="240" w:lineRule="auto"/>
              <w:jc w:val="center"/>
              <w:rPr>
                <w:rFonts w:cs="Times New Roman"/>
                <w:color w:val="000000"/>
                <w:kern w:val="0"/>
                <w:szCs w:val="24"/>
              </w:rPr>
            </w:pPr>
            <w:r w:rsidRPr="009D3726">
              <w:rPr>
                <w:rFonts w:cs="Times New Roman"/>
                <w:color w:val="000000"/>
                <w:kern w:val="0"/>
                <w:szCs w:val="24"/>
              </w:rPr>
              <w:t>0</w:t>
            </w:r>
          </w:p>
        </w:tc>
        <w:tc>
          <w:tcPr>
            <w:tcW w:w="1999" w:type="dxa"/>
          </w:tcPr>
          <w:p w14:paraId="6865FE91" w14:textId="77777777" w:rsidR="0099339E" w:rsidRPr="009D3726" w:rsidRDefault="0099339E" w:rsidP="00C6418A">
            <w:pPr>
              <w:autoSpaceDE w:val="0"/>
              <w:autoSpaceDN w:val="0"/>
              <w:adjustRightInd w:val="0"/>
              <w:spacing w:after="0" w:line="240" w:lineRule="auto"/>
              <w:jc w:val="center"/>
              <w:rPr>
                <w:rFonts w:cs="Times New Roman"/>
                <w:color w:val="000000"/>
                <w:kern w:val="0"/>
                <w:szCs w:val="24"/>
              </w:rPr>
            </w:pPr>
            <w:r w:rsidRPr="009D3726">
              <w:rPr>
                <w:rFonts w:cs="Times New Roman"/>
                <w:color w:val="000000"/>
                <w:kern w:val="0"/>
                <w:szCs w:val="24"/>
              </w:rPr>
              <w:t>30000000</w:t>
            </w:r>
          </w:p>
        </w:tc>
        <w:tc>
          <w:tcPr>
            <w:tcW w:w="1845" w:type="dxa"/>
          </w:tcPr>
          <w:p w14:paraId="2BE3F5B7" w14:textId="77777777" w:rsidR="0099339E" w:rsidRPr="009D3726" w:rsidRDefault="0099339E" w:rsidP="00C6418A">
            <w:pPr>
              <w:autoSpaceDE w:val="0"/>
              <w:autoSpaceDN w:val="0"/>
              <w:adjustRightInd w:val="0"/>
              <w:spacing w:after="0" w:line="240" w:lineRule="auto"/>
              <w:jc w:val="center"/>
              <w:rPr>
                <w:rFonts w:cs="Times New Roman"/>
                <w:color w:val="000000"/>
                <w:kern w:val="0"/>
                <w:szCs w:val="24"/>
              </w:rPr>
            </w:pPr>
            <w:r w:rsidRPr="009D3726">
              <w:rPr>
                <w:rFonts w:cs="Times New Roman"/>
                <w:color w:val="000000"/>
                <w:kern w:val="0"/>
                <w:szCs w:val="24"/>
              </w:rPr>
              <w:t>350000</w:t>
            </w:r>
          </w:p>
        </w:tc>
        <w:tc>
          <w:tcPr>
            <w:tcW w:w="1732" w:type="dxa"/>
          </w:tcPr>
          <w:p w14:paraId="63563CAE" w14:textId="77777777" w:rsidR="0099339E" w:rsidRPr="009D3726" w:rsidRDefault="0099339E" w:rsidP="00C6418A">
            <w:pPr>
              <w:autoSpaceDE w:val="0"/>
              <w:autoSpaceDN w:val="0"/>
              <w:adjustRightInd w:val="0"/>
              <w:spacing w:after="0" w:line="240" w:lineRule="auto"/>
              <w:jc w:val="center"/>
              <w:rPr>
                <w:rFonts w:cs="Times New Roman"/>
                <w:color w:val="000000"/>
                <w:kern w:val="0"/>
                <w:szCs w:val="24"/>
              </w:rPr>
            </w:pPr>
            <w:r w:rsidRPr="009D3726">
              <w:rPr>
                <w:rFonts w:cs="Times New Roman"/>
                <w:color w:val="000000"/>
                <w:kern w:val="0"/>
                <w:szCs w:val="24"/>
              </w:rPr>
              <w:t>0</w:t>
            </w:r>
          </w:p>
        </w:tc>
        <w:tc>
          <w:tcPr>
            <w:tcW w:w="1936" w:type="dxa"/>
          </w:tcPr>
          <w:p w14:paraId="7E62B8D2" w14:textId="77777777" w:rsidR="0099339E" w:rsidRPr="009D3726" w:rsidRDefault="0099339E" w:rsidP="00C6418A">
            <w:pPr>
              <w:autoSpaceDE w:val="0"/>
              <w:autoSpaceDN w:val="0"/>
              <w:adjustRightInd w:val="0"/>
              <w:spacing w:after="0" w:line="240" w:lineRule="auto"/>
              <w:jc w:val="center"/>
              <w:rPr>
                <w:rFonts w:cs="Times New Roman"/>
                <w:color w:val="000000"/>
                <w:kern w:val="0"/>
                <w:szCs w:val="24"/>
              </w:rPr>
            </w:pPr>
            <w:r w:rsidRPr="009D3726">
              <w:rPr>
                <w:rFonts w:cs="Times New Roman"/>
                <w:color w:val="000000"/>
                <w:kern w:val="0"/>
                <w:szCs w:val="24"/>
              </w:rPr>
              <w:t>30350000</w:t>
            </w:r>
          </w:p>
        </w:tc>
      </w:tr>
      <w:tr w:rsidR="0099339E" w:rsidRPr="009D3726" w14:paraId="5E08DB19" w14:textId="77777777" w:rsidTr="0099339E">
        <w:trPr>
          <w:trHeight w:val="306"/>
        </w:trPr>
        <w:tc>
          <w:tcPr>
            <w:tcW w:w="771" w:type="dxa"/>
          </w:tcPr>
          <w:p w14:paraId="7AD6337B" w14:textId="77777777" w:rsidR="0099339E" w:rsidRPr="009D3726" w:rsidRDefault="0099339E" w:rsidP="00C6418A">
            <w:pPr>
              <w:autoSpaceDE w:val="0"/>
              <w:autoSpaceDN w:val="0"/>
              <w:adjustRightInd w:val="0"/>
              <w:spacing w:after="0" w:line="240" w:lineRule="auto"/>
              <w:jc w:val="center"/>
              <w:rPr>
                <w:rFonts w:cs="Times New Roman"/>
                <w:b/>
                <w:bCs/>
                <w:color w:val="000000"/>
                <w:kern w:val="0"/>
                <w:szCs w:val="24"/>
              </w:rPr>
            </w:pPr>
            <w:r w:rsidRPr="009D3726">
              <w:rPr>
                <w:rFonts w:cs="Times New Roman"/>
                <w:b/>
                <w:bCs/>
                <w:color w:val="000000"/>
                <w:kern w:val="0"/>
                <w:szCs w:val="24"/>
              </w:rPr>
              <w:t>2012</w:t>
            </w:r>
          </w:p>
        </w:tc>
        <w:tc>
          <w:tcPr>
            <w:tcW w:w="1528" w:type="dxa"/>
          </w:tcPr>
          <w:p w14:paraId="0681F01F" w14:textId="77777777" w:rsidR="0099339E" w:rsidRPr="009D3726" w:rsidRDefault="0099339E" w:rsidP="00C6418A">
            <w:pPr>
              <w:autoSpaceDE w:val="0"/>
              <w:autoSpaceDN w:val="0"/>
              <w:adjustRightInd w:val="0"/>
              <w:spacing w:after="0" w:line="240" w:lineRule="auto"/>
              <w:jc w:val="center"/>
              <w:rPr>
                <w:rFonts w:cs="Times New Roman"/>
                <w:color w:val="000000"/>
                <w:kern w:val="0"/>
                <w:szCs w:val="24"/>
              </w:rPr>
            </w:pPr>
            <w:r w:rsidRPr="009D3726">
              <w:rPr>
                <w:rFonts w:cs="Times New Roman"/>
                <w:color w:val="000000"/>
                <w:kern w:val="0"/>
                <w:szCs w:val="24"/>
              </w:rPr>
              <w:t>3000000</w:t>
            </w:r>
          </w:p>
        </w:tc>
        <w:tc>
          <w:tcPr>
            <w:tcW w:w="1999" w:type="dxa"/>
          </w:tcPr>
          <w:p w14:paraId="41E5813F" w14:textId="77777777" w:rsidR="0099339E" w:rsidRPr="009D3726" w:rsidRDefault="0099339E" w:rsidP="00C6418A">
            <w:pPr>
              <w:autoSpaceDE w:val="0"/>
              <w:autoSpaceDN w:val="0"/>
              <w:adjustRightInd w:val="0"/>
              <w:spacing w:after="0" w:line="240" w:lineRule="auto"/>
              <w:jc w:val="center"/>
              <w:rPr>
                <w:rFonts w:cs="Times New Roman"/>
                <w:color w:val="000000"/>
                <w:kern w:val="0"/>
                <w:szCs w:val="24"/>
              </w:rPr>
            </w:pPr>
            <w:r w:rsidRPr="009D3726">
              <w:rPr>
                <w:rFonts w:cs="Times New Roman"/>
                <w:color w:val="000000"/>
                <w:kern w:val="0"/>
                <w:szCs w:val="24"/>
              </w:rPr>
              <w:t>0</w:t>
            </w:r>
          </w:p>
        </w:tc>
        <w:tc>
          <w:tcPr>
            <w:tcW w:w="1845" w:type="dxa"/>
          </w:tcPr>
          <w:p w14:paraId="1C9C1944" w14:textId="77777777" w:rsidR="0099339E" w:rsidRPr="009D3726" w:rsidRDefault="0099339E" w:rsidP="00C6418A">
            <w:pPr>
              <w:autoSpaceDE w:val="0"/>
              <w:autoSpaceDN w:val="0"/>
              <w:adjustRightInd w:val="0"/>
              <w:spacing w:after="0" w:line="240" w:lineRule="auto"/>
              <w:jc w:val="center"/>
              <w:rPr>
                <w:rFonts w:cs="Times New Roman"/>
                <w:color w:val="000000"/>
                <w:kern w:val="0"/>
                <w:szCs w:val="24"/>
              </w:rPr>
            </w:pPr>
            <w:r w:rsidRPr="009D3726">
              <w:rPr>
                <w:rFonts w:cs="Times New Roman"/>
                <w:color w:val="000000"/>
                <w:kern w:val="0"/>
                <w:szCs w:val="24"/>
              </w:rPr>
              <w:t>0</w:t>
            </w:r>
          </w:p>
        </w:tc>
        <w:tc>
          <w:tcPr>
            <w:tcW w:w="1732" w:type="dxa"/>
          </w:tcPr>
          <w:p w14:paraId="2B821534" w14:textId="77777777" w:rsidR="0099339E" w:rsidRPr="009D3726" w:rsidRDefault="0099339E" w:rsidP="00C6418A">
            <w:pPr>
              <w:autoSpaceDE w:val="0"/>
              <w:autoSpaceDN w:val="0"/>
              <w:adjustRightInd w:val="0"/>
              <w:spacing w:after="0" w:line="240" w:lineRule="auto"/>
              <w:jc w:val="center"/>
              <w:rPr>
                <w:rFonts w:cs="Times New Roman"/>
                <w:color w:val="000000"/>
                <w:kern w:val="0"/>
                <w:szCs w:val="24"/>
              </w:rPr>
            </w:pPr>
            <w:r w:rsidRPr="009D3726">
              <w:rPr>
                <w:rFonts w:cs="Times New Roman"/>
                <w:color w:val="000000"/>
                <w:kern w:val="0"/>
                <w:szCs w:val="24"/>
              </w:rPr>
              <w:t>0</w:t>
            </w:r>
          </w:p>
        </w:tc>
        <w:tc>
          <w:tcPr>
            <w:tcW w:w="1936" w:type="dxa"/>
          </w:tcPr>
          <w:p w14:paraId="38743B04" w14:textId="77777777" w:rsidR="0099339E" w:rsidRPr="009D3726" w:rsidRDefault="0099339E" w:rsidP="00C6418A">
            <w:pPr>
              <w:autoSpaceDE w:val="0"/>
              <w:autoSpaceDN w:val="0"/>
              <w:adjustRightInd w:val="0"/>
              <w:spacing w:after="0" w:line="240" w:lineRule="auto"/>
              <w:jc w:val="center"/>
              <w:rPr>
                <w:rFonts w:cs="Times New Roman"/>
                <w:color w:val="000000"/>
                <w:kern w:val="0"/>
                <w:szCs w:val="24"/>
              </w:rPr>
            </w:pPr>
            <w:r w:rsidRPr="009D3726">
              <w:rPr>
                <w:rFonts w:cs="Times New Roman"/>
                <w:color w:val="000000"/>
                <w:kern w:val="0"/>
                <w:szCs w:val="24"/>
              </w:rPr>
              <w:t>3000000</w:t>
            </w:r>
          </w:p>
        </w:tc>
      </w:tr>
      <w:tr w:rsidR="0099339E" w:rsidRPr="009D3726" w14:paraId="5124C9AE" w14:textId="77777777" w:rsidTr="0099339E">
        <w:trPr>
          <w:trHeight w:val="306"/>
        </w:trPr>
        <w:tc>
          <w:tcPr>
            <w:tcW w:w="771" w:type="dxa"/>
          </w:tcPr>
          <w:p w14:paraId="14CA3556" w14:textId="77777777" w:rsidR="0099339E" w:rsidRPr="009D3726" w:rsidRDefault="0099339E" w:rsidP="00C6418A">
            <w:pPr>
              <w:autoSpaceDE w:val="0"/>
              <w:autoSpaceDN w:val="0"/>
              <w:adjustRightInd w:val="0"/>
              <w:spacing w:after="0" w:line="240" w:lineRule="auto"/>
              <w:jc w:val="center"/>
              <w:rPr>
                <w:rFonts w:cs="Times New Roman"/>
                <w:b/>
                <w:bCs/>
                <w:color w:val="000000"/>
                <w:kern w:val="0"/>
                <w:szCs w:val="24"/>
              </w:rPr>
            </w:pPr>
            <w:r w:rsidRPr="009D3726">
              <w:rPr>
                <w:rFonts w:cs="Times New Roman"/>
                <w:b/>
                <w:bCs/>
                <w:color w:val="000000"/>
                <w:kern w:val="0"/>
                <w:szCs w:val="24"/>
              </w:rPr>
              <w:t>2013</w:t>
            </w:r>
          </w:p>
        </w:tc>
        <w:tc>
          <w:tcPr>
            <w:tcW w:w="1528" w:type="dxa"/>
          </w:tcPr>
          <w:p w14:paraId="2C6CE342" w14:textId="77777777" w:rsidR="0099339E" w:rsidRPr="009D3726" w:rsidRDefault="0099339E" w:rsidP="00C6418A">
            <w:pPr>
              <w:autoSpaceDE w:val="0"/>
              <w:autoSpaceDN w:val="0"/>
              <w:adjustRightInd w:val="0"/>
              <w:spacing w:after="0" w:line="240" w:lineRule="auto"/>
              <w:jc w:val="center"/>
              <w:rPr>
                <w:rFonts w:cs="Times New Roman"/>
                <w:color w:val="000000"/>
                <w:kern w:val="0"/>
                <w:szCs w:val="24"/>
              </w:rPr>
            </w:pPr>
            <w:r w:rsidRPr="009D3726">
              <w:rPr>
                <w:rFonts w:cs="Times New Roman"/>
                <w:color w:val="000000"/>
                <w:kern w:val="0"/>
                <w:szCs w:val="24"/>
              </w:rPr>
              <w:t>27199999</w:t>
            </w:r>
          </w:p>
        </w:tc>
        <w:tc>
          <w:tcPr>
            <w:tcW w:w="1999" w:type="dxa"/>
          </w:tcPr>
          <w:p w14:paraId="68572B99" w14:textId="77777777" w:rsidR="0099339E" w:rsidRPr="009D3726" w:rsidRDefault="0099339E" w:rsidP="00C6418A">
            <w:pPr>
              <w:autoSpaceDE w:val="0"/>
              <w:autoSpaceDN w:val="0"/>
              <w:adjustRightInd w:val="0"/>
              <w:spacing w:after="0" w:line="240" w:lineRule="auto"/>
              <w:jc w:val="center"/>
              <w:rPr>
                <w:rFonts w:cs="Times New Roman"/>
                <w:color w:val="000000"/>
                <w:kern w:val="0"/>
                <w:szCs w:val="24"/>
              </w:rPr>
            </w:pPr>
            <w:r w:rsidRPr="009D3726">
              <w:rPr>
                <w:rFonts w:cs="Times New Roman"/>
                <w:color w:val="000000"/>
                <w:kern w:val="0"/>
                <w:szCs w:val="24"/>
              </w:rPr>
              <w:t>0</w:t>
            </w:r>
          </w:p>
        </w:tc>
        <w:tc>
          <w:tcPr>
            <w:tcW w:w="1845" w:type="dxa"/>
          </w:tcPr>
          <w:p w14:paraId="73307780" w14:textId="77777777" w:rsidR="0099339E" w:rsidRPr="009D3726" w:rsidRDefault="0099339E" w:rsidP="00C6418A">
            <w:pPr>
              <w:autoSpaceDE w:val="0"/>
              <w:autoSpaceDN w:val="0"/>
              <w:adjustRightInd w:val="0"/>
              <w:spacing w:after="0" w:line="240" w:lineRule="auto"/>
              <w:jc w:val="center"/>
              <w:rPr>
                <w:rFonts w:cs="Times New Roman"/>
                <w:color w:val="000000"/>
                <w:kern w:val="0"/>
                <w:szCs w:val="24"/>
              </w:rPr>
            </w:pPr>
            <w:r w:rsidRPr="009D3726">
              <w:rPr>
                <w:rFonts w:cs="Times New Roman"/>
                <w:color w:val="000000"/>
                <w:kern w:val="0"/>
                <w:szCs w:val="24"/>
              </w:rPr>
              <w:t>50000</w:t>
            </w:r>
          </w:p>
        </w:tc>
        <w:tc>
          <w:tcPr>
            <w:tcW w:w="1732" w:type="dxa"/>
          </w:tcPr>
          <w:p w14:paraId="2565716C" w14:textId="77777777" w:rsidR="0099339E" w:rsidRPr="009D3726" w:rsidRDefault="0099339E" w:rsidP="00C6418A">
            <w:pPr>
              <w:autoSpaceDE w:val="0"/>
              <w:autoSpaceDN w:val="0"/>
              <w:adjustRightInd w:val="0"/>
              <w:spacing w:after="0" w:line="240" w:lineRule="auto"/>
              <w:jc w:val="center"/>
              <w:rPr>
                <w:rFonts w:cs="Times New Roman"/>
                <w:color w:val="000000"/>
                <w:kern w:val="0"/>
                <w:szCs w:val="24"/>
              </w:rPr>
            </w:pPr>
            <w:r w:rsidRPr="009D3726">
              <w:rPr>
                <w:rFonts w:cs="Times New Roman"/>
                <w:color w:val="000000"/>
                <w:kern w:val="0"/>
                <w:szCs w:val="24"/>
              </w:rPr>
              <w:t>0</w:t>
            </w:r>
          </w:p>
        </w:tc>
        <w:tc>
          <w:tcPr>
            <w:tcW w:w="1936" w:type="dxa"/>
          </w:tcPr>
          <w:p w14:paraId="3FBD02E4" w14:textId="77777777" w:rsidR="0099339E" w:rsidRPr="009D3726" w:rsidRDefault="0099339E" w:rsidP="00C6418A">
            <w:pPr>
              <w:autoSpaceDE w:val="0"/>
              <w:autoSpaceDN w:val="0"/>
              <w:adjustRightInd w:val="0"/>
              <w:spacing w:after="0" w:line="240" w:lineRule="auto"/>
              <w:jc w:val="center"/>
              <w:rPr>
                <w:rFonts w:cs="Times New Roman"/>
                <w:color w:val="000000"/>
                <w:kern w:val="0"/>
                <w:szCs w:val="24"/>
              </w:rPr>
            </w:pPr>
            <w:r w:rsidRPr="009D3726">
              <w:rPr>
                <w:rFonts w:cs="Times New Roman"/>
                <w:color w:val="000000"/>
                <w:kern w:val="0"/>
                <w:szCs w:val="24"/>
              </w:rPr>
              <w:t>27249999</w:t>
            </w:r>
          </w:p>
        </w:tc>
      </w:tr>
      <w:tr w:rsidR="0099339E" w:rsidRPr="009D3726" w14:paraId="2B4AE222" w14:textId="77777777" w:rsidTr="0099339E">
        <w:trPr>
          <w:trHeight w:val="306"/>
        </w:trPr>
        <w:tc>
          <w:tcPr>
            <w:tcW w:w="771" w:type="dxa"/>
          </w:tcPr>
          <w:p w14:paraId="0B5A04C9" w14:textId="77777777" w:rsidR="0099339E" w:rsidRPr="009D3726" w:rsidRDefault="0099339E" w:rsidP="00C6418A">
            <w:pPr>
              <w:autoSpaceDE w:val="0"/>
              <w:autoSpaceDN w:val="0"/>
              <w:adjustRightInd w:val="0"/>
              <w:spacing w:after="0" w:line="240" w:lineRule="auto"/>
              <w:jc w:val="center"/>
              <w:rPr>
                <w:rFonts w:cs="Times New Roman"/>
                <w:b/>
                <w:bCs/>
                <w:color w:val="000000"/>
                <w:kern w:val="0"/>
                <w:szCs w:val="24"/>
              </w:rPr>
            </w:pPr>
            <w:r w:rsidRPr="009D3726">
              <w:rPr>
                <w:rFonts w:cs="Times New Roman"/>
                <w:b/>
                <w:bCs/>
                <w:color w:val="000000"/>
                <w:kern w:val="0"/>
                <w:szCs w:val="24"/>
              </w:rPr>
              <w:t>2014</w:t>
            </w:r>
          </w:p>
        </w:tc>
        <w:tc>
          <w:tcPr>
            <w:tcW w:w="1528" w:type="dxa"/>
          </w:tcPr>
          <w:p w14:paraId="17764E11" w14:textId="77777777" w:rsidR="0099339E" w:rsidRPr="009D3726" w:rsidRDefault="0099339E" w:rsidP="00C6418A">
            <w:pPr>
              <w:autoSpaceDE w:val="0"/>
              <w:autoSpaceDN w:val="0"/>
              <w:adjustRightInd w:val="0"/>
              <w:spacing w:after="0" w:line="240" w:lineRule="auto"/>
              <w:jc w:val="center"/>
              <w:rPr>
                <w:rFonts w:cs="Times New Roman"/>
                <w:color w:val="000000"/>
                <w:kern w:val="0"/>
                <w:szCs w:val="24"/>
              </w:rPr>
            </w:pPr>
            <w:r w:rsidRPr="009D3726">
              <w:rPr>
                <w:rFonts w:cs="Times New Roman"/>
                <w:color w:val="000000"/>
                <w:kern w:val="0"/>
                <w:szCs w:val="24"/>
              </w:rPr>
              <w:t>241767200</w:t>
            </w:r>
          </w:p>
        </w:tc>
        <w:tc>
          <w:tcPr>
            <w:tcW w:w="1999" w:type="dxa"/>
          </w:tcPr>
          <w:p w14:paraId="309D9ABF" w14:textId="77777777" w:rsidR="0099339E" w:rsidRPr="009D3726" w:rsidRDefault="0099339E" w:rsidP="00C6418A">
            <w:pPr>
              <w:autoSpaceDE w:val="0"/>
              <w:autoSpaceDN w:val="0"/>
              <w:adjustRightInd w:val="0"/>
              <w:spacing w:after="0" w:line="240" w:lineRule="auto"/>
              <w:jc w:val="center"/>
              <w:rPr>
                <w:rFonts w:cs="Times New Roman"/>
                <w:color w:val="000000"/>
                <w:kern w:val="0"/>
                <w:szCs w:val="24"/>
              </w:rPr>
            </w:pPr>
            <w:r w:rsidRPr="009D3726">
              <w:rPr>
                <w:rFonts w:cs="Times New Roman"/>
                <w:color w:val="000000"/>
                <w:kern w:val="0"/>
                <w:szCs w:val="24"/>
              </w:rPr>
              <w:t>69300000</w:t>
            </w:r>
          </w:p>
        </w:tc>
        <w:tc>
          <w:tcPr>
            <w:tcW w:w="1845" w:type="dxa"/>
          </w:tcPr>
          <w:p w14:paraId="2946708C" w14:textId="77777777" w:rsidR="0099339E" w:rsidRPr="009D3726" w:rsidRDefault="0099339E" w:rsidP="00C6418A">
            <w:pPr>
              <w:autoSpaceDE w:val="0"/>
              <w:autoSpaceDN w:val="0"/>
              <w:adjustRightInd w:val="0"/>
              <w:spacing w:after="0" w:line="240" w:lineRule="auto"/>
              <w:jc w:val="center"/>
              <w:rPr>
                <w:rFonts w:cs="Times New Roman"/>
                <w:color w:val="000000"/>
                <w:kern w:val="0"/>
                <w:szCs w:val="24"/>
              </w:rPr>
            </w:pPr>
            <w:r w:rsidRPr="009D3726">
              <w:rPr>
                <w:rFonts w:cs="Times New Roman"/>
                <w:color w:val="000000"/>
                <w:kern w:val="0"/>
                <w:szCs w:val="24"/>
              </w:rPr>
              <w:t>780000</w:t>
            </w:r>
          </w:p>
        </w:tc>
        <w:tc>
          <w:tcPr>
            <w:tcW w:w="1732" w:type="dxa"/>
          </w:tcPr>
          <w:p w14:paraId="0E587890" w14:textId="77777777" w:rsidR="0099339E" w:rsidRPr="009D3726" w:rsidRDefault="0099339E" w:rsidP="00C6418A">
            <w:pPr>
              <w:autoSpaceDE w:val="0"/>
              <w:autoSpaceDN w:val="0"/>
              <w:adjustRightInd w:val="0"/>
              <w:spacing w:after="0" w:line="240" w:lineRule="auto"/>
              <w:jc w:val="center"/>
              <w:rPr>
                <w:rFonts w:cs="Times New Roman"/>
                <w:color w:val="000000"/>
                <w:kern w:val="0"/>
                <w:szCs w:val="24"/>
              </w:rPr>
            </w:pPr>
            <w:r w:rsidRPr="009D3726">
              <w:rPr>
                <w:rFonts w:cs="Times New Roman"/>
                <w:color w:val="000000"/>
                <w:kern w:val="0"/>
                <w:szCs w:val="24"/>
              </w:rPr>
              <w:t>210000</w:t>
            </w:r>
          </w:p>
        </w:tc>
        <w:tc>
          <w:tcPr>
            <w:tcW w:w="1936" w:type="dxa"/>
          </w:tcPr>
          <w:p w14:paraId="7315EDA6" w14:textId="77777777" w:rsidR="0099339E" w:rsidRPr="009D3726" w:rsidRDefault="0099339E" w:rsidP="00C6418A">
            <w:pPr>
              <w:autoSpaceDE w:val="0"/>
              <w:autoSpaceDN w:val="0"/>
              <w:adjustRightInd w:val="0"/>
              <w:spacing w:after="0" w:line="240" w:lineRule="auto"/>
              <w:jc w:val="center"/>
              <w:rPr>
                <w:rFonts w:cs="Times New Roman"/>
                <w:color w:val="000000"/>
                <w:kern w:val="0"/>
                <w:szCs w:val="24"/>
              </w:rPr>
            </w:pPr>
            <w:r w:rsidRPr="009D3726">
              <w:rPr>
                <w:rFonts w:cs="Times New Roman"/>
                <w:color w:val="000000"/>
                <w:kern w:val="0"/>
                <w:szCs w:val="24"/>
              </w:rPr>
              <w:t>312057200</w:t>
            </w:r>
          </w:p>
        </w:tc>
      </w:tr>
      <w:tr w:rsidR="0099339E" w:rsidRPr="009D3726" w14:paraId="2D9DC229" w14:textId="77777777" w:rsidTr="0099339E">
        <w:trPr>
          <w:trHeight w:val="306"/>
        </w:trPr>
        <w:tc>
          <w:tcPr>
            <w:tcW w:w="771" w:type="dxa"/>
          </w:tcPr>
          <w:p w14:paraId="72D1EA52" w14:textId="77777777" w:rsidR="0099339E" w:rsidRPr="009D3726" w:rsidRDefault="0099339E" w:rsidP="00C6418A">
            <w:pPr>
              <w:autoSpaceDE w:val="0"/>
              <w:autoSpaceDN w:val="0"/>
              <w:adjustRightInd w:val="0"/>
              <w:spacing w:after="0" w:line="240" w:lineRule="auto"/>
              <w:jc w:val="center"/>
              <w:rPr>
                <w:rFonts w:cs="Times New Roman"/>
                <w:b/>
                <w:bCs/>
                <w:color w:val="000000"/>
                <w:kern w:val="0"/>
                <w:szCs w:val="24"/>
              </w:rPr>
            </w:pPr>
            <w:r w:rsidRPr="009D3726">
              <w:rPr>
                <w:rFonts w:cs="Times New Roman"/>
                <w:b/>
                <w:bCs/>
                <w:color w:val="000000"/>
                <w:kern w:val="0"/>
                <w:szCs w:val="24"/>
              </w:rPr>
              <w:t>2015</w:t>
            </w:r>
          </w:p>
        </w:tc>
        <w:tc>
          <w:tcPr>
            <w:tcW w:w="1528" w:type="dxa"/>
          </w:tcPr>
          <w:p w14:paraId="7A173FED" w14:textId="77777777" w:rsidR="0099339E" w:rsidRPr="009D3726" w:rsidRDefault="0099339E" w:rsidP="00C6418A">
            <w:pPr>
              <w:autoSpaceDE w:val="0"/>
              <w:autoSpaceDN w:val="0"/>
              <w:adjustRightInd w:val="0"/>
              <w:spacing w:after="0" w:line="240" w:lineRule="auto"/>
              <w:jc w:val="center"/>
              <w:rPr>
                <w:rFonts w:cs="Times New Roman"/>
                <w:color w:val="000000"/>
                <w:kern w:val="0"/>
                <w:szCs w:val="24"/>
              </w:rPr>
            </w:pPr>
            <w:r w:rsidRPr="009D3726">
              <w:rPr>
                <w:rFonts w:cs="Times New Roman"/>
                <w:color w:val="000000"/>
                <w:kern w:val="0"/>
                <w:szCs w:val="24"/>
              </w:rPr>
              <w:t>676923706</w:t>
            </w:r>
          </w:p>
        </w:tc>
        <w:tc>
          <w:tcPr>
            <w:tcW w:w="1999" w:type="dxa"/>
          </w:tcPr>
          <w:p w14:paraId="68FC55EA" w14:textId="77777777" w:rsidR="0099339E" w:rsidRPr="009D3726" w:rsidRDefault="0099339E" w:rsidP="00C6418A">
            <w:pPr>
              <w:autoSpaceDE w:val="0"/>
              <w:autoSpaceDN w:val="0"/>
              <w:adjustRightInd w:val="0"/>
              <w:spacing w:after="0" w:line="240" w:lineRule="auto"/>
              <w:jc w:val="center"/>
              <w:rPr>
                <w:rFonts w:cs="Times New Roman"/>
                <w:color w:val="000000"/>
                <w:kern w:val="0"/>
                <w:szCs w:val="24"/>
              </w:rPr>
            </w:pPr>
            <w:r w:rsidRPr="009D3726">
              <w:rPr>
                <w:rFonts w:cs="Times New Roman"/>
                <w:color w:val="000000"/>
                <w:kern w:val="0"/>
                <w:szCs w:val="24"/>
              </w:rPr>
              <w:t>362302211</w:t>
            </w:r>
          </w:p>
        </w:tc>
        <w:tc>
          <w:tcPr>
            <w:tcW w:w="1845" w:type="dxa"/>
          </w:tcPr>
          <w:p w14:paraId="3378E4B9" w14:textId="77777777" w:rsidR="0099339E" w:rsidRPr="009D3726" w:rsidRDefault="0099339E" w:rsidP="00C6418A">
            <w:pPr>
              <w:autoSpaceDE w:val="0"/>
              <w:autoSpaceDN w:val="0"/>
              <w:adjustRightInd w:val="0"/>
              <w:spacing w:after="0" w:line="240" w:lineRule="auto"/>
              <w:jc w:val="center"/>
              <w:rPr>
                <w:rFonts w:cs="Times New Roman"/>
                <w:color w:val="000000"/>
                <w:kern w:val="0"/>
                <w:szCs w:val="24"/>
              </w:rPr>
            </w:pPr>
            <w:r w:rsidRPr="009D3726">
              <w:rPr>
                <w:rFonts w:cs="Times New Roman"/>
                <w:color w:val="000000"/>
                <w:kern w:val="0"/>
                <w:szCs w:val="24"/>
              </w:rPr>
              <w:t>1463332</w:t>
            </w:r>
          </w:p>
        </w:tc>
        <w:tc>
          <w:tcPr>
            <w:tcW w:w="1732" w:type="dxa"/>
          </w:tcPr>
          <w:p w14:paraId="3FEB6A91" w14:textId="77777777" w:rsidR="0099339E" w:rsidRPr="009D3726" w:rsidRDefault="0099339E" w:rsidP="00C6418A">
            <w:pPr>
              <w:autoSpaceDE w:val="0"/>
              <w:autoSpaceDN w:val="0"/>
              <w:adjustRightInd w:val="0"/>
              <w:spacing w:after="0" w:line="240" w:lineRule="auto"/>
              <w:jc w:val="center"/>
              <w:rPr>
                <w:rFonts w:cs="Times New Roman"/>
                <w:color w:val="000000"/>
                <w:kern w:val="0"/>
                <w:szCs w:val="24"/>
              </w:rPr>
            </w:pPr>
            <w:r w:rsidRPr="009D3726">
              <w:rPr>
                <w:rFonts w:cs="Times New Roman"/>
                <w:color w:val="000000"/>
                <w:kern w:val="0"/>
                <w:szCs w:val="24"/>
              </w:rPr>
              <w:t>135564077</w:t>
            </w:r>
          </w:p>
        </w:tc>
        <w:tc>
          <w:tcPr>
            <w:tcW w:w="1936" w:type="dxa"/>
          </w:tcPr>
          <w:p w14:paraId="456422F4" w14:textId="77777777" w:rsidR="0099339E" w:rsidRPr="009D3726" w:rsidRDefault="0099339E" w:rsidP="00C6418A">
            <w:pPr>
              <w:autoSpaceDE w:val="0"/>
              <w:autoSpaceDN w:val="0"/>
              <w:adjustRightInd w:val="0"/>
              <w:spacing w:after="0" w:line="240" w:lineRule="auto"/>
              <w:jc w:val="center"/>
              <w:rPr>
                <w:rFonts w:cs="Times New Roman"/>
                <w:color w:val="000000"/>
                <w:kern w:val="0"/>
                <w:szCs w:val="24"/>
              </w:rPr>
            </w:pPr>
            <w:r w:rsidRPr="009D3726">
              <w:rPr>
                <w:rFonts w:cs="Times New Roman"/>
                <w:color w:val="000000"/>
                <w:kern w:val="0"/>
                <w:szCs w:val="24"/>
              </w:rPr>
              <w:t>1176253326</w:t>
            </w:r>
          </w:p>
        </w:tc>
      </w:tr>
      <w:tr w:rsidR="0099339E" w:rsidRPr="009D3726" w14:paraId="211D5008" w14:textId="77777777" w:rsidTr="0099339E">
        <w:trPr>
          <w:trHeight w:val="306"/>
        </w:trPr>
        <w:tc>
          <w:tcPr>
            <w:tcW w:w="771" w:type="dxa"/>
          </w:tcPr>
          <w:p w14:paraId="182E585E" w14:textId="77777777" w:rsidR="0099339E" w:rsidRPr="009D3726" w:rsidRDefault="0099339E" w:rsidP="00C6418A">
            <w:pPr>
              <w:autoSpaceDE w:val="0"/>
              <w:autoSpaceDN w:val="0"/>
              <w:adjustRightInd w:val="0"/>
              <w:spacing w:after="0" w:line="240" w:lineRule="auto"/>
              <w:jc w:val="center"/>
              <w:rPr>
                <w:rFonts w:cs="Times New Roman"/>
                <w:b/>
                <w:bCs/>
                <w:color w:val="000000"/>
                <w:kern w:val="0"/>
                <w:szCs w:val="24"/>
              </w:rPr>
            </w:pPr>
            <w:r w:rsidRPr="009D3726">
              <w:rPr>
                <w:rFonts w:cs="Times New Roman"/>
                <w:b/>
                <w:bCs/>
                <w:color w:val="000000"/>
                <w:kern w:val="0"/>
                <w:szCs w:val="24"/>
              </w:rPr>
              <w:t>2016</w:t>
            </w:r>
          </w:p>
        </w:tc>
        <w:tc>
          <w:tcPr>
            <w:tcW w:w="1528" w:type="dxa"/>
          </w:tcPr>
          <w:p w14:paraId="4500CDD6" w14:textId="77777777" w:rsidR="0099339E" w:rsidRPr="009D3726" w:rsidRDefault="0099339E" w:rsidP="00C6418A">
            <w:pPr>
              <w:autoSpaceDE w:val="0"/>
              <w:autoSpaceDN w:val="0"/>
              <w:adjustRightInd w:val="0"/>
              <w:spacing w:after="0" w:line="240" w:lineRule="auto"/>
              <w:jc w:val="center"/>
              <w:rPr>
                <w:rFonts w:cs="Times New Roman"/>
                <w:color w:val="000000"/>
                <w:kern w:val="0"/>
                <w:szCs w:val="24"/>
              </w:rPr>
            </w:pPr>
            <w:r w:rsidRPr="009D3726">
              <w:rPr>
                <w:rFonts w:cs="Times New Roman"/>
                <w:color w:val="000000"/>
                <w:kern w:val="0"/>
                <w:szCs w:val="24"/>
              </w:rPr>
              <w:t>177584191</w:t>
            </w:r>
          </w:p>
        </w:tc>
        <w:tc>
          <w:tcPr>
            <w:tcW w:w="1999" w:type="dxa"/>
          </w:tcPr>
          <w:p w14:paraId="4AE573B7" w14:textId="77777777" w:rsidR="0099339E" w:rsidRPr="009D3726" w:rsidRDefault="0099339E" w:rsidP="00C6418A">
            <w:pPr>
              <w:autoSpaceDE w:val="0"/>
              <w:autoSpaceDN w:val="0"/>
              <w:adjustRightInd w:val="0"/>
              <w:spacing w:after="0" w:line="240" w:lineRule="auto"/>
              <w:jc w:val="center"/>
              <w:rPr>
                <w:rFonts w:cs="Times New Roman"/>
                <w:color w:val="000000"/>
                <w:kern w:val="0"/>
                <w:szCs w:val="24"/>
              </w:rPr>
            </w:pPr>
            <w:r w:rsidRPr="009D3726">
              <w:rPr>
                <w:rFonts w:cs="Times New Roman"/>
                <w:color w:val="000000"/>
                <w:kern w:val="0"/>
                <w:szCs w:val="24"/>
              </w:rPr>
              <w:t>5904640</w:t>
            </w:r>
          </w:p>
        </w:tc>
        <w:tc>
          <w:tcPr>
            <w:tcW w:w="1845" w:type="dxa"/>
          </w:tcPr>
          <w:p w14:paraId="5F951FAD" w14:textId="77777777" w:rsidR="0099339E" w:rsidRPr="009D3726" w:rsidRDefault="0099339E" w:rsidP="00C6418A">
            <w:pPr>
              <w:autoSpaceDE w:val="0"/>
              <w:autoSpaceDN w:val="0"/>
              <w:adjustRightInd w:val="0"/>
              <w:spacing w:after="0" w:line="240" w:lineRule="auto"/>
              <w:jc w:val="center"/>
              <w:rPr>
                <w:rFonts w:cs="Times New Roman"/>
                <w:color w:val="000000"/>
                <w:kern w:val="0"/>
                <w:szCs w:val="24"/>
              </w:rPr>
            </w:pPr>
            <w:r w:rsidRPr="009D3726">
              <w:rPr>
                <w:rFonts w:cs="Times New Roman"/>
                <w:color w:val="000000"/>
                <w:kern w:val="0"/>
                <w:szCs w:val="24"/>
              </w:rPr>
              <w:t>3042667</w:t>
            </w:r>
          </w:p>
        </w:tc>
        <w:tc>
          <w:tcPr>
            <w:tcW w:w="1732" w:type="dxa"/>
          </w:tcPr>
          <w:p w14:paraId="76ED14C6" w14:textId="77777777" w:rsidR="0099339E" w:rsidRPr="009D3726" w:rsidRDefault="0099339E" w:rsidP="00C6418A">
            <w:pPr>
              <w:autoSpaceDE w:val="0"/>
              <w:autoSpaceDN w:val="0"/>
              <w:adjustRightInd w:val="0"/>
              <w:spacing w:after="0" w:line="240" w:lineRule="auto"/>
              <w:jc w:val="center"/>
              <w:rPr>
                <w:rFonts w:cs="Times New Roman"/>
                <w:color w:val="000000"/>
                <w:kern w:val="0"/>
                <w:szCs w:val="24"/>
              </w:rPr>
            </w:pPr>
            <w:r w:rsidRPr="009D3726">
              <w:rPr>
                <w:rFonts w:cs="Times New Roman"/>
                <w:color w:val="000000"/>
                <w:kern w:val="0"/>
                <w:szCs w:val="24"/>
              </w:rPr>
              <w:t>788500</w:t>
            </w:r>
          </w:p>
        </w:tc>
        <w:tc>
          <w:tcPr>
            <w:tcW w:w="1936" w:type="dxa"/>
          </w:tcPr>
          <w:p w14:paraId="0042E379" w14:textId="77777777" w:rsidR="0099339E" w:rsidRPr="009D3726" w:rsidRDefault="0099339E" w:rsidP="00C6418A">
            <w:pPr>
              <w:autoSpaceDE w:val="0"/>
              <w:autoSpaceDN w:val="0"/>
              <w:adjustRightInd w:val="0"/>
              <w:spacing w:after="0" w:line="240" w:lineRule="auto"/>
              <w:jc w:val="center"/>
              <w:rPr>
                <w:rFonts w:cs="Times New Roman"/>
                <w:color w:val="000000"/>
                <w:kern w:val="0"/>
                <w:szCs w:val="24"/>
              </w:rPr>
            </w:pPr>
            <w:r w:rsidRPr="009D3726">
              <w:rPr>
                <w:rFonts w:cs="Times New Roman"/>
                <w:color w:val="000000"/>
                <w:kern w:val="0"/>
                <w:szCs w:val="24"/>
              </w:rPr>
              <w:t>187319998</w:t>
            </w:r>
          </w:p>
        </w:tc>
      </w:tr>
      <w:tr w:rsidR="0099339E" w:rsidRPr="009D3726" w14:paraId="00B1253B" w14:textId="77777777" w:rsidTr="0099339E">
        <w:trPr>
          <w:trHeight w:val="306"/>
        </w:trPr>
        <w:tc>
          <w:tcPr>
            <w:tcW w:w="771" w:type="dxa"/>
          </w:tcPr>
          <w:p w14:paraId="7C9409C9" w14:textId="77777777" w:rsidR="0099339E" w:rsidRPr="009D3726" w:rsidRDefault="0099339E" w:rsidP="00C6418A">
            <w:pPr>
              <w:autoSpaceDE w:val="0"/>
              <w:autoSpaceDN w:val="0"/>
              <w:adjustRightInd w:val="0"/>
              <w:spacing w:after="0" w:line="240" w:lineRule="auto"/>
              <w:jc w:val="center"/>
              <w:rPr>
                <w:rFonts w:cs="Times New Roman"/>
                <w:b/>
                <w:bCs/>
                <w:color w:val="000000"/>
                <w:kern w:val="0"/>
                <w:szCs w:val="24"/>
              </w:rPr>
            </w:pPr>
            <w:r w:rsidRPr="009D3726">
              <w:rPr>
                <w:rFonts w:cs="Times New Roman"/>
                <w:b/>
                <w:bCs/>
                <w:color w:val="000000"/>
                <w:kern w:val="0"/>
                <w:szCs w:val="24"/>
              </w:rPr>
              <w:t>2017</w:t>
            </w:r>
          </w:p>
        </w:tc>
        <w:tc>
          <w:tcPr>
            <w:tcW w:w="1528" w:type="dxa"/>
          </w:tcPr>
          <w:p w14:paraId="56486C2A" w14:textId="77777777" w:rsidR="0099339E" w:rsidRPr="009D3726" w:rsidRDefault="0099339E" w:rsidP="00C6418A">
            <w:pPr>
              <w:autoSpaceDE w:val="0"/>
              <w:autoSpaceDN w:val="0"/>
              <w:adjustRightInd w:val="0"/>
              <w:spacing w:after="0" w:line="240" w:lineRule="auto"/>
              <w:jc w:val="center"/>
              <w:rPr>
                <w:rFonts w:cs="Times New Roman"/>
                <w:color w:val="000000"/>
                <w:kern w:val="0"/>
                <w:szCs w:val="24"/>
              </w:rPr>
            </w:pPr>
            <w:r w:rsidRPr="009D3726">
              <w:rPr>
                <w:rFonts w:cs="Times New Roman"/>
                <w:color w:val="000000"/>
                <w:kern w:val="0"/>
                <w:szCs w:val="24"/>
              </w:rPr>
              <w:t>987419201</w:t>
            </w:r>
          </w:p>
        </w:tc>
        <w:tc>
          <w:tcPr>
            <w:tcW w:w="1999" w:type="dxa"/>
          </w:tcPr>
          <w:p w14:paraId="336A62BF" w14:textId="77777777" w:rsidR="0099339E" w:rsidRPr="009D3726" w:rsidRDefault="0099339E" w:rsidP="00C6418A">
            <w:pPr>
              <w:autoSpaceDE w:val="0"/>
              <w:autoSpaceDN w:val="0"/>
              <w:adjustRightInd w:val="0"/>
              <w:spacing w:after="0" w:line="240" w:lineRule="auto"/>
              <w:jc w:val="center"/>
              <w:rPr>
                <w:rFonts w:cs="Times New Roman"/>
                <w:color w:val="000000"/>
                <w:kern w:val="0"/>
                <w:szCs w:val="24"/>
              </w:rPr>
            </w:pPr>
            <w:r w:rsidRPr="009D3726">
              <w:rPr>
                <w:rFonts w:cs="Times New Roman"/>
                <w:color w:val="000000"/>
                <w:kern w:val="0"/>
                <w:szCs w:val="24"/>
              </w:rPr>
              <w:t>725063800</w:t>
            </w:r>
          </w:p>
        </w:tc>
        <w:tc>
          <w:tcPr>
            <w:tcW w:w="1845" w:type="dxa"/>
          </w:tcPr>
          <w:p w14:paraId="135B0AE9" w14:textId="77777777" w:rsidR="0099339E" w:rsidRPr="009D3726" w:rsidRDefault="0099339E" w:rsidP="00C6418A">
            <w:pPr>
              <w:autoSpaceDE w:val="0"/>
              <w:autoSpaceDN w:val="0"/>
              <w:adjustRightInd w:val="0"/>
              <w:spacing w:after="0" w:line="240" w:lineRule="auto"/>
              <w:jc w:val="center"/>
              <w:rPr>
                <w:rFonts w:cs="Times New Roman"/>
                <w:color w:val="000000"/>
                <w:kern w:val="0"/>
                <w:szCs w:val="24"/>
              </w:rPr>
            </w:pPr>
            <w:r w:rsidRPr="009D3726">
              <w:rPr>
                <w:rFonts w:cs="Times New Roman"/>
                <w:color w:val="000000"/>
                <w:kern w:val="0"/>
                <w:szCs w:val="24"/>
              </w:rPr>
              <w:t>1710000</w:t>
            </w:r>
          </w:p>
        </w:tc>
        <w:tc>
          <w:tcPr>
            <w:tcW w:w="1732" w:type="dxa"/>
          </w:tcPr>
          <w:p w14:paraId="26BE5819" w14:textId="77777777" w:rsidR="0099339E" w:rsidRPr="009D3726" w:rsidRDefault="0099339E" w:rsidP="00C6418A">
            <w:pPr>
              <w:autoSpaceDE w:val="0"/>
              <w:autoSpaceDN w:val="0"/>
              <w:adjustRightInd w:val="0"/>
              <w:spacing w:after="0" w:line="240" w:lineRule="auto"/>
              <w:jc w:val="center"/>
              <w:rPr>
                <w:rFonts w:cs="Times New Roman"/>
                <w:color w:val="000000"/>
                <w:kern w:val="0"/>
                <w:szCs w:val="24"/>
              </w:rPr>
            </w:pPr>
            <w:r w:rsidRPr="009D3726">
              <w:rPr>
                <w:rFonts w:cs="Times New Roman"/>
                <w:color w:val="000000"/>
                <w:kern w:val="0"/>
                <w:szCs w:val="24"/>
              </w:rPr>
              <w:t>9100000</w:t>
            </w:r>
          </w:p>
        </w:tc>
        <w:tc>
          <w:tcPr>
            <w:tcW w:w="1936" w:type="dxa"/>
          </w:tcPr>
          <w:p w14:paraId="6F468D8C" w14:textId="77777777" w:rsidR="0099339E" w:rsidRPr="009D3726" w:rsidRDefault="0099339E" w:rsidP="00C6418A">
            <w:pPr>
              <w:autoSpaceDE w:val="0"/>
              <w:autoSpaceDN w:val="0"/>
              <w:adjustRightInd w:val="0"/>
              <w:spacing w:after="0" w:line="240" w:lineRule="auto"/>
              <w:jc w:val="center"/>
              <w:rPr>
                <w:rFonts w:cs="Times New Roman"/>
                <w:color w:val="000000"/>
                <w:kern w:val="0"/>
                <w:szCs w:val="24"/>
              </w:rPr>
            </w:pPr>
            <w:r w:rsidRPr="009D3726">
              <w:rPr>
                <w:rFonts w:cs="Times New Roman"/>
                <w:color w:val="000000"/>
                <w:kern w:val="0"/>
                <w:szCs w:val="24"/>
              </w:rPr>
              <w:t>1723293001</w:t>
            </w:r>
          </w:p>
        </w:tc>
      </w:tr>
      <w:tr w:rsidR="0099339E" w:rsidRPr="009D3726" w14:paraId="5ED31209" w14:textId="77777777" w:rsidTr="0099339E">
        <w:trPr>
          <w:trHeight w:val="306"/>
        </w:trPr>
        <w:tc>
          <w:tcPr>
            <w:tcW w:w="771" w:type="dxa"/>
          </w:tcPr>
          <w:p w14:paraId="26EDF52B" w14:textId="77777777" w:rsidR="0099339E" w:rsidRPr="009D3726" w:rsidRDefault="0099339E" w:rsidP="00C6418A">
            <w:pPr>
              <w:autoSpaceDE w:val="0"/>
              <w:autoSpaceDN w:val="0"/>
              <w:adjustRightInd w:val="0"/>
              <w:spacing w:after="0" w:line="240" w:lineRule="auto"/>
              <w:jc w:val="center"/>
              <w:rPr>
                <w:rFonts w:cs="Times New Roman"/>
                <w:b/>
                <w:bCs/>
                <w:color w:val="000000"/>
                <w:kern w:val="0"/>
                <w:szCs w:val="24"/>
              </w:rPr>
            </w:pPr>
            <w:r w:rsidRPr="009D3726">
              <w:rPr>
                <w:rFonts w:cs="Times New Roman"/>
                <w:b/>
                <w:bCs/>
                <w:color w:val="000000"/>
                <w:kern w:val="0"/>
                <w:szCs w:val="24"/>
              </w:rPr>
              <w:t>2018</w:t>
            </w:r>
          </w:p>
        </w:tc>
        <w:tc>
          <w:tcPr>
            <w:tcW w:w="1528" w:type="dxa"/>
          </w:tcPr>
          <w:p w14:paraId="11E336F6" w14:textId="77777777" w:rsidR="0099339E" w:rsidRPr="009D3726" w:rsidRDefault="0099339E" w:rsidP="00C6418A">
            <w:pPr>
              <w:autoSpaceDE w:val="0"/>
              <w:autoSpaceDN w:val="0"/>
              <w:adjustRightInd w:val="0"/>
              <w:spacing w:after="0" w:line="240" w:lineRule="auto"/>
              <w:jc w:val="center"/>
              <w:rPr>
                <w:rFonts w:cs="Times New Roman"/>
                <w:color w:val="000000"/>
                <w:kern w:val="0"/>
                <w:szCs w:val="24"/>
              </w:rPr>
            </w:pPr>
            <w:r w:rsidRPr="009D3726">
              <w:rPr>
                <w:rFonts w:cs="Times New Roman"/>
                <w:color w:val="000000"/>
                <w:kern w:val="0"/>
                <w:szCs w:val="24"/>
              </w:rPr>
              <w:t>641929118</w:t>
            </w:r>
          </w:p>
        </w:tc>
        <w:tc>
          <w:tcPr>
            <w:tcW w:w="1999" w:type="dxa"/>
          </w:tcPr>
          <w:p w14:paraId="54C02D28" w14:textId="77777777" w:rsidR="0099339E" w:rsidRPr="009D3726" w:rsidRDefault="0099339E" w:rsidP="00C6418A">
            <w:pPr>
              <w:autoSpaceDE w:val="0"/>
              <w:autoSpaceDN w:val="0"/>
              <w:adjustRightInd w:val="0"/>
              <w:spacing w:after="0" w:line="240" w:lineRule="auto"/>
              <w:jc w:val="center"/>
              <w:rPr>
                <w:rFonts w:cs="Times New Roman"/>
                <w:color w:val="000000"/>
                <w:kern w:val="0"/>
                <w:szCs w:val="24"/>
              </w:rPr>
            </w:pPr>
            <w:r w:rsidRPr="009D3726">
              <w:rPr>
                <w:rFonts w:cs="Times New Roman"/>
                <w:color w:val="000000"/>
                <w:kern w:val="0"/>
                <w:szCs w:val="24"/>
              </w:rPr>
              <w:t>323923500</w:t>
            </w:r>
          </w:p>
        </w:tc>
        <w:tc>
          <w:tcPr>
            <w:tcW w:w="1845" w:type="dxa"/>
          </w:tcPr>
          <w:p w14:paraId="6B91390C" w14:textId="77777777" w:rsidR="0099339E" w:rsidRPr="009D3726" w:rsidRDefault="0099339E" w:rsidP="00C6418A">
            <w:pPr>
              <w:autoSpaceDE w:val="0"/>
              <w:autoSpaceDN w:val="0"/>
              <w:adjustRightInd w:val="0"/>
              <w:spacing w:after="0" w:line="240" w:lineRule="auto"/>
              <w:jc w:val="center"/>
              <w:rPr>
                <w:rFonts w:cs="Times New Roman"/>
                <w:color w:val="000000"/>
                <w:kern w:val="0"/>
                <w:szCs w:val="24"/>
              </w:rPr>
            </w:pPr>
            <w:r w:rsidRPr="009D3726">
              <w:rPr>
                <w:rFonts w:cs="Times New Roman"/>
                <w:color w:val="000000"/>
                <w:kern w:val="0"/>
                <w:szCs w:val="24"/>
              </w:rPr>
              <w:t>3550000</w:t>
            </w:r>
          </w:p>
        </w:tc>
        <w:tc>
          <w:tcPr>
            <w:tcW w:w="1732" w:type="dxa"/>
          </w:tcPr>
          <w:p w14:paraId="3D467DE4" w14:textId="77777777" w:rsidR="0099339E" w:rsidRPr="009D3726" w:rsidRDefault="0099339E" w:rsidP="00C6418A">
            <w:pPr>
              <w:autoSpaceDE w:val="0"/>
              <w:autoSpaceDN w:val="0"/>
              <w:adjustRightInd w:val="0"/>
              <w:spacing w:after="0" w:line="240" w:lineRule="auto"/>
              <w:jc w:val="center"/>
              <w:rPr>
                <w:rFonts w:cs="Times New Roman"/>
                <w:color w:val="000000"/>
                <w:kern w:val="0"/>
                <w:szCs w:val="24"/>
              </w:rPr>
            </w:pPr>
            <w:r w:rsidRPr="009D3726">
              <w:rPr>
                <w:rFonts w:cs="Times New Roman"/>
                <w:color w:val="000000"/>
                <w:kern w:val="0"/>
                <w:szCs w:val="24"/>
              </w:rPr>
              <w:t>647856050</w:t>
            </w:r>
          </w:p>
        </w:tc>
        <w:tc>
          <w:tcPr>
            <w:tcW w:w="1936" w:type="dxa"/>
          </w:tcPr>
          <w:p w14:paraId="54586978" w14:textId="77777777" w:rsidR="0099339E" w:rsidRPr="009D3726" w:rsidRDefault="0099339E" w:rsidP="00C6418A">
            <w:pPr>
              <w:autoSpaceDE w:val="0"/>
              <w:autoSpaceDN w:val="0"/>
              <w:adjustRightInd w:val="0"/>
              <w:spacing w:after="0" w:line="240" w:lineRule="auto"/>
              <w:jc w:val="center"/>
              <w:rPr>
                <w:rFonts w:cs="Times New Roman"/>
                <w:color w:val="000000"/>
                <w:kern w:val="0"/>
                <w:szCs w:val="24"/>
              </w:rPr>
            </w:pPr>
            <w:r w:rsidRPr="009D3726">
              <w:rPr>
                <w:rFonts w:cs="Times New Roman"/>
                <w:color w:val="000000"/>
                <w:kern w:val="0"/>
                <w:szCs w:val="24"/>
              </w:rPr>
              <w:t>1617258668</w:t>
            </w:r>
          </w:p>
        </w:tc>
      </w:tr>
      <w:tr w:rsidR="0099339E" w:rsidRPr="009D3726" w14:paraId="1750D74B" w14:textId="77777777" w:rsidTr="0099339E">
        <w:trPr>
          <w:trHeight w:val="306"/>
        </w:trPr>
        <w:tc>
          <w:tcPr>
            <w:tcW w:w="771" w:type="dxa"/>
          </w:tcPr>
          <w:p w14:paraId="6267BD42" w14:textId="77777777" w:rsidR="0099339E" w:rsidRPr="009D3726" w:rsidRDefault="0099339E" w:rsidP="00C6418A">
            <w:pPr>
              <w:autoSpaceDE w:val="0"/>
              <w:autoSpaceDN w:val="0"/>
              <w:adjustRightInd w:val="0"/>
              <w:spacing w:after="0" w:line="240" w:lineRule="auto"/>
              <w:jc w:val="center"/>
              <w:rPr>
                <w:rFonts w:cs="Times New Roman"/>
                <w:b/>
                <w:bCs/>
                <w:color w:val="000000"/>
                <w:kern w:val="0"/>
                <w:szCs w:val="24"/>
              </w:rPr>
            </w:pPr>
            <w:r w:rsidRPr="009D3726">
              <w:rPr>
                <w:rFonts w:cs="Times New Roman"/>
                <w:b/>
                <w:bCs/>
                <w:color w:val="000000"/>
                <w:kern w:val="0"/>
                <w:szCs w:val="24"/>
              </w:rPr>
              <w:t>2019</w:t>
            </w:r>
          </w:p>
        </w:tc>
        <w:tc>
          <w:tcPr>
            <w:tcW w:w="1528" w:type="dxa"/>
          </w:tcPr>
          <w:p w14:paraId="40D46C96" w14:textId="77777777" w:rsidR="0099339E" w:rsidRPr="009D3726" w:rsidRDefault="0099339E" w:rsidP="00C6418A">
            <w:pPr>
              <w:autoSpaceDE w:val="0"/>
              <w:autoSpaceDN w:val="0"/>
              <w:adjustRightInd w:val="0"/>
              <w:spacing w:after="0" w:line="240" w:lineRule="auto"/>
              <w:jc w:val="center"/>
              <w:rPr>
                <w:rFonts w:cs="Times New Roman"/>
                <w:color w:val="000000"/>
                <w:kern w:val="0"/>
                <w:szCs w:val="24"/>
              </w:rPr>
            </w:pPr>
            <w:r w:rsidRPr="009D3726">
              <w:rPr>
                <w:rFonts w:cs="Times New Roman"/>
                <w:color w:val="000000"/>
                <w:kern w:val="0"/>
                <w:szCs w:val="24"/>
              </w:rPr>
              <w:t>715176202</w:t>
            </w:r>
          </w:p>
        </w:tc>
        <w:tc>
          <w:tcPr>
            <w:tcW w:w="1999" w:type="dxa"/>
          </w:tcPr>
          <w:p w14:paraId="305687A4" w14:textId="77777777" w:rsidR="0099339E" w:rsidRPr="009D3726" w:rsidRDefault="0099339E" w:rsidP="00C6418A">
            <w:pPr>
              <w:autoSpaceDE w:val="0"/>
              <w:autoSpaceDN w:val="0"/>
              <w:adjustRightInd w:val="0"/>
              <w:spacing w:after="0" w:line="240" w:lineRule="auto"/>
              <w:jc w:val="center"/>
              <w:rPr>
                <w:rFonts w:cs="Times New Roman"/>
                <w:color w:val="000000"/>
                <w:kern w:val="0"/>
                <w:szCs w:val="24"/>
              </w:rPr>
            </w:pPr>
            <w:r w:rsidRPr="009D3726">
              <w:rPr>
                <w:rFonts w:cs="Times New Roman"/>
                <w:color w:val="000000"/>
                <w:kern w:val="0"/>
                <w:szCs w:val="24"/>
              </w:rPr>
              <w:t>458205000</w:t>
            </w:r>
          </w:p>
        </w:tc>
        <w:tc>
          <w:tcPr>
            <w:tcW w:w="1845" w:type="dxa"/>
          </w:tcPr>
          <w:p w14:paraId="029E6D8E" w14:textId="77777777" w:rsidR="0099339E" w:rsidRPr="009D3726" w:rsidRDefault="0099339E" w:rsidP="00C6418A">
            <w:pPr>
              <w:autoSpaceDE w:val="0"/>
              <w:autoSpaceDN w:val="0"/>
              <w:adjustRightInd w:val="0"/>
              <w:spacing w:after="0" w:line="240" w:lineRule="auto"/>
              <w:jc w:val="center"/>
              <w:rPr>
                <w:rFonts w:cs="Times New Roman"/>
                <w:color w:val="000000"/>
                <w:kern w:val="0"/>
                <w:szCs w:val="24"/>
              </w:rPr>
            </w:pPr>
            <w:r w:rsidRPr="009D3726">
              <w:rPr>
                <w:rFonts w:cs="Times New Roman"/>
                <w:color w:val="000000"/>
                <w:kern w:val="0"/>
                <w:szCs w:val="24"/>
              </w:rPr>
              <w:t>13582968</w:t>
            </w:r>
          </w:p>
        </w:tc>
        <w:tc>
          <w:tcPr>
            <w:tcW w:w="1732" w:type="dxa"/>
          </w:tcPr>
          <w:p w14:paraId="12DDA54C" w14:textId="77777777" w:rsidR="0099339E" w:rsidRPr="009D3726" w:rsidRDefault="0099339E" w:rsidP="00C6418A">
            <w:pPr>
              <w:autoSpaceDE w:val="0"/>
              <w:autoSpaceDN w:val="0"/>
              <w:adjustRightInd w:val="0"/>
              <w:spacing w:after="0" w:line="240" w:lineRule="auto"/>
              <w:jc w:val="center"/>
              <w:rPr>
                <w:rFonts w:cs="Times New Roman"/>
                <w:color w:val="000000"/>
                <w:kern w:val="0"/>
                <w:szCs w:val="24"/>
              </w:rPr>
            </w:pPr>
            <w:r w:rsidRPr="009D3726">
              <w:rPr>
                <w:rFonts w:cs="Times New Roman"/>
                <w:color w:val="000000"/>
                <w:kern w:val="0"/>
                <w:szCs w:val="24"/>
              </w:rPr>
              <w:t>12433334</w:t>
            </w:r>
          </w:p>
        </w:tc>
        <w:tc>
          <w:tcPr>
            <w:tcW w:w="1936" w:type="dxa"/>
          </w:tcPr>
          <w:p w14:paraId="5C1B1DBE" w14:textId="77777777" w:rsidR="0099339E" w:rsidRPr="009D3726" w:rsidRDefault="0099339E" w:rsidP="00C6418A">
            <w:pPr>
              <w:autoSpaceDE w:val="0"/>
              <w:autoSpaceDN w:val="0"/>
              <w:adjustRightInd w:val="0"/>
              <w:spacing w:after="0" w:line="240" w:lineRule="auto"/>
              <w:jc w:val="center"/>
              <w:rPr>
                <w:rFonts w:cs="Times New Roman"/>
                <w:color w:val="000000"/>
                <w:kern w:val="0"/>
                <w:szCs w:val="24"/>
              </w:rPr>
            </w:pPr>
            <w:r w:rsidRPr="009D3726">
              <w:rPr>
                <w:rFonts w:cs="Times New Roman"/>
                <w:color w:val="000000"/>
                <w:kern w:val="0"/>
                <w:szCs w:val="24"/>
              </w:rPr>
              <w:t>1199397504</w:t>
            </w:r>
          </w:p>
        </w:tc>
      </w:tr>
      <w:tr w:rsidR="0099339E" w:rsidRPr="009D3726" w14:paraId="282F353A" w14:textId="77777777" w:rsidTr="0099339E">
        <w:trPr>
          <w:trHeight w:val="306"/>
        </w:trPr>
        <w:tc>
          <w:tcPr>
            <w:tcW w:w="771" w:type="dxa"/>
          </w:tcPr>
          <w:p w14:paraId="136026D9" w14:textId="77777777" w:rsidR="0099339E" w:rsidRPr="009D3726" w:rsidRDefault="0099339E" w:rsidP="00C6418A">
            <w:pPr>
              <w:autoSpaceDE w:val="0"/>
              <w:autoSpaceDN w:val="0"/>
              <w:adjustRightInd w:val="0"/>
              <w:spacing w:after="0" w:line="240" w:lineRule="auto"/>
              <w:jc w:val="center"/>
              <w:rPr>
                <w:rFonts w:cs="Times New Roman"/>
                <w:b/>
                <w:bCs/>
                <w:color w:val="000000"/>
                <w:kern w:val="0"/>
                <w:szCs w:val="24"/>
              </w:rPr>
            </w:pPr>
            <w:r w:rsidRPr="009D3726">
              <w:rPr>
                <w:rFonts w:cs="Times New Roman"/>
                <w:b/>
                <w:bCs/>
                <w:color w:val="000000"/>
                <w:kern w:val="0"/>
                <w:szCs w:val="24"/>
              </w:rPr>
              <w:t>2020</w:t>
            </w:r>
          </w:p>
        </w:tc>
        <w:tc>
          <w:tcPr>
            <w:tcW w:w="1528" w:type="dxa"/>
          </w:tcPr>
          <w:p w14:paraId="6ABF1B10" w14:textId="77777777" w:rsidR="0099339E" w:rsidRPr="009D3726" w:rsidRDefault="0099339E" w:rsidP="00C6418A">
            <w:pPr>
              <w:autoSpaceDE w:val="0"/>
              <w:autoSpaceDN w:val="0"/>
              <w:adjustRightInd w:val="0"/>
              <w:spacing w:after="0" w:line="240" w:lineRule="auto"/>
              <w:jc w:val="center"/>
              <w:rPr>
                <w:rFonts w:cs="Times New Roman"/>
                <w:color w:val="000000"/>
                <w:kern w:val="0"/>
                <w:szCs w:val="24"/>
              </w:rPr>
            </w:pPr>
            <w:r w:rsidRPr="009D3726">
              <w:rPr>
                <w:rFonts w:cs="Times New Roman"/>
                <w:color w:val="000000"/>
                <w:kern w:val="0"/>
                <w:szCs w:val="24"/>
              </w:rPr>
              <w:t>243866405</w:t>
            </w:r>
          </w:p>
        </w:tc>
        <w:tc>
          <w:tcPr>
            <w:tcW w:w="1999" w:type="dxa"/>
          </w:tcPr>
          <w:p w14:paraId="407E128C" w14:textId="77777777" w:rsidR="0099339E" w:rsidRPr="009D3726" w:rsidRDefault="0099339E" w:rsidP="00C6418A">
            <w:pPr>
              <w:autoSpaceDE w:val="0"/>
              <w:autoSpaceDN w:val="0"/>
              <w:adjustRightInd w:val="0"/>
              <w:spacing w:after="0" w:line="240" w:lineRule="auto"/>
              <w:jc w:val="center"/>
              <w:rPr>
                <w:rFonts w:cs="Times New Roman"/>
                <w:color w:val="000000"/>
                <w:kern w:val="0"/>
                <w:szCs w:val="24"/>
              </w:rPr>
            </w:pPr>
            <w:r w:rsidRPr="009D3726">
              <w:rPr>
                <w:rFonts w:cs="Times New Roman"/>
                <w:color w:val="000000"/>
                <w:kern w:val="0"/>
                <w:szCs w:val="24"/>
              </w:rPr>
              <w:t>96501764</w:t>
            </w:r>
          </w:p>
        </w:tc>
        <w:tc>
          <w:tcPr>
            <w:tcW w:w="1845" w:type="dxa"/>
          </w:tcPr>
          <w:p w14:paraId="3F9A679D" w14:textId="77777777" w:rsidR="0099339E" w:rsidRPr="009D3726" w:rsidRDefault="0099339E" w:rsidP="00C6418A">
            <w:pPr>
              <w:autoSpaceDE w:val="0"/>
              <w:autoSpaceDN w:val="0"/>
              <w:adjustRightInd w:val="0"/>
              <w:spacing w:after="0" w:line="240" w:lineRule="auto"/>
              <w:jc w:val="center"/>
              <w:rPr>
                <w:rFonts w:cs="Times New Roman"/>
                <w:color w:val="000000"/>
                <w:kern w:val="0"/>
                <w:szCs w:val="24"/>
              </w:rPr>
            </w:pPr>
            <w:r w:rsidRPr="009D3726">
              <w:rPr>
                <w:rFonts w:cs="Times New Roman"/>
                <w:color w:val="000000"/>
                <w:kern w:val="0"/>
                <w:szCs w:val="24"/>
              </w:rPr>
              <w:t>5530475</w:t>
            </w:r>
          </w:p>
        </w:tc>
        <w:tc>
          <w:tcPr>
            <w:tcW w:w="1732" w:type="dxa"/>
          </w:tcPr>
          <w:p w14:paraId="2185DB50" w14:textId="77777777" w:rsidR="0099339E" w:rsidRPr="009D3726" w:rsidRDefault="0099339E" w:rsidP="00C6418A">
            <w:pPr>
              <w:autoSpaceDE w:val="0"/>
              <w:autoSpaceDN w:val="0"/>
              <w:adjustRightInd w:val="0"/>
              <w:spacing w:after="0" w:line="240" w:lineRule="auto"/>
              <w:jc w:val="center"/>
              <w:rPr>
                <w:rFonts w:cs="Times New Roman"/>
                <w:color w:val="000000"/>
                <w:kern w:val="0"/>
                <w:szCs w:val="24"/>
              </w:rPr>
            </w:pPr>
            <w:r w:rsidRPr="009D3726">
              <w:rPr>
                <w:rFonts w:cs="Times New Roman"/>
                <w:color w:val="000000"/>
                <w:kern w:val="0"/>
                <w:szCs w:val="24"/>
              </w:rPr>
              <w:t>36591343</w:t>
            </w:r>
          </w:p>
        </w:tc>
        <w:tc>
          <w:tcPr>
            <w:tcW w:w="1936" w:type="dxa"/>
          </w:tcPr>
          <w:p w14:paraId="273B4768" w14:textId="77777777" w:rsidR="0099339E" w:rsidRPr="009D3726" w:rsidRDefault="0099339E" w:rsidP="00C6418A">
            <w:pPr>
              <w:autoSpaceDE w:val="0"/>
              <w:autoSpaceDN w:val="0"/>
              <w:adjustRightInd w:val="0"/>
              <w:spacing w:after="0" w:line="240" w:lineRule="auto"/>
              <w:jc w:val="center"/>
              <w:rPr>
                <w:rFonts w:cs="Times New Roman"/>
                <w:color w:val="000000"/>
                <w:kern w:val="0"/>
                <w:szCs w:val="24"/>
              </w:rPr>
            </w:pPr>
            <w:r w:rsidRPr="009D3726">
              <w:rPr>
                <w:rFonts w:cs="Times New Roman"/>
                <w:color w:val="000000"/>
                <w:kern w:val="0"/>
                <w:szCs w:val="24"/>
              </w:rPr>
              <w:t>382489987</w:t>
            </w:r>
          </w:p>
        </w:tc>
      </w:tr>
      <w:tr w:rsidR="0099339E" w:rsidRPr="009D3726" w14:paraId="62FE6AFC" w14:textId="77777777" w:rsidTr="0099339E">
        <w:trPr>
          <w:trHeight w:val="306"/>
        </w:trPr>
        <w:tc>
          <w:tcPr>
            <w:tcW w:w="771" w:type="dxa"/>
          </w:tcPr>
          <w:p w14:paraId="3619C0BF" w14:textId="77777777" w:rsidR="0099339E" w:rsidRPr="009D3726" w:rsidRDefault="0099339E" w:rsidP="00C6418A">
            <w:pPr>
              <w:autoSpaceDE w:val="0"/>
              <w:autoSpaceDN w:val="0"/>
              <w:adjustRightInd w:val="0"/>
              <w:spacing w:after="0" w:line="240" w:lineRule="auto"/>
              <w:jc w:val="center"/>
              <w:rPr>
                <w:rFonts w:cs="Times New Roman"/>
                <w:b/>
                <w:bCs/>
                <w:color w:val="000000"/>
                <w:kern w:val="0"/>
                <w:szCs w:val="24"/>
              </w:rPr>
            </w:pPr>
            <w:r w:rsidRPr="009D3726">
              <w:rPr>
                <w:rFonts w:cs="Times New Roman"/>
                <w:b/>
                <w:bCs/>
                <w:color w:val="000000"/>
                <w:kern w:val="0"/>
                <w:szCs w:val="24"/>
              </w:rPr>
              <w:t>2021</w:t>
            </w:r>
          </w:p>
        </w:tc>
        <w:tc>
          <w:tcPr>
            <w:tcW w:w="1528" w:type="dxa"/>
          </w:tcPr>
          <w:p w14:paraId="15042E97" w14:textId="77777777" w:rsidR="0099339E" w:rsidRPr="009D3726" w:rsidRDefault="0099339E" w:rsidP="00C6418A">
            <w:pPr>
              <w:autoSpaceDE w:val="0"/>
              <w:autoSpaceDN w:val="0"/>
              <w:adjustRightInd w:val="0"/>
              <w:spacing w:after="0" w:line="240" w:lineRule="auto"/>
              <w:jc w:val="center"/>
              <w:rPr>
                <w:rFonts w:cs="Times New Roman"/>
                <w:color w:val="000000"/>
                <w:kern w:val="0"/>
                <w:szCs w:val="24"/>
              </w:rPr>
            </w:pPr>
            <w:r w:rsidRPr="009D3726">
              <w:rPr>
                <w:rFonts w:cs="Times New Roman"/>
                <w:color w:val="000000"/>
                <w:kern w:val="0"/>
                <w:szCs w:val="24"/>
              </w:rPr>
              <w:t>1355640516</w:t>
            </w:r>
          </w:p>
        </w:tc>
        <w:tc>
          <w:tcPr>
            <w:tcW w:w="1999" w:type="dxa"/>
          </w:tcPr>
          <w:p w14:paraId="5C7C0A1B" w14:textId="77777777" w:rsidR="0099339E" w:rsidRPr="009D3726" w:rsidRDefault="0099339E" w:rsidP="00C6418A">
            <w:pPr>
              <w:autoSpaceDE w:val="0"/>
              <w:autoSpaceDN w:val="0"/>
              <w:adjustRightInd w:val="0"/>
              <w:spacing w:after="0" w:line="240" w:lineRule="auto"/>
              <w:jc w:val="center"/>
              <w:rPr>
                <w:rFonts w:cs="Times New Roman"/>
                <w:color w:val="000000"/>
                <w:kern w:val="0"/>
                <w:szCs w:val="24"/>
              </w:rPr>
            </w:pPr>
            <w:r w:rsidRPr="009D3726">
              <w:rPr>
                <w:rFonts w:cs="Times New Roman"/>
                <w:color w:val="000000"/>
                <w:kern w:val="0"/>
                <w:szCs w:val="24"/>
              </w:rPr>
              <w:t>507263416</w:t>
            </w:r>
          </w:p>
        </w:tc>
        <w:tc>
          <w:tcPr>
            <w:tcW w:w="1845" w:type="dxa"/>
          </w:tcPr>
          <w:p w14:paraId="1D9C90F1" w14:textId="77777777" w:rsidR="0099339E" w:rsidRPr="009D3726" w:rsidRDefault="0099339E" w:rsidP="00C6418A">
            <w:pPr>
              <w:autoSpaceDE w:val="0"/>
              <w:autoSpaceDN w:val="0"/>
              <w:adjustRightInd w:val="0"/>
              <w:spacing w:after="0" w:line="240" w:lineRule="auto"/>
              <w:jc w:val="center"/>
              <w:rPr>
                <w:rFonts w:cs="Times New Roman"/>
                <w:color w:val="000000"/>
                <w:kern w:val="0"/>
                <w:szCs w:val="24"/>
              </w:rPr>
            </w:pPr>
            <w:r w:rsidRPr="009D3726">
              <w:rPr>
                <w:rFonts w:cs="Times New Roman"/>
                <w:color w:val="000000"/>
                <w:kern w:val="0"/>
                <w:szCs w:val="24"/>
              </w:rPr>
              <w:t>243946967</w:t>
            </w:r>
          </w:p>
        </w:tc>
        <w:tc>
          <w:tcPr>
            <w:tcW w:w="1732" w:type="dxa"/>
          </w:tcPr>
          <w:p w14:paraId="1A712CF1" w14:textId="77777777" w:rsidR="0099339E" w:rsidRPr="009D3726" w:rsidRDefault="0099339E" w:rsidP="00C6418A">
            <w:pPr>
              <w:autoSpaceDE w:val="0"/>
              <w:autoSpaceDN w:val="0"/>
              <w:adjustRightInd w:val="0"/>
              <w:spacing w:after="0" w:line="240" w:lineRule="auto"/>
              <w:jc w:val="center"/>
              <w:rPr>
                <w:rFonts w:cs="Times New Roman"/>
                <w:color w:val="000000"/>
                <w:kern w:val="0"/>
                <w:szCs w:val="24"/>
              </w:rPr>
            </w:pPr>
            <w:r w:rsidRPr="009D3726">
              <w:rPr>
                <w:rFonts w:cs="Times New Roman"/>
                <w:color w:val="000000"/>
                <w:kern w:val="0"/>
                <w:szCs w:val="24"/>
              </w:rPr>
              <w:t>927037069</w:t>
            </w:r>
          </w:p>
        </w:tc>
        <w:tc>
          <w:tcPr>
            <w:tcW w:w="1936" w:type="dxa"/>
          </w:tcPr>
          <w:p w14:paraId="02D5E6A8" w14:textId="77777777" w:rsidR="0099339E" w:rsidRPr="009D3726" w:rsidRDefault="0099339E" w:rsidP="00C6418A">
            <w:pPr>
              <w:autoSpaceDE w:val="0"/>
              <w:autoSpaceDN w:val="0"/>
              <w:adjustRightInd w:val="0"/>
              <w:spacing w:after="0" w:line="240" w:lineRule="auto"/>
              <w:jc w:val="center"/>
              <w:rPr>
                <w:rFonts w:cs="Times New Roman"/>
                <w:color w:val="000000"/>
                <w:kern w:val="0"/>
                <w:szCs w:val="24"/>
              </w:rPr>
            </w:pPr>
            <w:r w:rsidRPr="009D3726">
              <w:rPr>
                <w:rFonts w:cs="Times New Roman"/>
                <w:color w:val="000000"/>
                <w:kern w:val="0"/>
                <w:szCs w:val="24"/>
              </w:rPr>
              <w:t>3033887968</w:t>
            </w:r>
          </w:p>
        </w:tc>
      </w:tr>
      <w:tr w:rsidR="0099339E" w:rsidRPr="009D3726" w14:paraId="1AAAD8F7" w14:textId="77777777" w:rsidTr="0099339E">
        <w:trPr>
          <w:trHeight w:val="306"/>
        </w:trPr>
        <w:tc>
          <w:tcPr>
            <w:tcW w:w="771" w:type="dxa"/>
          </w:tcPr>
          <w:p w14:paraId="555B28FA" w14:textId="77777777" w:rsidR="0099339E" w:rsidRPr="009D3726" w:rsidRDefault="0099339E" w:rsidP="00C6418A">
            <w:pPr>
              <w:autoSpaceDE w:val="0"/>
              <w:autoSpaceDN w:val="0"/>
              <w:adjustRightInd w:val="0"/>
              <w:spacing w:after="0" w:line="240" w:lineRule="auto"/>
              <w:jc w:val="center"/>
              <w:rPr>
                <w:rFonts w:cs="Times New Roman"/>
                <w:b/>
                <w:bCs/>
                <w:color w:val="000000"/>
                <w:kern w:val="0"/>
                <w:szCs w:val="24"/>
              </w:rPr>
            </w:pPr>
            <w:r w:rsidRPr="009D3726">
              <w:rPr>
                <w:rFonts w:cs="Times New Roman"/>
                <w:b/>
                <w:bCs/>
                <w:color w:val="000000"/>
                <w:kern w:val="0"/>
                <w:szCs w:val="24"/>
              </w:rPr>
              <w:t>2022</w:t>
            </w:r>
          </w:p>
        </w:tc>
        <w:tc>
          <w:tcPr>
            <w:tcW w:w="1528" w:type="dxa"/>
          </w:tcPr>
          <w:p w14:paraId="253FF117" w14:textId="77777777" w:rsidR="0099339E" w:rsidRPr="009D3726" w:rsidRDefault="0099339E" w:rsidP="00C6418A">
            <w:pPr>
              <w:autoSpaceDE w:val="0"/>
              <w:autoSpaceDN w:val="0"/>
              <w:adjustRightInd w:val="0"/>
              <w:spacing w:after="0" w:line="240" w:lineRule="auto"/>
              <w:jc w:val="center"/>
              <w:rPr>
                <w:rFonts w:cs="Times New Roman"/>
                <w:color w:val="000000"/>
                <w:kern w:val="0"/>
                <w:szCs w:val="24"/>
              </w:rPr>
            </w:pPr>
            <w:r w:rsidRPr="009D3726">
              <w:rPr>
                <w:rFonts w:cs="Times New Roman"/>
                <w:color w:val="000000"/>
                <w:kern w:val="0"/>
                <w:szCs w:val="24"/>
              </w:rPr>
              <w:t>597013483</w:t>
            </w:r>
          </w:p>
        </w:tc>
        <w:tc>
          <w:tcPr>
            <w:tcW w:w="1999" w:type="dxa"/>
          </w:tcPr>
          <w:p w14:paraId="2110B2E9" w14:textId="77777777" w:rsidR="0099339E" w:rsidRPr="009D3726" w:rsidRDefault="0099339E" w:rsidP="00C6418A">
            <w:pPr>
              <w:autoSpaceDE w:val="0"/>
              <w:autoSpaceDN w:val="0"/>
              <w:adjustRightInd w:val="0"/>
              <w:spacing w:after="0" w:line="240" w:lineRule="auto"/>
              <w:jc w:val="center"/>
              <w:rPr>
                <w:rFonts w:cs="Times New Roman"/>
                <w:color w:val="000000"/>
                <w:kern w:val="0"/>
                <w:szCs w:val="24"/>
              </w:rPr>
            </w:pPr>
            <w:r w:rsidRPr="009D3726">
              <w:rPr>
                <w:rFonts w:cs="Times New Roman"/>
                <w:color w:val="000000"/>
                <w:kern w:val="0"/>
                <w:szCs w:val="24"/>
              </w:rPr>
              <w:t>425128010</w:t>
            </w:r>
          </w:p>
        </w:tc>
        <w:tc>
          <w:tcPr>
            <w:tcW w:w="1845" w:type="dxa"/>
          </w:tcPr>
          <w:p w14:paraId="18AC46ED" w14:textId="77777777" w:rsidR="0099339E" w:rsidRPr="009D3726" w:rsidRDefault="0099339E" w:rsidP="00C6418A">
            <w:pPr>
              <w:autoSpaceDE w:val="0"/>
              <w:autoSpaceDN w:val="0"/>
              <w:adjustRightInd w:val="0"/>
              <w:spacing w:after="0" w:line="240" w:lineRule="auto"/>
              <w:jc w:val="center"/>
              <w:rPr>
                <w:rFonts w:cs="Times New Roman"/>
                <w:color w:val="000000"/>
                <w:kern w:val="0"/>
                <w:szCs w:val="24"/>
              </w:rPr>
            </w:pPr>
            <w:r w:rsidRPr="009D3726">
              <w:rPr>
                <w:rFonts w:cs="Times New Roman"/>
                <w:color w:val="000000"/>
                <w:kern w:val="0"/>
                <w:szCs w:val="24"/>
              </w:rPr>
              <w:t>59714102</w:t>
            </w:r>
          </w:p>
        </w:tc>
        <w:tc>
          <w:tcPr>
            <w:tcW w:w="1732" w:type="dxa"/>
          </w:tcPr>
          <w:p w14:paraId="2429A101" w14:textId="77777777" w:rsidR="0099339E" w:rsidRPr="009D3726" w:rsidRDefault="0099339E" w:rsidP="00C6418A">
            <w:pPr>
              <w:autoSpaceDE w:val="0"/>
              <w:autoSpaceDN w:val="0"/>
              <w:adjustRightInd w:val="0"/>
              <w:spacing w:after="0" w:line="240" w:lineRule="auto"/>
              <w:jc w:val="center"/>
              <w:rPr>
                <w:rFonts w:cs="Times New Roman"/>
                <w:color w:val="000000"/>
                <w:kern w:val="0"/>
                <w:szCs w:val="24"/>
              </w:rPr>
            </w:pPr>
            <w:r w:rsidRPr="009D3726">
              <w:rPr>
                <w:rFonts w:cs="Times New Roman"/>
                <w:color w:val="000000"/>
                <w:kern w:val="0"/>
                <w:szCs w:val="24"/>
              </w:rPr>
              <w:t>283334395</w:t>
            </w:r>
          </w:p>
        </w:tc>
        <w:tc>
          <w:tcPr>
            <w:tcW w:w="1936" w:type="dxa"/>
          </w:tcPr>
          <w:p w14:paraId="6C1271F6" w14:textId="77777777" w:rsidR="0099339E" w:rsidRPr="009D3726" w:rsidRDefault="0099339E" w:rsidP="00C6418A">
            <w:pPr>
              <w:autoSpaceDE w:val="0"/>
              <w:autoSpaceDN w:val="0"/>
              <w:adjustRightInd w:val="0"/>
              <w:spacing w:after="0" w:line="240" w:lineRule="auto"/>
              <w:jc w:val="center"/>
              <w:rPr>
                <w:rFonts w:cs="Times New Roman"/>
                <w:color w:val="000000"/>
                <w:kern w:val="0"/>
                <w:szCs w:val="24"/>
              </w:rPr>
            </w:pPr>
            <w:r w:rsidRPr="009D3726">
              <w:rPr>
                <w:rFonts w:cs="Times New Roman"/>
                <w:color w:val="000000"/>
                <w:kern w:val="0"/>
                <w:szCs w:val="24"/>
              </w:rPr>
              <w:t>1365189990</w:t>
            </w:r>
          </w:p>
        </w:tc>
      </w:tr>
      <w:tr w:rsidR="0099339E" w:rsidRPr="009D3726" w14:paraId="0BF4BC75" w14:textId="77777777" w:rsidTr="0099339E">
        <w:trPr>
          <w:trHeight w:val="306"/>
        </w:trPr>
        <w:tc>
          <w:tcPr>
            <w:tcW w:w="771" w:type="dxa"/>
          </w:tcPr>
          <w:p w14:paraId="2752331B" w14:textId="77777777" w:rsidR="0099339E" w:rsidRPr="009D3726" w:rsidRDefault="0099339E" w:rsidP="00C6418A">
            <w:pPr>
              <w:autoSpaceDE w:val="0"/>
              <w:autoSpaceDN w:val="0"/>
              <w:adjustRightInd w:val="0"/>
              <w:spacing w:after="0" w:line="240" w:lineRule="auto"/>
              <w:jc w:val="center"/>
              <w:rPr>
                <w:rFonts w:cs="Times New Roman"/>
                <w:b/>
                <w:bCs/>
                <w:color w:val="000000"/>
                <w:kern w:val="0"/>
                <w:szCs w:val="24"/>
              </w:rPr>
            </w:pPr>
            <w:r w:rsidRPr="009D3726">
              <w:rPr>
                <w:rFonts w:cs="Times New Roman"/>
                <w:b/>
                <w:bCs/>
                <w:color w:val="000000"/>
                <w:kern w:val="0"/>
                <w:szCs w:val="24"/>
              </w:rPr>
              <w:t>2023</w:t>
            </w:r>
          </w:p>
        </w:tc>
        <w:tc>
          <w:tcPr>
            <w:tcW w:w="1528" w:type="dxa"/>
          </w:tcPr>
          <w:p w14:paraId="177F4F34" w14:textId="77777777" w:rsidR="0099339E" w:rsidRPr="009D3726" w:rsidRDefault="0099339E" w:rsidP="00C6418A">
            <w:pPr>
              <w:autoSpaceDE w:val="0"/>
              <w:autoSpaceDN w:val="0"/>
              <w:adjustRightInd w:val="0"/>
              <w:spacing w:after="0" w:line="240" w:lineRule="auto"/>
              <w:jc w:val="center"/>
              <w:rPr>
                <w:rFonts w:cs="Times New Roman"/>
                <w:color w:val="000000"/>
                <w:kern w:val="0"/>
                <w:szCs w:val="24"/>
              </w:rPr>
            </w:pPr>
            <w:r w:rsidRPr="009D3726">
              <w:rPr>
                <w:rFonts w:cs="Times New Roman"/>
                <w:color w:val="000000"/>
                <w:kern w:val="0"/>
                <w:szCs w:val="24"/>
              </w:rPr>
              <w:t>101245000</w:t>
            </w:r>
          </w:p>
        </w:tc>
        <w:tc>
          <w:tcPr>
            <w:tcW w:w="1999" w:type="dxa"/>
          </w:tcPr>
          <w:p w14:paraId="0A0E40CE" w14:textId="77777777" w:rsidR="0099339E" w:rsidRPr="009D3726" w:rsidRDefault="0099339E" w:rsidP="00C6418A">
            <w:pPr>
              <w:autoSpaceDE w:val="0"/>
              <w:autoSpaceDN w:val="0"/>
              <w:adjustRightInd w:val="0"/>
              <w:spacing w:after="0" w:line="240" w:lineRule="auto"/>
              <w:jc w:val="center"/>
              <w:rPr>
                <w:rFonts w:cs="Times New Roman"/>
                <w:color w:val="000000"/>
                <w:kern w:val="0"/>
                <w:szCs w:val="24"/>
              </w:rPr>
            </w:pPr>
            <w:r w:rsidRPr="009D3726">
              <w:rPr>
                <w:rFonts w:cs="Times New Roman"/>
                <w:color w:val="000000"/>
                <w:kern w:val="0"/>
                <w:szCs w:val="24"/>
              </w:rPr>
              <w:t>2500000</w:t>
            </w:r>
          </w:p>
        </w:tc>
        <w:tc>
          <w:tcPr>
            <w:tcW w:w="1845" w:type="dxa"/>
          </w:tcPr>
          <w:p w14:paraId="5FD8DA2D" w14:textId="77777777" w:rsidR="0099339E" w:rsidRPr="009D3726" w:rsidRDefault="0099339E" w:rsidP="00C6418A">
            <w:pPr>
              <w:autoSpaceDE w:val="0"/>
              <w:autoSpaceDN w:val="0"/>
              <w:adjustRightInd w:val="0"/>
              <w:spacing w:after="0" w:line="240" w:lineRule="auto"/>
              <w:jc w:val="center"/>
              <w:rPr>
                <w:rFonts w:cs="Times New Roman"/>
                <w:color w:val="000000"/>
                <w:kern w:val="0"/>
                <w:szCs w:val="24"/>
              </w:rPr>
            </w:pPr>
            <w:r w:rsidRPr="009D3726">
              <w:rPr>
                <w:rFonts w:cs="Times New Roman"/>
                <w:color w:val="000000"/>
                <w:kern w:val="0"/>
                <w:szCs w:val="24"/>
              </w:rPr>
              <w:t>2805000</w:t>
            </w:r>
          </w:p>
        </w:tc>
        <w:tc>
          <w:tcPr>
            <w:tcW w:w="1732" w:type="dxa"/>
          </w:tcPr>
          <w:p w14:paraId="1D36EB28" w14:textId="77777777" w:rsidR="0099339E" w:rsidRPr="009D3726" w:rsidRDefault="0099339E" w:rsidP="00C6418A">
            <w:pPr>
              <w:autoSpaceDE w:val="0"/>
              <w:autoSpaceDN w:val="0"/>
              <w:adjustRightInd w:val="0"/>
              <w:spacing w:after="0" w:line="240" w:lineRule="auto"/>
              <w:jc w:val="center"/>
              <w:rPr>
                <w:rFonts w:cs="Times New Roman"/>
                <w:color w:val="000000"/>
                <w:kern w:val="0"/>
                <w:szCs w:val="24"/>
              </w:rPr>
            </w:pPr>
            <w:r w:rsidRPr="009D3726">
              <w:rPr>
                <w:rFonts w:cs="Times New Roman"/>
                <w:color w:val="000000"/>
                <w:kern w:val="0"/>
                <w:szCs w:val="24"/>
              </w:rPr>
              <w:t>174640000</w:t>
            </w:r>
          </w:p>
        </w:tc>
        <w:tc>
          <w:tcPr>
            <w:tcW w:w="1936" w:type="dxa"/>
          </w:tcPr>
          <w:p w14:paraId="5EE82C34" w14:textId="77777777" w:rsidR="0099339E" w:rsidRPr="009D3726" w:rsidRDefault="0099339E" w:rsidP="00C6418A">
            <w:pPr>
              <w:autoSpaceDE w:val="0"/>
              <w:autoSpaceDN w:val="0"/>
              <w:adjustRightInd w:val="0"/>
              <w:spacing w:after="0" w:line="240" w:lineRule="auto"/>
              <w:jc w:val="center"/>
              <w:rPr>
                <w:rFonts w:cs="Times New Roman"/>
                <w:color w:val="000000"/>
                <w:kern w:val="0"/>
                <w:szCs w:val="24"/>
              </w:rPr>
            </w:pPr>
            <w:r w:rsidRPr="009D3726">
              <w:rPr>
                <w:rFonts w:cs="Times New Roman"/>
                <w:color w:val="000000"/>
                <w:kern w:val="0"/>
                <w:szCs w:val="24"/>
              </w:rPr>
              <w:t>281190000</w:t>
            </w:r>
          </w:p>
        </w:tc>
      </w:tr>
      <w:tr w:rsidR="0099339E" w:rsidRPr="009D3726" w14:paraId="1FC2FF5F" w14:textId="77777777" w:rsidTr="0099339E">
        <w:trPr>
          <w:trHeight w:val="306"/>
        </w:trPr>
        <w:tc>
          <w:tcPr>
            <w:tcW w:w="771" w:type="dxa"/>
          </w:tcPr>
          <w:p w14:paraId="46EE87C1" w14:textId="77777777" w:rsidR="0099339E" w:rsidRPr="009D3726" w:rsidRDefault="0099339E" w:rsidP="00C6418A">
            <w:pPr>
              <w:autoSpaceDE w:val="0"/>
              <w:autoSpaceDN w:val="0"/>
              <w:adjustRightInd w:val="0"/>
              <w:spacing w:after="0" w:line="240" w:lineRule="auto"/>
              <w:jc w:val="center"/>
              <w:rPr>
                <w:rFonts w:cs="Times New Roman"/>
                <w:b/>
                <w:bCs/>
                <w:color w:val="000000"/>
                <w:kern w:val="0"/>
                <w:szCs w:val="24"/>
              </w:rPr>
            </w:pPr>
            <w:r w:rsidRPr="009D3726">
              <w:rPr>
                <w:rFonts w:cs="Times New Roman"/>
                <w:b/>
                <w:bCs/>
                <w:color w:val="000000"/>
                <w:kern w:val="0"/>
                <w:szCs w:val="24"/>
              </w:rPr>
              <w:t>2024</w:t>
            </w:r>
          </w:p>
        </w:tc>
        <w:tc>
          <w:tcPr>
            <w:tcW w:w="1528" w:type="dxa"/>
          </w:tcPr>
          <w:p w14:paraId="47DADA3E" w14:textId="77777777" w:rsidR="0099339E" w:rsidRPr="009D3726" w:rsidRDefault="0099339E" w:rsidP="00C6418A">
            <w:pPr>
              <w:autoSpaceDE w:val="0"/>
              <w:autoSpaceDN w:val="0"/>
              <w:adjustRightInd w:val="0"/>
              <w:spacing w:after="0" w:line="240" w:lineRule="auto"/>
              <w:jc w:val="center"/>
              <w:rPr>
                <w:rFonts w:cs="Times New Roman"/>
                <w:color w:val="000000"/>
                <w:kern w:val="0"/>
                <w:szCs w:val="24"/>
              </w:rPr>
            </w:pPr>
            <w:r w:rsidRPr="009D3726">
              <w:rPr>
                <w:rFonts w:cs="Times New Roman"/>
                <w:color w:val="000000"/>
                <w:kern w:val="0"/>
                <w:szCs w:val="24"/>
              </w:rPr>
              <w:t>228277164</w:t>
            </w:r>
          </w:p>
        </w:tc>
        <w:tc>
          <w:tcPr>
            <w:tcW w:w="1999" w:type="dxa"/>
          </w:tcPr>
          <w:p w14:paraId="31F36247" w14:textId="77777777" w:rsidR="0099339E" w:rsidRPr="009D3726" w:rsidRDefault="0099339E" w:rsidP="00C6418A">
            <w:pPr>
              <w:autoSpaceDE w:val="0"/>
              <w:autoSpaceDN w:val="0"/>
              <w:adjustRightInd w:val="0"/>
              <w:spacing w:after="0" w:line="240" w:lineRule="auto"/>
              <w:jc w:val="center"/>
              <w:rPr>
                <w:rFonts w:cs="Times New Roman"/>
                <w:color w:val="000000"/>
                <w:kern w:val="0"/>
                <w:szCs w:val="24"/>
              </w:rPr>
            </w:pPr>
            <w:r w:rsidRPr="009D3726">
              <w:rPr>
                <w:rFonts w:cs="Times New Roman"/>
                <w:color w:val="000000"/>
                <w:kern w:val="0"/>
                <w:szCs w:val="24"/>
              </w:rPr>
              <w:t>30865833</w:t>
            </w:r>
          </w:p>
        </w:tc>
        <w:tc>
          <w:tcPr>
            <w:tcW w:w="1845" w:type="dxa"/>
          </w:tcPr>
          <w:p w14:paraId="610E0AE4" w14:textId="77777777" w:rsidR="0099339E" w:rsidRPr="009D3726" w:rsidRDefault="0099339E" w:rsidP="00C6418A">
            <w:pPr>
              <w:autoSpaceDE w:val="0"/>
              <w:autoSpaceDN w:val="0"/>
              <w:adjustRightInd w:val="0"/>
              <w:spacing w:after="0" w:line="240" w:lineRule="auto"/>
              <w:jc w:val="center"/>
              <w:rPr>
                <w:rFonts w:cs="Times New Roman"/>
                <w:color w:val="000000"/>
                <w:kern w:val="0"/>
                <w:szCs w:val="24"/>
              </w:rPr>
            </w:pPr>
            <w:r w:rsidRPr="009D3726">
              <w:rPr>
                <w:rFonts w:cs="Times New Roman"/>
                <w:color w:val="000000"/>
                <w:kern w:val="0"/>
                <w:szCs w:val="24"/>
              </w:rPr>
              <w:t>3085833</w:t>
            </w:r>
          </w:p>
        </w:tc>
        <w:tc>
          <w:tcPr>
            <w:tcW w:w="1732" w:type="dxa"/>
          </w:tcPr>
          <w:p w14:paraId="72C4C982" w14:textId="77777777" w:rsidR="0099339E" w:rsidRPr="009D3726" w:rsidRDefault="0099339E" w:rsidP="00C6418A">
            <w:pPr>
              <w:autoSpaceDE w:val="0"/>
              <w:autoSpaceDN w:val="0"/>
              <w:adjustRightInd w:val="0"/>
              <w:spacing w:after="0" w:line="240" w:lineRule="auto"/>
              <w:jc w:val="center"/>
              <w:rPr>
                <w:rFonts w:cs="Times New Roman"/>
                <w:color w:val="000000"/>
                <w:kern w:val="0"/>
                <w:szCs w:val="24"/>
              </w:rPr>
            </w:pPr>
            <w:r w:rsidRPr="009D3726">
              <w:rPr>
                <w:rFonts w:cs="Times New Roman"/>
                <w:color w:val="000000"/>
                <w:kern w:val="0"/>
                <w:szCs w:val="24"/>
              </w:rPr>
              <w:t>94201166</w:t>
            </w:r>
          </w:p>
        </w:tc>
        <w:tc>
          <w:tcPr>
            <w:tcW w:w="1936" w:type="dxa"/>
          </w:tcPr>
          <w:p w14:paraId="027363A9" w14:textId="77777777" w:rsidR="0099339E" w:rsidRPr="009D3726" w:rsidRDefault="0099339E" w:rsidP="00C6418A">
            <w:pPr>
              <w:autoSpaceDE w:val="0"/>
              <w:autoSpaceDN w:val="0"/>
              <w:adjustRightInd w:val="0"/>
              <w:spacing w:after="0" w:line="240" w:lineRule="auto"/>
              <w:jc w:val="center"/>
              <w:rPr>
                <w:rFonts w:cs="Times New Roman"/>
                <w:color w:val="000000"/>
                <w:kern w:val="0"/>
                <w:szCs w:val="24"/>
              </w:rPr>
            </w:pPr>
            <w:r w:rsidRPr="009D3726">
              <w:rPr>
                <w:rFonts w:cs="Times New Roman"/>
                <w:color w:val="000000"/>
                <w:kern w:val="0"/>
                <w:szCs w:val="24"/>
              </w:rPr>
              <w:t>356429996</w:t>
            </w:r>
          </w:p>
        </w:tc>
      </w:tr>
      <w:tr w:rsidR="0099339E" w:rsidRPr="009D3726" w14:paraId="77A2906F" w14:textId="77777777" w:rsidTr="0099339E">
        <w:trPr>
          <w:trHeight w:val="306"/>
        </w:trPr>
        <w:tc>
          <w:tcPr>
            <w:tcW w:w="771" w:type="dxa"/>
          </w:tcPr>
          <w:p w14:paraId="16CBA31A" w14:textId="77777777" w:rsidR="0099339E" w:rsidRPr="009D3726" w:rsidRDefault="0099339E" w:rsidP="00C6418A">
            <w:pPr>
              <w:autoSpaceDE w:val="0"/>
              <w:autoSpaceDN w:val="0"/>
              <w:adjustRightInd w:val="0"/>
              <w:spacing w:after="0" w:line="240" w:lineRule="auto"/>
              <w:jc w:val="center"/>
              <w:rPr>
                <w:rFonts w:cs="Times New Roman"/>
                <w:b/>
                <w:bCs/>
                <w:color w:val="000000"/>
                <w:kern w:val="0"/>
                <w:szCs w:val="24"/>
              </w:rPr>
            </w:pPr>
            <w:r w:rsidRPr="009D3726">
              <w:rPr>
                <w:rFonts w:cs="Times New Roman"/>
                <w:b/>
                <w:bCs/>
                <w:color w:val="000000"/>
                <w:kern w:val="0"/>
                <w:szCs w:val="24"/>
              </w:rPr>
              <w:t>2025</w:t>
            </w:r>
          </w:p>
        </w:tc>
        <w:tc>
          <w:tcPr>
            <w:tcW w:w="1528" w:type="dxa"/>
          </w:tcPr>
          <w:p w14:paraId="1D3CE0C8" w14:textId="77777777" w:rsidR="0099339E" w:rsidRPr="009D3726" w:rsidRDefault="0099339E" w:rsidP="00C6418A">
            <w:pPr>
              <w:autoSpaceDE w:val="0"/>
              <w:autoSpaceDN w:val="0"/>
              <w:adjustRightInd w:val="0"/>
              <w:spacing w:after="0" w:line="240" w:lineRule="auto"/>
              <w:jc w:val="center"/>
              <w:rPr>
                <w:rFonts w:cs="Times New Roman"/>
                <w:color w:val="000000"/>
                <w:kern w:val="0"/>
                <w:szCs w:val="24"/>
              </w:rPr>
            </w:pPr>
            <w:r w:rsidRPr="009D3726">
              <w:rPr>
                <w:rFonts w:cs="Times New Roman"/>
                <w:color w:val="000000"/>
                <w:kern w:val="0"/>
                <w:szCs w:val="24"/>
              </w:rPr>
              <w:t>329591514</w:t>
            </w:r>
          </w:p>
        </w:tc>
        <w:tc>
          <w:tcPr>
            <w:tcW w:w="1999" w:type="dxa"/>
          </w:tcPr>
          <w:p w14:paraId="4388254F" w14:textId="77777777" w:rsidR="0099339E" w:rsidRPr="009D3726" w:rsidRDefault="0099339E" w:rsidP="00C6418A">
            <w:pPr>
              <w:autoSpaceDE w:val="0"/>
              <w:autoSpaceDN w:val="0"/>
              <w:adjustRightInd w:val="0"/>
              <w:spacing w:after="0" w:line="240" w:lineRule="auto"/>
              <w:jc w:val="center"/>
              <w:rPr>
                <w:rFonts w:cs="Times New Roman"/>
                <w:color w:val="000000"/>
                <w:kern w:val="0"/>
                <w:szCs w:val="24"/>
              </w:rPr>
            </w:pPr>
            <w:r w:rsidRPr="009D3726">
              <w:rPr>
                <w:rFonts w:cs="Times New Roman"/>
                <w:color w:val="000000"/>
                <w:kern w:val="0"/>
                <w:szCs w:val="24"/>
              </w:rPr>
              <w:t>270369632</w:t>
            </w:r>
          </w:p>
        </w:tc>
        <w:tc>
          <w:tcPr>
            <w:tcW w:w="1845" w:type="dxa"/>
          </w:tcPr>
          <w:p w14:paraId="590C1A92" w14:textId="77777777" w:rsidR="0099339E" w:rsidRPr="009D3726" w:rsidRDefault="0099339E" w:rsidP="00C6418A">
            <w:pPr>
              <w:autoSpaceDE w:val="0"/>
              <w:autoSpaceDN w:val="0"/>
              <w:adjustRightInd w:val="0"/>
              <w:spacing w:after="0" w:line="240" w:lineRule="auto"/>
              <w:jc w:val="center"/>
              <w:rPr>
                <w:rFonts w:cs="Times New Roman"/>
                <w:color w:val="000000"/>
                <w:kern w:val="0"/>
                <w:szCs w:val="24"/>
              </w:rPr>
            </w:pPr>
            <w:r w:rsidRPr="009D3726">
              <w:rPr>
                <w:rFonts w:cs="Times New Roman"/>
                <w:color w:val="000000"/>
                <w:kern w:val="0"/>
                <w:szCs w:val="24"/>
              </w:rPr>
              <w:t>20367800</w:t>
            </w:r>
          </w:p>
        </w:tc>
        <w:tc>
          <w:tcPr>
            <w:tcW w:w="1732" w:type="dxa"/>
          </w:tcPr>
          <w:p w14:paraId="406428D5" w14:textId="77777777" w:rsidR="0099339E" w:rsidRPr="009D3726" w:rsidRDefault="0099339E" w:rsidP="00C6418A">
            <w:pPr>
              <w:autoSpaceDE w:val="0"/>
              <w:autoSpaceDN w:val="0"/>
              <w:adjustRightInd w:val="0"/>
              <w:spacing w:after="0" w:line="240" w:lineRule="auto"/>
              <w:jc w:val="center"/>
              <w:rPr>
                <w:rFonts w:cs="Times New Roman"/>
                <w:color w:val="000000"/>
                <w:kern w:val="0"/>
                <w:szCs w:val="24"/>
              </w:rPr>
            </w:pPr>
            <w:r w:rsidRPr="009D3726">
              <w:rPr>
                <w:rFonts w:cs="Times New Roman"/>
                <w:color w:val="000000"/>
                <w:kern w:val="0"/>
                <w:szCs w:val="24"/>
              </w:rPr>
              <w:t>779761038</w:t>
            </w:r>
          </w:p>
        </w:tc>
        <w:tc>
          <w:tcPr>
            <w:tcW w:w="1936" w:type="dxa"/>
          </w:tcPr>
          <w:p w14:paraId="5D7F4C64" w14:textId="77777777" w:rsidR="0099339E" w:rsidRPr="009D3726" w:rsidRDefault="0099339E" w:rsidP="00C6418A">
            <w:pPr>
              <w:autoSpaceDE w:val="0"/>
              <w:autoSpaceDN w:val="0"/>
              <w:adjustRightInd w:val="0"/>
              <w:spacing w:after="0" w:line="240" w:lineRule="auto"/>
              <w:jc w:val="center"/>
              <w:rPr>
                <w:rFonts w:cs="Times New Roman"/>
                <w:color w:val="000000"/>
                <w:kern w:val="0"/>
                <w:szCs w:val="24"/>
              </w:rPr>
            </w:pPr>
            <w:r w:rsidRPr="009D3726">
              <w:rPr>
                <w:rFonts w:cs="Times New Roman"/>
                <w:color w:val="000000"/>
                <w:kern w:val="0"/>
                <w:szCs w:val="24"/>
              </w:rPr>
              <w:t>1400089984</w:t>
            </w:r>
          </w:p>
        </w:tc>
      </w:tr>
    </w:tbl>
    <w:p w14:paraId="6D4B622D" w14:textId="3BBC7BF7" w:rsidR="0099339E" w:rsidRPr="009D3726" w:rsidRDefault="0099339E" w:rsidP="00C6418A">
      <w:pPr>
        <w:spacing w:line="240" w:lineRule="auto"/>
        <w:jc w:val="center"/>
        <w:rPr>
          <w:b/>
          <w:bCs/>
          <w:szCs w:val="24"/>
          <w:lang w:val="en-US"/>
        </w:rPr>
      </w:pPr>
      <w:r w:rsidRPr="009D3726">
        <w:rPr>
          <w:b/>
          <w:bCs/>
          <w:szCs w:val="24"/>
          <w:lang w:val="en-US"/>
        </w:rPr>
        <w:t xml:space="preserve">(Source: Data has been extracted from Space Capital Database </w:t>
      </w:r>
      <w:r w:rsidR="00044833" w:rsidRPr="009D3726">
        <w:rPr>
          <w:b/>
          <w:bCs/>
          <w:szCs w:val="24"/>
          <w:lang w:val="en-US"/>
        </w:rPr>
        <w:t>for India on 19</w:t>
      </w:r>
      <w:r w:rsidR="00044833" w:rsidRPr="009D3726">
        <w:rPr>
          <w:b/>
          <w:bCs/>
          <w:szCs w:val="24"/>
          <w:vertAlign w:val="superscript"/>
          <w:lang w:val="en-US"/>
        </w:rPr>
        <w:t>th</w:t>
      </w:r>
      <w:r w:rsidR="00044833" w:rsidRPr="009D3726">
        <w:rPr>
          <w:b/>
          <w:bCs/>
          <w:szCs w:val="24"/>
          <w:lang w:val="en-US"/>
        </w:rPr>
        <w:t xml:space="preserve"> January 2026)</w:t>
      </w:r>
    </w:p>
    <w:p w14:paraId="5BB63327" w14:textId="4861808E" w:rsidR="007A2189" w:rsidRPr="009D3726" w:rsidRDefault="00EA79B7" w:rsidP="00C6418A">
      <w:pPr>
        <w:spacing w:line="240" w:lineRule="auto"/>
        <w:rPr>
          <w:szCs w:val="24"/>
          <w:lang w:val="en-US"/>
        </w:rPr>
      </w:pPr>
      <w:r w:rsidRPr="009D3726">
        <w:rPr>
          <w:szCs w:val="24"/>
          <w:lang w:val="en-US"/>
        </w:rPr>
        <w:t>In the time span between 2009 and 2025, sectoral focus has been on the Indian Space ecosystem, with a regulatory backdrop that there is no space resource legislation throughout the period and only policy-level guidance, which is coming out of the Indian Space Policy, 2023.</w:t>
      </w:r>
      <w:r w:rsidR="007764A8" w:rsidRPr="009D3726">
        <w:rPr>
          <w:szCs w:val="24"/>
          <w:lang w:val="en-US"/>
        </w:rPr>
        <w:t xml:space="preserve"> While India has witnessed surges in private space investment</w:t>
      </w:r>
      <w:r w:rsidR="00B018BE" w:rsidRPr="009D3726">
        <w:rPr>
          <w:szCs w:val="24"/>
          <w:lang w:val="en-US"/>
        </w:rPr>
        <w:t>,</w:t>
      </w:r>
      <w:r w:rsidR="007764A8" w:rsidRPr="009D3726">
        <w:rPr>
          <w:szCs w:val="24"/>
          <w:lang w:val="en-US"/>
        </w:rPr>
        <w:t xml:space="preserve"> the absence of legislative recognition of space resource rights has coincided with high volatility and rapid capital withdrawal</w:t>
      </w:r>
      <w:r w:rsidR="00B018BE" w:rsidRPr="009D3726">
        <w:rPr>
          <w:szCs w:val="24"/>
          <w:lang w:val="en-US"/>
        </w:rPr>
        <w:t>,</w:t>
      </w:r>
      <w:r w:rsidR="007764A8" w:rsidRPr="009D3726">
        <w:rPr>
          <w:szCs w:val="24"/>
          <w:lang w:val="en-US"/>
        </w:rPr>
        <w:t xml:space="preserve"> in contrast to </w:t>
      </w:r>
      <w:r w:rsidR="00B018BE" w:rsidRPr="009D3726">
        <w:rPr>
          <w:szCs w:val="24"/>
          <w:lang w:val="en-US"/>
        </w:rPr>
        <w:t xml:space="preserve">the </w:t>
      </w:r>
      <w:r w:rsidR="007764A8" w:rsidRPr="009D3726">
        <w:rPr>
          <w:szCs w:val="24"/>
          <w:lang w:val="en-US"/>
        </w:rPr>
        <w:t xml:space="preserve">stability seen </w:t>
      </w:r>
      <w:r w:rsidR="00B018BE" w:rsidRPr="009D3726">
        <w:rPr>
          <w:szCs w:val="24"/>
          <w:lang w:val="en-US"/>
        </w:rPr>
        <w:t xml:space="preserve">in </w:t>
      </w:r>
      <w:r w:rsidR="007764A8" w:rsidRPr="009D3726">
        <w:rPr>
          <w:szCs w:val="24"/>
          <w:lang w:val="en-US"/>
        </w:rPr>
        <w:t xml:space="preserve">the post-2015 investment regime observed in </w:t>
      </w:r>
      <w:r w:rsidR="00B018BE" w:rsidRPr="009D3726">
        <w:rPr>
          <w:szCs w:val="24"/>
          <w:lang w:val="en-US"/>
        </w:rPr>
        <w:t xml:space="preserve">the </w:t>
      </w:r>
      <w:r w:rsidR="007764A8" w:rsidRPr="009D3726">
        <w:rPr>
          <w:szCs w:val="24"/>
          <w:lang w:val="en-US"/>
        </w:rPr>
        <w:t xml:space="preserve">United States. </w:t>
      </w:r>
      <w:r w:rsidRPr="009D3726">
        <w:rPr>
          <w:szCs w:val="24"/>
          <w:lang w:val="en-US"/>
        </w:rPr>
        <w:t xml:space="preserve"> This makes the dataset above suitable for descriptive inferences and not causal econometrics. </w:t>
      </w:r>
    </w:p>
    <w:p w14:paraId="153A731B" w14:textId="6EB32288" w:rsidR="00EA79B7" w:rsidRPr="009D3726" w:rsidRDefault="007764A8" w:rsidP="00C6418A">
      <w:pPr>
        <w:spacing w:line="240" w:lineRule="auto"/>
        <w:rPr>
          <w:b/>
          <w:bCs/>
          <w:i/>
          <w:iCs/>
          <w:szCs w:val="24"/>
          <w:lang w:val="en-US"/>
        </w:rPr>
      </w:pPr>
      <w:r w:rsidRPr="009D3726">
        <w:rPr>
          <w:b/>
          <w:bCs/>
          <w:i/>
          <w:iCs/>
          <w:szCs w:val="24"/>
          <w:lang w:val="en-US"/>
        </w:rPr>
        <w:t xml:space="preserve">a. </w:t>
      </w:r>
      <w:r w:rsidR="00C70A70" w:rsidRPr="009D3726">
        <w:rPr>
          <w:b/>
          <w:bCs/>
          <w:i/>
          <w:iCs/>
          <w:szCs w:val="24"/>
          <w:lang w:val="en-US"/>
        </w:rPr>
        <w:t xml:space="preserve">Low and Irregular Investment baseline </w:t>
      </w:r>
    </w:p>
    <w:p w14:paraId="2A0C5194" w14:textId="4E437518" w:rsidR="00C70A70" w:rsidRPr="009D3726" w:rsidRDefault="00C70A70" w:rsidP="00C6418A">
      <w:pPr>
        <w:spacing w:line="240" w:lineRule="auto"/>
        <w:rPr>
          <w:szCs w:val="24"/>
          <w:lang w:val="en-US"/>
        </w:rPr>
      </w:pPr>
      <w:r w:rsidRPr="009D3726">
        <w:rPr>
          <w:szCs w:val="24"/>
          <w:lang w:val="en-US"/>
        </w:rPr>
        <w:t>From 2009</w:t>
      </w:r>
      <w:r w:rsidR="00FC6038" w:rsidRPr="009D3726">
        <w:rPr>
          <w:szCs w:val="24"/>
          <w:lang w:val="en-US"/>
        </w:rPr>
        <w:t xml:space="preserve"> to </w:t>
      </w:r>
      <w:r w:rsidRPr="009D3726">
        <w:rPr>
          <w:szCs w:val="24"/>
          <w:lang w:val="en-US"/>
        </w:rPr>
        <w:t xml:space="preserve">2013, the total investment fluctuated between $3 million and $30 million with </w:t>
      </w:r>
      <w:r w:rsidR="00FC6038" w:rsidRPr="009D3726">
        <w:rPr>
          <w:szCs w:val="24"/>
          <w:lang w:val="en-US"/>
        </w:rPr>
        <w:t>near-zero</w:t>
      </w:r>
      <w:r w:rsidRPr="009D3726">
        <w:rPr>
          <w:szCs w:val="24"/>
          <w:lang w:val="en-US"/>
        </w:rPr>
        <w:t xml:space="preserve"> venture capital and angel investor participation. Corporate investment is appearing sporadically. </w:t>
      </w:r>
    </w:p>
    <w:p w14:paraId="39374008" w14:textId="7746AB13" w:rsidR="00C70A70" w:rsidRPr="009D3726" w:rsidRDefault="00C70A70" w:rsidP="00C6418A">
      <w:pPr>
        <w:spacing w:line="240" w:lineRule="auto"/>
        <w:rPr>
          <w:szCs w:val="24"/>
          <w:lang w:val="en-US"/>
        </w:rPr>
      </w:pPr>
      <w:r w:rsidRPr="009D3726">
        <w:rPr>
          <w:b/>
          <w:bCs/>
          <w:i/>
          <w:iCs/>
          <w:szCs w:val="24"/>
          <w:lang w:val="en-US"/>
        </w:rPr>
        <w:t>Inference Drawn</w:t>
      </w:r>
      <w:r w:rsidRPr="009D3726">
        <w:rPr>
          <w:szCs w:val="24"/>
          <w:lang w:val="en-US"/>
        </w:rPr>
        <w:t xml:space="preserve">: India’s space sector investment during 2009-2013 is fragmented, non-institutional and embryonic; it is more like experimental capital rather than ecosystem capital. </w:t>
      </w:r>
    </w:p>
    <w:p w14:paraId="585ECE58" w14:textId="074F41CD" w:rsidR="00C70A70" w:rsidRPr="009D3726" w:rsidRDefault="007764A8" w:rsidP="00C6418A">
      <w:pPr>
        <w:spacing w:line="240" w:lineRule="auto"/>
        <w:rPr>
          <w:b/>
          <w:bCs/>
          <w:szCs w:val="24"/>
          <w:lang w:val="en-US"/>
        </w:rPr>
      </w:pPr>
      <w:r w:rsidRPr="009D3726">
        <w:rPr>
          <w:b/>
          <w:bCs/>
          <w:i/>
          <w:iCs/>
          <w:szCs w:val="24"/>
          <w:lang w:val="en-US"/>
        </w:rPr>
        <w:t xml:space="preserve">b. </w:t>
      </w:r>
      <w:r w:rsidR="00C70A70" w:rsidRPr="009D3726">
        <w:rPr>
          <w:b/>
          <w:bCs/>
          <w:i/>
          <w:iCs/>
          <w:szCs w:val="24"/>
          <w:lang w:val="en-US"/>
        </w:rPr>
        <w:t>Short-lived spike without persistence (2014-2015)</w:t>
      </w:r>
    </w:p>
    <w:p w14:paraId="306180B9" w14:textId="412EBC42" w:rsidR="00C70A70" w:rsidRPr="009D3726" w:rsidRDefault="00C70A70" w:rsidP="00C6418A">
      <w:pPr>
        <w:spacing w:line="240" w:lineRule="auto"/>
        <w:rPr>
          <w:szCs w:val="24"/>
          <w:lang w:val="en-US"/>
        </w:rPr>
      </w:pPr>
      <w:r w:rsidRPr="009D3726">
        <w:rPr>
          <w:szCs w:val="24"/>
          <w:lang w:val="en-US"/>
        </w:rPr>
        <w:t xml:space="preserve">In the year 2014, the total investment was $312 million and in 2015, the investment was $1.17 billion. Though 2015 was a promising year, this increase was not sustained, and in 2016, </w:t>
      </w:r>
      <w:r w:rsidR="00FC6038" w:rsidRPr="009D3726">
        <w:rPr>
          <w:szCs w:val="24"/>
          <w:lang w:val="en-US"/>
        </w:rPr>
        <w:t xml:space="preserve">there </w:t>
      </w:r>
      <w:r w:rsidR="00FC6038" w:rsidRPr="009D3726">
        <w:rPr>
          <w:szCs w:val="24"/>
          <w:lang w:val="en-US"/>
        </w:rPr>
        <w:lastRenderedPageBreak/>
        <w:t xml:space="preserve">was </w:t>
      </w:r>
      <w:r w:rsidRPr="009D3726">
        <w:rPr>
          <w:szCs w:val="24"/>
          <w:lang w:val="en-US"/>
        </w:rPr>
        <w:t>a collapse to $187 million. Thus, unlike the U.S., India is unable to raise the “investment floor”.</w:t>
      </w:r>
    </w:p>
    <w:p w14:paraId="72291A14" w14:textId="253FFAAB" w:rsidR="00C70A70" w:rsidRPr="009D3726" w:rsidRDefault="007764A8" w:rsidP="00C6418A">
      <w:pPr>
        <w:spacing w:line="240" w:lineRule="auto"/>
        <w:rPr>
          <w:b/>
          <w:bCs/>
          <w:szCs w:val="24"/>
          <w:lang w:val="en-US"/>
        </w:rPr>
      </w:pPr>
      <w:r w:rsidRPr="009D3726">
        <w:rPr>
          <w:b/>
          <w:bCs/>
          <w:i/>
          <w:iCs/>
          <w:szCs w:val="24"/>
          <w:lang w:val="en-US"/>
        </w:rPr>
        <w:t xml:space="preserve">c. </w:t>
      </w:r>
      <w:r w:rsidR="00C70A70" w:rsidRPr="009D3726">
        <w:rPr>
          <w:b/>
          <w:bCs/>
          <w:i/>
          <w:iCs/>
          <w:szCs w:val="24"/>
          <w:lang w:val="en-US"/>
        </w:rPr>
        <w:t>High Volatility and Capital Retraction (2016-2020)</w:t>
      </w:r>
    </w:p>
    <w:p w14:paraId="58974765" w14:textId="07AC3C3D" w:rsidR="00C70A70" w:rsidRPr="009D3726" w:rsidRDefault="00C70A70" w:rsidP="00C6418A">
      <w:pPr>
        <w:spacing w:line="240" w:lineRule="auto"/>
        <w:rPr>
          <w:szCs w:val="24"/>
          <w:lang w:val="en-US"/>
        </w:rPr>
      </w:pPr>
      <w:r w:rsidRPr="009D3726">
        <w:rPr>
          <w:szCs w:val="24"/>
          <w:lang w:val="en-US"/>
        </w:rPr>
        <w:t>Post 2015</w:t>
      </w:r>
      <w:r w:rsidR="00D84646" w:rsidRPr="009D3726">
        <w:rPr>
          <w:szCs w:val="24"/>
          <w:lang w:val="en-US"/>
        </w:rPr>
        <w:t>,</w:t>
      </w:r>
      <w:r w:rsidRPr="009D3726">
        <w:rPr>
          <w:szCs w:val="24"/>
          <w:lang w:val="en-US"/>
        </w:rPr>
        <w:t xml:space="preserve"> India is showing a severe </w:t>
      </w:r>
      <w:r w:rsidR="00FC6038" w:rsidRPr="009D3726">
        <w:rPr>
          <w:szCs w:val="24"/>
          <w:lang w:val="en-US"/>
        </w:rPr>
        <w:t>year-to-year</w:t>
      </w:r>
      <w:r w:rsidRPr="009D3726">
        <w:rPr>
          <w:szCs w:val="24"/>
          <w:lang w:val="en-US"/>
        </w:rPr>
        <w:t xml:space="preserve"> volatility with no stable minimum investment level and repeated capital withdrawal. </w:t>
      </w:r>
      <w:r w:rsidR="00040D75" w:rsidRPr="009D3726">
        <w:rPr>
          <w:szCs w:val="24"/>
          <w:lang w:val="en-US"/>
        </w:rPr>
        <w:t>Capital enters opportunistically and exists rapidly</w:t>
      </w:r>
      <w:r w:rsidR="0074199E" w:rsidRPr="009D3726">
        <w:rPr>
          <w:szCs w:val="24"/>
          <w:lang w:val="en-US"/>
        </w:rPr>
        <w:t>,</w:t>
      </w:r>
      <w:r w:rsidR="00040D75" w:rsidRPr="009D3726">
        <w:rPr>
          <w:szCs w:val="24"/>
          <w:lang w:val="en-US"/>
        </w:rPr>
        <w:t xml:space="preserve"> indicating </w:t>
      </w:r>
      <w:r w:rsidR="0074199E" w:rsidRPr="009D3726">
        <w:rPr>
          <w:szCs w:val="24"/>
          <w:lang w:val="en-US"/>
        </w:rPr>
        <w:t>unresolved</w:t>
      </w:r>
      <w:r w:rsidR="00040D75" w:rsidRPr="009D3726">
        <w:rPr>
          <w:szCs w:val="24"/>
          <w:lang w:val="en-US"/>
        </w:rPr>
        <w:t xml:space="preserve"> risk factors. This pattern is characteristic of regulatory uncertainty and not technological immaturity. </w:t>
      </w:r>
    </w:p>
    <w:p w14:paraId="1B7289A7" w14:textId="29006843" w:rsidR="00405130" w:rsidRPr="009D3726" w:rsidRDefault="007764A8" w:rsidP="00C6418A">
      <w:pPr>
        <w:spacing w:line="240" w:lineRule="auto"/>
        <w:rPr>
          <w:b/>
          <w:bCs/>
          <w:szCs w:val="24"/>
          <w:lang w:val="en-US"/>
        </w:rPr>
      </w:pPr>
      <w:r w:rsidRPr="009D3726">
        <w:rPr>
          <w:b/>
          <w:bCs/>
          <w:i/>
          <w:iCs/>
          <w:szCs w:val="24"/>
          <w:lang w:val="en-US"/>
        </w:rPr>
        <w:t xml:space="preserve">d. </w:t>
      </w:r>
      <w:r w:rsidR="00405130" w:rsidRPr="009D3726">
        <w:rPr>
          <w:b/>
          <w:bCs/>
          <w:i/>
          <w:iCs/>
          <w:szCs w:val="24"/>
          <w:lang w:val="en-US"/>
        </w:rPr>
        <w:t xml:space="preserve">2021 Surge followed by Immediate Decline </w:t>
      </w:r>
    </w:p>
    <w:p w14:paraId="1329F7C0" w14:textId="1E917B2B" w:rsidR="00405130" w:rsidRPr="009D3726" w:rsidRDefault="00405130" w:rsidP="00C6418A">
      <w:pPr>
        <w:spacing w:line="240" w:lineRule="auto"/>
        <w:rPr>
          <w:szCs w:val="24"/>
          <w:lang w:val="en-US"/>
        </w:rPr>
      </w:pPr>
      <w:r w:rsidRPr="009D3726">
        <w:rPr>
          <w:szCs w:val="24"/>
          <w:lang w:val="en-US"/>
        </w:rPr>
        <w:t>In the year 2021</w:t>
      </w:r>
      <w:r w:rsidR="0074199E" w:rsidRPr="009D3726">
        <w:rPr>
          <w:szCs w:val="24"/>
          <w:lang w:val="en-US"/>
        </w:rPr>
        <w:t>,</w:t>
      </w:r>
      <w:r w:rsidRPr="009D3726">
        <w:rPr>
          <w:szCs w:val="24"/>
          <w:lang w:val="en-US"/>
        </w:rPr>
        <w:t xml:space="preserve"> the investment was around $ 3.03 Billion, </w:t>
      </w:r>
      <w:r w:rsidR="0074199E" w:rsidRPr="009D3726">
        <w:rPr>
          <w:szCs w:val="24"/>
          <w:lang w:val="en-US"/>
        </w:rPr>
        <w:t xml:space="preserve">in </w:t>
      </w:r>
      <w:r w:rsidRPr="009D3726">
        <w:rPr>
          <w:szCs w:val="24"/>
          <w:lang w:val="en-US"/>
        </w:rPr>
        <w:t xml:space="preserve">2022 ($1.36 Billion) and in 2023 </w:t>
      </w:r>
      <w:r w:rsidR="0074199E" w:rsidRPr="009D3726">
        <w:rPr>
          <w:szCs w:val="24"/>
          <w:lang w:val="en-US"/>
        </w:rPr>
        <w:t>it</w:t>
      </w:r>
      <w:r w:rsidRPr="009D3726">
        <w:rPr>
          <w:szCs w:val="24"/>
          <w:lang w:val="en-US"/>
        </w:rPr>
        <w:t xml:space="preserve"> was $281 Million.</w:t>
      </w:r>
    </w:p>
    <w:p w14:paraId="77FD58FC" w14:textId="23933347" w:rsidR="00405130" w:rsidRPr="009D3726" w:rsidRDefault="00405130" w:rsidP="00C6418A">
      <w:pPr>
        <w:spacing w:line="240" w:lineRule="auto"/>
        <w:rPr>
          <w:szCs w:val="24"/>
          <w:lang w:val="en-US"/>
        </w:rPr>
      </w:pPr>
      <w:r w:rsidRPr="009D3726">
        <w:rPr>
          <w:b/>
          <w:bCs/>
          <w:i/>
          <w:iCs/>
          <w:szCs w:val="24"/>
          <w:lang w:val="en-US"/>
        </w:rPr>
        <w:t>Inference Drawn:</w:t>
      </w:r>
      <w:r w:rsidRPr="009D3726">
        <w:rPr>
          <w:i/>
          <w:iCs/>
          <w:szCs w:val="24"/>
          <w:lang w:val="en-US"/>
        </w:rPr>
        <w:t xml:space="preserve"> </w:t>
      </w:r>
      <w:r w:rsidRPr="009D3726">
        <w:rPr>
          <w:szCs w:val="24"/>
          <w:lang w:val="en-US"/>
        </w:rPr>
        <w:t xml:space="preserve">This is descriptive evidence </w:t>
      </w:r>
      <w:r w:rsidR="0074199E" w:rsidRPr="009D3726">
        <w:rPr>
          <w:szCs w:val="24"/>
          <w:lang w:val="en-US"/>
        </w:rPr>
        <w:t>that</w:t>
      </w:r>
      <w:r w:rsidRPr="009D3726">
        <w:rPr>
          <w:szCs w:val="24"/>
          <w:lang w:val="en-US"/>
        </w:rPr>
        <w:t xml:space="preserve"> shows that even in the peak investment years</w:t>
      </w:r>
      <w:r w:rsidR="0074199E" w:rsidRPr="009D3726">
        <w:rPr>
          <w:szCs w:val="24"/>
          <w:lang w:val="en-US"/>
        </w:rPr>
        <w:t>,</w:t>
      </w:r>
      <w:r w:rsidRPr="009D3726">
        <w:rPr>
          <w:szCs w:val="24"/>
          <w:lang w:val="en-US"/>
        </w:rPr>
        <w:t xml:space="preserve"> there was no durability</w:t>
      </w:r>
      <w:r w:rsidR="0074199E" w:rsidRPr="009D3726">
        <w:rPr>
          <w:szCs w:val="24"/>
          <w:lang w:val="en-US"/>
        </w:rPr>
        <w:t>,</w:t>
      </w:r>
      <w:r w:rsidRPr="009D3726">
        <w:rPr>
          <w:szCs w:val="24"/>
          <w:lang w:val="en-US"/>
        </w:rPr>
        <w:t xml:space="preserve"> suggesting that capital confidence is event-driven and it is not institutionally anchored. </w:t>
      </w:r>
    </w:p>
    <w:p w14:paraId="7F5B55A1" w14:textId="7BF6818C" w:rsidR="00405130" w:rsidRPr="009D3726" w:rsidRDefault="00405130" w:rsidP="00C6418A">
      <w:pPr>
        <w:pStyle w:val="ListParagraph"/>
        <w:numPr>
          <w:ilvl w:val="0"/>
          <w:numId w:val="4"/>
        </w:numPr>
        <w:spacing w:line="240" w:lineRule="auto"/>
        <w:rPr>
          <w:b/>
          <w:bCs/>
          <w:i/>
          <w:iCs/>
          <w:szCs w:val="24"/>
          <w:lang w:val="en-US"/>
        </w:rPr>
      </w:pPr>
      <w:r w:rsidRPr="009D3726">
        <w:rPr>
          <w:b/>
          <w:bCs/>
          <w:i/>
          <w:iCs/>
          <w:szCs w:val="24"/>
          <w:lang w:val="en-US"/>
        </w:rPr>
        <w:t xml:space="preserve">Behaviour of Venture Capital </w:t>
      </w:r>
    </w:p>
    <w:p w14:paraId="5CB316C9" w14:textId="37BDFB71" w:rsidR="00405130" w:rsidRPr="009D3726" w:rsidRDefault="00405130" w:rsidP="00C6418A">
      <w:pPr>
        <w:spacing w:line="240" w:lineRule="auto"/>
        <w:rPr>
          <w:szCs w:val="24"/>
          <w:lang w:val="en-US"/>
        </w:rPr>
      </w:pPr>
      <w:r w:rsidRPr="009D3726">
        <w:rPr>
          <w:szCs w:val="24"/>
          <w:lang w:val="en-US"/>
        </w:rPr>
        <w:t>The Behaviour of Venture Capital is episodic and fragile as it appears inconsistently</w:t>
      </w:r>
      <w:r w:rsidR="0074199E" w:rsidRPr="009D3726">
        <w:rPr>
          <w:szCs w:val="24"/>
          <w:lang w:val="en-US"/>
        </w:rPr>
        <w:t>, with</w:t>
      </w:r>
      <w:r w:rsidRPr="009D3726">
        <w:rPr>
          <w:szCs w:val="24"/>
          <w:lang w:val="en-US"/>
        </w:rPr>
        <w:t xml:space="preserve"> sharp rises and steep drops as seen in 2021 ($1.35Billion), 2022 ($597Million) and 2023 ($101Million)</w:t>
      </w:r>
      <w:r w:rsidR="009925D3" w:rsidRPr="009D3726">
        <w:rPr>
          <w:szCs w:val="24"/>
          <w:lang w:val="en-US"/>
        </w:rPr>
        <w:t xml:space="preserve">. </w:t>
      </w:r>
    </w:p>
    <w:p w14:paraId="3BAF877D" w14:textId="13D10BD0" w:rsidR="009925D3" w:rsidRPr="009D3726" w:rsidRDefault="009925D3" w:rsidP="00C6418A">
      <w:pPr>
        <w:spacing w:line="240" w:lineRule="auto"/>
        <w:rPr>
          <w:szCs w:val="24"/>
          <w:lang w:val="en-US"/>
        </w:rPr>
      </w:pPr>
      <w:r w:rsidRPr="009D3726">
        <w:rPr>
          <w:b/>
          <w:bCs/>
          <w:i/>
          <w:iCs/>
          <w:szCs w:val="24"/>
          <w:lang w:val="en-US"/>
        </w:rPr>
        <w:t>Inference Drawn:</w:t>
      </w:r>
      <w:r w:rsidRPr="009D3726">
        <w:rPr>
          <w:i/>
          <w:iCs/>
          <w:szCs w:val="24"/>
          <w:lang w:val="en-US"/>
        </w:rPr>
        <w:t xml:space="preserve"> </w:t>
      </w:r>
      <w:r w:rsidRPr="009D3726">
        <w:rPr>
          <w:szCs w:val="24"/>
          <w:lang w:val="en-US"/>
        </w:rPr>
        <w:t>Venture Capital in India behaves as speculative capital and not commitment capital</w:t>
      </w:r>
      <w:r w:rsidR="0074199E" w:rsidRPr="009D3726">
        <w:rPr>
          <w:szCs w:val="24"/>
          <w:lang w:val="en-US"/>
        </w:rPr>
        <w:t>,</w:t>
      </w:r>
      <w:r w:rsidRPr="009D3726">
        <w:rPr>
          <w:szCs w:val="24"/>
          <w:lang w:val="en-US"/>
        </w:rPr>
        <w:t xml:space="preserve"> and this is the opposite of </w:t>
      </w:r>
      <w:r w:rsidR="0074199E" w:rsidRPr="009D3726">
        <w:rPr>
          <w:szCs w:val="24"/>
          <w:lang w:val="en-US"/>
        </w:rPr>
        <w:t xml:space="preserve">the </w:t>
      </w:r>
      <w:r w:rsidRPr="009D3726">
        <w:rPr>
          <w:szCs w:val="24"/>
          <w:lang w:val="en-US"/>
        </w:rPr>
        <w:t xml:space="preserve">U.S. post-2015 pattern. </w:t>
      </w:r>
    </w:p>
    <w:p w14:paraId="1B9B18BF" w14:textId="668415E6" w:rsidR="007764A8" w:rsidRPr="009D3726" w:rsidRDefault="007764A8" w:rsidP="00C6418A">
      <w:pPr>
        <w:spacing w:line="240" w:lineRule="auto"/>
        <w:rPr>
          <w:szCs w:val="24"/>
          <w:lang w:val="en-US"/>
        </w:rPr>
      </w:pPr>
      <w:r w:rsidRPr="009D3726">
        <w:rPr>
          <w:b/>
          <w:bCs/>
          <w:i/>
          <w:iCs/>
          <w:szCs w:val="24"/>
          <w:lang w:val="en-US"/>
        </w:rPr>
        <w:t>Comparative Inference drawn</w:t>
      </w:r>
      <w:r w:rsidRPr="009D3726">
        <w:rPr>
          <w:i/>
          <w:iCs/>
          <w:szCs w:val="24"/>
          <w:lang w:val="en-US"/>
        </w:rPr>
        <w:t xml:space="preserve">: </w:t>
      </w:r>
      <w:r w:rsidRPr="009D3726">
        <w:rPr>
          <w:szCs w:val="24"/>
          <w:lang w:val="en-US"/>
        </w:rPr>
        <w:t xml:space="preserve">In </w:t>
      </w:r>
      <w:r w:rsidR="0074199E" w:rsidRPr="009D3726">
        <w:rPr>
          <w:szCs w:val="24"/>
          <w:lang w:val="en-US"/>
        </w:rPr>
        <w:t xml:space="preserve">the </w:t>
      </w:r>
      <w:r w:rsidRPr="009D3726">
        <w:rPr>
          <w:szCs w:val="24"/>
          <w:lang w:val="en-US"/>
        </w:rPr>
        <w:t>US</w:t>
      </w:r>
      <w:r w:rsidR="0074199E" w:rsidRPr="009D3726">
        <w:rPr>
          <w:szCs w:val="24"/>
          <w:lang w:val="en-US"/>
        </w:rPr>
        <w:t>,</w:t>
      </w:r>
      <w:r w:rsidRPr="009D3726">
        <w:rPr>
          <w:szCs w:val="24"/>
          <w:lang w:val="en-US"/>
        </w:rPr>
        <w:t xml:space="preserve"> because of legislation</w:t>
      </w:r>
      <w:r w:rsidR="0074199E" w:rsidRPr="009D3726">
        <w:rPr>
          <w:szCs w:val="24"/>
          <w:lang w:val="en-US"/>
        </w:rPr>
        <w:t>,</w:t>
      </w:r>
      <w:r w:rsidRPr="009D3726">
        <w:rPr>
          <w:szCs w:val="24"/>
          <w:lang w:val="en-US"/>
        </w:rPr>
        <w:t xml:space="preserve"> the Venture Capital doubled around 2015 and remained elevated</w:t>
      </w:r>
      <w:r w:rsidR="0074199E" w:rsidRPr="009D3726">
        <w:rPr>
          <w:szCs w:val="24"/>
          <w:lang w:val="en-US"/>
        </w:rPr>
        <w:t>,</w:t>
      </w:r>
      <w:r w:rsidRPr="009D3726">
        <w:rPr>
          <w:szCs w:val="24"/>
          <w:lang w:val="en-US"/>
        </w:rPr>
        <w:t xml:space="preserve"> whereas the Indian Venture Capital Investment </w:t>
      </w:r>
      <w:r w:rsidR="0074199E" w:rsidRPr="009D3726">
        <w:rPr>
          <w:szCs w:val="24"/>
          <w:lang w:val="en-US"/>
        </w:rPr>
        <w:t>rose</w:t>
      </w:r>
      <w:r w:rsidRPr="009D3726">
        <w:rPr>
          <w:szCs w:val="24"/>
          <w:lang w:val="en-US"/>
        </w:rPr>
        <w:t xml:space="preserve"> slowly and remains fragile post 2023. This shows that Venture capital in India is responding to policy-level recognition</w:t>
      </w:r>
      <w:r w:rsidR="0074199E" w:rsidRPr="009D3726">
        <w:rPr>
          <w:szCs w:val="24"/>
          <w:lang w:val="en-US"/>
        </w:rPr>
        <w:t>,</w:t>
      </w:r>
      <w:r w:rsidRPr="009D3726">
        <w:rPr>
          <w:szCs w:val="24"/>
          <w:lang w:val="en-US"/>
        </w:rPr>
        <w:t xml:space="preserve"> indicating residual legal uncertainty continues to affect risk pricing.  </w:t>
      </w:r>
    </w:p>
    <w:p w14:paraId="6915A0AD" w14:textId="3B0EFF67" w:rsidR="009925D3" w:rsidRPr="009D3726" w:rsidRDefault="009925D3" w:rsidP="00C6418A">
      <w:pPr>
        <w:pStyle w:val="ListParagraph"/>
        <w:numPr>
          <w:ilvl w:val="0"/>
          <w:numId w:val="4"/>
        </w:numPr>
        <w:spacing w:line="240" w:lineRule="auto"/>
        <w:rPr>
          <w:b/>
          <w:bCs/>
          <w:szCs w:val="24"/>
          <w:lang w:val="en-US"/>
        </w:rPr>
      </w:pPr>
      <w:r w:rsidRPr="009D3726">
        <w:rPr>
          <w:b/>
          <w:bCs/>
          <w:i/>
          <w:iCs/>
          <w:szCs w:val="24"/>
          <w:lang w:val="en-US"/>
        </w:rPr>
        <w:t xml:space="preserve">Corporate Investment </w:t>
      </w:r>
    </w:p>
    <w:p w14:paraId="116CF412" w14:textId="62953F5C" w:rsidR="009925D3" w:rsidRPr="009D3726" w:rsidRDefault="009925D3" w:rsidP="00C6418A">
      <w:pPr>
        <w:spacing w:line="240" w:lineRule="auto"/>
        <w:rPr>
          <w:szCs w:val="24"/>
          <w:lang w:val="en-US"/>
        </w:rPr>
      </w:pPr>
      <w:r w:rsidRPr="009D3726">
        <w:rPr>
          <w:szCs w:val="24"/>
          <w:lang w:val="en-US"/>
        </w:rPr>
        <w:t xml:space="preserve">There appears </w:t>
      </w:r>
      <w:r w:rsidR="0074199E" w:rsidRPr="009D3726">
        <w:rPr>
          <w:szCs w:val="24"/>
          <w:lang w:val="en-US"/>
        </w:rPr>
        <w:t xml:space="preserve">to be </w:t>
      </w:r>
      <w:r w:rsidRPr="009D3726">
        <w:rPr>
          <w:szCs w:val="24"/>
          <w:lang w:val="en-US"/>
        </w:rPr>
        <w:t>irregularity with no clear upward trajectory</w:t>
      </w:r>
      <w:r w:rsidR="00B018BE" w:rsidRPr="009D3726">
        <w:rPr>
          <w:szCs w:val="24"/>
          <w:lang w:val="en-US"/>
        </w:rPr>
        <w:t>,</w:t>
      </w:r>
      <w:r w:rsidRPr="009D3726">
        <w:rPr>
          <w:szCs w:val="24"/>
          <w:lang w:val="en-US"/>
        </w:rPr>
        <w:t xml:space="preserve"> and often dwarfed by </w:t>
      </w:r>
      <w:r w:rsidR="0074199E" w:rsidRPr="009D3726">
        <w:rPr>
          <w:szCs w:val="24"/>
          <w:lang w:val="en-US"/>
        </w:rPr>
        <w:t xml:space="preserve">the </w:t>
      </w:r>
      <w:r w:rsidRPr="009D3726">
        <w:rPr>
          <w:szCs w:val="24"/>
          <w:lang w:val="en-US"/>
        </w:rPr>
        <w:t>“other” category. Corporate capital is a proxy for legal confidence</w:t>
      </w:r>
      <w:r w:rsidR="00B018BE" w:rsidRPr="009D3726">
        <w:rPr>
          <w:szCs w:val="24"/>
          <w:lang w:val="en-US"/>
        </w:rPr>
        <w:t>,</w:t>
      </w:r>
      <w:r w:rsidRPr="009D3726">
        <w:rPr>
          <w:szCs w:val="24"/>
          <w:lang w:val="en-US"/>
        </w:rPr>
        <w:t xml:space="preserve"> and it shows that Indian Corporations are not </w:t>
      </w:r>
      <w:r w:rsidR="0074199E" w:rsidRPr="009D3726">
        <w:rPr>
          <w:szCs w:val="24"/>
          <w:lang w:val="en-US"/>
        </w:rPr>
        <w:t>internalizing</w:t>
      </w:r>
      <w:r w:rsidRPr="009D3726">
        <w:rPr>
          <w:szCs w:val="24"/>
          <w:lang w:val="en-US"/>
        </w:rPr>
        <w:t xml:space="preserve"> space activity as a long-term asset class. </w:t>
      </w:r>
      <w:r w:rsidR="007764A8" w:rsidRPr="009D3726">
        <w:rPr>
          <w:szCs w:val="24"/>
          <w:lang w:val="en-US"/>
        </w:rPr>
        <w:t>In 2023 ($2.5Million), 2024 ($30.9Million) and 2025 ($270Million), this is the most important indicator</w:t>
      </w:r>
      <w:r w:rsidR="002453E9" w:rsidRPr="009D3726">
        <w:rPr>
          <w:szCs w:val="24"/>
          <w:lang w:val="en-US"/>
        </w:rPr>
        <w:t xml:space="preserve">. </w:t>
      </w:r>
    </w:p>
    <w:p w14:paraId="04957248" w14:textId="16C04E6B" w:rsidR="002453E9" w:rsidRPr="009D3726" w:rsidRDefault="002453E9" w:rsidP="00C6418A">
      <w:pPr>
        <w:spacing w:line="240" w:lineRule="auto"/>
        <w:rPr>
          <w:szCs w:val="24"/>
          <w:lang w:val="en-US"/>
        </w:rPr>
      </w:pPr>
      <w:r w:rsidRPr="009D3726">
        <w:rPr>
          <w:b/>
          <w:bCs/>
          <w:i/>
          <w:iCs/>
          <w:szCs w:val="24"/>
          <w:lang w:val="en-US"/>
        </w:rPr>
        <w:t>Inference drawn:</w:t>
      </w:r>
      <w:r w:rsidRPr="009D3726">
        <w:rPr>
          <w:i/>
          <w:iCs/>
          <w:szCs w:val="24"/>
          <w:lang w:val="en-US"/>
        </w:rPr>
        <w:t xml:space="preserve"> </w:t>
      </w:r>
      <w:r w:rsidRPr="009D3726">
        <w:rPr>
          <w:szCs w:val="24"/>
          <w:lang w:val="en-US"/>
        </w:rPr>
        <w:t>Corporate capital is legally sensitive and durable</w:t>
      </w:r>
      <w:r w:rsidR="0074199E" w:rsidRPr="009D3726">
        <w:rPr>
          <w:szCs w:val="24"/>
          <w:lang w:val="en-US"/>
        </w:rPr>
        <w:t>,</w:t>
      </w:r>
      <w:r w:rsidRPr="009D3726">
        <w:rPr>
          <w:szCs w:val="24"/>
          <w:lang w:val="en-US"/>
        </w:rPr>
        <w:t xml:space="preserve"> which does not enter decisively after </w:t>
      </w:r>
      <w:r w:rsidR="0074199E" w:rsidRPr="009D3726">
        <w:rPr>
          <w:szCs w:val="24"/>
          <w:lang w:val="en-US"/>
        </w:rPr>
        <w:t xml:space="preserve">the </w:t>
      </w:r>
      <w:r w:rsidRPr="009D3726">
        <w:rPr>
          <w:szCs w:val="24"/>
          <w:lang w:val="en-US"/>
        </w:rPr>
        <w:t>2023 policy</w:t>
      </w:r>
      <w:r w:rsidR="0074199E" w:rsidRPr="009D3726">
        <w:rPr>
          <w:szCs w:val="24"/>
          <w:lang w:val="en-US"/>
        </w:rPr>
        <w:t>,</w:t>
      </w:r>
      <w:r w:rsidRPr="009D3726">
        <w:rPr>
          <w:szCs w:val="24"/>
          <w:lang w:val="en-US"/>
        </w:rPr>
        <w:t xml:space="preserve"> thus suggesting that policy recognition is not sufficient for triggering long-term strategic investment. </w:t>
      </w:r>
    </w:p>
    <w:p w14:paraId="20354B63" w14:textId="7B3E058F" w:rsidR="009925D3" w:rsidRPr="009D3726" w:rsidRDefault="009925D3" w:rsidP="00C6418A">
      <w:pPr>
        <w:spacing w:line="240" w:lineRule="auto"/>
        <w:rPr>
          <w:b/>
          <w:bCs/>
          <w:szCs w:val="24"/>
          <w:lang w:val="en-US"/>
        </w:rPr>
      </w:pPr>
      <w:r w:rsidRPr="009D3726">
        <w:rPr>
          <w:b/>
          <w:bCs/>
          <w:szCs w:val="24"/>
          <w:lang w:val="en-US"/>
        </w:rPr>
        <w:t xml:space="preserve">Overall Interpretation and Comparative Inference (US &amp; India) </w:t>
      </w:r>
    </w:p>
    <w:p w14:paraId="355C1C37" w14:textId="3DE62E65" w:rsidR="009925D3" w:rsidRPr="009D3726" w:rsidRDefault="009925D3" w:rsidP="00C6418A">
      <w:pPr>
        <w:spacing w:line="240" w:lineRule="auto"/>
        <w:rPr>
          <w:szCs w:val="24"/>
          <w:lang w:val="en-US"/>
        </w:rPr>
      </w:pPr>
      <w:r w:rsidRPr="009D3726">
        <w:rPr>
          <w:szCs w:val="24"/>
          <w:lang w:val="en-US"/>
        </w:rPr>
        <w:t>In India</w:t>
      </w:r>
      <w:r w:rsidR="0074199E" w:rsidRPr="009D3726">
        <w:rPr>
          <w:szCs w:val="24"/>
          <w:lang w:val="en-US"/>
        </w:rPr>
        <w:t>,</w:t>
      </w:r>
      <w:r w:rsidRPr="009D3726">
        <w:rPr>
          <w:szCs w:val="24"/>
          <w:lang w:val="en-US"/>
        </w:rPr>
        <w:t xml:space="preserve"> there is no investment floor, venture capital is volatile, corporate capital remains cautious</w:t>
      </w:r>
      <w:r w:rsidR="0074199E" w:rsidRPr="009D3726">
        <w:rPr>
          <w:szCs w:val="24"/>
          <w:lang w:val="en-US"/>
        </w:rPr>
        <w:t>,</w:t>
      </w:r>
      <w:r w:rsidRPr="009D3726">
        <w:rPr>
          <w:szCs w:val="24"/>
          <w:lang w:val="en-US"/>
        </w:rPr>
        <w:t xml:space="preserve"> and capital concentration is shallow. Whereas in </w:t>
      </w:r>
      <w:r w:rsidR="0074199E" w:rsidRPr="009D3726">
        <w:rPr>
          <w:szCs w:val="24"/>
          <w:lang w:val="en-US"/>
        </w:rPr>
        <w:t xml:space="preserve">the </w:t>
      </w:r>
      <w:r w:rsidRPr="009D3726">
        <w:rPr>
          <w:szCs w:val="24"/>
          <w:lang w:val="en-US"/>
        </w:rPr>
        <w:t>US</w:t>
      </w:r>
      <w:r w:rsidR="0074199E" w:rsidRPr="009D3726">
        <w:rPr>
          <w:szCs w:val="24"/>
          <w:lang w:val="en-US"/>
        </w:rPr>
        <w:t>,</w:t>
      </w:r>
      <w:r w:rsidRPr="009D3726">
        <w:rPr>
          <w:szCs w:val="24"/>
          <w:lang w:val="en-US"/>
        </w:rPr>
        <w:t xml:space="preserve"> the investment floor is shifted upwards with venture capital </w:t>
      </w:r>
      <w:r w:rsidR="0074199E" w:rsidRPr="009D3726">
        <w:rPr>
          <w:szCs w:val="24"/>
          <w:lang w:val="en-US"/>
        </w:rPr>
        <w:t>stabilizing</w:t>
      </w:r>
      <w:r w:rsidRPr="009D3726">
        <w:rPr>
          <w:szCs w:val="24"/>
          <w:lang w:val="en-US"/>
        </w:rPr>
        <w:t xml:space="preserve"> at high levels, corporate participation deepens over time and capital diversification increases. </w:t>
      </w:r>
      <w:r w:rsidR="002453E9" w:rsidRPr="009D3726">
        <w:rPr>
          <w:szCs w:val="24"/>
          <w:lang w:val="en-US"/>
        </w:rPr>
        <w:t>It looks like the Indian Space Policy, 2023</w:t>
      </w:r>
      <w:r w:rsidR="0074199E" w:rsidRPr="009D3726">
        <w:rPr>
          <w:szCs w:val="24"/>
          <w:lang w:val="en-US"/>
        </w:rPr>
        <w:t>,</w:t>
      </w:r>
      <w:r w:rsidR="002453E9" w:rsidRPr="009D3726">
        <w:rPr>
          <w:szCs w:val="24"/>
          <w:lang w:val="en-US"/>
        </w:rPr>
        <w:t xml:space="preserve"> is appearing to have improved </w:t>
      </w:r>
      <w:r w:rsidR="0074199E" w:rsidRPr="009D3726">
        <w:rPr>
          <w:szCs w:val="24"/>
          <w:lang w:val="en-US"/>
        </w:rPr>
        <w:t>signalling</w:t>
      </w:r>
      <w:r w:rsidR="002453E9" w:rsidRPr="009D3726">
        <w:rPr>
          <w:szCs w:val="24"/>
          <w:lang w:val="en-US"/>
        </w:rPr>
        <w:t xml:space="preserve"> and reduced entry barriers</w:t>
      </w:r>
      <w:r w:rsidR="0074199E" w:rsidRPr="009D3726">
        <w:rPr>
          <w:szCs w:val="24"/>
          <w:lang w:val="en-US"/>
        </w:rPr>
        <w:t>,</w:t>
      </w:r>
      <w:r w:rsidR="002453E9" w:rsidRPr="009D3726">
        <w:rPr>
          <w:szCs w:val="24"/>
          <w:lang w:val="en-US"/>
        </w:rPr>
        <w:t xml:space="preserve"> which are evidenced by </w:t>
      </w:r>
      <w:r w:rsidR="0074199E" w:rsidRPr="009D3726">
        <w:rPr>
          <w:szCs w:val="24"/>
          <w:lang w:val="en-US"/>
        </w:rPr>
        <w:t xml:space="preserve">a </w:t>
      </w:r>
      <w:r w:rsidR="002453E9" w:rsidRPr="009D3726">
        <w:rPr>
          <w:szCs w:val="24"/>
          <w:lang w:val="en-US"/>
        </w:rPr>
        <w:t>gradual post-2023 recovery</w:t>
      </w:r>
      <w:r w:rsidR="0074199E" w:rsidRPr="009D3726">
        <w:rPr>
          <w:szCs w:val="24"/>
          <w:lang w:val="en-US"/>
        </w:rPr>
        <w:t>,</w:t>
      </w:r>
      <w:r w:rsidR="002453E9" w:rsidRPr="009D3726">
        <w:rPr>
          <w:szCs w:val="24"/>
          <w:lang w:val="en-US"/>
        </w:rPr>
        <w:t xml:space="preserve"> but unlike the post-2015 United States</w:t>
      </w:r>
      <w:r w:rsidR="0074199E" w:rsidRPr="009D3726">
        <w:rPr>
          <w:szCs w:val="24"/>
          <w:lang w:val="en-US"/>
        </w:rPr>
        <w:t>,</w:t>
      </w:r>
      <w:r w:rsidR="002453E9" w:rsidRPr="009D3726">
        <w:rPr>
          <w:szCs w:val="24"/>
          <w:lang w:val="en-US"/>
        </w:rPr>
        <w:t xml:space="preserve"> it seems that investment baselines suggest that markets continue to rate policy-certainty less </w:t>
      </w:r>
      <w:r w:rsidR="0074199E" w:rsidRPr="009D3726">
        <w:rPr>
          <w:szCs w:val="24"/>
          <w:lang w:val="en-US"/>
        </w:rPr>
        <w:t>than</w:t>
      </w:r>
      <w:r w:rsidR="002453E9" w:rsidRPr="009D3726">
        <w:rPr>
          <w:szCs w:val="24"/>
          <w:lang w:val="en-US"/>
        </w:rPr>
        <w:t xml:space="preserve"> legislative-certainty. </w:t>
      </w:r>
    </w:p>
    <w:p w14:paraId="13FAE500" w14:textId="3FAB623C" w:rsidR="009925D3" w:rsidRPr="009D3726" w:rsidRDefault="009925D3" w:rsidP="00C6418A">
      <w:pPr>
        <w:spacing w:line="240" w:lineRule="auto"/>
        <w:rPr>
          <w:szCs w:val="24"/>
          <w:lang w:val="en-US"/>
        </w:rPr>
      </w:pPr>
      <w:r w:rsidRPr="009D3726">
        <w:rPr>
          <w:szCs w:val="24"/>
          <w:lang w:val="en-US"/>
        </w:rPr>
        <w:lastRenderedPageBreak/>
        <w:t>Thus, the inference drawn is that the absence of a statutory space resource framework in India is correlating with the persistent investment fragility</w:t>
      </w:r>
      <w:r w:rsidR="0074199E" w:rsidRPr="009D3726">
        <w:rPr>
          <w:szCs w:val="24"/>
          <w:lang w:val="en-US"/>
        </w:rPr>
        <w:t>,</w:t>
      </w:r>
      <w:r w:rsidRPr="009D3726">
        <w:rPr>
          <w:szCs w:val="24"/>
          <w:lang w:val="en-US"/>
        </w:rPr>
        <w:t xml:space="preserve"> while the presence of legislation in </w:t>
      </w:r>
      <w:r w:rsidR="0074199E" w:rsidRPr="009D3726">
        <w:rPr>
          <w:szCs w:val="24"/>
          <w:lang w:val="en-US"/>
        </w:rPr>
        <w:t xml:space="preserve">the </w:t>
      </w:r>
      <w:r w:rsidRPr="009D3726">
        <w:rPr>
          <w:szCs w:val="24"/>
          <w:lang w:val="en-US"/>
        </w:rPr>
        <w:t>United States is correlating with sustained capital confidence. Launch cost reductions and technological maturation are global phenomena</w:t>
      </w:r>
      <w:r w:rsidR="0074199E" w:rsidRPr="009D3726">
        <w:rPr>
          <w:szCs w:val="24"/>
          <w:lang w:val="en-US"/>
        </w:rPr>
        <w:t>;</w:t>
      </w:r>
      <w:r w:rsidRPr="009D3726">
        <w:rPr>
          <w:szCs w:val="24"/>
          <w:lang w:val="en-US"/>
        </w:rPr>
        <w:t xml:space="preserve"> however</w:t>
      </w:r>
      <w:r w:rsidR="0074199E" w:rsidRPr="009D3726">
        <w:rPr>
          <w:szCs w:val="24"/>
          <w:lang w:val="en-US"/>
        </w:rPr>
        <w:t>,</w:t>
      </w:r>
      <w:r w:rsidRPr="009D3726">
        <w:rPr>
          <w:szCs w:val="24"/>
          <w:lang w:val="en-US"/>
        </w:rPr>
        <w:t xml:space="preserve"> the divergence in investment stability between </w:t>
      </w:r>
      <w:r w:rsidR="0074199E" w:rsidRPr="009D3726">
        <w:rPr>
          <w:szCs w:val="24"/>
          <w:lang w:val="en-US"/>
        </w:rPr>
        <w:t xml:space="preserve">the </w:t>
      </w:r>
      <w:r w:rsidRPr="009D3726">
        <w:rPr>
          <w:szCs w:val="24"/>
          <w:lang w:val="en-US"/>
        </w:rPr>
        <w:t xml:space="preserve">United States and India </w:t>
      </w:r>
      <w:r w:rsidR="0074199E" w:rsidRPr="009D3726">
        <w:rPr>
          <w:szCs w:val="24"/>
          <w:lang w:val="en-US"/>
        </w:rPr>
        <w:t>suggests</w:t>
      </w:r>
      <w:r w:rsidRPr="009D3726">
        <w:rPr>
          <w:szCs w:val="24"/>
          <w:lang w:val="en-US"/>
        </w:rPr>
        <w:t xml:space="preserve"> that legal certainty is operating as a jurisdictional determinant of capital durability. </w:t>
      </w:r>
      <w:r w:rsidR="002453E9" w:rsidRPr="009D3726">
        <w:rPr>
          <w:szCs w:val="24"/>
          <w:lang w:val="en-US"/>
        </w:rPr>
        <w:t>Thus,</w:t>
      </w:r>
      <w:r w:rsidR="007764A8" w:rsidRPr="009D3726">
        <w:rPr>
          <w:szCs w:val="24"/>
          <w:lang w:val="en-US"/>
        </w:rPr>
        <w:t xml:space="preserve"> the data does not </w:t>
      </w:r>
      <w:r w:rsidR="0074199E" w:rsidRPr="009D3726">
        <w:rPr>
          <w:szCs w:val="24"/>
          <w:lang w:val="en-US"/>
        </w:rPr>
        <w:t>indicate a failure of the Indian Space Policy, 2023, but rather</w:t>
      </w:r>
      <w:r w:rsidR="00D121B0">
        <w:rPr>
          <w:szCs w:val="24"/>
          <w:lang w:val="en-US"/>
        </w:rPr>
        <w:t xml:space="preserve"> shows</w:t>
      </w:r>
      <w:r w:rsidR="0074199E" w:rsidRPr="009D3726">
        <w:rPr>
          <w:szCs w:val="24"/>
          <w:lang w:val="en-US"/>
        </w:rPr>
        <w:t xml:space="preserve"> unsettled confidence, which is what economic theories on property rights predict in cases</w:t>
      </w:r>
      <w:r w:rsidR="007764A8" w:rsidRPr="009D3726">
        <w:rPr>
          <w:szCs w:val="24"/>
          <w:lang w:val="en-US"/>
        </w:rPr>
        <w:t xml:space="preserve"> of unenforceable property rights. </w:t>
      </w:r>
      <w:r w:rsidR="002453E9" w:rsidRPr="009D3726">
        <w:rPr>
          <w:szCs w:val="24"/>
          <w:lang w:val="en-US"/>
        </w:rPr>
        <w:t>It is observed that somehow markets are appearing to differentiate between statutory property rights and policy-based assurances</w:t>
      </w:r>
      <w:r w:rsidR="0074199E" w:rsidRPr="009D3726">
        <w:rPr>
          <w:szCs w:val="24"/>
          <w:lang w:val="en-US"/>
        </w:rPr>
        <w:t>,</w:t>
      </w:r>
      <w:r w:rsidR="002453E9" w:rsidRPr="009D3726">
        <w:rPr>
          <w:szCs w:val="24"/>
          <w:lang w:val="en-US"/>
        </w:rPr>
        <w:t xml:space="preserve"> which are assigned lower credibility and durability. </w:t>
      </w:r>
    </w:p>
    <w:p w14:paraId="54F83893" w14:textId="17A6688F" w:rsidR="00DB3E05" w:rsidRPr="009D3726" w:rsidRDefault="00DB3E05" w:rsidP="00C6418A">
      <w:pPr>
        <w:spacing w:line="240" w:lineRule="auto"/>
        <w:rPr>
          <w:b/>
          <w:bCs/>
          <w:szCs w:val="24"/>
          <w:lang w:val="en-US"/>
        </w:rPr>
      </w:pPr>
      <w:r w:rsidRPr="009D3726">
        <w:rPr>
          <w:b/>
          <w:bCs/>
          <w:szCs w:val="24"/>
          <w:lang w:val="en-US"/>
        </w:rPr>
        <w:t>A</w:t>
      </w:r>
      <w:r w:rsidR="007D3558" w:rsidRPr="009D3726">
        <w:rPr>
          <w:b/>
          <w:bCs/>
          <w:szCs w:val="24"/>
          <w:lang w:val="en-US"/>
        </w:rPr>
        <w:t>N</w:t>
      </w:r>
      <w:r w:rsidRPr="009D3726">
        <w:rPr>
          <w:b/>
          <w:bCs/>
          <w:szCs w:val="24"/>
          <w:lang w:val="en-US"/>
        </w:rPr>
        <w:t xml:space="preserve"> ECONOMIC </w:t>
      </w:r>
      <w:r w:rsidR="00226FDD" w:rsidRPr="009D3726">
        <w:rPr>
          <w:b/>
          <w:bCs/>
          <w:szCs w:val="24"/>
          <w:lang w:val="en-US"/>
        </w:rPr>
        <w:t>PERSPECTIVE</w:t>
      </w:r>
      <w:r w:rsidRPr="009D3726">
        <w:rPr>
          <w:b/>
          <w:bCs/>
          <w:szCs w:val="24"/>
          <w:lang w:val="en-US"/>
        </w:rPr>
        <w:t xml:space="preserve"> TO MOVE FORWARD FROM A POLICY-BASED RIGHT TO A LEGISLATION-BASED RIGHT ON SPACE RESOURCE OR ASTEROID RESOURCE</w:t>
      </w:r>
    </w:p>
    <w:p w14:paraId="76D1C5C2" w14:textId="32E61B3A" w:rsidR="00405130" w:rsidRPr="009D3726" w:rsidRDefault="007D3558" w:rsidP="00C6418A">
      <w:pPr>
        <w:spacing w:line="240" w:lineRule="auto"/>
        <w:rPr>
          <w:szCs w:val="24"/>
          <w:lang w:val="en-US"/>
        </w:rPr>
      </w:pPr>
      <w:r w:rsidRPr="009D3726">
        <w:rPr>
          <w:szCs w:val="24"/>
          <w:lang w:val="en-US"/>
        </w:rPr>
        <w:t>Analytically, the Indian Space Policy clause 4.13 is trying to treat space resources from “global commons” into “private property”, thus legislation might be able to solve the economic problem of “unowned” resources by helping in the creation of a legal framework that allows the capitalization of high-risk ventures. There are economic theories which supporting legislation</w:t>
      </w:r>
      <w:r w:rsidR="004B1844" w:rsidRPr="009D3726">
        <w:rPr>
          <w:szCs w:val="24"/>
          <w:lang w:val="en-US"/>
        </w:rPr>
        <w:t xml:space="preserve"> along with the logic and mathematical implications: </w:t>
      </w:r>
    </w:p>
    <w:p w14:paraId="2E7050F3" w14:textId="77777777" w:rsidR="008435A2" w:rsidRPr="009D3726" w:rsidRDefault="004B1844" w:rsidP="00C6418A">
      <w:pPr>
        <w:pStyle w:val="ListParagraph"/>
        <w:numPr>
          <w:ilvl w:val="0"/>
          <w:numId w:val="5"/>
        </w:numPr>
        <w:spacing w:line="240" w:lineRule="auto"/>
        <w:rPr>
          <w:szCs w:val="24"/>
          <w:lang w:val="en-US"/>
        </w:rPr>
      </w:pPr>
      <w:r w:rsidRPr="006A716A">
        <w:rPr>
          <w:b/>
          <w:bCs/>
          <w:szCs w:val="24"/>
          <w:lang w:val="en-US"/>
        </w:rPr>
        <w:t>The Property Right Paradigm</w:t>
      </w:r>
      <w:r w:rsidR="004762FF" w:rsidRPr="006A716A">
        <w:rPr>
          <w:b/>
          <w:bCs/>
          <w:szCs w:val="24"/>
          <w:lang w:val="en-US"/>
        </w:rPr>
        <w:t xml:space="preserve"> </w:t>
      </w:r>
      <w:r w:rsidR="004762FF" w:rsidRPr="006A716A">
        <w:rPr>
          <w:b/>
          <w:bCs/>
          <w:szCs w:val="24"/>
        </w:rPr>
        <w:t>(Alchian &amp; Demsetz, 1973)</w:t>
      </w:r>
      <w:r w:rsidRPr="009D3726">
        <w:rPr>
          <w:szCs w:val="24"/>
          <w:lang w:val="en-US"/>
        </w:rPr>
        <w:t xml:space="preserve"> </w:t>
      </w:r>
      <w:r w:rsidR="004762FF" w:rsidRPr="009D3726">
        <w:rPr>
          <w:szCs w:val="24"/>
          <w:lang w:val="en-US"/>
        </w:rPr>
        <w:t>–</w:t>
      </w:r>
      <w:r w:rsidRPr="009D3726">
        <w:rPr>
          <w:szCs w:val="24"/>
          <w:lang w:val="en-US"/>
        </w:rPr>
        <w:t xml:space="preserve"> </w:t>
      </w:r>
      <w:r w:rsidR="004762FF" w:rsidRPr="009D3726">
        <w:rPr>
          <w:szCs w:val="24"/>
          <w:lang w:val="en-US"/>
        </w:rPr>
        <w:t>This theory provides the explanation for the emergence, structure and efficiency implications of property rights. The core argument is that “</w:t>
      </w:r>
      <w:r w:rsidR="004762FF" w:rsidRPr="009D3726">
        <w:rPr>
          <w:i/>
          <w:iCs/>
          <w:szCs w:val="24"/>
        </w:rPr>
        <w:t>Property rights evolve to internalize externalities when the gains from internalization exceed the costs of establishing and enforcing those rights</w:t>
      </w:r>
      <w:r w:rsidR="004762FF" w:rsidRPr="009D3726">
        <w:rPr>
          <w:szCs w:val="24"/>
        </w:rPr>
        <w:t>” (Candela, 2021). Thus</w:t>
      </w:r>
      <w:r w:rsidR="00AA3CD4" w:rsidRPr="009D3726">
        <w:rPr>
          <w:szCs w:val="24"/>
        </w:rPr>
        <w:t>,</w:t>
      </w:r>
      <w:r w:rsidR="004762FF" w:rsidRPr="009D3726">
        <w:rPr>
          <w:szCs w:val="24"/>
        </w:rPr>
        <w:t xml:space="preserve"> property rights are endogenous since they </w:t>
      </w:r>
      <w:r w:rsidR="00AA3CD4" w:rsidRPr="009D3726">
        <w:rPr>
          <w:szCs w:val="24"/>
        </w:rPr>
        <w:t>arise</w:t>
      </w:r>
      <w:r w:rsidR="004762FF" w:rsidRPr="009D3726">
        <w:rPr>
          <w:szCs w:val="24"/>
        </w:rPr>
        <w:t xml:space="preserve"> as a “response” to the changes seen in transaction costs, market value of </w:t>
      </w:r>
      <w:r w:rsidR="00AA3CD4" w:rsidRPr="009D3726">
        <w:rPr>
          <w:szCs w:val="24"/>
        </w:rPr>
        <w:t>resources</w:t>
      </w:r>
      <w:r w:rsidR="004762FF" w:rsidRPr="009D3726">
        <w:rPr>
          <w:szCs w:val="24"/>
        </w:rPr>
        <w:t xml:space="preserve">, technology and scarcity. </w:t>
      </w:r>
      <w:r w:rsidR="00AA3CD4" w:rsidRPr="009D3726">
        <w:rPr>
          <w:szCs w:val="24"/>
        </w:rPr>
        <w:t>When resource becomes valuable and scarce, externalities increase, and property rights emerge for internalising such externalities, aligning private incentives with social welfare (Demsetz, 1967, pp. 347-349, 358-359). Thus, an analytical argument by the author for space resources, which is “commons”, and an individual has no incentive to invest in the extraction technology, as there is no guarantee that there will be a return on investment on the extraction of the resource. The Indian Space Policy, by granting the right to “</w:t>
      </w:r>
      <w:r w:rsidR="00AA3CD4" w:rsidRPr="009D3726">
        <w:rPr>
          <w:i/>
          <w:iCs/>
          <w:szCs w:val="24"/>
        </w:rPr>
        <w:t>possess, own, transport, use and sell</w:t>
      </w:r>
      <w:r w:rsidR="00AA3CD4" w:rsidRPr="009D3726">
        <w:rPr>
          <w:szCs w:val="24"/>
        </w:rPr>
        <w:t xml:space="preserve">”, will internalise the externality and the firm that will bear the cost of extraction will reap the full benefit. </w:t>
      </w:r>
      <w:r w:rsidR="00925BDA" w:rsidRPr="009D3726">
        <w:rPr>
          <w:szCs w:val="24"/>
        </w:rPr>
        <w:t xml:space="preserve">The author further conceptualises that </w:t>
      </w:r>
      <w:r w:rsidR="00925BDA" w:rsidRPr="009D3726">
        <w:rPr>
          <w:szCs w:val="24"/>
          <w:lang w:val="en-US"/>
        </w:rPr>
        <w:t>H</w:t>
      </w:r>
      <w:r w:rsidR="00AA3CD4" w:rsidRPr="009D3726">
        <w:rPr>
          <w:szCs w:val="24"/>
          <w:lang w:val="en-US"/>
        </w:rPr>
        <w:t xml:space="preserve">ere </w:t>
      </w:r>
      <w:r w:rsidR="00925BDA" w:rsidRPr="009D3726">
        <w:rPr>
          <w:szCs w:val="24"/>
          <w:lang w:val="en-US"/>
        </w:rPr>
        <w:t>(</w:t>
      </w:r>
      <w:r w:rsidR="00AA3CD4" w:rsidRPr="009D3726">
        <w:rPr>
          <w:szCs w:val="24"/>
          <w:lang w:val="en-US"/>
        </w:rPr>
        <w:t>I</w:t>
      </w:r>
      <w:r w:rsidR="00925BDA" w:rsidRPr="009D3726">
        <w:rPr>
          <w:szCs w:val="24"/>
          <w:lang w:val="en-US"/>
        </w:rPr>
        <w:t xml:space="preserve">) is </w:t>
      </w:r>
      <w:r w:rsidR="00AA3CD4" w:rsidRPr="009D3726">
        <w:rPr>
          <w:szCs w:val="24"/>
          <w:lang w:val="en-US"/>
        </w:rPr>
        <w:t>the investment required</w:t>
      </w:r>
      <w:r w:rsidR="00925BDA" w:rsidRPr="009D3726">
        <w:rPr>
          <w:szCs w:val="24"/>
          <w:lang w:val="en-US"/>
        </w:rPr>
        <w:t>,</w:t>
      </w:r>
      <w:r w:rsidR="00AA3CD4" w:rsidRPr="009D3726">
        <w:rPr>
          <w:szCs w:val="24"/>
          <w:lang w:val="en-US"/>
        </w:rPr>
        <w:t xml:space="preserve"> and R is the potential return</w:t>
      </w:r>
      <w:r w:rsidR="00925BDA" w:rsidRPr="009D3726">
        <w:rPr>
          <w:szCs w:val="24"/>
          <w:lang w:val="en-US"/>
        </w:rPr>
        <w:t>. A rational NGE will invest only if the E[R</w:t>
      </w:r>
      <w:r w:rsidR="00925BDA" w:rsidRPr="009D3726">
        <w:rPr>
          <w:szCs w:val="24"/>
          <w:vertAlign w:val="subscript"/>
          <w:lang w:val="en-US"/>
        </w:rPr>
        <w:t>private</w:t>
      </w:r>
      <w:r w:rsidR="00925BDA" w:rsidRPr="009D3726">
        <w:rPr>
          <w:szCs w:val="24"/>
          <w:lang w:val="en-US"/>
        </w:rPr>
        <w:t>] &gt; I + σ.  Here, σ is the risk premium associated with legal uncertainty. If R is a public good, then E[R</w:t>
      </w:r>
      <w:r w:rsidR="00925BDA" w:rsidRPr="009D3726">
        <w:rPr>
          <w:szCs w:val="24"/>
          <w:vertAlign w:val="subscript"/>
          <w:lang w:val="en-US"/>
        </w:rPr>
        <w:t>private</w:t>
      </w:r>
      <w:r w:rsidR="00925BDA" w:rsidRPr="009D3726">
        <w:rPr>
          <w:szCs w:val="24"/>
          <w:lang w:val="en-US"/>
        </w:rPr>
        <w:t xml:space="preserve">] is nearing zero, leading to market failure (no investment). Thus, legislation needs to step in to minimize </w:t>
      </w:r>
      <w:r w:rsidR="00576C5D" w:rsidRPr="009D3726">
        <w:rPr>
          <w:szCs w:val="24"/>
          <w:lang w:val="en-US"/>
        </w:rPr>
        <w:t>(</w:t>
      </w:r>
      <w:r w:rsidR="00925BDA" w:rsidRPr="009D3726">
        <w:rPr>
          <w:szCs w:val="24"/>
          <w:lang w:val="en-US"/>
        </w:rPr>
        <w:t>σ</w:t>
      </w:r>
      <w:r w:rsidR="00576C5D" w:rsidRPr="009D3726">
        <w:rPr>
          <w:szCs w:val="24"/>
          <w:lang w:val="en-US"/>
        </w:rPr>
        <w:t>)</w:t>
      </w:r>
      <w:r w:rsidR="00925BDA" w:rsidRPr="009D3726">
        <w:rPr>
          <w:szCs w:val="24"/>
          <w:lang w:val="en-US"/>
        </w:rPr>
        <w:t>, making the inequality become true</w:t>
      </w:r>
      <w:r w:rsidR="00A323CA" w:rsidRPr="009D3726">
        <w:rPr>
          <w:szCs w:val="24"/>
          <w:lang w:val="en-US"/>
        </w:rPr>
        <w:t xml:space="preserve"> </w:t>
      </w:r>
      <w:r w:rsidR="00A323CA" w:rsidRPr="009D3726">
        <w:rPr>
          <w:szCs w:val="24"/>
        </w:rPr>
        <w:t>(Andersen &amp; Sørensen, 2023)</w:t>
      </w:r>
      <w:r w:rsidR="00925BDA" w:rsidRPr="009D3726">
        <w:rPr>
          <w:szCs w:val="24"/>
          <w:lang w:val="en-US"/>
        </w:rPr>
        <w:t>.</w:t>
      </w:r>
    </w:p>
    <w:p w14:paraId="6F447167" w14:textId="6062C91F" w:rsidR="00AA3CD4" w:rsidRPr="009D3726" w:rsidRDefault="008435A2" w:rsidP="00C6418A">
      <w:pPr>
        <w:pStyle w:val="ListParagraph"/>
        <w:numPr>
          <w:ilvl w:val="0"/>
          <w:numId w:val="5"/>
        </w:numPr>
        <w:spacing w:line="240" w:lineRule="auto"/>
        <w:rPr>
          <w:szCs w:val="24"/>
          <w:lang w:val="en-US"/>
        </w:rPr>
      </w:pPr>
      <w:r w:rsidRPr="006A716A">
        <w:rPr>
          <w:b/>
          <w:bCs/>
          <w:szCs w:val="24"/>
          <w:lang w:val="en-US"/>
        </w:rPr>
        <w:t xml:space="preserve">The Coase Theorem </w:t>
      </w:r>
      <w:r w:rsidR="00C108D7" w:rsidRPr="006A716A">
        <w:rPr>
          <w:b/>
          <w:bCs/>
          <w:szCs w:val="24"/>
        </w:rPr>
        <w:t>(Coase, 1981)</w:t>
      </w:r>
      <w:r w:rsidR="00C108D7" w:rsidRPr="009D3726">
        <w:rPr>
          <w:szCs w:val="24"/>
        </w:rPr>
        <w:t xml:space="preserve"> </w:t>
      </w:r>
      <w:r w:rsidRPr="009D3726">
        <w:rPr>
          <w:szCs w:val="24"/>
        </w:rPr>
        <w:t xml:space="preserve">- Having legislation in India will be an application of the Coase Theorem, which clearly states that if property rights are well-defined and transaction costs are low, </w:t>
      </w:r>
      <w:r w:rsidR="00C108D7" w:rsidRPr="009D3726">
        <w:rPr>
          <w:szCs w:val="24"/>
        </w:rPr>
        <w:t>resources</w:t>
      </w:r>
      <w:r w:rsidRPr="009D3726">
        <w:rPr>
          <w:szCs w:val="24"/>
        </w:rPr>
        <w:t xml:space="preserve"> will flow to their most highly valued use regardless of who initially owns them (Farrell, 1987, </w:t>
      </w:r>
      <w:r w:rsidR="00C108D7" w:rsidRPr="009D3726">
        <w:rPr>
          <w:szCs w:val="24"/>
        </w:rPr>
        <w:t>p. 114). Space is currently a domain where high transaction cost is involved because of the legal ambiguity in Art. II. Explicitly defining the property rights in India via legislation will lower the transaction costs for the disputing ownership without allowing NGEs to trade these resources or the rights to use them efficiently.</w:t>
      </w:r>
    </w:p>
    <w:p w14:paraId="14BE0FF8" w14:textId="60A46F29" w:rsidR="00A97BD5" w:rsidRPr="009D3726" w:rsidRDefault="00C108D7" w:rsidP="00C6418A">
      <w:pPr>
        <w:pStyle w:val="ListParagraph"/>
        <w:numPr>
          <w:ilvl w:val="0"/>
          <w:numId w:val="5"/>
        </w:numPr>
        <w:spacing w:line="240" w:lineRule="auto"/>
        <w:rPr>
          <w:szCs w:val="24"/>
          <w:lang w:val="en-US"/>
        </w:rPr>
      </w:pPr>
      <w:r w:rsidRPr="006A716A">
        <w:rPr>
          <w:b/>
          <w:bCs/>
          <w:szCs w:val="24"/>
        </w:rPr>
        <w:t>Schumpeterian Growth and Innovation Theory</w:t>
      </w:r>
      <w:r w:rsidR="004D1D33" w:rsidRPr="006A716A">
        <w:rPr>
          <w:b/>
          <w:bCs/>
          <w:szCs w:val="24"/>
        </w:rPr>
        <w:t xml:space="preserve"> (Schumpeter, 2013)</w:t>
      </w:r>
      <w:r w:rsidR="004D1D33" w:rsidRPr="009D3726">
        <w:rPr>
          <w:szCs w:val="24"/>
        </w:rPr>
        <w:t xml:space="preserve">- The theory of creative destruction by Joseph </w:t>
      </w:r>
      <w:r w:rsidR="00FC6038" w:rsidRPr="009D3726">
        <w:rPr>
          <w:szCs w:val="24"/>
        </w:rPr>
        <w:t>Schumpeter</w:t>
      </w:r>
      <w:r w:rsidR="004D1D33" w:rsidRPr="009D3726">
        <w:rPr>
          <w:szCs w:val="24"/>
        </w:rPr>
        <w:t xml:space="preserve"> </w:t>
      </w:r>
      <w:r w:rsidR="00A97BD5" w:rsidRPr="009D3726">
        <w:rPr>
          <w:szCs w:val="24"/>
        </w:rPr>
        <w:t xml:space="preserve">suggests that economic growth is driven by </w:t>
      </w:r>
      <w:r w:rsidR="00A97BD5" w:rsidRPr="009D3726">
        <w:rPr>
          <w:szCs w:val="24"/>
        </w:rPr>
        <w:lastRenderedPageBreak/>
        <w:t>entrepreneurs who introduce new technologies</w:t>
      </w:r>
      <w:r w:rsidR="00FC6038" w:rsidRPr="009D3726">
        <w:rPr>
          <w:szCs w:val="24"/>
        </w:rPr>
        <w:t>,</w:t>
      </w:r>
      <w:r w:rsidR="00A97BD5" w:rsidRPr="009D3726">
        <w:rPr>
          <w:szCs w:val="24"/>
        </w:rPr>
        <w:t xml:space="preserve"> rendering old technology obsolete (Uctu et al., 2024, p. 298</w:t>
      </w:r>
      <w:r w:rsidR="002B640E" w:rsidRPr="009D3726">
        <w:rPr>
          <w:szCs w:val="24"/>
        </w:rPr>
        <w:t>; Aghion, 2018, p. 696</w:t>
      </w:r>
      <w:r w:rsidR="00A97BD5" w:rsidRPr="009D3726">
        <w:rPr>
          <w:szCs w:val="24"/>
        </w:rPr>
        <w:t xml:space="preserve">). Gupta et al. (2024) </w:t>
      </w:r>
      <w:r w:rsidR="00FC6038" w:rsidRPr="009D3726">
        <w:rPr>
          <w:szCs w:val="24"/>
        </w:rPr>
        <w:t>advocate</w:t>
      </w:r>
      <w:r w:rsidR="00A97BD5" w:rsidRPr="009D3726">
        <w:rPr>
          <w:szCs w:val="24"/>
        </w:rPr>
        <w:t xml:space="preserve"> for “</w:t>
      </w:r>
      <w:r w:rsidR="00A97BD5" w:rsidRPr="009D3726">
        <w:rPr>
          <w:i/>
          <w:iCs/>
          <w:szCs w:val="24"/>
        </w:rPr>
        <w:t>radical innovation</w:t>
      </w:r>
      <w:r w:rsidR="00A97BD5" w:rsidRPr="009D3726">
        <w:rPr>
          <w:szCs w:val="24"/>
        </w:rPr>
        <w:t>”, extending the argument to space mining</w:t>
      </w:r>
      <w:r w:rsidR="00FC6038" w:rsidRPr="009D3726">
        <w:rPr>
          <w:szCs w:val="24"/>
        </w:rPr>
        <w:t>,</w:t>
      </w:r>
      <w:r w:rsidR="00A97BD5" w:rsidRPr="009D3726">
        <w:rPr>
          <w:szCs w:val="24"/>
        </w:rPr>
        <w:t xml:space="preserve"> which is an industry with extremely high entry barriers</w:t>
      </w:r>
      <w:r w:rsidR="00FC6038" w:rsidRPr="009D3726">
        <w:rPr>
          <w:szCs w:val="24"/>
        </w:rPr>
        <w:t>. Incentivising</w:t>
      </w:r>
      <w:r w:rsidR="00A97BD5" w:rsidRPr="009D3726">
        <w:rPr>
          <w:szCs w:val="24"/>
        </w:rPr>
        <w:t xml:space="preserve"> an NGE to be the risk-taker will require a reward structure </w:t>
      </w:r>
      <w:r w:rsidR="00FC6038" w:rsidRPr="009D3726">
        <w:rPr>
          <w:szCs w:val="24"/>
        </w:rPr>
        <w:t>that</w:t>
      </w:r>
      <w:r w:rsidR="00A97BD5" w:rsidRPr="009D3726">
        <w:rPr>
          <w:szCs w:val="24"/>
        </w:rPr>
        <w:t xml:space="preserve"> must be monopolistic in the short term.</w:t>
      </w:r>
    </w:p>
    <w:p w14:paraId="56ACE569" w14:textId="7F483158" w:rsidR="00A97BD5" w:rsidRPr="009D3726" w:rsidRDefault="00A97BD5" w:rsidP="00C6418A">
      <w:pPr>
        <w:spacing w:line="240" w:lineRule="auto"/>
        <w:rPr>
          <w:szCs w:val="24"/>
        </w:rPr>
      </w:pPr>
      <w:r w:rsidRPr="009D3726">
        <w:rPr>
          <w:szCs w:val="24"/>
        </w:rPr>
        <w:t>The Net Present Value (NPV) of a space mining project is</w:t>
      </w:r>
      <w:r w:rsidR="00461734" w:rsidRPr="009D3726">
        <w:rPr>
          <w:szCs w:val="24"/>
        </w:rPr>
        <w:t xml:space="preserve"> (Azimzadeh et al., 2026, p. 4):</w:t>
      </w:r>
      <w:r w:rsidRPr="009D3726">
        <w:rPr>
          <w:szCs w:val="24"/>
        </w:rPr>
        <w:t xml:space="preserve">  </w:t>
      </w:r>
    </w:p>
    <w:p w14:paraId="3B2F3E0C" w14:textId="77777777" w:rsidR="00A97BD5" w:rsidRPr="009D3726" w:rsidRDefault="00A97BD5" w:rsidP="00C6418A">
      <w:pPr>
        <w:pStyle w:val="ListParagraph"/>
        <w:spacing w:line="240" w:lineRule="auto"/>
        <w:rPr>
          <w:szCs w:val="24"/>
        </w:rPr>
      </w:pPr>
    </w:p>
    <w:p w14:paraId="1F3A2897" w14:textId="29F972EC" w:rsidR="00C108D7" w:rsidRPr="009D3726" w:rsidRDefault="00A97BD5" w:rsidP="00C6418A">
      <w:pPr>
        <w:pStyle w:val="ListParagraph"/>
        <w:spacing w:line="240" w:lineRule="auto"/>
        <w:rPr>
          <w:rFonts w:cs="Times New Roman"/>
          <w:szCs w:val="24"/>
          <w:u w:val="single"/>
          <w:vertAlign w:val="subscript"/>
        </w:rPr>
      </w:pPr>
      <w:r w:rsidRPr="009D3726">
        <w:rPr>
          <w:szCs w:val="24"/>
        </w:rPr>
        <w:t xml:space="preserve">NPV =  </w:t>
      </w:r>
      <w:r w:rsidR="00461734" w:rsidRPr="009D3726">
        <w:rPr>
          <w:szCs w:val="24"/>
          <w:u w:val="single"/>
          <w:vertAlign w:val="superscript"/>
        </w:rPr>
        <w:t xml:space="preserve">N </w:t>
      </w:r>
      <w:r w:rsidRPr="009D3726">
        <w:rPr>
          <w:rFonts w:cs="Times New Roman"/>
          <w:szCs w:val="24"/>
          <w:u w:val="single"/>
        </w:rPr>
        <w:t>∑</w:t>
      </w:r>
      <w:r w:rsidR="00461734" w:rsidRPr="009D3726">
        <w:rPr>
          <w:rFonts w:cs="Times New Roman"/>
          <w:szCs w:val="24"/>
          <w:u w:val="single"/>
        </w:rPr>
        <w:t xml:space="preserve"> </w:t>
      </w:r>
      <w:r w:rsidR="00461734" w:rsidRPr="009D3726">
        <w:rPr>
          <w:rFonts w:cs="Times New Roman"/>
          <w:szCs w:val="24"/>
          <w:u w:val="single"/>
          <w:vertAlign w:val="subscript"/>
        </w:rPr>
        <w:t xml:space="preserve">t=0 </w:t>
      </w:r>
      <w:r w:rsidR="00461734" w:rsidRPr="009D3726">
        <w:rPr>
          <w:rFonts w:cs="Times New Roman"/>
          <w:szCs w:val="24"/>
          <w:u w:val="single"/>
        </w:rPr>
        <w:t xml:space="preserve"> </w:t>
      </w:r>
      <w:r w:rsidR="006562F5" w:rsidRPr="009D3726">
        <w:rPr>
          <w:rFonts w:cs="Times New Roman"/>
          <w:szCs w:val="24"/>
          <w:u w:val="single"/>
        </w:rPr>
        <w:t>(</w:t>
      </w:r>
      <w:r w:rsidR="00461734" w:rsidRPr="009D3726">
        <w:rPr>
          <w:rFonts w:cs="Times New Roman"/>
          <w:szCs w:val="24"/>
          <w:u w:val="single"/>
        </w:rPr>
        <w:t>R</w:t>
      </w:r>
      <w:r w:rsidR="00461734" w:rsidRPr="009D3726">
        <w:rPr>
          <w:rFonts w:cs="Times New Roman"/>
          <w:szCs w:val="24"/>
          <w:u w:val="single"/>
          <w:vertAlign w:val="subscript"/>
        </w:rPr>
        <w:t xml:space="preserve">t </w:t>
      </w:r>
      <w:r w:rsidR="00461734" w:rsidRPr="009D3726">
        <w:rPr>
          <w:rFonts w:cs="Times New Roman"/>
          <w:szCs w:val="24"/>
          <w:u w:val="single"/>
        </w:rPr>
        <w:t>– C</w:t>
      </w:r>
      <w:r w:rsidR="00461734" w:rsidRPr="009D3726">
        <w:rPr>
          <w:rFonts w:cs="Times New Roman"/>
          <w:szCs w:val="24"/>
          <w:u w:val="single"/>
          <w:vertAlign w:val="subscript"/>
        </w:rPr>
        <w:t>t</w:t>
      </w:r>
      <w:r w:rsidR="006562F5" w:rsidRPr="009D3726">
        <w:rPr>
          <w:rFonts w:cs="Times New Roman"/>
          <w:szCs w:val="24"/>
          <w:u w:val="single"/>
        </w:rPr>
        <w:t>)</w:t>
      </w:r>
      <w:r w:rsidR="00FB0F98" w:rsidRPr="009D3726">
        <w:rPr>
          <w:rFonts w:cs="Times New Roman"/>
          <w:szCs w:val="24"/>
        </w:rPr>
        <w:t xml:space="preserve">    - I</w:t>
      </w:r>
      <w:r w:rsidR="00FB0F98" w:rsidRPr="009D3726">
        <w:rPr>
          <w:rFonts w:cs="Times New Roman"/>
          <w:szCs w:val="24"/>
          <w:vertAlign w:val="subscript"/>
        </w:rPr>
        <w:t>0</w:t>
      </w:r>
    </w:p>
    <w:p w14:paraId="4B57042F" w14:textId="1848CC8E" w:rsidR="00461734" w:rsidRPr="009D3726" w:rsidRDefault="00461734" w:rsidP="00C6418A">
      <w:pPr>
        <w:pStyle w:val="ListParagraph"/>
        <w:spacing w:line="240" w:lineRule="auto"/>
        <w:rPr>
          <w:szCs w:val="24"/>
          <w:vertAlign w:val="superscript"/>
        </w:rPr>
      </w:pPr>
      <w:r w:rsidRPr="009D3726">
        <w:rPr>
          <w:szCs w:val="24"/>
        </w:rPr>
        <w:tab/>
      </w:r>
      <w:r w:rsidRPr="009D3726">
        <w:rPr>
          <w:szCs w:val="24"/>
        </w:rPr>
        <w:tab/>
        <w:t>(1+</w:t>
      </w:r>
      <w:r w:rsidR="00365F05" w:rsidRPr="009D3726">
        <w:rPr>
          <w:szCs w:val="24"/>
        </w:rPr>
        <w:t>r)</w:t>
      </w:r>
      <w:r w:rsidR="00365F05" w:rsidRPr="009D3726">
        <w:rPr>
          <w:szCs w:val="24"/>
          <w:vertAlign w:val="superscript"/>
        </w:rPr>
        <w:t xml:space="preserve"> t</w:t>
      </w:r>
    </w:p>
    <w:p w14:paraId="07EC7D60" w14:textId="77777777" w:rsidR="00461734" w:rsidRPr="009D3726" w:rsidRDefault="00461734" w:rsidP="00C6418A">
      <w:pPr>
        <w:pStyle w:val="ListParagraph"/>
        <w:spacing w:line="240" w:lineRule="auto"/>
        <w:rPr>
          <w:szCs w:val="24"/>
          <w:vertAlign w:val="superscript"/>
        </w:rPr>
      </w:pPr>
    </w:p>
    <w:p w14:paraId="45C339A8" w14:textId="77777777" w:rsidR="00461734" w:rsidRPr="009D3726" w:rsidRDefault="00461734" w:rsidP="00C6418A">
      <w:pPr>
        <w:spacing w:line="240" w:lineRule="auto"/>
        <w:rPr>
          <w:rFonts w:cs="Times New Roman"/>
          <w:szCs w:val="24"/>
        </w:rPr>
      </w:pPr>
      <w:r w:rsidRPr="009D3726">
        <w:rPr>
          <w:rFonts w:cs="Times New Roman"/>
          <w:szCs w:val="24"/>
        </w:rPr>
        <w:t xml:space="preserve">In this equation </w:t>
      </w:r>
    </w:p>
    <w:p w14:paraId="0E20C661" w14:textId="1BEE4DCB" w:rsidR="00461734" w:rsidRPr="009D3726" w:rsidRDefault="00461734" w:rsidP="00C6418A">
      <w:pPr>
        <w:spacing w:line="240" w:lineRule="auto"/>
        <w:rPr>
          <w:rFonts w:cs="Times New Roman"/>
          <w:szCs w:val="24"/>
        </w:rPr>
      </w:pPr>
      <w:r w:rsidRPr="009D3726">
        <w:rPr>
          <w:rFonts w:cs="Times New Roman"/>
          <w:szCs w:val="24"/>
        </w:rPr>
        <w:t>C</w:t>
      </w:r>
      <w:r w:rsidRPr="009D3726">
        <w:rPr>
          <w:rFonts w:cs="Times New Roman"/>
          <w:szCs w:val="24"/>
          <w:vertAlign w:val="subscript"/>
        </w:rPr>
        <w:t>t</w:t>
      </w:r>
      <w:r w:rsidRPr="009D3726">
        <w:rPr>
          <w:rFonts w:cs="Times New Roman"/>
          <w:szCs w:val="24"/>
        </w:rPr>
        <w:t>: Massive upfront Capital Expenditure (CapEx)</w:t>
      </w:r>
    </w:p>
    <w:p w14:paraId="5FB7FEE8" w14:textId="1542C3B5" w:rsidR="00461734" w:rsidRPr="009D3726" w:rsidRDefault="00461734" w:rsidP="00C6418A">
      <w:pPr>
        <w:spacing w:line="240" w:lineRule="auto"/>
        <w:rPr>
          <w:rFonts w:cs="Times New Roman"/>
          <w:szCs w:val="24"/>
        </w:rPr>
      </w:pPr>
      <w:r w:rsidRPr="009D3726">
        <w:rPr>
          <w:rFonts w:cs="Times New Roman"/>
          <w:szCs w:val="24"/>
        </w:rPr>
        <w:t xml:space="preserve">r: Discount Rate (this is extremely high for space ventures because of the technical risk involved) </w:t>
      </w:r>
    </w:p>
    <w:p w14:paraId="0AD1F09A" w14:textId="3BC7CE27" w:rsidR="00461734" w:rsidRPr="009D3726" w:rsidRDefault="00461734" w:rsidP="00C6418A">
      <w:pPr>
        <w:spacing w:line="240" w:lineRule="auto"/>
        <w:rPr>
          <w:rFonts w:cs="Times New Roman"/>
          <w:szCs w:val="24"/>
        </w:rPr>
      </w:pPr>
      <w:r w:rsidRPr="009D3726">
        <w:rPr>
          <w:rFonts w:cs="Times New Roman"/>
          <w:szCs w:val="24"/>
        </w:rPr>
        <w:t>R</w:t>
      </w:r>
      <w:r w:rsidRPr="009D3726">
        <w:rPr>
          <w:rFonts w:cs="Times New Roman"/>
          <w:szCs w:val="24"/>
          <w:vertAlign w:val="subscript"/>
        </w:rPr>
        <w:t>t</w:t>
      </w:r>
      <w:r w:rsidRPr="009D3726">
        <w:rPr>
          <w:rFonts w:cs="Times New Roman"/>
          <w:szCs w:val="24"/>
        </w:rPr>
        <w:t xml:space="preserve">: Revenue </w:t>
      </w:r>
    </w:p>
    <w:p w14:paraId="4E850534" w14:textId="0C04B9DB" w:rsidR="00FB0F98" w:rsidRPr="009D3726" w:rsidRDefault="00FB0F98" w:rsidP="00C6418A">
      <w:pPr>
        <w:spacing w:line="240" w:lineRule="auto"/>
        <w:rPr>
          <w:rFonts w:cs="Times New Roman"/>
          <w:szCs w:val="24"/>
        </w:rPr>
      </w:pPr>
      <w:r w:rsidRPr="009D3726">
        <w:rPr>
          <w:rFonts w:cs="Times New Roman"/>
          <w:szCs w:val="24"/>
        </w:rPr>
        <w:t>I</w:t>
      </w:r>
      <w:r w:rsidRPr="009D3726">
        <w:rPr>
          <w:rFonts w:cs="Times New Roman"/>
          <w:szCs w:val="24"/>
          <w:vertAlign w:val="subscript"/>
        </w:rPr>
        <w:t>0</w:t>
      </w:r>
      <w:r w:rsidRPr="009D3726">
        <w:rPr>
          <w:rFonts w:cs="Times New Roman"/>
          <w:szCs w:val="24"/>
        </w:rPr>
        <w:t>: Initial Investment by the firm</w:t>
      </w:r>
    </w:p>
    <w:p w14:paraId="5A955A51" w14:textId="254D676A" w:rsidR="00461734" w:rsidRPr="009D3726" w:rsidRDefault="00461734" w:rsidP="00C6418A">
      <w:pPr>
        <w:spacing w:line="240" w:lineRule="auto"/>
        <w:rPr>
          <w:rFonts w:cs="Times New Roman"/>
          <w:szCs w:val="24"/>
        </w:rPr>
      </w:pPr>
      <w:r w:rsidRPr="009D3726">
        <w:rPr>
          <w:rFonts w:cs="Times New Roman"/>
          <w:szCs w:val="24"/>
        </w:rPr>
        <w:t xml:space="preserve">If an NGE cannot “sell” </w:t>
      </w:r>
      <w:r w:rsidR="00D93DBC" w:rsidRPr="009D3726">
        <w:rPr>
          <w:rFonts w:cs="Times New Roman"/>
          <w:szCs w:val="24"/>
        </w:rPr>
        <w:t xml:space="preserve">a </w:t>
      </w:r>
      <w:r w:rsidRPr="009D3726">
        <w:rPr>
          <w:rFonts w:cs="Times New Roman"/>
          <w:szCs w:val="24"/>
        </w:rPr>
        <w:t>resource (R</w:t>
      </w:r>
      <w:r w:rsidRPr="009D3726">
        <w:rPr>
          <w:rFonts w:cs="Times New Roman"/>
          <w:szCs w:val="24"/>
          <w:vertAlign w:val="subscript"/>
        </w:rPr>
        <w:t xml:space="preserve">t </w:t>
      </w:r>
      <w:r w:rsidRPr="009D3726">
        <w:rPr>
          <w:rFonts w:cs="Times New Roman"/>
          <w:szCs w:val="24"/>
        </w:rPr>
        <w:t xml:space="preserve">= 0), the NPV&lt;0. If legislation </w:t>
      </w:r>
      <w:r w:rsidR="00D93DBC" w:rsidRPr="009D3726">
        <w:rPr>
          <w:rFonts w:cs="Times New Roman"/>
          <w:szCs w:val="24"/>
        </w:rPr>
        <w:t>comes,</w:t>
      </w:r>
      <w:r w:rsidRPr="009D3726">
        <w:rPr>
          <w:rFonts w:cs="Times New Roman"/>
          <w:szCs w:val="24"/>
        </w:rPr>
        <w:t xml:space="preserve"> then R</w:t>
      </w:r>
      <w:r w:rsidRPr="009D3726">
        <w:rPr>
          <w:rFonts w:cs="Times New Roman"/>
          <w:szCs w:val="24"/>
          <w:vertAlign w:val="subscript"/>
        </w:rPr>
        <w:t>t</w:t>
      </w:r>
      <w:r w:rsidRPr="009D3726">
        <w:rPr>
          <w:rFonts w:cs="Times New Roman"/>
          <w:szCs w:val="24"/>
        </w:rPr>
        <w:t xml:space="preserve"> &gt; 0</w:t>
      </w:r>
      <w:r w:rsidR="00D93DBC" w:rsidRPr="009D3726">
        <w:rPr>
          <w:rFonts w:cs="Times New Roman"/>
          <w:szCs w:val="24"/>
        </w:rPr>
        <w:t>,</w:t>
      </w:r>
      <w:r w:rsidRPr="009D3726">
        <w:rPr>
          <w:rFonts w:cs="Times New Roman"/>
          <w:szCs w:val="24"/>
        </w:rPr>
        <w:t xml:space="preserve"> and by securing “ownership”, it will effectively lower r (risk profile)</w:t>
      </w:r>
      <w:r w:rsidR="00D93DBC" w:rsidRPr="009D3726">
        <w:rPr>
          <w:rFonts w:cs="Times New Roman"/>
          <w:szCs w:val="24"/>
        </w:rPr>
        <w:t>,</w:t>
      </w:r>
      <w:r w:rsidRPr="009D3726">
        <w:rPr>
          <w:rFonts w:cs="Times New Roman"/>
          <w:szCs w:val="24"/>
        </w:rPr>
        <w:t xml:space="preserve"> </w:t>
      </w:r>
      <w:r w:rsidR="00365F05" w:rsidRPr="009D3726">
        <w:rPr>
          <w:rFonts w:cs="Times New Roman"/>
          <w:szCs w:val="24"/>
        </w:rPr>
        <w:t xml:space="preserve">making the whole mining venture bankable for </w:t>
      </w:r>
      <w:r w:rsidR="00D93DBC" w:rsidRPr="009D3726">
        <w:rPr>
          <w:rFonts w:cs="Times New Roman"/>
          <w:szCs w:val="24"/>
        </w:rPr>
        <w:t xml:space="preserve">a </w:t>
      </w:r>
      <w:r w:rsidR="00365F05" w:rsidRPr="009D3726">
        <w:rPr>
          <w:rFonts w:cs="Times New Roman"/>
          <w:szCs w:val="24"/>
        </w:rPr>
        <w:t xml:space="preserve">private equity firm. </w:t>
      </w:r>
    </w:p>
    <w:p w14:paraId="523AC40B" w14:textId="47A0251F" w:rsidR="006562F5" w:rsidRPr="009D3726" w:rsidRDefault="00365F05" w:rsidP="00C6418A">
      <w:pPr>
        <w:spacing w:line="240" w:lineRule="auto"/>
        <w:rPr>
          <w:rFonts w:cs="Times New Roman"/>
          <w:szCs w:val="24"/>
        </w:rPr>
      </w:pPr>
      <w:r w:rsidRPr="009D3726">
        <w:rPr>
          <w:rFonts w:cs="Times New Roman"/>
          <w:szCs w:val="24"/>
        </w:rPr>
        <w:t>Thus, the author argues and conceptualizes that Demsetz’s theory is internalizing the benefits</w:t>
      </w:r>
      <w:r w:rsidR="00D93DBC" w:rsidRPr="009D3726">
        <w:rPr>
          <w:rFonts w:cs="Times New Roman"/>
          <w:szCs w:val="24"/>
        </w:rPr>
        <w:t>,</w:t>
      </w:r>
      <w:r w:rsidRPr="009D3726">
        <w:rPr>
          <w:rFonts w:cs="Times New Roman"/>
          <w:szCs w:val="24"/>
        </w:rPr>
        <w:t xml:space="preserve"> and without legislation</w:t>
      </w:r>
      <w:r w:rsidR="00D93DBC" w:rsidRPr="009D3726">
        <w:rPr>
          <w:rFonts w:cs="Times New Roman"/>
          <w:szCs w:val="24"/>
        </w:rPr>
        <w:t>,</w:t>
      </w:r>
      <w:r w:rsidRPr="009D3726">
        <w:rPr>
          <w:rFonts w:cs="Times New Roman"/>
          <w:szCs w:val="24"/>
        </w:rPr>
        <w:t xml:space="preserve"> investment in extraction is irrational. </w:t>
      </w:r>
      <w:r w:rsidR="00D93DBC" w:rsidRPr="009D3726">
        <w:rPr>
          <w:rFonts w:cs="Times New Roman"/>
          <w:szCs w:val="24"/>
        </w:rPr>
        <w:t xml:space="preserve">The </w:t>
      </w:r>
      <w:r w:rsidRPr="009D3726">
        <w:rPr>
          <w:rFonts w:cs="Times New Roman"/>
          <w:szCs w:val="24"/>
        </w:rPr>
        <w:t xml:space="preserve">Coase theorem advocates for legislation for </w:t>
      </w:r>
      <w:r w:rsidR="00D93DBC" w:rsidRPr="009D3726">
        <w:rPr>
          <w:rFonts w:cs="Times New Roman"/>
          <w:szCs w:val="24"/>
        </w:rPr>
        <w:t xml:space="preserve">the </w:t>
      </w:r>
      <w:r w:rsidRPr="009D3726">
        <w:rPr>
          <w:rFonts w:cs="Times New Roman"/>
          <w:szCs w:val="24"/>
        </w:rPr>
        <w:t>reduction of transaction costs and enabling the efficient trade of extracted resources</w:t>
      </w:r>
      <w:r w:rsidR="00D93DBC" w:rsidRPr="009D3726">
        <w:rPr>
          <w:rFonts w:cs="Times New Roman"/>
          <w:szCs w:val="24"/>
        </w:rPr>
        <w:t>,</w:t>
      </w:r>
      <w:r w:rsidRPr="009D3726">
        <w:rPr>
          <w:rFonts w:cs="Times New Roman"/>
          <w:szCs w:val="24"/>
        </w:rPr>
        <w:t xml:space="preserve"> and finally</w:t>
      </w:r>
      <w:r w:rsidR="00D93DBC" w:rsidRPr="009D3726">
        <w:rPr>
          <w:rFonts w:cs="Times New Roman"/>
          <w:szCs w:val="24"/>
        </w:rPr>
        <w:t>,</w:t>
      </w:r>
      <w:r w:rsidRPr="009D3726">
        <w:rPr>
          <w:rFonts w:cs="Times New Roman"/>
          <w:szCs w:val="24"/>
        </w:rPr>
        <w:t xml:space="preserve"> Joseph </w:t>
      </w:r>
      <w:r w:rsidR="00D93DBC" w:rsidRPr="009D3726">
        <w:rPr>
          <w:rFonts w:cs="Times New Roman"/>
          <w:szCs w:val="24"/>
        </w:rPr>
        <w:t>Schumpeter</w:t>
      </w:r>
      <w:r w:rsidRPr="009D3726">
        <w:rPr>
          <w:rFonts w:cs="Times New Roman"/>
          <w:szCs w:val="24"/>
        </w:rPr>
        <w:t xml:space="preserve"> argues for providing the necessary “monopoly profit” incentive for high-risk and radical innovation. By enacting legislation</w:t>
      </w:r>
      <w:r w:rsidR="00D93DBC" w:rsidRPr="009D3726">
        <w:rPr>
          <w:rFonts w:cs="Times New Roman"/>
          <w:szCs w:val="24"/>
        </w:rPr>
        <w:t>,</w:t>
      </w:r>
      <w:r w:rsidRPr="009D3726">
        <w:rPr>
          <w:rFonts w:cs="Times New Roman"/>
          <w:szCs w:val="24"/>
        </w:rPr>
        <w:t xml:space="preserve"> India can easily bypass the ambiguity in Art. II and transform the “high uncertainty exploration” into “calculable risk”</w:t>
      </w:r>
      <w:r w:rsidR="00D93DBC" w:rsidRPr="009D3726">
        <w:rPr>
          <w:rFonts w:cs="Times New Roman"/>
          <w:szCs w:val="24"/>
        </w:rPr>
        <w:t>,</w:t>
      </w:r>
      <w:r w:rsidRPr="009D3726">
        <w:rPr>
          <w:rFonts w:cs="Times New Roman"/>
          <w:szCs w:val="24"/>
        </w:rPr>
        <w:t xml:space="preserve"> thus permitting the formation of capital markets around space resources.</w:t>
      </w:r>
    </w:p>
    <w:p w14:paraId="1D148C17" w14:textId="51D6CB6D" w:rsidR="004E0882" w:rsidRPr="009D3726" w:rsidRDefault="004E0882" w:rsidP="00C6418A">
      <w:pPr>
        <w:pStyle w:val="ListParagraph"/>
        <w:numPr>
          <w:ilvl w:val="0"/>
          <w:numId w:val="5"/>
        </w:numPr>
        <w:tabs>
          <w:tab w:val="left" w:pos="4820"/>
        </w:tabs>
        <w:spacing w:line="240" w:lineRule="auto"/>
        <w:rPr>
          <w:rFonts w:cs="Times New Roman"/>
          <w:szCs w:val="24"/>
        </w:rPr>
      </w:pPr>
      <w:r w:rsidRPr="006A716A">
        <w:rPr>
          <w:rFonts w:cs="Times New Roman"/>
          <w:b/>
          <w:bCs/>
          <w:szCs w:val="24"/>
        </w:rPr>
        <w:t>New Institutional Economics (NIE) (North, 1986):</w:t>
      </w:r>
      <w:r w:rsidRPr="009D3726">
        <w:rPr>
          <w:rFonts w:cs="Times New Roman"/>
          <w:szCs w:val="24"/>
        </w:rPr>
        <w:t xml:space="preserve"> To understand the economic necessity of space resource legislation lies in the NIE</w:t>
      </w:r>
      <w:r w:rsidR="00FC6038" w:rsidRPr="009D3726">
        <w:rPr>
          <w:rFonts w:cs="Times New Roman"/>
          <w:szCs w:val="24"/>
        </w:rPr>
        <w:t>,</w:t>
      </w:r>
      <w:r w:rsidRPr="009D3726">
        <w:rPr>
          <w:rFonts w:cs="Times New Roman"/>
          <w:szCs w:val="24"/>
        </w:rPr>
        <w:t xml:space="preserve"> especially in the work of Douglass North. According to North (1986)</w:t>
      </w:r>
      <w:r w:rsidR="00FC6038" w:rsidRPr="009D3726">
        <w:rPr>
          <w:rFonts w:cs="Times New Roman"/>
          <w:szCs w:val="24"/>
        </w:rPr>
        <w:t>,</w:t>
      </w:r>
      <w:r w:rsidRPr="009D3726">
        <w:rPr>
          <w:rFonts w:cs="Times New Roman"/>
          <w:szCs w:val="24"/>
        </w:rPr>
        <w:t xml:space="preserve"> institutions are the “rules of the game” </w:t>
      </w:r>
      <w:r w:rsidR="00B436D7" w:rsidRPr="009D3726">
        <w:rPr>
          <w:rFonts w:cs="Times New Roman"/>
          <w:szCs w:val="24"/>
        </w:rPr>
        <w:t>that structure human interaction.</w:t>
      </w:r>
      <w:r w:rsidR="00050427" w:rsidRPr="009D3726">
        <w:rPr>
          <w:rFonts w:cs="Times New Roman"/>
          <w:szCs w:val="24"/>
        </w:rPr>
        <w:t xml:space="preserve"> North has stated that institutions determine the costs of transaction for measuring the valuable attributes of what is being exchanged and </w:t>
      </w:r>
      <w:r w:rsidR="00FC6038" w:rsidRPr="009D3726">
        <w:rPr>
          <w:rFonts w:cs="Times New Roman"/>
          <w:szCs w:val="24"/>
        </w:rPr>
        <w:t xml:space="preserve">the </w:t>
      </w:r>
      <w:r w:rsidR="00050427" w:rsidRPr="009D3726">
        <w:rPr>
          <w:rFonts w:cs="Times New Roman"/>
          <w:szCs w:val="24"/>
        </w:rPr>
        <w:t>cost of protecting rights and enforcing agreements (Musole, 2009, pp. 46-47). It is</w:t>
      </w:r>
      <w:r w:rsidR="00FC6038" w:rsidRPr="009D3726">
        <w:rPr>
          <w:rFonts w:cs="Times New Roman"/>
          <w:szCs w:val="24"/>
        </w:rPr>
        <w:t>,</w:t>
      </w:r>
      <w:r w:rsidR="00050427" w:rsidRPr="009D3726">
        <w:rPr>
          <w:rFonts w:cs="Times New Roman"/>
          <w:szCs w:val="24"/>
        </w:rPr>
        <w:t xml:space="preserve"> in actuality</w:t>
      </w:r>
      <w:r w:rsidR="00FC6038" w:rsidRPr="009D3726">
        <w:rPr>
          <w:rFonts w:cs="Times New Roman"/>
          <w:szCs w:val="24"/>
        </w:rPr>
        <w:t>,</w:t>
      </w:r>
      <w:r w:rsidR="00050427" w:rsidRPr="009D3726">
        <w:rPr>
          <w:rFonts w:cs="Times New Roman"/>
          <w:szCs w:val="24"/>
        </w:rPr>
        <w:t xml:space="preserve"> the failed economies </w:t>
      </w:r>
      <w:r w:rsidR="00FC6038" w:rsidRPr="009D3726">
        <w:rPr>
          <w:rFonts w:cs="Times New Roman"/>
          <w:szCs w:val="24"/>
        </w:rPr>
        <w:t>that</w:t>
      </w:r>
      <w:r w:rsidR="00050427" w:rsidRPr="009D3726">
        <w:rPr>
          <w:rFonts w:cs="Times New Roman"/>
          <w:szCs w:val="24"/>
        </w:rPr>
        <w:t xml:space="preserve"> help in the identification of the economic rules </w:t>
      </w:r>
      <w:r w:rsidR="00B95EAB" w:rsidRPr="009D3726">
        <w:rPr>
          <w:rFonts w:cs="Times New Roman"/>
          <w:szCs w:val="24"/>
        </w:rPr>
        <w:t>to ensure sustained economic growth. When it comes to the Indian Space Policy, 2023</w:t>
      </w:r>
      <w:r w:rsidR="00FC6038" w:rsidRPr="009D3726">
        <w:rPr>
          <w:rFonts w:cs="Times New Roman"/>
          <w:szCs w:val="24"/>
        </w:rPr>
        <w:t>,</w:t>
      </w:r>
      <w:r w:rsidR="00B95EAB" w:rsidRPr="009D3726">
        <w:rPr>
          <w:rFonts w:cs="Times New Roman"/>
          <w:szCs w:val="24"/>
        </w:rPr>
        <w:t xml:space="preserve"> the current reliance is a “soft” constraint </w:t>
      </w:r>
      <w:r w:rsidR="00FC6038" w:rsidRPr="009D3726">
        <w:rPr>
          <w:rFonts w:cs="Times New Roman"/>
          <w:szCs w:val="24"/>
        </w:rPr>
        <w:t>that</w:t>
      </w:r>
      <w:r w:rsidR="00B95EAB" w:rsidRPr="009D3726">
        <w:rPr>
          <w:rFonts w:cs="Times New Roman"/>
          <w:szCs w:val="24"/>
        </w:rPr>
        <w:t xml:space="preserve"> signals </w:t>
      </w:r>
      <w:r w:rsidR="00FC6038" w:rsidRPr="009D3726">
        <w:rPr>
          <w:rFonts w:cs="Times New Roman"/>
          <w:szCs w:val="24"/>
        </w:rPr>
        <w:t xml:space="preserve">the </w:t>
      </w:r>
      <w:r w:rsidR="00B95EAB" w:rsidRPr="009D3726">
        <w:rPr>
          <w:rFonts w:cs="Times New Roman"/>
          <w:szCs w:val="24"/>
        </w:rPr>
        <w:t>intent of the Government</w:t>
      </w:r>
      <w:r w:rsidR="00FC6038" w:rsidRPr="009D3726">
        <w:rPr>
          <w:rFonts w:cs="Times New Roman"/>
          <w:szCs w:val="24"/>
        </w:rPr>
        <w:t>,</w:t>
      </w:r>
      <w:r w:rsidR="00B95EAB" w:rsidRPr="009D3726">
        <w:rPr>
          <w:rFonts w:cs="Times New Roman"/>
          <w:szCs w:val="24"/>
        </w:rPr>
        <w:t xml:space="preserve"> but it </w:t>
      </w:r>
      <w:r w:rsidR="00FC6038" w:rsidRPr="009D3726">
        <w:rPr>
          <w:rFonts w:cs="Times New Roman"/>
          <w:szCs w:val="24"/>
        </w:rPr>
        <w:t>lacks</w:t>
      </w:r>
      <w:r w:rsidR="00B95EAB" w:rsidRPr="009D3726">
        <w:rPr>
          <w:rFonts w:cs="Times New Roman"/>
          <w:szCs w:val="24"/>
        </w:rPr>
        <w:t xml:space="preserve"> the durability of a “hard” law</w:t>
      </w:r>
      <w:r w:rsidR="00FC6038" w:rsidRPr="009D3726">
        <w:rPr>
          <w:rFonts w:cs="Times New Roman"/>
          <w:szCs w:val="24"/>
        </w:rPr>
        <w:t>,</w:t>
      </w:r>
      <w:r w:rsidR="00B95EAB" w:rsidRPr="009D3726">
        <w:rPr>
          <w:rFonts w:cs="Times New Roman"/>
          <w:szCs w:val="24"/>
        </w:rPr>
        <w:t xml:space="preserve"> which is enacted by the Parliament. When investors invest in </w:t>
      </w:r>
      <w:r w:rsidR="00FC6038" w:rsidRPr="009D3726">
        <w:rPr>
          <w:rFonts w:cs="Times New Roman"/>
          <w:szCs w:val="24"/>
        </w:rPr>
        <w:t>capital-intensive</w:t>
      </w:r>
      <w:r w:rsidR="00B95EAB" w:rsidRPr="009D3726">
        <w:rPr>
          <w:rFonts w:cs="Times New Roman"/>
          <w:szCs w:val="24"/>
        </w:rPr>
        <w:t xml:space="preserve"> sectors</w:t>
      </w:r>
      <w:r w:rsidR="00FC6038" w:rsidRPr="009D3726">
        <w:rPr>
          <w:rFonts w:cs="Times New Roman"/>
          <w:szCs w:val="24"/>
        </w:rPr>
        <w:t>,</w:t>
      </w:r>
      <w:r w:rsidR="00B95EAB" w:rsidRPr="009D3726">
        <w:rPr>
          <w:rFonts w:cs="Times New Roman"/>
          <w:szCs w:val="24"/>
        </w:rPr>
        <w:t xml:space="preserve"> such as </w:t>
      </w:r>
      <w:r w:rsidR="00FC6038" w:rsidRPr="009D3726">
        <w:rPr>
          <w:rFonts w:cs="Times New Roman"/>
          <w:szCs w:val="24"/>
        </w:rPr>
        <w:t>space mining</w:t>
      </w:r>
      <w:r w:rsidR="00B95EAB" w:rsidRPr="009D3726">
        <w:rPr>
          <w:rFonts w:cs="Times New Roman"/>
          <w:szCs w:val="24"/>
        </w:rPr>
        <w:t xml:space="preserve">, investors view policy as something </w:t>
      </w:r>
      <w:r w:rsidR="00FC6038" w:rsidRPr="009D3726">
        <w:rPr>
          <w:rFonts w:cs="Times New Roman"/>
          <w:szCs w:val="24"/>
        </w:rPr>
        <w:t>that</w:t>
      </w:r>
      <w:r w:rsidR="00B95EAB" w:rsidRPr="009D3726">
        <w:rPr>
          <w:rFonts w:cs="Times New Roman"/>
          <w:szCs w:val="24"/>
        </w:rPr>
        <w:t xml:space="preserve"> can be changed easily</w:t>
      </w:r>
      <w:r w:rsidR="00FC6038" w:rsidRPr="009D3726">
        <w:rPr>
          <w:rFonts w:cs="Times New Roman"/>
          <w:szCs w:val="24"/>
        </w:rPr>
        <w:t>;</w:t>
      </w:r>
      <w:r w:rsidR="00B95EAB" w:rsidRPr="009D3726">
        <w:rPr>
          <w:rFonts w:cs="Times New Roman"/>
          <w:szCs w:val="24"/>
        </w:rPr>
        <w:t xml:space="preserve"> however</w:t>
      </w:r>
      <w:r w:rsidR="00FC6038" w:rsidRPr="009D3726">
        <w:rPr>
          <w:rFonts w:cs="Times New Roman"/>
          <w:szCs w:val="24"/>
        </w:rPr>
        <w:t>,</w:t>
      </w:r>
      <w:r w:rsidR="00B95EAB" w:rsidRPr="009D3726">
        <w:rPr>
          <w:rFonts w:cs="Times New Roman"/>
          <w:szCs w:val="24"/>
        </w:rPr>
        <w:t xml:space="preserve"> a law </w:t>
      </w:r>
      <w:r w:rsidR="00FC6038" w:rsidRPr="009D3726">
        <w:rPr>
          <w:rFonts w:cs="Times New Roman"/>
          <w:szCs w:val="24"/>
        </w:rPr>
        <w:t>that</w:t>
      </w:r>
      <w:r w:rsidR="00B95EAB" w:rsidRPr="009D3726">
        <w:rPr>
          <w:rFonts w:cs="Times New Roman"/>
          <w:szCs w:val="24"/>
        </w:rPr>
        <w:t xml:space="preserve"> requires a legislative process for repeal is offering higher level of durability to the institution. </w:t>
      </w:r>
    </w:p>
    <w:p w14:paraId="03B6AC56" w14:textId="22B18CEB" w:rsidR="006E05D1" w:rsidRPr="009D3726" w:rsidRDefault="006E05D1" w:rsidP="00C6418A">
      <w:pPr>
        <w:pStyle w:val="ListParagraph"/>
        <w:numPr>
          <w:ilvl w:val="1"/>
          <w:numId w:val="5"/>
        </w:numPr>
        <w:tabs>
          <w:tab w:val="left" w:pos="4820"/>
        </w:tabs>
        <w:spacing w:line="240" w:lineRule="auto"/>
        <w:rPr>
          <w:rFonts w:cs="Times New Roman"/>
          <w:szCs w:val="24"/>
        </w:rPr>
      </w:pPr>
      <w:r w:rsidRPr="006A716A">
        <w:rPr>
          <w:rFonts w:cs="Times New Roman"/>
          <w:i/>
          <w:iCs/>
          <w:szCs w:val="24"/>
        </w:rPr>
        <w:t>Transaction Cost Framework in Outer Space</w:t>
      </w:r>
      <w:r w:rsidRPr="009D3726">
        <w:rPr>
          <w:rFonts w:cs="Times New Roman"/>
          <w:szCs w:val="24"/>
        </w:rPr>
        <w:t xml:space="preserve"> – The transaction sector of any economy grows the moment trade expands beyond personal exchange (Ménard &amp; Shirley, 2022, pp. 21-22). When it comes to the space sector</w:t>
      </w:r>
      <w:r w:rsidR="00FC6038" w:rsidRPr="009D3726">
        <w:rPr>
          <w:rFonts w:cs="Times New Roman"/>
          <w:szCs w:val="24"/>
        </w:rPr>
        <w:t>,</w:t>
      </w:r>
      <w:r w:rsidRPr="009D3726">
        <w:rPr>
          <w:rFonts w:cs="Times New Roman"/>
          <w:szCs w:val="24"/>
        </w:rPr>
        <w:t xml:space="preserve"> the nature of trade is international and impersonal. </w:t>
      </w:r>
      <w:r w:rsidR="009279F3" w:rsidRPr="009D3726">
        <w:rPr>
          <w:rFonts w:cs="Times New Roman"/>
          <w:szCs w:val="24"/>
        </w:rPr>
        <w:t>T</w:t>
      </w:r>
      <w:r w:rsidRPr="009D3726">
        <w:rPr>
          <w:rFonts w:cs="Times New Roman"/>
          <w:szCs w:val="24"/>
        </w:rPr>
        <w:t xml:space="preserve">he resources </w:t>
      </w:r>
      <w:r w:rsidR="00FC6038" w:rsidRPr="009D3726">
        <w:rPr>
          <w:rFonts w:cs="Times New Roman"/>
          <w:szCs w:val="24"/>
        </w:rPr>
        <w:t>that</w:t>
      </w:r>
      <w:r w:rsidRPr="009D3726">
        <w:rPr>
          <w:rFonts w:cs="Times New Roman"/>
          <w:szCs w:val="24"/>
        </w:rPr>
        <w:t xml:space="preserve"> are devoted </w:t>
      </w:r>
      <w:r w:rsidR="00FC6038" w:rsidRPr="009D3726">
        <w:rPr>
          <w:rFonts w:cs="Times New Roman"/>
          <w:szCs w:val="24"/>
        </w:rPr>
        <w:t>to</w:t>
      </w:r>
      <w:r w:rsidRPr="009D3726">
        <w:rPr>
          <w:rFonts w:cs="Times New Roman"/>
          <w:szCs w:val="24"/>
        </w:rPr>
        <w:t xml:space="preserve"> defining and enforcing exchange agreements are significant</w:t>
      </w:r>
      <w:r w:rsidR="00FC6038" w:rsidRPr="009D3726">
        <w:rPr>
          <w:rFonts w:cs="Times New Roman"/>
          <w:szCs w:val="24"/>
        </w:rPr>
        <w:t>,</w:t>
      </w:r>
      <w:r w:rsidRPr="009D3726">
        <w:rPr>
          <w:rFonts w:cs="Times New Roman"/>
          <w:szCs w:val="24"/>
        </w:rPr>
        <w:t xml:space="preserve"> and without legislation</w:t>
      </w:r>
      <w:r w:rsidR="00FC6038" w:rsidRPr="009D3726">
        <w:rPr>
          <w:rFonts w:cs="Times New Roman"/>
          <w:szCs w:val="24"/>
        </w:rPr>
        <w:t>,</w:t>
      </w:r>
      <w:r w:rsidRPr="009D3726">
        <w:rPr>
          <w:rFonts w:cs="Times New Roman"/>
          <w:szCs w:val="24"/>
        </w:rPr>
        <w:t xml:space="preserve"> </w:t>
      </w:r>
      <w:r w:rsidR="00FC6038" w:rsidRPr="009D3726">
        <w:rPr>
          <w:rFonts w:cs="Times New Roman"/>
          <w:szCs w:val="24"/>
        </w:rPr>
        <w:t>NGEs</w:t>
      </w:r>
      <w:r w:rsidRPr="009D3726">
        <w:rPr>
          <w:rFonts w:cs="Times New Roman"/>
          <w:szCs w:val="24"/>
        </w:rPr>
        <w:t xml:space="preserve"> in </w:t>
      </w:r>
      <w:r w:rsidRPr="009D3726">
        <w:rPr>
          <w:rFonts w:cs="Times New Roman"/>
          <w:szCs w:val="24"/>
        </w:rPr>
        <w:lastRenderedPageBreak/>
        <w:t xml:space="preserve">India cannot operate in a “high transaction cost” economy. As </w:t>
      </w:r>
      <w:r w:rsidR="00FC6038" w:rsidRPr="009D3726">
        <w:rPr>
          <w:rFonts w:cs="Times New Roman"/>
          <w:szCs w:val="24"/>
        </w:rPr>
        <w:t>analysed</w:t>
      </w:r>
      <w:r w:rsidRPr="009D3726">
        <w:rPr>
          <w:rFonts w:cs="Times New Roman"/>
          <w:szCs w:val="24"/>
        </w:rPr>
        <w:t xml:space="preserve"> by North</w:t>
      </w:r>
      <w:r w:rsidR="00FC6038" w:rsidRPr="009D3726">
        <w:rPr>
          <w:rFonts w:cs="Times New Roman"/>
          <w:szCs w:val="24"/>
        </w:rPr>
        <w:t>,</w:t>
      </w:r>
      <w:r w:rsidRPr="009D3726">
        <w:rPr>
          <w:rFonts w:cs="Times New Roman"/>
          <w:szCs w:val="24"/>
        </w:rPr>
        <w:t xml:space="preserve"> bargaining will be intensive at every corner because there is no standardizing of rights. Thus, if legislation is enacted</w:t>
      </w:r>
      <w:r w:rsidR="00FC6038" w:rsidRPr="009D3726">
        <w:rPr>
          <w:rFonts w:cs="Times New Roman"/>
          <w:szCs w:val="24"/>
        </w:rPr>
        <w:t>,</w:t>
      </w:r>
      <w:r w:rsidRPr="009D3726">
        <w:rPr>
          <w:rFonts w:cs="Times New Roman"/>
          <w:szCs w:val="24"/>
        </w:rPr>
        <w:t xml:space="preserve"> then the rights might get standardized</w:t>
      </w:r>
      <w:r w:rsidR="009279F3" w:rsidRPr="009D3726">
        <w:rPr>
          <w:rFonts w:cs="Times New Roman"/>
          <w:szCs w:val="24"/>
        </w:rPr>
        <w:t xml:space="preserve"> and lower the cost of bargaining. </w:t>
      </w:r>
    </w:p>
    <w:p w14:paraId="2BFA7265" w14:textId="0FDB0372" w:rsidR="009279F3" w:rsidRPr="009D3726" w:rsidRDefault="00E07503" w:rsidP="00C6418A">
      <w:pPr>
        <w:pStyle w:val="ListParagraph"/>
        <w:numPr>
          <w:ilvl w:val="2"/>
          <w:numId w:val="5"/>
        </w:numPr>
        <w:tabs>
          <w:tab w:val="left" w:pos="4820"/>
        </w:tabs>
        <w:spacing w:line="240" w:lineRule="auto"/>
        <w:rPr>
          <w:rFonts w:cs="Times New Roman"/>
          <w:szCs w:val="24"/>
        </w:rPr>
      </w:pPr>
      <w:r w:rsidRPr="006A716A">
        <w:rPr>
          <w:rFonts w:cs="Times New Roman"/>
          <w:i/>
          <w:iCs/>
          <w:szCs w:val="24"/>
        </w:rPr>
        <w:t>Measurement</w:t>
      </w:r>
      <w:r w:rsidR="009279F3" w:rsidRPr="006A716A">
        <w:rPr>
          <w:rFonts w:cs="Times New Roman"/>
          <w:i/>
          <w:iCs/>
          <w:szCs w:val="24"/>
        </w:rPr>
        <w:t xml:space="preserve"> Costs</w:t>
      </w:r>
      <w:r w:rsidR="009279F3" w:rsidRPr="009D3726">
        <w:rPr>
          <w:rFonts w:cs="Times New Roman"/>
          <w:szCs w:val="24"/>
        </w:rPr>
        <w:t xml:space="preserve"> </w:t>
      </w:r>
      <w:r w:rsidR="00766A20" w:rsidRPr="009D3726">
        <w:rPr>
          <w:rFonts w:cs="Times New Roman"/>
          <w:szCs w:val="24"/>
        </w:rPr>
        <w:t>–</w:t>
      </w:r>
      <w:r w:rsidR="009279F3" w:rsidRPr="009D3726">
        <w:rPr>
          <w:rFonts w:cs="Times New Roman"/>
          <w:szCs w:val="24"/>
        </w:rPr>
        <w:t xml:space="preserve"> </w:t>
      </w:r>
      <w:r w:rsidR="00766A20" w:rsidRPr="009D3726">
        <w:rPr>
          <w:rFonts w:cs="Times New Roman"/>
          <w:szCs w:val="24"/>
        </w:rPr>
        <w:t>One of the elements of transaction cost is the measurement cost. In terrestrial markets</w:t>
      </w:r>
      <w:r w:rsidR="00FC6038" w:rsidRPr="009D3726">
        <w:rPr>
          <w:rFonts w:cs="Times New Roman"/>
          <w:szCs w:val="24"/>
        </w:rPr>
        <w:t>,</w:t>
      </w:r>
      <w:r w:rsidR="00766A20" w:rsidRPr="009D3726">
        <w:rPr>
          <w:rFonts w:cs="Times New Roman"/>
          <w:szCs w:val="24"/>
        </w:rPr>
        <w:t xml:space="preserve"> standard contracts and law operate to reduce transaction costs</w:t>
      </w:r>
      <w:r w:rsidR="00F02559" w:rsidRPr="009D3726">
        <w:rPr>
          <w:rFonts w:cs="Times New Roman"/>
          <w:szCs w:val="24"/>
        </w:rPr>
        <w:t xml:space="preserve"> (Verschuuren &amp; Van Gestel, 2009)</w:t>
      </w:r>
      <w:r w:rsidR="00766A20" w:rsidRPr="009D3726">
        <w:rPr>
          <w:rFonts w:cs="Times New Roman"/>
          <w:szCs w:val="24"/>
        </w:rPr>
        <w:t>.</w:t>
      </w:r>
      <w:r w:rsidR="00EE76AD" w:rsidRPr="009D3726">
        <w:rPr>
          <w:rFonts w:cs="Times New Roman"/>
          <w:szCs w:val="24"/>
        </w:rPr>
        <w:t xml:space="preserve"> Whenever there is a regulation or legislation </w:t>
      </w:r>
      <w:r w:rsidR="00FC6038" w:rsidRPr="009D3726">
        <w:rPr>
          <w:rFonts w:cs="Times New Roman"/>
          <w:szCs w:val="24"/>
        </w:rPr>
        <w:t>that</w:t>
      </w:r>
      <w:r w:rsidR="00EE76AD" w:rsidRPr="009D3726">
        <w:rPr>
          <w:rFonts w:cs="Times New Roman"/>
          <w:szCs w:val="24"/>
        </w:rPr>
        <w:t xml:space="preserve"> defines the terms and conditions for </w:t>
      </w:r>
      <w:r w:rsidR="005B7FC8" w:rsidRPr="009D3726">
        <w:rPr>
          <w:rFonts w:cs="Times New Roman"/>
          <w:szCs w:val="24"/>
        </w:rPr>
        <w:t>some unregulated sector</w:t>
      </w:r>
      <w:r w:rsidR="00FC6038" w:rsidRPr="009D3726">
        <w:rPr>
          <w:rFonts w:cs="Times New Roman"/>
          <w:szCs w:val="24"/>
        </w:rPr>
        <w:t>,</w:t>
      </w:r>
      <w:r w:rsidR="00EE76AD" w:rsidRPr="009D3726">
        <w:rPr>
          <w:rFonts w:cs="Times New Roman"/>
          <w:szCs w:val="24"/>
        </w:rPr>
        <w:t xml:space="preserve"> then this will reduce transaction costs as firms can alienate resource (Almlöf &amp; Bjuggren, 2019, pp. 415-416)</w:t>
      </w:r>
      <w:r w:rsidR="005B7FC8" w:rsidRPr="009D3726">
        <w:rPr>
          <w:rFonts w:cs="Times New Roman"/>
          <w:szCs w:val="24"/>
        </w:rPr>
        <w:t>.</w:t>
      </w:r>
      <w:r w:rsidR="00766A20" w:rsidRPr="009D3726">
        <w:rPr>
          <w:rFonts w:cs="Times New Roman"/>
          <w:szCs w:val="24"/>
        </w:rPr>
        <w:t xml:space="preserve"> In India</w:t>
      </w:r>
      <w:r w:rsidR="00FC6038" w:rsidRPr="009D3726">
        <w:rPr>
          <w:rFonts w:cs="Times New Roman"/>
          <w:szCs w:val="24"/>
        </w:rPr>
        <w:t>,</w:t>
      </w:r>
      <w:r w:rsidR="00766A20" w:rsidRPr="009D3726">
        <w:rPr>
          <w:rFonts w:cs="Times New Roman"/>
          <w:szCs w:val="24"/>
        </w:rPr>
        <w:t xml:space="preserve"> there is no legislation </w:t>
      </w:r>
      <w:r w:rsidR="00FC6038" w:rsidRPr="009D3726">
        <w:rPr>
          <w:rFonts w:cs="Times New Roman"/>
          <w:szCs w:val="24"/>
        </w:rPr>
        <w:t>that</w:t>
      </w:r>
      <w:r w:rsidR="00766A20" w:rsidRPr="009D3726">
        <w:rPr>
          <w:rFonts w:cs="Times New Roman"/>
          <w:szCs w:val="24"/>
        </w:rPr>
        <w:t xml:space="preserve"> defines a “space resource”</w:t>
      </w:r>
      <w:r w:rsidR="00FC6038" w:rsidRPr="009D3726">
        <w:rPr>
          <w:rFonts w:cs="Times New Roman"/>
          <w:szCs w:val="24"/>
        </w:rPr>
        <w:t>,</w:t>
      </w:r>
      <w:r w:rsidR="00766A20" w:rsidRPr="009D3726">
        <w:rPr>
          <w:rFonts w:cs="Times New Roman"/>
          <w:szCs w:val="24"/>
        </w:rPr>
        <w:t xml:space="preserve"> nor is </w:t>
      </w:r>
      <w:r w:rsidR="00FC6038" w:rsidRPr="009D3726">
        <w:rPr>
          <w:rFonts w:cs="Times New Roman"/>
          <w:szCs w:val="24"/>
        </w:rPr>
        <w:t xml:space="preserve">there </w:t>
      </w:r>
      <w:r w:rsidR="00766A20" w:rsidRPr="009D3726">
        <w:rPr>
          <w:rFonts w:cs="Times New Roman"/>
          <w:szCs w:val="24"/>
        </w:rPr>
        <w:t>any international treaty around it</w:t>
      </w:r>
      <w:r w:rsidR="00FC6038" w:rsidRPr="009D3726">
        <w:rPr>
          <w:rFonts w:cs="Times New Roman"/>
          <w:szCs w:val="24"/>
        </w:rPr>
        <w:t>;</w:t>
      </w:r>
      <w:r w:rsidR="00766A20" w:rsidRPr="009D3726">
        <w:rPr>
          <w:rFonts w:cs="Times New Roman"/>
          <w:szCs w:val="24"/>
        </w:rPr>
        <w:t xml:space="preserve"> thus</w:t>
      </w:r>
      <w:r w:rsidR="00FC6038" w:rsidRPr="009D3726">
        <w:rPr>
          <w:rFonts w:cs="Times New Roman"/>
          <w:szCs w:val="24"/>
        </w:rPr>
        <w:t>,</w:t>
      </w:r>
      <w:r w:rsidR="00766A20" w:rsidRPr="009D3726">
        <w:rPr>
          <w:rFonts w:cs="Times New Roman"/>
          <w:szCs w:val="24"/>
        </w:rPr>
        <w:t xml:space="preserve"> without a legislative definition of a “space resource”</w:t>
      </w:r>
      <w:r w:rsidR="00567744">
        <w:rPr>
          <w:rFonts w:cs="Times New Roman"/>
          <w:szCs w:val="24"/>
        </w:rPr>
        <w:t>,</w:t>
      </w:r>
      <w:r w:rsidR="00FC6038" w:rsidRPr="009D3726">
        <w:rPr>
          <w:rFonts w:cs="Times New Roman"/>
          <w:szCs w:val="24"/>
        </w:rPr>
        <w:t>,</w:t>
      </w:r>
      <w:r w:rsidR="00766A20" w:rsidRPr="009D3726">
        <w:rPr>
          <w:rFonts w:cs="Times New Roman"/>
          <w:szCs w:val="24"/>
        </w:rPr>
        <w:t xml:space="preserve"> firms are going to face a massive cost for verification and define “space resource” based assets. </w:t>
      </w:r>
      <w:r w:rsidR="005B7FC8" w:rsidRPr="009D3726">
        <w:rPr>
          <w:rFonts w:cs="Times New Roman"/>
          <w:szCs w:val="24"/>
        </w:rPr>
        <w:t>Therefore,</w:t>
      </w:r>
      <w:r w:rsidR="00766A20" w:rsidRPr="009D3726">
        <w:rPr>
          <w:rFonts w:cs="Times New Roman"/>
          <w:szCs w:val="24"/>
        </w:rPr>
        <w:t xml:space="preserve"> when India </w:t>
      </w:r>
      <w:r w:rsidR="00FC6038" w:rsidRPr="009D3726">
        <w:rPr>
          <w:rFonts w:cs="Times New Roman"/>
          <w:szCs w:val="24"/>
        </w:rPr>
        <w:t>brings</w:t>
      </w:r>
      <w:r w:rsidR="00766A20" w:rsidRPr="009D3726">
        <w:rPr>
          <w:rFonts w:cs="Times New Roman"/>
          <w:szCs w:val="24"/>
        </w:rPr>
        <w:t xml:space="preserve"> in legislation</w:t>
      </w:r>
      <w:r w:rsidR="00FC6038" w:rsidRPr="009D3726">
        <w:rPr>
          <w:rFonts w:cs="Times New Roman"/>
          <w:szCs w:val="24"/>
        </w:rPr>
        <w:t>,</w:t>
      </w:r>
      <w:r w:rsidR="00766A20" w:rsidRPr="009D3726">
        <w:rPr>
          <w:rFonts w:cs="Times New Roman"/>
          <w:szCs w:val="24"/>
        </w:rPr>
        <w:t xml:space="preserve"> these </w:t>
      </w:r>
      <w:r w:rsidR="00FC6038" w:rsidRPr="009D3726">
        <w:rPr>
          <w:rFonts w:cs="Times New Roman"/>
          <w:szCs w:val="24"/>
        </w:rPr>
        <w:t>measurement</w:t>
      </w:r>
      <w:r w:rsidR="00766A20" w:rsidRPr="009D3726">
        <w:rPr>
          <w:rFonts w:cs="Times New Roman"/>
          <w:szCs w:val="24"/>
        </w:rPr>
        <w:t xml:space="preserve"> costs can be reduced by providing a taxonomy for space resources and allowing firms </w:t>
      </w:r>
      <w:r w:rsidR="00FC6038" w:rsidRPr="009D3726">
        <w:rPr>
          <w:rFonts w:cs="Times New Roman"/>
          <w:szCs w:val="24"/>
        </w:rPr>
        <w:t>to trade</w:t>
      </w:r>
      <w:r w:rsidR="00766A20" w:rsidRPr="009D3726">
        <w:rPr>
          <w:rFonts w:cs="Times New Roman"/>
          <w:szCs w:val="24"/>
        </w:rPr>
        <w:t xml:space="preserve"> them with due diligence for every transaction. </w:t>
      </w:r>
    </w:p>
    <w:p w14:paraId="277BE53D" w14:textId="1656F9AD" w:rsidR="005B7FC8" w:rsidRPr="009D3726" w:rsidRDefault="0055234E" w:rsidP="00C6418A">
      <w:pPr>
        <w:pStyle w:val="ListParagraph"/>
        <w:numPr>
          <w:ilvl w:val="2"/>
          <w:numId w:val="5"/>
        </w:numPr>
        <w:tabs>
          <w:tab w:val="left" w:pos="4820"/>
        </w:tabs>
        <w:spacing w:line="240" w:lineRule="auto"/>
        <w:rPr>
          <w:rFonts w:cs="Times New Roman"/>
          <w:szCs w:val="24"/>
        </w:rPr>
      </w:pPr>
      <w:r w:rsidRPr="006A716A">
        <w:rPr>
          <w:rFonts w:cs="Times New Roman"/>
          <w:i/>
          <w:iCs/>
          <w:szCs w:val="24"/>
        </w:rPr>
        <w:t>Enforcement Costs</w:t>
      </w:r>
      <w:r w:rsidR="003A3A5E" w:rsidRPr="009D3726">
        <w:rPr>
          <w:rFonts w:cs="Times New Roman"/>
          <w:szCs w:val="24"/>
        </w:rPr>
        <w:t xml:space="preserve"> </w:t>
      </w:r>
      <w:r w:rsidR="00D137AE" w:rsidRPr="009D3726">
        <w:rPr>
          <w:rFonts w:cs="Times New Roman"/>
          <w:szCs w:val="24"/>
        </w:rPr>
        <w:t xml:space="preserve">– Enforcement is the next pillar of transaction costs because enforcement by </w:t>
      </w:r>
      <w:r w:rsidR="00FC6038" w:rsidRPr="009D3726">
        <w:rPr>
          <w:rFonts w:cs="Times New Roman"/>
          <w:szCs w:val="24"/>
        </w:rPr>
        <w:t xml:space="preserve">the </w:t>
      </w:r>
      <w:r w:rsidR="00D137AE" w:rsidRPr="009D3726">
        <w:rPr>
          <w:rFonts w:cs="Times New Roman"/>
          <w:szCs w:val="24"/>
        </w:rPr>
        <w:t>State (“third party”) is cheaper and more efficient compared to retaliation or self-help (“second party”) enforcement</w:t>
      </w:r>
      <w:r w:rsidR="007A791D" w:rsidRPr="009D3726">
        <w:rPr>
          <w:rFonts w:cs="Times New Roman"/>
          <w:szCs w:val="24"/>
        </w:rPr>
        <w:t xml:space="preserve"> (Garoupa, 1997, pp. 271-272)</w:t>
      </w:r>
      <w:r w:rsidR="00D137AE" w:rsidRPr="009D3726">
        <w:rPr>
          <w:rFonts w:cs="Times New Roman"/>
          <w:szCs w:val="24"/>
        </w:rPr>
        <w:t>. Currently</w:t>
      </w:r>
      <w:r w:rsidR="00FC6038" w:rsidRPr="009D3726">
        <w:rPr>
          <w:rFonts w:cs="Times New Roman"/>
          <w:szCs w:val="24"/>
        </w:rPr>
        <w:t>,</w:t>
      </w:r>
      <w:r w:rsidR="00D137AE" w:rsidRPr="009D3726">
        <w:rPr>
          <w:rFonts w:cs="Times New Roman"/>
          <w:szCs w:val="24"/>
        </w:rPr>
        <w:t xml:space="preserve"> if an Indian NGE is engaged in the extraction of space </w:t>
      </w:r>
      <w:r w:rsidR="00FC6038" w:rsidRPr="009D3726">
        <w:rPr>
          <w:rFonts w:cs="Times New Roman"/>
          <w:szCs w:val="24"/>
        </w:rPr>
        <w:t>resources</w:t>
      </w:r>
      <w:r w:rsidR="00D137AE" w:rsidRPr="009D3726">
        <w:rPr>
          <w:rFonts w:cs="Times New Roman"/>
          <w:szCs w:val="24"/>
        </w:rPr>
        <w:t xml:space="preserve"> and another country’s rover interferes in the process, a slow and uncertain diplomatic process will have to be engaged for </w:t>
      </w:r>
      <w:r w:rsidR="007A791D" w:rsidRPr="009D3726">
        <w:rPr>
          <w:rFonts w:cs="Times New Roman"/>
          <w:szCs w:val="24"/>
        </w:rPr>
        <w:t xml:space="preserve">“private </w:t>
      </w:r>
      <w:r w:rsidR="00D137AE" w:rsidRPr="009D3726">
        <w:rPr>
          <w:rFonts w:cs="Times New Roman"/>
          <w:szCs w:val="24"/>
        </w:rPr>
        <w:t>enforcement</w:t>
      </w:r>
      <w:r w:rsidR="007A791D" w:rsidRPr="009D3726">
        <w:rPr>
          <w:rFonts w:cs="Times New Roman"/>
          <w:szCs w:val="24"/>
        </w:rPr>
        <w:t xml:space="preserve">” </w:t>
      </w:r>
      <w:r w:rsidR="00D137AE" w:rsidRPr="009D3726">
        <w:rPr>
          <w:rFonts w:cs="Times New Roman"/>
          <w:szCs w:val="24"/>
        </w:rPr>
        <w:t xml:space="preserve">of rights over space resources. </w:t>
      </w:r>
      <w:r w:rsidR="007A791D" w:rsidRPr="009D3726">
        <w:rPr>
          <w:rFonts w:cs="Times New Roman"/>
          <w:szCs w:val="24"/>
        </w:rPr>
        <w:t xml:space="preserve">Therefore, legislation </w:t>
      </w:r>
      <w:r w:rsidR="00FC6038" w:rsidRPr="009D3726">
        <w:rPr>
          <w:rFonts w:cs="Times New Roman"/>
          <w:szCs w:val="24"/>
        </w:rPr>
        <w:t>that</w:t>
      </w:r>
      <w:r w:rsidR="007A791D" w:rsidRPr="009D3726">
        <w:rPr>
          <w:rFonts w:cs="Times New Roman"/>
          <w:szCs w:val="24"/>
        </w:rPr>
        <w:t xml:space="preserve"> backs the private claims is necessary for extending </w:t>
      </w:r>
      <w:r w:rsidR="00FC6038" w:rsidRPr="009D3726">
        <w:rPr>
          <w:rFonts w:cs="Times New Roman"/>
          <w:szCs w:val="24"/>
        </w:rPr>
        <w:t xml:space="preserve">the </w:t>
      </w:r>
      <w:r w:rsidR="007A791D" w:rsidRPr="009D3726">
        <w:rPr>
          <w:rFonts w:cs="Times New Roman"/>
          <w:szCs w:val="24"/>
        </w:rPr>
        <w:t xml:space="preserve">State’s protection to NGE’s </w:t>
      </w:r>
      <w:r w:rsidR="00FC6038" w:rsidRPr="009D3726">
        <w:rPr>
          <w:rFonts w:cs="Times New Roman"/>
          <w:szCs w:val="24"/>
        </w:rPr>
        <w:t>assets</w:t>
      </w:r>
      <w:r w:rsidR="007A791D" w:rsidRPr="009D3726">
        <w:rPr>
          <w:rFonts w:cs="Times New Roman"/>
          <w:szCs w:val="24"/>
        </w:rPr>
        <w:t xml:space="preserve"> and socializes the cost of enforcement. By not legislating</w:t>
      </w:r>
      <w:r w:rsidR="00FC6038" w:rsidRPr="009D3726">
        <w:rPr>
          <w:rFonts w:cs="Times New Roman"/>
          <w:szCs w:val="24"/>
        </w:rPr>
        <w:t>,</w:t>
      </w:r>
      <w:r w:rsidR="007A791D" w:rsidRPr="009D3726">
        <w:rPr>
          <w:rFonts w:cs="Times New Roman"/>
          <w:szCs w:val="24"/>
        </w:rPr>
        <w:t xml:space="preserve"> the Government of India is forcing the private sector to bear the weight of prohibitive enforcement costs</w:t>
      </w:r>
      <w:r w:rsidR="00FC6038" w:rsidRPr="009D3726">
        <w:rPr>
          <w:rFonts w:cs="Times New Roman"/>
          <w:szCs w:val="24"/>
        </w:rPr>
        <w:t>,</w:t>
      </w:r>
      <w:r w:rsidR="007A791D" w:rsidRPr="009D3726">
        <w:rPr>
          <w:rFonts w:cs="Times New Roman"/>
          <w:szCs w:val="24"/>
        </w:rPr>
        <w:t xml:space="preserve"> rendering many projects economically unviable. </w:t>
      </w:r>
    </w:p>
    <w:p w14:paraId="4D8F039E" w14:textId="53FABCFB" w:rsidR="00651C18" w:rsidRPr="009D3726" w:rsidRDefault="00D67E52" w:rsidP="00C6418A">
      <w:pPr>
        <w:pStyle w:val="ListParagraph"/>
        <w:numPr>
          <w:ilvl w:val="1"/>
          <w:numId w:val="5"/>
        </w:numPr>
        <w:tabs>
          <w:tab w:val="left" w:pos="4820"/>
        </w:tabs>
        <w:spacing w:line="240" w:lineRule="auto"/>
        <w:rPr>
          <w:rFonts w:cs="Times New Roman"/>
          <w:szCs w:val="24"/>
        </w:rPr>
      </w:pPr>
      <w:r w:rsidRPr="006A716A">
        <w:rPr>
          <w:rFonts w:cs="Times New Roman"/>
          <w:b/>
          <w:bCs/>
          <w:szCs w:val="24"/>
        </w:rPr>
        <w:t>Cost of Capital and Credible Commitment</w:t>
      </w:r>
      <w:r w:rsidR="00651C18" w:rsidRPr="009D3726">
        <w:rPr>
          <w:rFonts w:cs="Times New Roman"/>
          <w:szCs w:val="24"/>
        </w:rPr>
        <w:t xml:space="preserve"> – The glorious revolution of 1688 is a powerful historical event </w:t>
      </w:r>
      <w:r w:rsidR="00FC6038" w:rsidRPr="009D3726">
        <w:rPr>
          <w:rFonts w:cs="Times New Roman"/>
          <w:szCs w:val="24"/>
        </w:rPr>
        <w:t xml:space="preserve">that </w:t>
      </w:r>
      <w:r w:rsidR="00651C18" w:rsidRPr="009D3726">
        <w:rPr>
          <w:rFonts w:cs="Times New Roman"/>
          <w:szCs w:val="24"/>
        </w:rPr>
        <w:t xml:space="preserve">serves </w:t>
      </w:r>
      <w:r w:rsidR="00FC6038" w:rsidRPr="009D3726">
        <w:rPr>
          <w:rFonts w:cs="Times New Roman"/>
          <w:szCs w:val="24"/>
        </w:rPr>
        <w:t>as an analogy</w:t>
      </w:r>
      <w:r w:rsidR="00651C18" w:rsidRPr="009D3726">
        <w:rPr>
          <w:rFonts w:cs="Times New Roman"/>
          <w:szCs w:val="24"/>
        </w:rPr>
        <w:t xml:space="preserve"> to the Indian Space Sector because </w:t>
      </w:r>
      <w:r w:rsidR="00FC6038" w:rsidRPr="009D3726">
        <w:rPr>
          <w:rFonts w:cs="Times New Roman"/>
          <w:szCs w:val="24"/>
        </w:rPr>
        <w:t xml:space="preserve">the </w:t>
      </w:r>
      <w:r w:rsidR="00651C18" w:rsidRPr="009D3726">
        <w:rPr>
          <w:rFonts w:cs="Times New Roman"/>
          <w:szCs w:val="24"/>
        </w:rPr>
        <w:t xml:space="preserve">English Crown had lowered its cost of borrowing by making a “credible commitment” for honouring property rights and </w:t>
      </w:r>
      <w:r w:rsidR="00FC6038" w:rsidRPr="009D3726">
        <w:rPr>
          <w:rFonts w:cs="Times New Roman"/>
          <w:szCs w:val="24"/>
        </w:rPr>
        <w:t>limiting</w:t>
      </w:r>
      <w:r w:rsidR="00651C18" w:rsidRPr="009D3726">
        <w:rPr>
          <w:rFonts w:cs="Times New Roman"/>
          <w:szCs w:val="24"/>
        </w:rPr>
        <w:t xml:space="preserve"> its own arbitrary power (North &amp; Weingast, 1989, pp. 831-832). The Government</w:t>
      </w:r>
      <w:r w:rsidR="00D14205" w:rsidRPr="009D3726">
        <w:rPr>
          <w:rFonts w:cs="Times New Roman"/>
          <w:szCs w:val="24"/>
        </w:rPr>
        <w:t xml:space="preserve"> of India</w:t>
      </w:r>
      <w:r w:rsidR="00651C18" w:rsidRPr="009D3726">
        <w:rPr>
          <w:rFonts w:cs="Times New Roman"/>
          <w:szCs w:val="24"/>
        </w:rPr>
        <w:t xml:space="preserve"> is playing a dual role where it is the regulator (“IN-SPACe”) and a participant in the market (via “ISRO” and “NSIL”), this duality is going to create “dynamic inconsistency” problem where investors may fear that the Government may use its regulatory powers for regulation of energy security for monopolizing the market on its own. To overcome this problem, legislation </w:t>
      </w:r>
      <w:r w:rsidR="00FC6038" w:rsidRPr="009D3726">
        <w:rPr>
          <w:rFonts w:cs="Times New Roman"/>
          <w:szCs w:val="24"/>
        </w:rPr>
        <w:t>that</w:t>
      </w:r>
      <w:r w:rsidR="00651C18" w:rsidRPr="009D3726">
        <w:rPr>
          <w:rFonts w:cs="Times New Roman"/>
          <w:szCs w:val="24"/>
        </w:rPr>
        <w:t xml:space="preserve"> gives a “credible commitment” that NGEs the right to “possess, own, transport, use and sell” space resources can effectively motivate investors to invest in light of a “credible commitment”. This reduction of regulatory uncertainty leads to </w:t>
      </w:r>
      <w:r w:rsidR="00FC6038" w:rsidRPr="009D3726">
        <w:rPr>
          <w:rFonts w:cs="Times New Roman"/>
          <w:szCs w:val="24"/>
        </w:rPr>
        <w:t xml:space="preserve">a </w:t>
      </w:r>
      <w:r w:rsidR="00651C18" w:rsidRPr="009D3726">
        <w:rPr>
          <w:rFonts w:cs="Times New Roman"/>
          <w:szCs w:val="24"/>
        </w:rPr>
        <w:t xml:space="preserve">reduction of risk premium embedded in </w:t>
      </w:r>
      <w:r w:rsidR="00FC6038" w:rsidRPr="009D3726">
        <w:rPr>
          <w:rFonts w:cs="Times New Roman"/>
          <w:szCs w:val="24"/>
        </w:rPr>
        <w:t xml:space="preserve">the </w:t>
      </w:r>
      <w:r w:rsidR="00651C18" w:rsidRPr="009D3726">
        <w:rPr>
          <w:rFonts w:cs="Times New Roman"/>
          <w:szCs w:val="24"/>
        </w:rPr>
        <w:t xml:space="preserve">cost of capital. </w:t>
      </w:r>
    </w:p>
    <w:p w14:paraId="028AA223" w14:textId="77DC62DD" w:rsidR="00651C18" w:rsidRPr="009D3726" w:rsidRDefault="00651C18" w:rsidP="00C6418A">
      <w:pPr>
        <w:tabs>
          <w:tab w:val="left" w:pos="4820"/>
        </w:tabs>
        <w:spacing w:line="240" w:lineRule="auto"/>
        <w:rPr>
          <w:rFonts w:cs="Times New Roman"/>
          <w:b/>
          <w:bCs/>
          <w:szCs w:val="24"/>
        </w:rPr>
      </w:pPr>
      <w:r w:rsidRPr="009D3726">
        <w:rPr>
          <w:rFonts w:cs="Times New Roman"/>
          <w:b/>
          <w:bCs/>
          <w:szCs w:val="24"/>
        </w:rPr>
        <w:t xml:space="preserve">Quantification of Impact (Self-Conceptualized by Researcher) </w:t>
      </w:r>
    </w:p>
    <w:p w14:paraId="1B7AD51C" w14:textId="77777777" w:rsidR="00651C18" w:rsidRPr="009D3726" w:rsidRDefault="00651C18" w:rsidP="00C6418A">
      <w:pPr>
        <w:tabs>
          <w:tab w:val="left" w:pos="4820"/>
        </w:tabs>
        <w:spacing w:line="240" w:lineRule="auto"/>
        <w:rPr>
          <w:rFonts w:cs="Times New Roman"/>
          <w:szCs w:val="24"/>
        </w:rPr>
      </w:pPr>
      <w:r w:rsidRPr="009D3726">
        <w:rPr>
          <w:rFonts w:cs="Times New Roman"/>
          <w:szCs w:val="24"/>
        </w:rPr>
        <w:t xml:space="preserve">Let’s assume a standard Capital Asset Pricing Model (CAPM) (Canto &amp; Wiese, 2018, p. 15): </w:t>
      </w:r>
    </w:p>
    <w:p w14:paraId="524E5616" w14:textId="77777777" w:rsidR="00651C18" w:rsidRPr="009D3726" w:rsidRDefault="00651C18" w:rsidP="00C6418A">
      <w:pPr>
        <w:tabs>
          <w:tab w:val="left" w:pos="4820"/>
        </w:tabs>
        <w:spacing w:line="240" w:lineRule="auto"/>
        <w:rPr>
          <w:rFonts w:cs="Times New Roman"/>
          <w:szCs w:val="24"/>
          <w:vertAlign w:val="subscript"/>
        </w:rPr>
      </w:pPr>
      <w:r w:rsidRPr="009D3726">
        <w:rPr>
          <w:rFonts w:cs="Times New Roman"/>
          <w:szCs w:val="24"/>
        </w:rPr>
        <w:t>r= r</w:t>
      </w:r>
      <w:r w:rsidRPr="009D3726">
        <w:rPr>
          <w:rFonts w:cs="Times New Roman"/>
          <w:szCs w:val="24"/>
          <w:vertAlign w:val="subscript"/>
        </w:rPr>
        <w:t>f</w:t>
      </w:r>
      <w:r w:rsidRPr="009D3726">
        <w:rPr>
          <w:rFonts w:cs="Times New Roman"/>
          <w:szCs w:val="24"/>
        </w:rPr>
        <w:t xml:space="preserve"> + B (r</w:t>
      </w:r>
      <w:r w:rsidRPr="009D3726">
        <w:rPr>
          <w:rFonts w:cs="Times New Roman"/>
          <w:szCs w:val="24"/>
          <w:vertAlign w:val="subscript"/>
        </w:rPr>
        <w:t>m</w:t>
      </w:r>
      <w:r w:rsidRPr="009D3726">
        <w:rPr>
          <w:rFonts w:cs="Times New Roman"/>
          <w:szCs w:val="24"/>
        </w:rPr>
        <w:t xml:space="preserve"> – r</w:t>
      </w:r>
      <w:r w:rsidRPr="009D3726">
        <w:rPr>
          <w:rFonts w:cs="Times New Roman"/>
          <w:szCs w:val="24"/>
          <w:vertAlign w:val="subscript"/>
        </w:rPr>
        <w:t>f</w:t>
      </w:r>
      <w:r w:rsidRPr="009D3726">
        <w:rPr>
          <w:rFonts w:cs="Times New Roman"/>
          <w:szCs w:val="24"/>
        </w:rPr>
        <w:t>) + p</w:t>
      </w:r>
      <w:r w:rsidRPr="009D3726">
        <w:rPr>
          <w:rFonts w:cs="Times New Roman"/>
          <w:szCs w:val="24"/>
          <w:vertAlign w:val="subscript"/>
        </w:rPr>
        <w:t>political</w:t>
      </w:r>
    </w:p>
    <w:p w14:paraId="22495C57" w14:textId="77777777" w:rsidR="00651C18" w:rsidRPr="009D3726" w:rsidRDefault="00651C18" w:rsidP="00C6418A">
      <w:pPr>
        <w:tabs>
          <w:tab w:val="left" w:pos="4820"/>
        </w:tabs>
        <w:spacing w:line="240" w:lineRule="auto"/>
        <w:rPr>
          <w:rFonts w:cs="Times New Roman"/>
          <w:szCs w:val="24"/>
        </w:rPr>
      </w:pPr>
      <w:r w:rsidRPr="009D3726">
        <w:rPr>
          <w:rFonts w:cs="Times New Roman"/>
          <w:szCs w:val="24"/>
        </w:rPr>
        <w:t>Here: r = Cost of Capital, p = risk premium, r</w:t>
      </w:r>
      <w:r w:rsidRPr="009D3726">
        <w:rPr>
          <w:rFonts w:cs="Times New Roman"/>
          <w:szCs w:val="24"/>
          <w:vertAlign w:val="subscript"/>
        </w:rPr>
        <w:t>f</w:t>
      </w:r>
      <w:r w:rsidRPr="009D3726">
        <w:rPr>
          <w:rFonts w:cs="Times New Roman"/>
          <w:szCs w:val="24"/>
        </w:rPr>
        <w:t xml:space="preserve"> = risk-free rate, B = systematic risk and p</w:t>
      </w:r>
      <w:r w:rsidRPr="009D3726">
        <w:rPr>
          <w:rFonts w:cs="Times New Roman"/>
          <w:szCs w:val="24"/>
          <w:vertAlign w:val="subscript"/>
        </w:rPr>
        <w:t xml:space="preserve">political </w:t>
      </w:r>
      <w:r w:rsidRPr="009D3726">
        <w:rPr>
          <w:rFonts w:cs="Times New Roman"/>
          <w:szCs w:val="24"/>
        </w:rPr>
        <w:t>= specific risk premium which is associated with the legal regime.</w:t>
      </w:r>
    </w:p>
    <w:p w14:paraId="736840FB" w14:textId="5EB8F72C" w:rsidR="00651C18" w:rsidRPr="009D3726" w:rsidRDefault="00651C18" w:rsidP="00C6418A">
      <w:pPr>
        <w:tabs>
          <w:tab w:val="left" w:pos="4820"/>
        </w:tabs>
        <w:spacing w:line="240" w:lineRule="auto"/>
        <w:rPr>
          <w:rFonts w:cs="Times New Roman"/>
          <w:szCs w:val="24"/>
        </w:rPr>
      </w:pPr>
      <w:r w:rsidRPr="009D3726">
        <w:rPr>
          <w:rFonts w:cs="Times New Roman"/>
          <w:szCs w:val="24"/>
        </w:rPr>
        <w:lastRenderedPageBreak/>
        <w:t>In a policy only space sector p</w:t>
      </w:r>
      <w:r w:rsidRPr="009D3726">
        <w:rPr>
          <w:rFonts w:cs="Times New Roman"/>
          <w:szCs w:val="24"/>
          <w:vertAlign w:val="subscript"/>
        </w:rPr>
        <w:t xml:space="preserve">political </w:t>
      </w:r>
      <w:r w:rsidRPr="009D3726">
        <w:rPr>
          <w:rFonts w:cs="Times New Roman"/>
          <w:szCs w:val="24"/>
        </w:rPr>
        <w:t>is high</w:t>
      </w:r>
      <w:r w:rsidR="00FC6038" w:rsidRPr="009D3726">
        <w:rPr>
          <w:rFonts w:cs="Times New Roman"/>
          <w:szCs w:val="24"/>
        </w:rPr>
        <w:t>,</w:t>
      </w:r>
      <w:r w:rsidRPr="009D3726">
        <w:rPr>
          <w:rFonts w:cs="Times New Roman"/>
          <w:szCs w:val="24"/>
        </w:rPr>
        <w:t xml:space="preserve"> and whereas after enactment of legislation</w:t>
      </w:r>
      <w:r w:rsidR="00FC6038" w:rsidRPr="009D3726">
        <w:rPr>
          <w:rFonts w:cs="Times New Roman"/>
          <w:szCs w:val="24"/>
        </w:rPr>
        <w:t>,</w:t>
      </w:r>
      <w:r w:rsidRPr="009D3726">
        <w:rPr>
          <w:rFonts w:cs="Times New Roman"/>
          <w:szCs w:val="24"/>
        </w:rPr>
        <w:t xml:space="preserve"> the p</w:t>
      </w:r>
      <w:r w:rsidRPr="009D3726">
        <w:rPr>
          <w:rFonts w:cs="Times New Roman"/>
          <w:szCs w:val="24"/>
          <w:vertAlign w:val="subscript"/>
        </w:rPr>
        <w:t>political</w:t>
      </w:r>
      <w:r w:rsidRPr="009D3726">
        <w:rPr>
          <w:rFonts w:cs="Times New Roman"/>
          <w:szCs w:val="24"/>
        </w:rPr>
        <w:t xml:space="preserve"> might decrease. Thus, legislation is something </w:t>
      </w:r>
      <w:r w:rsidR="00FC6038" w:rsidRPr="009D3726">
        <w:rPr>
          <w:rFonts w:cs="Times New Roman"/>
          <w:szCs w:val="24"/>
        </w:rPr>
        <w:t>that</w:t>
      </w:r>
      <w:r w:rsidRPr="009D3726">
        <w:rPr>
          <w:rFonts w:cs="Times New Roman"/>
          <w:szCs w:val="24"/>
        </w:rPr>
        <w:t xml:space="preserve"> decreases the risk premium.</w:t>
      </w:r>
    </w:p>
    <w:p w14:paraId="5C93B706" w14:textId="729A4DB2" w:rsidR="00651C18" w:rsidRPr="009D3726" w:rsidRDefault="00C3245B" w:rsidP="00C6418A">
      <w:pPr>
        <w:pStyle w:val="ListParagraph"/>
        <w:numPr>
          <w:ilvl w:val="1"/>
          <w:numId w:val="5"/>
        </w:numPr>
        <w:tabs>
          <w:tab w:val="left" w:pos="4820"/>
        </w:tabs>
        <w:spacing w:line="240" w:lineRule="auto"/>
        <w:rPr>
          <w:rFonts w:cs="Times New Roman"/>
          <w:szCs w:val="24"/>
        </w:rPr>
      </w:pPr>
      <w:r w:rsidRPr="006A716A">
        <w:rPr>
          <w:rFonts w:cs="Times New Roman"/>
          <w:b/>
          <w:bCs/>
          <w:szCs w:val="24"/>
        </w:rPr>
        <w:t>Space Resource as a Bundle of Rights</w:t>
      </w:r>
      <w:r w:rsidRPr="009D3726">
        <w:rPr>
          <w:rFonts w:cs="Times New Roman"/>
          <w:szCs w:val="24"/>
        </w:rPr>
        <w:t xml:space="preserve">- The economic efficiency of </w:t>
      </w:r>
      <w:r w:rsidR="00FC6038" w:rsidRPr="009D3726">
        <w:rPr>
          <w:rFonts w:cs="Times New Roman"/>
          <w:szCs w:val="24"/>
        </w:rPr>
        <w:t xml:space="preserve">the </w:t>
      </w:r>
      <w:r w:rsidRPr="009D3726">
        <w:rPr>
          <w:rFonts w:cs="Times New Roman"/>
          <w:szCs w:val="24"/>
        </w:rPr>
        <w:t xml:space="preserve">space sector depends on </w:t>
      </w:r>
      <w:r w:rsidR="00FC6038" w:rsidRPr="009D3726">
        <w:rPr>
          <w:rFonts w:cs="Times New Roman"/>
          <w:szCs w:val="24"/>
        </w:rPr>
        <w:t xml:space="preserve">a </w:t>
      </w:r>
      <w:r w:rsidRPr="009D3726">
        <w:rPr>
          <w:rFonts w:cs="Times New Roman"/>
          <w:szCs w:val="24"/>
        </w:rPr>
        <w:t xml:space="preserve">bundle of rights </w:t>
      </w:r>
      <w:r w:rsidR="00FC6038" w:rsidRPr="009D3726">
        <w:rPr>
          <w:rFonts w:cs="Times New Roman"/>
          <w:szCs w:val="24"/>
        </w:rPr>
        <w:t>that</w:t>
      </w:r>
      <w:r w:rsidRPr="009D3726">
        <w:rPr>
          <w:rFonts w:cs="Times New Roman"/>
          <w:szCs w:val="24"/>
        </w:rPr>
        <w:t xml:space="preserve"> are granted by legislation. Right of alienation is the most crucial because if a resource cannot be sold, it is dead capital</w:t>
      </w:r>
      <w:r w:rsidR="00FC6038" w:rsidRPr="009D3726">
        <w:rPr>
          <w:rFonts w:cs="Times New Roman"/>
          <w:szCs w:val="24"/>
        </w:rPr>
        <w:t>,</w:t>
      </w:r>
      <w:r w:rsidRPr="009D3726">
        <w:rPr>
          <w:rFonts w:cs="Times New Roman"/>
          <w:szCs w:val="24"/>
        </w:rPr>
        <w:t xml:space="preserve"> and legislation must allow alienability of extracted resources for debt-financing. The economic right of excludability is another crucial aspect where a “functional” right to exclude is sufficient for </w:t>
      </w:r>
      <w:r w:rsidR="00FC6038" w:rsidRPr="009D3726">
        <w:rPr>
          <w:rFonts w:cs="Times New Roman"/>
          <w:szCs w:val="24"/>
        </w:rPr>
        <w:t xml:space="preserve">the </w:t>
      </w:r>
      <w:r w:rsidRPr="009D3726">
        <w:rPr>
          <w:rFonts w:cs="Times New Roman"/>
          <w:szCs w:val="24"/>
        </w:rPr>
        <w:t>protection of investment</w:t>
      </w:r>
      <w:r w:rsidR="00FC6038" w:rsidRPr="009D3726">
        <w:rPr>
          <w:rFonts w:cs="Times New Roman"/>
          <w:szCs w:val="24"/>
        </w:rPr>
        <w:t>,</w:t>
      </w:r>
      <w:r w:rsidRPr="009D3726">
        <w:rPr>
          <w:rFonts w:cs="Times New Roman"/>
          <w:szCs w:val="24"/>
        </w:rPr>
        <w:t xml:space="preserve"> but narrow enough in compliance with international law. </w:t>
      </w:r>
    </w:p>
    <w:p w14:paraId="77505912" w14:textId="2905E75F" w:rsidR="00303EAA" w:rsidRDefault="004D7243" w:rsidP="00C6418A">
      <w:pPr>
        <w:pStyle w:val="ListParagraph"/>
        <w:numPr>
          <w:ilvl w:val="0"/>
          <w:numId w:val="5"/>
        </w:numPr>
        <w:spacing w:line="240" w:lineRule="auto"/>
        <w:rPr>
          <w:rFonts w:cs="Times New Roman"/>
          <w:szCs w:val="24"/>
        </w:rPr>
      </w:pPr>
      <w:r w:rsidRPr="006A716A">
        <w:rPr>
          <w:rFonts w:cs="Times New Roman"/>
          <w:b/>
          <w:bCs/>
          <w:szCs w:val="24"/>
        </w:rPr>
        <w:t>Game Theory and Strategic Interaction</w:t>
      </w:r>
      <w:r w:rsidR="00CC7528" w:rsidRPr="006A716A">
        <w:rPr>
          <w:rFonts w:cs="Times New Roman"/>
          <w:b/>
          <w:bCs/>
          <w:szCs w:val="24"/>
        </w:rPr>
        <w:t xml:space="preserve"> (Senn, 2012; Niehans, 1992)</w:t>
      </w:r>
      <w:r w:rsidRPr="006A716A">
        <w:rPr>
          <w:rFonts w:cs="Times New Roman"/>
          <w:b/>
          <w:bCs/>
          <w:szCs w:val="24"/>
        </w:rPr>
        <w:t>-</w:t>
      </w:r>
      <w:r w:rsidRPr="00CC7528">
        <w:rPr>
          <w:rFonts w:cs="Times New Roman"/>
          <w:szCs w:val="24"/>
        </w:rPr>
        <w:t xml:space="preserve"> </w:t>
      </w:r>
      <w:r w:rsidR="00B17F54">
        <w:rPr>
          <w:rFonts w:cs="Times New Roman"/>
          <w:szCs w:val="24"/>
        </w:rPr>
        <w:t xml:space="preserve">Though the United States is not a Party to the Moon Agreement and not bound by the “Common Heritage of Mankind” Principle, whereas India is signatory to the Moon Agreement but in this analysis, it is </w:t>
      </w:r>
      <w:r w:rsidR="00E46694">
        <w:rPr>
          <w:rFonts w:cs="Times New Roman"/>
          <w:szCs w:val="24"/>
        </w:rPr>
        <w:t>assumed for the sake of economic analysis</w:t>
      </w:r>
      <w:r w:rsidR="00B17F54">
        <w:rPr>
          <w:rFonts w:cs="Times New Roman"/>
          <w:szCs w:val="24"/>
        </w:rPr>
        <w:t xml:space="preserve"> that US is deviating from the Common Heritage of Mankind Principle</w:t>
      </w:r>
      <w:r w:rsidR="00E46694">
        <w:rPr>
          <w:rFonts w:cs="Times New Roman"/>
          <w:szCs w:val="24"/>
        </w:rPr>
        <w:t xml:space="preserve"> by enacting a legislation for space resource utilization</w:t>
      </w:r>
      <w:r w:rsidR="00B17F54">
        <w:rPr>
          <w:rFonts w:cs="Times New Roman"/>
          <w:szCs w:val="24"/>
        </w:rPr>
        <w:t xml:space="preserve">. </w:t>
      </w:r>
      <w:r w:rsidR="00DB2025" w:rsidRPr="00CC7528">
        <w:rPr>
          <w:rFonts w:cs="Times New Roman"/>
          <w:szCs w:val="24"/>
        </w:rPr>
        <w:t>In the prevailing competitive structure for lunar resource extraction</w:t>
      </w:r>
      <w:r w:rsidR="00303EAA" w:rsidRPr="00CC7528">
        <w:rPr>
          <w:rFonts w:cs="Times New Roman"/>
          <w:szCs w:val="24"/>
        </w:rPr>
        <w:t>,</w:t>
      </w:r>
      <w:r w:rsidR="00DB2025" w:rsidRPr="00CC7528">
        <w:rPr>
          <w:rFonts w:cs="Times New Roman"/>
          <w:szCs w:val="24"/>
        </w:rPr>
        <w:t xml:space="preserve"> it is </w:t>
      </w:r>
      <w:r w:rsidR="00303EAA" w:rsidRPr="00CC7528">
        <w:rPr>
          <w:rFonts w:cs="Times New Roman"/>
          <w:szCs w:val="24"/>
        </w:rPr>
        <w:t xml:space="preserve">not suited for a Cournot oligopoly framework, which assumes the quantity setting by firms with symmetric market power (Etro, 2008, </w:t>
      </w:r>
      <w:r w:rsidR="00200A90">
        <w:rPr>
          <w:rFonts w:cs="Times New Roman"/>
          <w:szCs w:val="24"/>
        </w:rPr>
        <w:t xml:space="preserve">pp. </w:t>
      </w:r>
      <w:r w:rsidR="00303EAA" w:rsidRPr="00CC7528">
        <w:rPr>
          <w:rFonts w:cs="Times New Roman"/>
          <w:szCs w:val="24"/>
        </w:rPr>
        <w:t>1696-1697). Given the de facto presence of the United States via the Artemis Accords and China via ILRS, the interaction should be modelled as a Stackelberg Competition</w:t>
      </w:r>
      <w:r w:rsidR="00200A90">
        <w:rPr>
          <w:rFonts w:cs="Times New Roman"/>
          <w:szCs w:val="24"/>
        </w:rPr>
        <w:t xml:space="preserve"> </w:t>
      </w:r>
      <w:r w:rsidR="00200A90" w:rsidRPr="00200A90">
        <w:rPr>
          <w:rFonts w:cs="Times New Roman"/>
          <w:szCs w:val="24"/>
        </w:rPr>
        <w:t>(Julien, 2011</w:t>
      </w:r>
      <w:r w:rsidR="00200A90">
        <w:rPr>
          <w:rFonts w:cs="Times New Roman"/>
          <w:szCs w:val="24"/>
        </w:rPr>
        <w:t>, pp. 172-173</w:t>
      </w:r>
      <w:r w:rsidR="00200A90" w:rsidRPr="00200A90">
        <w:rPr>
          <w:rFonts w:cs="Times New Roman"/>
          <w:szCs w:val="24"/>
        </w:rPr>
        <w:t>)</w:t>
      </w:r>
      <w:r w:rsidR="00303EAA" w:rsidRPr="00CC7528">
        <w:rPr>
          <w:rFonts w:cs="Times New Roman"/>
          <w:szCs w:val="24"/>
        </w:rPr>
        <w:t>. A Stackelberg Competition is characterised by sequential moves and asymmetric commitment power (Jiang et al., 2024, p. 216).</w:t>
      </w:r>
      <w:r w:rsidR="00200A90">
        <w:rPr>
          <w:rFonts w:cs="Times New Roman"/>
          <w:szCs w:val="24"/>
        </w:rPr>
        <w:t xml:space="preserve"> This game follows the leader-follower dynamics, where the “leaders” (L) are the United States, which possesses the first-mover advantage, allowing it to commit to specific high-value extraction sites. India is functioning as the “Follower” (F) by observing the output of L</w:t>
      </w:r>
      <w:r w:rsidR="00567744">
        <w:rPr>
          <w:rFonts w:cs="Times New Roman"/>
          <w:szCs w:val="24"/>
        </w:rPr>
        <w:t>’s</w:t>
      </w:r>
      <w:r w:rsidR="00200A90">
        <w:rPr>
          <w:rFonts w:cs="Times New Roman"/>
          <w:szCs w:val="24"/>
        </w:rPr>
        <w:t xml:space="preserve"> decision Q</w:t>
      </w:r>
      <w:r w:rsidR="00200A90">
        <w:rPr>
          <w:rFonts w:cs="Times New Roman"/>
          <w:szCs w:val="24"/>
          <w:vertAlign w:val="subscript"/>
        </w:rPr>
        <w:t xml:space="preserve">L </w:t>
      </w:r>
      <w:r w:rsidR="00200A90">
        <w:rPr>
          <w:rFonts w:cs="Times New Roman"/>
          <w:szCs w:val="24"/>
        </w:rPr>
        <w:t>and optimizes its own reaction function Q</w:t>
      </w:r>
      <w:r w:rsidR="00200A90">
        <w:rPr>
          <w:rFonts w:cs="Times New Roman"/>
          <w:szCs w:val="24"/>
          <w:vertAlign w:val="subscript"/>
        </w:rPr>
        <w:t xml:space="preserve">F </w:t>
      </w:r>
      <w:r w:rsidR="00200A90">
        <w:rPr>
          <w:rFonts w:cs="Times New Roman"/>
          <w:szCs w:val="24"/>
        </w:rPr>
        <w:t>(Q</w:t>
      </w:r>
      <w:r w:rsidR="00200A90">
        <w:rPr>
          <w:rFonts w:cs="Times New Roman"/>
          <w:szCs w:val="24"/>
          <w:vertAlign w:val="subscript"/>
        </w:rPr>
        <w:t>L</w:t>
      </w:r>
      <w:r w:rsidR="00200A90">
        <w:rPr>
          <w:rFonts w:cs="Times New Roman"/>
          <w:szCs w:val="24"/>
        </w:rPr>
        <w:t>) to maximize its utility function U</w:t>
      </w:r>
      <w:r w:rsidR="00200A90">
        <w:rPr>
          <w:rFonts w:cs="Times New Roman"/>
          <w:szCs w:val="24"/>
          <w:vertAlign w:val="subscript"/>
        </w:rPr>
        <w:t>F</w:t>
      </w:r>
      <w:r w:rsidR="00200A90">
        <w:rPr>
          <w:rFonts w:cs="Times New Roman"/>
          <w:szCs w:val="24"/>
        </w:rPr>
        <w:t xml:space="preserve">. </w:t>
      </w:r>
      <w:r w:rsidR="00567744">
        <w:rPr>
          <w:rFonts w:cs="Times New Roman"/>
          <w:szCs w:val="24"/>
        </w:rPr>
        <w:t>The best strategic imperative is to avoid a “zero participation” payoff. In the absence of domestic legislation, India’s strategy is constrained to S</w:t>
      </w:r>
      <w:r w:rsidR="00567744">
        <w:rPr>
          <w:rFonts w:cs="Times New Roman"/>
          <w:szCs w:val="24"/>
          <w:vertAlign w:val="subscript"/>
        </w:rPr>
        <w:t xml:space="preserve">India </w:t>
      </w:r>
      <w:r w:rsidR="00567744">
        <w:rPr>
          <w:rFonts w:cs="Times New Roman"/>
          <w:szCs w:val="24"/>
        </w:rPr>
        <w:t xml:space="preserve">= {Wait}, which is effectively ceding the Leader the entirety of monopoly rents associated with prime lunar regolith. </w:t>
      </w:r>
    </w:p>
    <w:p w14:paraId="35BB13DA" w14:textId="75C9828F" w:rsidR="00567744" w:rsidRDefault="00567744" w:rsidP="00C6418A">
      <w:pPr>
        <w:pStyle w:val="ListParagraph"/>
        <w:spacing w:line="240" w:lineRule="auto"/>
        <w:rPr>
          <w:rFonts w:cs="Times New Roman"/>
          <w:szCs w:val="24"/>
        </w:rPr>
      </w:pPr>
      <w:r w:rsidRPr="006A716A">
        <w:rPr>
          <w:rFonts w:cs="Times New Roman"/>
          <w:i/>
          <w:iCs/>
          <w:szCs w:val="24"/>
        </w:rPr>
        <w:t>The Payoff Matrix and Nash Equilibrium:</w:t>
      </w:r>
      <w:r>
        <w:rPr>
          <w:rFonts w:cs="Times New Roman"/>
          <w:szCs w:val="24"/>
        </w:rPr>
        <w:t xml:space="preserve"> The interaction can be formalised as a resource grab game. Let π represent the economic rent from lunar </w:t>
      </w:r>
      <w:r w:rsidR="008C5A57">
        <w:rPr>
          <w:rFonts w:cs="Times New Roman"/>
          <w:szCs w:val="24"/>
        </w:rPr>
        <w:t>resources</w:t>
      </w:r>
      <w:r>
        <w:rPr>
          <w:rFonts w:cs="Times New Roman"/>
          <w:szCs w:val="24"/>
        </w:rPr>
        <w:t xml:space="preserve">. Then; </w:t>
      </w:r>
    </w:p>
    <w:p w14:paraId="37335772" w14:textId="0356441E" w:rsidR="00567744" w:rsidRDefault="00567744" w:rsidP="00C6418A">
      <w:pPr>
        <w:pStyle w:val="ListParagraph"/>
        <w:numPr>
          <w:ilvl w:val="0"/>
          <w:numId w:val="6"/>
        </w:numPr>
        <w:spacing w:line="240" w:lineRule="auto"/>
        <w:rPr>
          <w:rFonts w:cs="Times New Roman"/>
          <w:szCs w:val="24"/>
        </w:rPr>
      </w:pPr>
      <w:r>
        <w:rPr>
          <w:rFonts w:cs="Times New Roman"/>
          <w:szCs w:val="24"/>
        </w:rPr>
        <w:t>If both cooperate by establishing international forms = π</w:t>
      </w:r>
      <w:r>
        <w:rPr>
          <w:rFonts w:cs="Times New Roman"/>
          <w:szCs w:val="24"/>
          <w:vertAlign w:val="subscript"/>
        </w:rPr>
        <w:t xml:space="preserve">shared </w:t>
      </w:r>
    </w:p>
    <w:p w14:paraId="0609A155" w14:textId="5594638A" w:rsidR="00567744" w:rsidRDefault="00567744" w:rsidP="00C6418A">
      <w:pPr>
        <w:pStyle w:val="ListParagraph"/>
        <w:numPr>
          <w:ilvl w:val="0"/>
          <w:numId w:val="6"/>
        </w:numPr>
        <w:spacing w:line="240" w:lineRule="auto"/>
        <w:rPr>
          <w:rFonts w:cs="Times New Roman"/>
          <w:szCs w:val="24"/>
        </w:rPr>
      </w:pPr>
      <w:r>
        <w:rPr>
          <w:rFonts w:cs="Times New Roman"/>
          <w:szCs w:val="24"/>
        </w:rPr>
        <w:t>If one defects (by having a unilateral claim over all the resources) and the other cooperates, the defector gains π</w:t>
      </w:r>
      <w:r>
        <w:rPr>
          <w:rFonts w:cs="Times New Roman"/>
          <w:szCs w:val="24"/>
          <w:vertAlign w:val="subscript"/>
        </w:rPr>
        <w:t xml:space="preserve">monopoly, </w:t>
      </w:r>
      <w:r>
        <w:rPr>
          <w:rFonts w:cs="Times New Roman"/>
          <w:szCs w:val="24"/>
        </w:rPr>
        <w:t xml:space="preserve">while </w:t>
      </w:r>
      <w:r w:rsidR="008C5A57">
        <w:rPr>
          <w:rFonts w:cs="Times New Roman"/>
          <w:szCs w:val="24"/>
        </w:rPr>
        <w:t>the cooperator</w:t>
      </w:r>
      <w:r>
        <w:rPr>
          <w:rFonts w:cs="Times New Roman"/>
          <w:szCs w:val="24"/>
        </w:rPr>
        <w:t xml:space="preserve"> receives the “Sucker’s Payoff” (π&lt;0 due to opportunity costs) </w:t>
      </w:r>
    </w:p>
    <w:p w14:paraId="63C37B76" w14:textId="65874DA6" w:rsidR="008C5A57" w:rsidRDefault="00567744" w:rsidP="00C6418A">
      <w:pPr>
        <w:pStyle w:val="ListParagraph"/>
        <w:numPr>
          <w:ilvl w:val="0"/>
          <w:numId w:val="6"/>
        </w:numPr>
        <w:spacing w:line="240" w:lineRule="auto"/>
        <w:rPr>
          <w:rFonts w:cs="Times New Roman"/>
          <w:szCs w:val="24"/>
        </w:rPr>
      </w:pPr>
      <w:r>
        <w:rPr>
          <w:rFonts w:cs="Times New Roman"/>
          <w:szCs w:val="24"/>
        </w:rPr>
        <w:t xml:space="preserve">If both </w:t>
      </w:r>
      <w:r w:rsidR="008C5A57">
        <w:rPr>
          <w:rFonts w:cs="Times New Roman"/>
          <w:szCs w:val="24"/>
        </w:rPr>
        <w:t>defects</w:t>
      </w:r>
      <w:r>
        <w:rPr>
          <w:rFonts w:cs="Times New Roman"/>
          <w:szCs w:val="24"/>
        </w:rPr>
        <w:t xml:space="preserve"> (Race for resources): π</w:t>
      </w:r>
      <w:r>
        <w:rPr>
          <w:rFonts w:cs="Times New Roman"/>
          <w:szCs w:val="24"/>
          <w:vertAlign w:val="subscript"/>
        </w:rPr>
        <w:t xml:space="preserve">race </w:t>
      </w:r>
      <w:r>
        <w:rPr>
          <w:rFonts w:cs="Times New Roman"/>
          <w:szCs w:val="24"/>
        </w:rPr>
        <w:t>(where π</w:t>
      </w:r>
      <w:r>
        <w:rPr>
          <w:rFonts w:cs="Times New Roman"/>
          <w:szCs w:val="24"/>
          <w:vertAlign w:val="subscript"/>
        </w:rPr>
        <w:t xml:space="preserve">race </w:t>
      </w:r>
      <w:r>
        <w:rPr>
          <w:rFonts w:cs="Times New Roman"/>
          <w:szCs w:val="24"/>
        </w:rPr>
        <w:t>&lt; π</w:t>
      </w:r>
      <w:r>
        <w:rPr>
          <w:rFonts w:cs="Times New Roman"/>
          <w:szCs w:val="24"/>
          <w:vertAlign w:val="subscript"/>
        </w:rPr>
        <w:t>monopoly</w:t>
      </w:r>
      <w:r w:rsidR="008C5A57">
        <w:rPr>
          <w:rFonts w:cs="Times New Roman"/>
          <w:szCs w:val="24"/>
        </w:rPr>
        <w:t xml:space="preserve"> due to the duplicated capital expenditures, but π</w:t>
      </w:r>
      <w:r w:rsidR="008C5A57">
        <w:rPr>
          <w:rFonts w:cs="Times New Roman"/>
          <w:szCs w:val="24"/>
          <w:vertAlign w:val="subscript"/>
        </w:rPr>
        <w:t>race</w:t>
      </w:r>
      <w:r w:rsidR="008C5A57">
        <w:rPr>
          <w:rFonts w:cs="Times New Roman"/>
          <w:szCs w:val="24"/>
        </w:rPr>
        <w:t>&gt;0 for successful entrants).</w:t>
      </w:r>
    </w:p>
    <w:p w14:paraId="398BC369" w14:textId="0CED16A7" w:rsidR="00EE7662" w:rsidRDefault="008C5A57" w:rsidP="00C6418A">
      <w:pPr>
        <w:spacing w:line="240" w:lineRule="auto"/>
        <w:rPr>
          <w:rFonts w:cs="Times New Roman"/>
          <w:szCs w:val="24"/>
        </w:rPr>
      </w:pPr>
      <w:r>
        <w:rPr>
          <w:rFonts w:cs="Times New Roman"/>
          <w:szCs w:val="24"/>
        </w:rPr>
        <w:t xml:space="preserve">Since the United States has signalled a “defect” strategy from the “Common Heritage of Mankind” principle of the Moon Agreement by enacting the US CSLCA, 2015, the Nash equilibrium for India is reciprocal defection, and that will come only if India enacts mirror legislation for securing property rights </w:t>
      </w:r>
      <w:r w:rsidR="00B17F54" w:rsidRPr="00B17F54">
        <w:rPr>
          <w:rFonts w:cs="Times New Roman"/>
          <w:szCs w:val="24"/>
        </w:rPr>
        <w:t>(Salter, 2016)</w:t>
      </w:r>
      <w:r w:rsidR="00B17F54">
        <w:rPr>
          <w:rFonts w:cs="Times New Roman"/>
          <w:szCs w:val="24"/>
        </w:rPr>
        <w:t>. This transforms a game from a potential tragedy of the commons into a competitive equilibrium where India is able to secure a bargaining chip for future Coasean negotiations.</w:t>
      </w:r>
    </w:p>
    <w:p w14:paraId="5C3C8FC9" w14:textId="580A8111" w:rsidR="00960702" w:rsidRDefault="00960702" w:rsidP="00C6418A">
      <w:pPr>
        <w:spacing w:line="240" w:lineRule="auto"/>
        <w:rPr>
          <w:rFonts w:cs="Times New Roman"/>
          <w:b/>
          <w:bCs/>
          <w:szCs w:val="24"/>
        </w:rPr>
      </w:pPr>
      <w:r w:rsidRPr="00960702">
        <w:rPr>
          <w:rFonts w:cs="Times New Roman"/>
          <w:b/>
          <w:bCs/>
          <w:szCs w:val="24"/>
        </w:rPr>
        <w:t>TRIANGULATION</w:t>
      </w:r>
      <w:r>
        <w:rPr>
          <w:rFonts w:cs="Times New Roman"/>
          <w:b/>
          <w:bCs/>
          <w:szCs w:val="24"/>
        </w:rPr>
        <w:t xml:space="preserve"> MATRIX</w:t>
      </w:r>
      <w:r w:rsidRPr="00960702">
        <w:rPr>
          <w:rFonts w:cs="Times New Roman"/>
          <w:b/>
          <w:bCs/>
          <w:szCs w:val="24"/>
        </w:rPr>
        <w:t xml:space="preserve">: SYNTHESIS OF FINDINGS </w:t>
      </w:r>
    </w:p>
    <w:tbl>
      <w:tblPr>
        <w:tblStyle w:val="TableGrid"/>
        <w:tblW w:w="0" w:type="auto"/>
        <w:tblLook w:val="04A0" w:firstRow="1" w:lastRow="0" w:firstColumn="1" w:lastColumn="0" w:noHBand="0" w:noVBand="1"/>
      </w:tblPr>
      <w:tblGrid>
        <w:gridCol w:w="1563"/>
        <w:gridCol w:w="1483"/>
        <w:gridCol w:w="1690"/>
        <w:gridCol w:w="2232"/>
        <w:gridCol w:w="2048"/>
      </w:tblGrid>
      <w:tr w:rsidR="00960702" w14:paraId="733F7D1F" w14:textId="4B2E4172" w:rsidTr="00A43EAD">
        <w:tc>
          <w:tcPr>
            <w:tcW w:w="1563" w:type="dxa"/>
            <w:vAlign w:val="center"/>
          </w:tcPr>
          <w:p w14:paraId="7246EFB7" w14:textId="674D713F" w:rsidR="00960702" w:rsidRDefault="00960702" w:rsidP="001812A8">
            <w:pPr>
              <w:jc w:val="center"/>
              <w:rPr>
                <w:rFonts w:cs="Times New Roman"/>
                <w:b/>
                <w:bCs/>
                <w:szCs w:val="24"/>
              </w:rPr>
            </w:pPr>
            <w:r>
              <w:rPr>
                <w:rFonts w:cs="Times New Roman"/>
                <w:b/>
                <w:bCs/>
                <w:szCs w:val="24"/>
              </w:rPr>
              <w:t xml:space="preserve">Methodology </w:t>
            </w:r>
            <w:r w:rsidR="00A43EAD">
              <w:rPr>
                <w:rFonts w:cs="Times New Roman"/>
                <w:b/>
                <w:bCs/>
                <w:szCs w:val="24"/>
              </w:rPr>
              <w:t>Applied and Theory</w:t>
            </w:r>
          </w:p>
        </w:tc>
        <w:tc>
          <w:tcPr>
            <w:tcW w:w="1483" w:type="dxa"/>
            <w:vAlign w:val="center"/>
          </w:tcPr>
          <w:p w14:paraId="26674022" w14:textId="2EB62F88" w:rsidR="00960702" w:rsidRDefault="00960702" w:rsidP="001812A8">
            <w:pPr>
              <w:jc w:val="center"/>
              <w:rPr>
                <w:rFonts w:cs="Times New Roman"/>
                <w:b/>
                <w:bCs/>
                <w:szCs w:val="24"/>
              </w:rPr>
            </w:pPr>
            <w:r>
              <w:rPr>
                <w:rFonts w:cs="Times New Roman"/>
                <w:b/>
                <w:bCs/>
                <w:szCs w:val="24"/>
              </w:rPr>
              <w:t>Concept</w:t>
            </w:r>
          </w:p>
        </w:tc>
        <w:tc>
          <w:tcPr>
            <w:tcW w:w="1690" w:type="dxa"/>
            <w:vAlign w:val="center"/>
          </w:tcPr>
          <w:p w14:paraId="62142D8B" w14:textId="3658A2F8" w:rsidR="00960702" w:rsidRDefault="00960702" w:rsidP="001812A8">
            <w:pPr>
              <w:jc w:val="center"/>
              <w:rPr>
                <w:rFonts w:cs="Times New Roman"/>
                <w:b/>
                <w:bCs/>
                <w:szCs w:val="24"/>
              </w:rPr>
            </w:pPr>
            <w:r>
              <w:rPr>
                <w:rFonts w:cs="Times New Roman"/>
                <w:b/>
                <w:bCs/>
                <w:szCs w:val="24"/>
              </w:rPr>
              <w:t>Data Source</w:t>
            </w:r>
          </w:p>
        </w:tc>
        <w:tc>
          <w:tcPr>
            <w:tcW w:w="2232" w:type="dxa"/>
            <w:vAlign w:val="center"/>
          </w:tcPr>
          <w:p w14:paraId="3B241B7E" w14:textId="523FFA2B" w:rsidR="00960702" w:rsidRDefault="00AC3896" w:rsidP="001812A8">
            <w:pPr>
              <w:jc w:val="center"/>
              <w:rPr>
                <w:rFonts w:cs="Times New Roman"/>
                <w:b/>
                <w:bCs/>
                <w:szCs w:val="24"/>
              </w:rPr>
            </w:pPr>
            <w:r>
              <w:rPr>
                <w:rFonts w:cs="Times New Roman"/>
                <w:b/>
                <w:bCs/>
                <w:szCs w:val="24"/>
              </w:rPr>
              <w:t>Insight</w:t>
            </w:r>
          </w:p>
        </w:tc>
        <w:tc>
          <w:tcPr>
            <w:tcW w:w="2048" w:type="dxa"/>
            <w:vAlign w:val="center"/>
          </w:tcPr>
          <w:p w14:paraId="4891995E" w14:textId="7D93EA96" w:rsidR="00960702" w:rsidRDefault="00960702" w:rsidP="001812A8">
            <w:pPr>
              <w:jc w:val="center"/>
              <w:rPr>
                <w:rFonts w:cs="Times New Roman"/>
                <w:b/>
                <w:bCs/>
                <w:szCs w:val="24"/>
              </w:rPr>
            </w:pPr>
            <w:r>
              <w:rPr>
                <w:rFonts w:cs="Times New Roman"/>
                <w:b/>
                <w:bCs/>
                <w:szCs w:val="24"/>
              </w:rPr>
              <w:t>Researcher Observation</w:t>
            </w:r>
          </w:p>
        </w:tc>
      </w:tr>
      <w:tr w:rsidR="00960702" w14:paraId="6B622999" w14:textId="14B574A8" w:rsidTr="00A43EAD">
        <w:tc>
          <w:tcPr>
            <w:tcW w:w="1563" w:type="dxa"/>
            <w:vAlign w:val="center"/>
          </w:tcPr>
          <w:p w14:paraId="65B011FC" w14:textId="0CB2046C" w:rsidR="00960702" w:rsidRPr="00A43EAD" w:rsidRDefault="00960702" w:rsidP="001812A8">
            <w:pPr>
              <w:jc w:val="center"/>
              <w:rPr>
                <w:rFonts w:cs="Times New Roman"/>
                <w:szCs w:val="24"/>
              </w:rPr>
            </w:pPr>
            <w:r w:rsidRPr="00A43EAD">
              <w:rPr>
                <w:rFonts w:cs="Times New Roman"/>
                <w:szCs w:val="24"/>
              </w:rPr>
              <w:lastRenderedPageBreak/>
              <w:t>Comparative Law</w:t>
            </w:r>
          </w:p>
        </w:tc>
        <w:tc>
          <w:tcPr>
            <w:tcW w:w="1483" w:type="dxa"/>
            <w:vAlign w:val="center"/>
          </w:tcPr>
          <w:p w14:paraId="2EAED6FA" w14:textId="595B59A2" w:rsidR="00960702" w:rsidRPr="00A43EAD" w:rsidRDefault="00960702" w:rsidP="001812A8">
            <w:pPr>
              <w:jc w:val="center"/>
              <w:rPr>
                <w:rFonts w:cs="Times New Roman"/>
                <w:szCs w:val="24"/>
              </w:rPr>
            </w:pPr>
            <w:r w:rsidRPr="00A43EAD">
              <w:rPr>
                <w:rFonts w:cs="Times New Roman"/>
                <w:szCs w:val="24"/>
              </w:rPr>
              <w:t>Functional Rights</w:t>
            </w:r>
          </w:p>
        </w:tc>
        <w:tc>
          <w:tcPr>
            <w:tcW w:w="1690" w:type="dxa"/>
            <w:vAlign w:val="center"/>
          </w:tcPr>
          <w:p w14:paraId="0479F3EA" w14:textId="0F877D60" w:rsidR="00960702" w:rsidRPr="00A43EAD" w:rsidRDefault="00AC3896" w:rsidP="001812A8">
            <w:pPr>
              <w:jc w:val="center"/>
              <w:rPr>
                <w:rFonts w:cs="Times New Roman"/>
                <w:szCs w:val="24"/>
              </w:rPr>
            </w:pPr>
            <w:r w:rsidRPr="00A43EAD">
              <w:rPr>
                <w:rFonts w:cs="Times New Roman"/>
                <w:szCs w:val="24"/>
              </w:rPr>
              <w:t>Statutes</w:t>
            </w:r>
            <w:r w:rsidR="00960702" w:rsidRPr="00A43EAD">
              <w:rPr>
                <w:rFonts w:cs="Times New Roman"/>
                <w:szCs w:val="24"/>
              </w:rPr>
              <w:t xml:space="preserve"> of </w:t>
            </w:r>
            <w:r w:rsidRPr="00A43EAD">
              <w:rPr>
                <w:rFonts w:cs="Times New Roman"/>
                <w:szCs w:val="24"/>
              </w:rPr>
              <w:t xml:space="preserve">the </w:t>
            </w:r>
            <w:r w:rsidR="00960702" w:rsidRPr="00A43EAD">
              <w:rPr>
                <w:rFonts w:cs="Times New Roman"/>
                <w:szCs w:val="24"/>
              </w:rPr>
              <w:t xml:space="preserve">US, Japan, Luxembourg and </w:t>
            </w:r>
            <w:r w:rsidRPr="00A43EAD">
              <w:rPr>
                <w:rFonts w:cs="Times New Roman"/>
                <w:szCs w:val="24"/>
              </w:rPr>
              <w:t xml:space="preserve">the </w:t>
            </w:r>
            <w:r w:rsidR="00960702" w:rsidRPr="00A43EAD">
              <w:rPr>
                <w:rFonts w:cs="Times New Roman"/>
                <w:szCs w:val="24"/>
              </w:rPr>
              <w:t>UAE</w:t>
            </w:r>
          </w:p>
        </w:tc>
        <w:tc>
          <w:tcPr>
            <w:tcW w:w="2232" w:type="dxa"/>
            <w:vAlign w:val="center"/>
          </w:tcPr>
          <w:p w14:paraId="558F093C" w14:textId="33560FB9" w:rsidR="00960702" w:rsidRPr="00A43EAD" w:rsidRDefault="00960702" w:rsidP="001812A8">
            <w:pPr>
              <w:jc w:val="center"/>
              <w:rPr>
                <w:rFonts w:cs="Times New Roman"/>
                <w:szCs w:val="24"/>
              </w:rPr>
            </w:pPr>
            <w:r w:rsidRPr="00A43EAD">
              <w:rPr>
                <w:rFonts w:cs="Times New Roman"/>
                <w:szCs w:val="24"/>
              </w:rPr>
              <w:t xml:space="preserve">These states have solved the uncertain property </w:t>
            </w:r>
            <w:r w:rsidR="00AC3896" w:rsidRPr="00A43EAD">
              <w:rPr>
                <w:rFonts w:cs="Times New Roman"/>
                <w:szCs w:val="24"/>
              </w:rPr>
              <w:t>rights</w:t>
            </w:r>
            <w:r w:rsidRPr="00A43EAD">
              <w:rPr>
                <w:rFonts w:cs="Times New Roman"/>
                <w:szCs w:val="24"/>
              </w:rPr>
              <w:t xml:space="preserve"> dilemma over space resources</w:t>
            </w:r>
          </w:p>
        </w:tc>
        <w:tc>
          <w:tcPr>
            <w:tcW w:w="2048" w:type="dxa"/>
            <w:vAlign w:val="center"/>
          </w:tcPr>
          <w:p w14:paraId="10490BC7" w14:textId="70A643D4" w:rsidR="00960702" w:rsidRPr="00A43EAD" w:rsidRDefault="00960702" w:rsidP="001812A8">
            <w:pPr>
              <w:jc w:val="center"/>
              <w:rPr>
                <w:rFonts w:cs="Times New Roman"/>
                <w:szCs w:val="24"/>
              </w:rPr>
            </w:pPr>
            <w:r w:rsidRPr="00A43EAD">
              <w:rPr>
                <w:rFonts w:cs="Times New Roman"/>
                <w:szCs w:val="24"/>
              </w:rPr>
              <w:t xml:space="preserve">They have established the global standard for </w:t>
            </w:r>
            <w:r w:rsidR="00AC3896" w:rsidRPr="00A43EAD">
              <w:rPr>
                <w:rFonts w:cs="Times New Roman"/>
                <w:szCs w:val="24"/>
              </w:rPr>
              <w:t xml:space="preserve">the </w:t>
            </w:r>
            <w:r w:rsidRPr="00A43EAD">
              <w:rPr>
                <w:rFonts w:cs="Times New Roman"/>
                <w:szCs w:val="24"/>
              </w:rPr>
              <w:t xml:space="preserve">identification of </w:t>
            </w:r>
            <w:r w:rsidR="00AC3896" w:rsidRPr="00A43EAD">
              <w:rPr>
                <w:rFonts w:cs="Times New Roman"/>
                <w:szCs w:val="24"/>
              </w:rPr>
              <w:t>gaps</w:t>
            </w:r>
            <w:r w:rsidRPr="00A43EAD">
              <w:rPr>
                <w:rFonts w:cs="Times New Roman"/>
                <w:szCs w:val="24"/>
              </w:rPr>
              <w:t xml:space="preserve"> in India</w:t>
            </w:r>
          </w:p>
        </w:tc>
      </w:tr>
      <w:tr w:rsidR="00960702" w14:paraId="1E69B2ED" w14:textId="5D55945A" w:rsidTr="00A43EAD">
        <w:tc>
          <w:tcPr>
            <w:tcW w:w="1563" w:type="dxa"/>
            <w:vAlign w:val="center"/>
          </w:tcPr>
          <w:p w14:paraId="2FE2B484" w14:textId="4FEE851F" w:rsidR="00960702" w:rsidRPr="00A43EAD" w:rsidRDefault="00960702" w:rsidP="001812A8">
            <w:pPr>
              <w:jc w:val="center"/>
              <w:rPr>
                <w:rFonts w:cs="Times New Roman"/>
                <w:szCs w:val="24"/>
              </w:rPr>
            </w:pPr>
            <w:r w:rsidRPr="00A43EAD">
              <w:rPr>
                <w:rFonts w:cs="Times New Roman"/>
                <w:szCs w:val="24"/>
              </w:rPr>
              <w:t>Quantitative</w:t>
            </w:r>
          </w:p>
        </w:tc>
        <w:tc>
          <w:tcPr>
            <w:tcW w:w="1483" w:type="dxa"/>
            <w:vAlign w:val="center"/>
          </w:tcPr>
          <w:p w14:paraId="2733EF04" w14:textId="6C42BB87" w:rsidR="00960702" w:rsidRPr="00A43EAD" w:rsidRDefault="00960702" w:rsidP="001812A8">
            <w:pPr>
              <w:jc w:val="center"/>
              <w:rPr>
                <w:rFonts w:cs="Times New Roman"/>
                <w:szCs w:val="24"/>
              </w:rPr>
            </w:pPr>
            <w:r w:rsidRPr="00A43EAD">
              <w:rPr>
                <w:rFonts w:cs="Times New Roman"/>
                <w:szCs w:val="24"/>
              </w:rPr>
              <w:t>Investment Flows</w:t>
            </w:r>
          </w:p>
        </w:tc>
        <w:tc>
          <w:tcPr>
            <w:tcW w:w="1690" w:type="dxa"/>
            <w:vAlign w:val="center"/>
          </w:tcPr>
          <w:p w14:paraId="0E6535BD" w14:textId="746A39E2" w:rsidR="00960702" w:rsidRPr="00A43EAD" w:rsidRDefault="00DD560D" w:rsidP="001812A8">
            <w:pPr>
              <w:jc w:val="center"/>
              <w:rPr>
                <w:rFonts w:cs="Times New Roman"/>
                <w:szCs w:val="24"/>
              </w:rPr>
            </w:pPr>
            <w:r w:rsidRPr="00A43EAD">
              <w:rPr>
                <w:rFonts w:cs="Times New Roman"/>
                <w:szCs w:val="24"/>
              </w:rPr>
              <w:t>Space Capital Database</w:t>
            </w:r>
          </w:p>
        </w:tc>
        <w:tc>
          <w:tcPr>
            <w:tcW w:w="2232" w:type="dxa"/>
            <w:vAlign w:val="center"/>
          </w:tcPr>
          <w:p w14:paraId="5BCB397F" w14:textId="4E151140" w:rsidR="00960702" w:rsidRPr="00A43EAD" w:rsidRDefault="00DD560D" w:rsidP="001812A8">
            <w:pPr>
              <w:jc w:val="center"/>
              <w:rPr>
                <w:rFonts w:cs="Times New Roman"/>
                <w:szCs w:val="24"/>
              </w:rPr>
            </w:pPr>
            <w:r w:rsidRPr="00A43EAD">
              <w:rPr>
                <w:rFonts w:cs="Times New Roman"/>
                <w:szCs w:val="24"/>
              </w:rPr>
              <w:t xml:space="preserve">US Investment spiked </w:t>
            </w:r>
            <w:r w:rsidR="00A43EAD" w:rsidRPr="00A43EAD">
              <w:rPr>
                <w:rFonts w:cs="Times New Roman"/>
                <w:szCs w:val="24"/>
              </w:rPr>
              <w:t>post-legislation</w:t>
            </w:r>
            <w:r w:rsidR="00A43EAD">
              <w:rPr>
                <w:rFonts w:cs="Times New Roman"/>
                <w:szCs w:val="24"/>
              </w:rPr>
              <w:t>,</w:t>
            </w:r>
            <w:r w:rsidRPr="00A43EAD">
              <w:rPr>
                <w:rFonts w:cs="Times New Roman"/>
                <w:szCs w:val="24"/>
              </w:rPr>
              <w:t xml:space="preserve"> and India’s investment </w:t>
            </w:r>
            <w:r w:rsidR="00A43EAD" w:rsidRPr="00A43EAD">
              <w:rPr>
                <w:rFonts w:cs="Times New Roman"/>
                <w:szCs w:val="24"/>
              </w:rPr>
              <w:t>post-policy</w:t>
            </w:r>
            <w:r w:rsidRPr="00A43EAD">
              <w:rPr>
                <w:rFonts w:cs="Times New Roman"/>
                <w:szCs w:val="24"/>
              </w:rPr>
              <w:t xml:space="preserve"> is volatile</w:t>
            </w:r>
          </w:p>
        </w:tc>
        <w:tc>
          <w:tcPr>
            <w:tcW w:w="2048" w:type="dxa"/>
            <w:vAlign w:val="center"/>
          </w:tcPr>
          <w:p w14:paraId="37293057" w14:textId="7623F2BA" w:rsidR="00960702" w:rsidRPr="00A43EAD" w:rsidRDefault="00DD560D" w:rsidP="001812A8">
            <w:pPr>
              <w:jc w:val="center"/>
              <w:rPr>
                <w:rFonts w:cs="Times New Roman"/>
                <w:szCs w:val="24"/>
              </w:rPr>
            </w:pPr>
            <w:r w:rsidRPr="00A43EAD">
              <w:rPr>
                <w:rFonts w:cs="Times New Roman"/>
                <w:szCs w:val="24"/>
              </w:rPr>
              <w:t xml:space="preserve">This shows empirical evidence that legislation is </w:t>
            </w:r>
            <w:r w:rsidR="00A43EAD">
              <w:rPr>
                <w:rFonts w:cs="Times New Roman"/>
                <w:szCs w:val="24"/>
              </w:rPr>
              <w:t>correlated</w:t>
            </w:r>
            <w:r w:rsidRPr="00A43EAD">
              <w:rPr>
                <w:rFonts w:cs="Times New Roman"/>
                <w:szCs w:val="24"/>
              </w:rPr>
              <w:t xml:space="preserve"> with capital durability </w:t>
            </w:r>
          </w:p>
        </w:tc>
      </w:tr>
      <w:tr w:rsidR="00960702" w14:paraId="24E7CE8E" w14:textId="423045CF" w:rsidTr="00A43EAD">
        <w:tc>
          <w:tcPr>
            <w:tcW w:w="1563" w:type="dxa"/>
            <w:vAlign w:val="center"/>
          </w:tcPr>
          <w:p w14:paraId="5801F641" w14:textId="6B617D62" w:rsidR="00960702" w:rsidRPr="00A43EAD" w:rsidRDefault="00DD560D" w:rsidP="001812A8">
            <w:pPr>
              <w:jc w:val="center"/>
              <w:rPr>
                <w:rFonts w:cs="Times New Roman"/>
                <w:szCs w:val="24"/>
              </w:rPr>
            </w:pPr>
            <w:r w:rsidRPr="00A43EAD">
              <w:rPr>
                <w:rFonts w:cs="Times New Roman"/>
                <w:szCs w:val="24"/>
              </w:rPr>
              <w:t xml:space="preserve">New Institutional </w:t>
            </w:r>
            <w:r w:rsidR="00A43EAD" w:rsidRPr="00A43EAD">
              <w:rPr>
                <w:rFonts w:cs="Times New Roman"/>
                <w:szCs w:val="24"/>
              </w:rPr>
              <w:t>Economics</w:t>
            </w:r>
            <w:r w:rsidR="00A43EAD">
              <w:rPr>
                <w:rFonts w:cs="Times New Roman"/>
                <w:szCs w:val="24"/>
              </w:rPr>
              <w:t xml:space="preserve"> (</w:t>
            </w:r>
            <w:r w:rsidRPr="00A43EAD">
              <w:rPr>
                <w:rFonts w:cs="Times New Roman"/>
                <w:szCs w:val="24"/>
              </w:rPr>
              <w:t xml:space="preserve">Transaction Costs) </w:t>
            </w:r>
          </w:p>
        </w:tc>
        <w:tc>
          <w:tcPr>
            <w:tcW w:w="1483" w:type="dxa"/>
            <w:vAlign w:val="center"/>
          </w:tcPr>
          <w:p w14:paraId="5E50F261" w14:textId="5415EEFF" w:rsidR="00960702" w:rsidRPr="00A43EAD" w:rsidRDefault="00DD560D" w:rsidP="001812A8">
            <w:pPr>
              <w:jc w:val="center"/>
              <w:rPr>
                <w:rFonts w:cs="Times New Roman"/>
                <w:szCs w:val="24"/>
              </w:rPr>
            </w:pPr>
            <w:r w:rsidRPr="00A43EAD">
              <w:rPr>
                <w:rFonts w:cs="Times New Roman"/>
                <w:szCs w:val="24"/>
              </w:rPr>
              <w:t xml:space="preserve">Coase </w:t>
            </w:r>
            <w:r w:rsidR="00A43EAD" w:rsidRPr="00A43EAD">
              <w:rPr>
                <w:rFonts w:cs="Times New Roman"/>
                <w:szCs w:val="24"/>
              </w:rPr>
              <w:t>Theorem</w:t>
            </w:r>
            <w:r w:rsidRPr="00A43EAD">
              <w:rPr>
                <w:rFonts w:cs="Times New Roman"/>
                <w:szCs w:val="24"/>
              </w:rPr>
              <w:t xml:space="preserve">, </w:t>
            </w:r>
          </w:p>
        </w:tc>
        <w:tc>
          <w:tcPr>
            <w:tcW w:w="1690" w:type="dxa"/>
            <w:vAlign w:val="center"/>
          </w:tcPr>
          <w:p w14:paraId="626F5A1D" w14:textId="70A76708" w:rsidR="00960702" w:rsidRPr="00A43EAD" w:rsidRDefault="00DD560D" w:rsidP="001812A8">
            <w:pPr>
              <w:jc w:val="center"/>
              <w:rPr>
                <w:rFonts w:cs="Times New Roman"/>
                <w:szCs w:val="24"/>
              </w:rPr>
            </w:pPr>
            <w:r w:rsidRPr="00A43EAD">
              <w:rPr>
                <w:rFonts w:cs="Times New Roman"/>
                <w:szCs w:val="24"/>
              </w:rPr>
              <w:t xml:space="preserve">Theory (North, Coase) </w:t>
            </w:r>
          </w:p>
        </w:tc>
        <w:tc>
          <w:tcPr>
            <w:tcW w:w="2232" w:type="dxa"/>
            <w:vAlign w:val="center"/>
          </w:tcPr>
          <w:p w14:paraId="64E0F36F" w14:textId="33EA363D" w:rsidR="00960702" w:rsidRPr="00A43EAD" w:rsidRDefault="00A43EAD" w:rsidP="001812A8">
            <w:pPr>
              <w:jc w:val="center"/>
              <w:rPr>
                <w:rFonts w:cs="Times New Roman"/>
                <w:szCs w:val="24"/>
              </w:rPr>
            </w:pPr>
            <w:r w:rsidRPr="00A43EAD">
              <w:rPr>
                <w:rFonts w:cs="Times New Roman"/>
                <w:szCs w:val="24"/>
              </w:rPr>
              <w:t>Legislation</w:t>
            </w:r>
            <w:r w:rsidR="00DD560D" w:rsidRPr="00A43EAD">
              <w:rPr>
                <w:rFonts w:cs="Times New Roman"/>
                <w:szCs w:val="24"/>
              </w:rPr>
              <w:t xml:space="preserve"> reduces measurement costs and bargaining costs</w:t>
            </w:r>
          </w:p>
        </w:tc>
        <w:tc>
          <w:tcPr>
            <w:tcW w:w="2048" w:type="dxa"/>
            <w:vAlign w:val="center"/>
          </w:tcPr>
          <w:p w14:paraId="50F2E59F" w14:textId="1C95DCF3" w:rsidR="00960702" w:rsidRPr="00A43EAD" w:rsidRDefault="00A43EAD" w:rsidP="001812A8">
            <w:pPr>
              <w:jc w:val="center"/>
              <w:rPr>
                <w:rFonts w:cs="Times New Roman"/>
                <w:szCs w:val="24"/>
              </w:rPr>
            </w:pPr>
            <w:r w:rsidRPr="00A43EAD">
              <w:rPr>
                <w:rFonts w:cs="Times New Roman"/>
                <w:szCs w:val="24"/>
              </w:rPr>
              <w:t xml:space="preserve">Thus, legislation works to get more investment </w:t>
            </w:r>
          </w:p>
        </w:tc>
      </w:tr>
      <w:tr w:rsidR="00960702" w14:paraId="76C89E8E" w14:textId="115FF349" w:rsidTr="00A43EAD">
        <w:tc>
          <w:tcPr>
            <w:tcW w:w="1563" w:type="dxa"/>
            <w:vAlign w:val="center"/>
          </w:tcPr>
          <w:p w14:paraId="6BEBE045" w14:textId="4E5009D2" w:rsidR="00960702" w:rsidRPr="00A43EAD" w:rsidRDefault="00A43EAD" w:rsidP="001812A8">
            <w:pPr>
              <w:jc w:val="center"/>
              <w:rPr>
                <w:rFonts w:cs="Times New Roman"/>
                <w:szCs w:val="24"/>
              </w:rPr>
            </w:pPr>
            <w:r>
              <w:rPr>
                <w:rFonts w:cs="Times New Roman"/>
                <w:szCs w:val="24"/>
              </w:rPr>
              <w:t xml:space="preserve">New Institutional Economics </w:t>
            </w:r>
          </w:p>
        </w:tc>
        <w:tc>
          <w:tcPr>
            <w:tcW w:w="1483" w:type="dxa"/>
            <w:vAlign w:val="center"/>
          </w:tcPr>
          <w:p w14:paraId="5307AA3B" w14:textId="29120E05" w:rsidR="00960702" w:rsidRPr="00A43EAD" w:rsidRDefault="00A43EAD" w:rsidP="001812A8">
            <w:pPr>
              <w:jc w:val="center"/>
              <w:rPr>
                <w:rFonts w:cs="Times New Roman"/>
                <w:szCs w:val="24"/>
              </w:rPr>
            </w:pPr>
            <w:r>
              <w:rPr>
                <w:rFonts w:cs="Times New Roman"/>
                <w:szCs w:val="24"/>
              </w:rPr>
              <w:t xml:space="preserve">Credible Commitment </w:t>
            </w:r>
          </w:p>
        </w:tc>
        <w:tc>
          <w:tcPr>
            <w:tcW w:w="1690" w:type="dxa"/>
            <w:vAlign w:val="center"/>
          </w:tcPr>
          <w:p w14:paraId="681A7A50" w14:textId="437C4514" w:rsidR="00960702" w:rsidRPr="00A43EAD" w:rsidRDefault="00A43EAD" w:rsidP="001812A8">
            <w:pPr>
              <w:jc w:val="center"/>
              <w:rPr>
                <w:rFonts w:cs="Times New Roman"/>
                <w:szCs w:val="24"/>
              </w:rPr>
            </w:pPr>
            <w:r>
              <w:rPr>
                <w:rFonts w:cs="Times New Roman"/>
                <w:szCs w:val="24"/>
              </w:rPr>
              <w:t>Theory (North, Weingast)</w:t>
            </w:r>
          </w:p>
        </w:tc>
        <w:tc>
          <w:tcPr>
            <w:tcW w:w="2232" w:type="dxa"/>
            <w:vAlign w:val="center"/>
          </w:tcPr>
          <w:p w14:paraId="5AD349F2" w14:textId="2DB109FF" w:rsidR="00960702" w:rsidRPr="00A43EAD" w:rsidRDefault="00A43EAD" w:rsidP="001812A8">
            <w:pPr>
              <w:jc w:val="center"/>
              <w:rPr>
                <w:rFonts w:cs="Times New Roman"/>
                <w:szCs w:val="24"/>
              </w:rPr>
            </w:pPr>
            <w:r>
              <w:rPr>
                <w:rFonts w:cs="Times New Roman"/>
                <w:szCs w:val="24"/>
              </w:rPr>
              <w:t>Legislation is a binding state law, more effectively compared to policy</w:t>
            </w:r>
          </w:p>
        </w:tc>
        <w:tc>
          <w:tcPr>
            <w:tcW w:w="2048" w:type="dxa"/>
            <w:vAlign w:val="center"/>
          </w:tcPr>
          <w:p w14:paraId="2904E7ED" w14:textId="1BB1C3B6" w:rsidR="00960702" w:rsidRPr="00A43EAD" w:rsidRDefault="00A43EAD" w:rsidP="001812A8">
            <w:pPr>
              <w:jc w:val="center"/>
              <w:rPr>
                <w:rFonts w:cs="Times New Roman"/>
                <w:szCs w:val="24"/>
              </w:rPr>
            </w:pPr>
            <w:r>
              <w:rPr>
                <w:rFonts w:cs="Times New Roman"/>
                <w:szCs w:val="24"/>
              </w:rPr>
              <w:t xml:space="preserve">This explains the psychology of an investor and the cost of capital </w:t>
            </w:r>
          </w:p>
        </w:tc>
      </w:tr>
      <w:tr w:rsidR="00960702" w14:paraId="7D085B52" w14:textId="3C422F9D" w:rsidTr="00A43EAD">
        <w:tc>
          <w:tcPr>
            <w:tcW w:w="1563" w:type="dxa"/>
            <w:vAlign w:val="center"/>
          </w:tcPr>
          <w:p w14:paraId="09779F08" w14:textId="333990E3" w:rsidR="00960702" w:rsidRPr="00A43EAD" w:rsidRDefault="00A43EAD" w:rsidP="001812A8">
            <w:pPr>
              <w:jc w:val="center"/>
              <w:rPr>
                <w:rFonts w:cs="Times New Roman"/>
                <w:szCs w:val="24"/>
              </w:rPr>
            </w:pPr>
            <w:r>
              <w:rPr>
                <w:rFonts w:cs="Times New Roman"/>
                <w:szCs w:val="24"/>
              </w:rPr>
              <w:t xml:space="preserve">Game Theory </w:t>
            </w:r>
          </w:p>
        </w:tc>
        <w:tc>
          <w:tcPr>
            <w:tcW w:w="1483" w:type="dxa"/>
            <w:vAlign w:val="center"/>
          </w:tcPr>
          <w:p w14:paraId="4D1CA9AE" w14:textId="10D074E4" w:rsidR="00960702" w:rsidRPr="00A43EAD" w:rsidRDefault="00A43EAD" w:rsidP="001812A8">
            <w:pPr>
              <w:jc w:val="center"/>
              <w:rPr>
                <w:rFonts w:cs="Times New Roman"/>
                <w:szCs w:val="24"/>
              </w:rPr>
            </w:pPr>
            <w:r>
              <w:rPr>
                <w:rFonts w:cs="Times New Roman"/>
                <w:szCs w:val="24"/>
              </w:rPr>
              <w:t>Stackelberg</w:t>
            </w:r>
          </w:p>
        </w:tc>
        <w:tc>
          <w:tcPr>
            <w:tcW w:w="1690" w:type="dxa"/>
            <w:vAlign w:val="center"/>
          </w:tcPr>
          <w:p w14:paraId="5FA665C1" w14:textId="559CD42A" w:rsidR="00960702" w:rsidRPr="00A43EAD" w:rsidRDefault="00A43EAD" w:rsidP="001812A8">
            <w:pPr>
              <w:jc w:val="center"/>
              <w:rPr>
                <w:rFonts w:cs="Times New Roman"/>
                <w:szCs w:val="24"/>
              </w:rPr>
            </w:pPr>
            <w:r>
              <w:rPr>
                <w:rFonts w:cs="Times New Roman"/>
                <w:szCs w:val="24"/>
              </w:rPr>
              <w:t>Theory (Stackelberg, Nash)</w:t>
            </w:r>
          </w:p>
        </w:tc>
        <w:tc>
          <w:tcPr>
            <w:tcW w:w="2232" w:type="dxa"/>
            <w:vAlign w:val="center"/>
          </w:tcPr>
          <w:p w14:paraId="0D9A8C63" w14:textId="1A0A8C30" w:rsidR="00960702" w:rsidRPr="00A43EAD" w:rsidRDefault="00A43EAD" w:rsidP="001812A8">
            <w:pPr>
              <w:jc w:val="center"/>
              <w:rPr>
                <w:rFonts w:cs="Times New Roman"/>
                <w:szCs w:val="24"/>
              </w:rPr>
            </w:pPr>
            <w:r>
              <w:rPr>
                <w:rFonts w:cs="Times New Roman"/>
                <w:szCs w:val="24"/>
              </w:rPr>
              <w:t>India is losing a strategic advantage by waiting (“follower’s dilemma”)</w:t>
            </w:r>
          </w:p>
        </w:tc>
        <w:tc>
          <w:tcPr>
            <w:tcW w:w="2048" w:type="dxa"/>
            <w:vAlign w:val="center"/>
          </w:tcPr>
          <w:p w14:paraId="52295C92" w14:textId="16CC4E28" w:rsidR="00960702" w:rsidRPr="00A43EAD" w:rsidRDefault="00A43EAD" w:rsidP="001812A8">
            <w:pPr>
              <w:jc w:val="center"/>
              <w:rPr>
                <w:rFonts w:cs="Times New Roman"/>
                <w:szCs w:val="24"/>
              </w:rPr>
            </w:pPr>
            <w:r>
              <w:rPr>
                <w:rFonts w:cs="Times New Roman"/>
                <w:szCs w:val="24"/>
              </w:rPr>
              <w:t xml:space="preserve">This is able to give a geopolitical urgency and strategic rationale. </w:t>
            </w:r>
          </w:p>
        </w:tc>
      </w:tr>
      <w:tr w:rsidR="00A43EAD" w14:paraId="1FD85276" w14:textId="77777777" w:rsidTr="00A43EAD">
        <w:tc>
          <w:tcPr>
            <w:tcW w:w="1563" w:type="dxa"/>
            <w:vAlign w:val="center"/>
          </w:tcPr>
          <w:p w14:paraId="79105F84" w14:textId="52FE19E4" w:rsidR="00A43EAD" w:rsidRDefault="00A43EAD" w:rsidP="001812A8">
            <w:pPr>
              <w:jc w:val="center"/>
              <w:rPr>
                <w:rFonts w:cs="Times New Roman"/>
                <w:szCs w:val="24"/>
              </w:rPr>
            </w:pPr>
            <w:r>
              <w:rPr>
                <w:rFonts w:cs="Times New Roman"/>
                <w:szCs w:val="24"/>
              </w:rPr>
              <w:t>Schumpeter</w:t>
            </w:r>
          </w:p>
        </w:tc>
        <w:tc>
          <w:tcPr>
            <w:tcW w:w="1483" w:type="dxa"/>
            <w:vAlign w:val="center"/>
          </w:tcPr>
          <w:p w14:paraId="042D3462" w14:textId="087C8239" w:rsidR="00A43EAD" w:rsidRDefault="00A43EAD" w:rsidP="001812A8">
            <w:pPr>
              <w:jc w:val="center"/>
              <w:rPr>
                <w:rFonts w:cs="Times New Roman"/>
                <w:szCs w:val="24"/>
              </w:rPr>
            </w:pPr>
            <w:r>
              <w:rPr>
                <w:rFonts w:cs="Times New Roman"/>
                <w:szCs w:val="24"/>
              </w:rPr>
              <w:t>Monopoly Rents</w:t>
            </w:r>
          </w:p>
        </w:tc>
        <w:tc>
          <w:tcPr>
            <w:tcW w:w="1690" w:type="dxa"/>
            <w:vAlign w:val="center"/>
          </w:tcPr>
          <w:p w14:paraId="553F3698" w14:textId="5C60EACD" w:rsidR="00A43EAD" w:rsidRDefault="00A43EAD" w:rsidP="001812A8">
            <w:pPr>
              <w:jc w:val="center"/>
              <w:rPr>
                <w:rFonts w:cs="Times New Roman"/>
                <w:szCs w:val="24"/>
              </w:rPr>
            </w:pPr>
            <w:r>
              <w:rPr>
                <w:rFonts w:cs="Times New Roman"/>
                <w:szCs w:val="24"/>
              </w:rPr>
              <w:t xml:space="preserve">Theory (Schumpeter, Aghion) </w:t>
            </w:r>
          </w:p>
        </w:tc>
        <w:tc>
          <w:tcPr>
            <w:tcW w:w="2232" w:type="dxa"/>
            <w:vAlign w:val="center"/>
          </w:tcPr>
          <w:p w14:paraId="751E3863" w14:textId="0A7BD8CF" w:rsidR="00A43EAD" w:rsidRDefault="00A43EAD" w:rsidP="001812A8">
            <w:pPr>
              <w:jc w:val="center"/>
              <w:rPr>
                <w:rFonts w:cs="Times New Roman"/>
                <w:szCs w:val="24"/>
              </w:rPr>
            </w:pPr>
            <w:r>
              <w:rPr>
                <w:rFonts w:cs="Times New Roman"/>
                <w:szCs w:val="24"/>
              </w:rPr>
              <w:t>Ownership is a necessary reward for high-risk innovation</w:t>
            </w:r>
          </w:p>
        </w:tc>
        <w:tc>
          <w:tcPr>
            <w:tcW w:w="2048" w:type="dxa"/>
            <w:vAlign w:val="center"/>
          </w:tcPr>
          <w:p w14:paraId="23661FA2" w14:textId="50DB1906" w:rsidR="00A43EAD" w:rsidRDefault="00A43EAD" w:rsidP="001812A8">
            <w:pPr>
              <w:jc w:val="center"/>
              <w:rPr>
                <w:rFonts w:cs="Times New Roman"/>
                <w:szCs w:val="24"/>
              </w:rPr>
            </w:pPr>
            <w:r>
              <w:rPr>
                <w:rFonts w:cs="Times New Roman"/>
                <w:szCs w:val="24"/>
              </w:rPr>
              <w:t xml:space="preserve">Justifies the privatisation of the global commons </w:t>
            </w:r>
          </w:p>
        </w:tc>
      </w:tr>
    </w:tbl>
    <w:p w14:paraId="258243B6" w14:textId="788B9AD0" w:rsidR="00960702" w:rsidRDefault="00A43EAD" w:rsidP="00A43EAD">
      <w:pPr>
        <w:spacing w:line="240" w:lineRule="auto"/>
        <w:jc w:val="center"/>
        <w:rPr>
          <w:rFonts w:cs="Times New Roman"/>
          <w:b/>
          <w:bCs/>
          <w:szCs w:val="24"/>
        </w:rPr>
      </w:pPr>
      <w:r>
        <w:rPr>
          <w:rFonts w:cs="Times New Roman"/>
          <w:b/>
          <w:bCs/>
          <w:szCs w:val="24"/>
        </w:rPr>
        <w:t xml:space="preserve">(Source: Author’s own Construction) </w:t>
      </w:r>
    </w:p>
    <w:p w14:paraId="3A616D46" w14:textId="743E4763" w:rsidR="00A43EAD" w:rsidRDefault="00A43EAD" w:rsidP="00C6418A">
      <w:pPr>
        <w:spacing w:line="240" w:lineRule="auto"/>
        <w:rPr>
          <w:rFonts w:cs="Times New Roman"/>
          <w:szCs w:val="24"/>
        </w:rPr>
      </w:pPr>
      <w:r>
        <w:rPr>
          <w:rFonts w:cs="Times New Roman"/>
          <w:szCs w:val="24"/>
        </w:rPr>
        <w:t xml:space="preserve">There is convergence of evidence: </w:t>
      </w:r>
    </w:p>
    <w:p w14:paraId="4A1490AE" w14:textId="73BC8008" w:rsidR="00A43EAD" w:rsidRDefault="00A43EAD" w:rsidP="00A43EAD">
      <w:pPr>
        <w:pStyle w:val="ListParagraph"/>
        <w:numPr>
          <w:ilvl w:val="0"/>
          <w:numId w:val="7"/>
        </w:numPr>
        <w:spacing w:line="240" w:lineRule="auto"/>
        <w:rPr>
          <w:rFonts w:cs="Times New Roman"/>
          <w:szCs w:val="24"/>
        </w:rPr>
      </w:pPr>
      <w:r>
        <w:rPr>
          <w:rFonts w:cs="Times New Roman"/>
          <w:szCs w:val="24"/>
        </w:rPr>
        <w:t xml:space="preserve">Qualitative Evidence: Comparative Law shows leading space nations are legislating </w:t>
      </w:r>
    </w:p>
    <w:p w14:paraId="392676F3" w14:textId="4B2BEEB3" w:rsidR="00A43EAD" w:rsidRDefault="00A43EAD" w:rsidP="00A43EAD">
      <w:pPr>
        <w:pStyle w:val="ListParagraph"/>
        <w:numPr>
          <w:ilvl w:val="0"/>
          <w:numId w:val="7"/>
        </w:numPr>
        <w:spacing w:line="240" w:lineRule="auto"/>
        <w:rPr>
          <w:rFonts w:cs="Times New Roman"/>
          <w:szCs w:val="24"/>
        </w:rPr>
      </w:pPr>
      <w:r>
        <w:rPr>
          <w:rFonts w:cs="Times New Roman"/>
          <w:szCs w:val="24"/>
        </w:rPr>
        <w:t>Quantitative Evidence: Data show that legislation is followed by capital growth\</w:t>
      </w:r>
    </w:p>
    <w:p w14:paraId="2DE475D7" w14:textId="50F742E8" w:rsidR="00960702" w:rsidRPr="00DB4054" w:rsidRDefault="00A43EAD" w:rsidP="00C6418A">
      <w:pPr>
        <w:pStyle w:val="ListParagraph"/>
        <w:numPr>
          <w:ilvl w:val="0"/>
          <w:numId w:val="7"/>
        </w:numPr>
        <w:spacing w:line="240" w:lineRule="auto"/>
        <w:rPr>
          <w:rFonts w:cs="Times New Roman"/>
          <w:b/>
          <w:bCs/>
          <w:szCs w:val="24"/>
        </w:rPr>
      </w:pPr>
      <w:r w:rsidRPr="00222052">
        <w:rPr>
          <w:rFonts w:cs="Times New Roman"/>
          <w:szCs w:val="24"/>
        </w:rPr>
        <w:t xml:space="preserve">Theoretical Convergence: Economic theories show that legislation reduces costs and incentivizes strategic action. </w:t>
      </w:r>
    </w:p>
    <w:p w14:paraId="7872E116" w14:textId="06612A6A" w:rsidR="00DB4054" w:rsidRPr="00DB4054" w:rsidRDefault="00DB4054" w:rsidP="00DB4054">
      <w:pPr>
        <w:spacing w:line="240" w:lineRule="auto"/>
        <w:rPr>
          <w:rFonts w:cs="Times New Roman"/>
          <w:b/>
          <w:bCs/>
          <w:szCs w:val="24"/>
        </w:rPr>
      </w:pPr>
      <w:r>
        <w:rPr>
          <w:rFonts w:cs="Times New Roman"/>
          <w:b/>
          <w:bCs/>
          <w:szCs w:val="24"/>
        </w:rPr>
        <w:t xml:space="preserve">Findings of the Research: </w:t>
      </w:r>
      <w:r w:rsidRPr="00DB4054">
        <w:rPr>
          <w:rFonts w:cs="Times New Roman"/>
          <w:szCs w:val="24"/>
        </w:rPr>
        <w:t>India needs to enact a Space Resource legislation to attract greater investment</w:t>
      </w:r>
      <w:r>
        <w:rPr>
          <w:rFonts w:cs="Times New Roman"/>
          <w:szCs w:val="24"/>
        </w:rPr>
        <w:t xml:space="preserve"> and reduce transaction costs. </w:t>
      </w:r>
    </w:p>
    <w:p w14:paraId="072DF8E1" w14:textId="174F7159" w:rsidR="003F6D0C" w:rsidRDefault="003F6D0C" w:rsidP="00C6418A">
      <w:pPr>
        <w:spacing w:line="240" w:lineRule="auto"/>
        <w:rPr>
          <w:rFonts w:cs="Times New Roman"/>
          <w:b/>
          <w:bCs/>
          <w:szCs w:val="24"/>
        </w:rPr>
      </w:pPr>
      <w:r w:rsidRPr="003F6D0C">
        <w:rPr>
          <w:rFonts w:cs="Times New Roman"/>
          <w:b/>
          <w:bCs/>
          <w:szCs w:val="24"/>
        </w:rPr>
        <w:t>LIMITATIONS</w:t>
      </w:r>
    </w:p>
    <w:p w14:paraId="620CD4AE" w14:textId="2FC91DDF" w:rsidR="003F6D0C" w:rsidRDefault="003F6D0C" w:rsidP="00C6418A">
      <w:pPr>
        <w:spacing w:line="240" w:lineRule="auto"/>
        <w:rPr>
          <w:rFonts w:cs="Times New Roman"/>
          <w:szCs w:val="24"/>
        </w:rPr>
      </w:pPr>
      <w:r>
        <w:rPr>
          <w:rFonts w:cs="Times New Roman"/>
          <w:szCs w:val="24"/>
        </w:rPr>
        <w:t>A key methodological innovation in this research is that there has been a focus on investment rather than the peaks. In the United States, the minimum investment rose post 2015 Act, and Indian data shows high volatility and capital retraction. Descriptive statistics cannot prove causality</w:t>
      </w:r>
      <w:r w:rsidR="00960702">
        <w:rPr>
          <w:rFonts w:cs="Times New Roman"/>
          <w:szCs w:val="24"/>
        </w:rPr>
        <w:t>;</w:t>
      </w:r>
      <w:r>
        <w:rPr>
          <w:rFonts w:cs="Times New Roman"/>
          <w:szCs w:val="24"/>
        </w:rPr>
        <w:t xml:space="preserve"> the observed correlation between </w:t>
      </w:r>
      <w:r w:rsidR="00960702">
        <w:rPr>
          <w:rFonts w:cs="Times New Roman"/>
          <w:szCs w:val="24"/>
        </w:rPr>
        <w:t xml:space="preserve">the </w:t>
      </w:r>
      <w:r>
        <w:rPr>
          <w:rFonts w:cs="Times New Roman"/>
          <w:szCs w:val="24"/>
        </w:rPr>
        <w:t xml:space="preserve">2015 legislation and </w:t>
      </w:r>
      <w:r w:rsidR="00960702">
        <w:rPr>
          <w:rFonts w:cs="Times New Roman"/>
          <w:szCs w:val="24"/>
        </w:rPr>
        <w:t xml:space="preserve">the </w:t>
      </w:r>
      <w:r>
        <w:rPr>
          <w:rFonts w:cs="Times New Roman"/>
          <w:szCs w:val="24"/>
        </w:rPr>
        <w:t xml:space="preserve">investment spike could be </w:t>
      </w:r>
      <w:r w:rsidR="00960702">
        <w:rPr>
          <w:rFonts w:cs="Times New Roman"/>
          <w:szCs w:val="24"/>
        </w:rPr>
        <w:t>confounded</w:t>
      </w:r>
      <w:r>
        <w:rPr>
          <w:rFonts w:cs="Times New Roman"/>
          <w:szCs w:val="24"/>
        </w:rPr>
        <w:t xml:space="preserve"> by variables such as technological maturity or other macroeconomic conditions.</w:t>
      </w:r>
      <w:r w:rsidR="00DD560D">
        <w:rPr>
          <w:rFonts w:cs="Times New Roman"/>
          <w:szCs w:val="24"/>
        </w:rPr>
        <w:t xml:space="preserve"> Since the data available in the Space Capital Database is subject to change over time when previously undisclosed financial deals come up in another limitation of the data collected from the Space Capital Database </w:t>
      </w:r>
      <w:r w:rsidR="00DD560D" w:rsidRPr="00DD560D">
        <w:rPr>
          <w:rFonts w:cs="Times New Roman"/>
          <w:szCs w:val="24"/>
        </w:rPr>
        <w:t>(Janikowski, 2025</w:t>
      </w:r>
      <w:r w:rsidR="00DD560D">
        <w:rPr>
          <w:rFonts w:cs="Times New Roman"/>
          <w:szCs w:val="24"/>
        </w:rPr>
        <w:t xml:space="preserve">, p. 5). However, Adam Jankowski has also believed that reliance on the Space Capital database may cause concern regarding the quality of data, but since Space Capital is the leading firm in the space investment community and has </w:t>
      </w:r>
      <w:r w:rsidR="00DD560D">
        <w:rPr>
          <w:rFonts w:cs="Times New Roman"/>
          <w:szCs w:val="24"/>
        </w:rPr>
        <w:lastRenderedPageBreak/>
        <w:t xml:space="preserve">a long history of tracking space economy investments, there is no better database available than this to study the impact of enacting space property rights legislation </w:t>
      </w:r>
      <w:r w:rsidR="00DD560D" w:rsidRPr="00DD560D">
        <w:rPr>
          <w:rFonts w:cs="Times New Roman"/>
          <w:szCs w:val="24"/>
        </w:rPr>
        <w:t>(Janikowski, 2025</w:t>
      </w:r>
      <w:r w:rsidR="00DD560D">
        <w:rPr>
          <w:rFonts w:cs="Times New Roman"/>
          <w:szCs w:val="24"/>
        </w:rPr>
        <w:t>, p. 6</w:t>
      </w:r>
      <w:r w:rsidR="00DD560D" w:rsidRPr="00DD560D">
        <w:rPr>
          <w:rFonts w:cs="Times New Roman"/>
          <w:szCs w:val="24"/>
        </w:rPr>
        <w:t>)</w:t>
      </w:r>
      <w:r w:rsidR="00DD560D">
        <w:rPr>
          <w:rFonts w:cs="Times New Roman"/>
          <w:szCs w:val="24"/>
        </w:rPr>
        <w:t xml:space="preserve">. Thus, the researcher, while acknowledging the limitation, is also placing reliance on the Space Capital Database and also echoes the same belief as Adam Jankowski. </w:t>
      </w:r>
    </w:p>
    <w:p w14:paraId="0762FB49" w14:textId="6932FE40" w:rsidR="00AC1738" w:rsidRDefault="00AC1738" w:rsidP="00C6418A">
      <w:pPr>
        <w:spacing w:line="240" w:lineRule="auto"/>
        <w:rPr>
          <w:rFonts w:cs="Times New Roman"/>
          <w:szCs w:val="24"/>
        </w:rPr>
      </w:pPr>
      <w:r>
        <w:rPr>
          <w:rFonts w:cs="Times New Roman"/>
          <w:szCs w:val="24"/>
        </w:rPr>
        <w:t xml:space="preserve">The use of game theory and New Institutional Economics relies upon the assumption of Rational Actors, where a presumption is being drawn that the Indian State is acting to maximise the economic welfare and strategic pay-off.  Functional comparative methodology is suffering from the limitation that law is stripped of its cultural and economic context, and the research is not looking into the structural differences between space resource legislations of different jurisdictions. </w:t>
      </w:r>
    </w:p>
    <w:p w14:paraId="6A3A1617" w14:textId="16036135" w:rsidR="003F6D0C" w:rsidRPr="00960702" w:rsidRDefault="003F6D0C" w:rsidP="00C6418A">
      <w:pPr>
        <w:spacing w:line="240" w:lineRule="auto"/>
        <w:rPr>
          <w:rFonts w:cs="Times New Roman"/>
          <w:szCs w:val="24"/>
        </w:rPr>
      </w:pPr>
      <w:r w:rsidRPr="003F6D0C">
        <w:rPr>
          <w:rFonts w:cs="Times New Roman"/>
          <w:b/>
          <w:bCs/>
          <w:i/>
          <w:iCs/>
          <w:szCs w:val="24"/>
        </w:rPr>
        <w:t xml:space="preserve">Addressing the Limitation: </w:t>
      </w:r>
      <w:r w:rsidR="00960702">
        <w:rPr>
          <w:rFonts w:cs="Times New Roman"/>
          <w:szCs w:val="24"/>
        </w:rPr>
        <w:t xml:space="preserve">This limitation of descriptive statistics can be mitigated by triangulating statistical data with qualitative economic theories, such as the New Institutional Economic theories, which argue that while technology makes mining possible, legal institutions make mining investable. </w:t>
      </w:r>
    </w:p>
    <w:p w14:paraId="5744E117" w14:textId="67945166" w:rsidR="00690BDF" w:rsidRDefault="00690BDF" w:rsidP="00C6418A">
      <w:pPr>
        <w:spacing w:line="240" w:lineRule="auto"/>
        <w:rPr>
          <w:rFonts w:cs="Times New Roman"/>
          <w:b/>
          <w:bCs/>
          <w:szCs w:val="24"/>
        </w:rPr>
      </w:pPr>
      <w:r w:rsidRPr="00690BDF">
        <w:rPr>
          <w:rFonts w:cs="Times New Roman"/>
          <w:b/>
          <w:bCs/>
          <w:szCs w:val="24"/>
        </w:rPr>
        <w:t>CONCLUSION</w:t>
      </w:r>
    </w:p>
    <w:p w14:paraId="681AE32A" w14:textId="36797DAC" w:rsidR="00690BDF" w:rsidRPr="00690BDF" w:rsidRDefault="00690BDF" w:rsidP="00C6418A">
      <w:pPr>
        <w:spacing w:line="240" w:lineRule="auto"/>
        <w:rPr>
          <w:rFonts w:cs="Times New Roman"/>
          <w:szCs w:val="24"/>
        </w:rPr>
      </w:pPr>
      <w:r w:rsidRPr="00690BDF">
        <w:rPr>
          <w:rFonts w:cs="Times New Roman"/>
          <w:szCs w:val="24"/>
        </w:rPr>
        <w:t xml:space="preserve">By validating that the big four nations US, Luxembourg, Japan and the UAE, have all utilised legislation to solve the economic problem of uncertainty, the comparative methodology establishes that a global normative benchmark, which allows the researcher to characterise India’s lack of legislation not just as a difference but as a deficiency in its legal infrastructure relative to its competitors. </w:t>
      </w:r>
      <w:r w:rsidR="00C97781">
        <w:rPr>
          <w:rFonts w:cs="Times New Roman"/>
          <w:szCs w:val="24"/>
        </w:rPr>
        <w:t>Grounding arguments in NIE the research is effectively translating “legal certainty” from a vague jurisprudential idea to a concrete economic input. The game theory shows that legislation is now a question of survival and not compliance. Finally</w:t>
      </w:r>
      <w:r w:rsidR="00B155AE">
        <w:rPr>
          <w:rFonts w:cs="Times New Roman"/>
          <w:szCs w:val="24"/>
        </w:rPr>
        <w:t>,</w:t>
      </w:r>
      <w:r w:rsidR="00C97781">
        <w:rPr>
          <w:rFonts w:cs="Times New Roman"/>
          <w:szCs w:val="24"/>
        </w:rPr>
        <w:t xml:space="preserve"> in the end</w:t>
      </w:r>
      <w:r w:rsidR="00B155AE">
        <w:rPr>
          <w:rFonts w:cs="Times New Roman"/>
          <w:szCs w:val="24"/>
        </w:rPr>
        <w:t>,</w:t>
      </w:r>
      <w:r w:rsidR="00C97781">
        <w:rPr>
          <w:rFonts w:cs="Times New Roman"/>
          <w:szCs w:val="24"/>
        </w:rPr>
        <w:t xml:space="preserve"> the </w:t>
      </w:r>
      <w:r w:rsidR="00B155AE">
        <w:rPr>
          <w:rFonts w:cs="Times New Roman"/>
          <w:szCs w:val="24"/>
        </w:rPr>
        <w:t>utilisation</w:t>
      </w:r>
      <w:r w:rsidR="00C97781">
        <w:rPr>
          <w:rFonts w:cs="Times New Roman"/>
          <w:szCs w:val="24"/>
        </w:rPr>
        <w:t xml:space="preserve"> of empirical data shows that capital flees where there is uncertainty and </w:t>
      </w:r>
      <w:r w:rsidR="00B155AE">
        <w:rPr>
          <w:rFonts w:cs="Times New Roman"/>
          <w:szCs w:val="24"/>
        </w:rPr>
        <w:t>is rewarded</w:t>
      </w:r>
      <w:r w:rsidR="00C97781">
        <w:rPr>
          <w:rFonts w:cs="Times New Roman"/>
          <w:szCs w:val="24"/>
        </w:rPr>
        <w:t xml:space="preserve"> by investment where there is legal certainty.  </w:t>
      </w:r>
    </w:p>
    <w:p w14:paraId="0470C843" w14:textId="4794CE32" w:rsidR="006804CB" w:rsidRDefault="006804CB" w:rsidP="00C6418A">
      <w:pPr>
        <w:spacing w:line="240" w:lineRule="auto"/>
        <w:rPr>
          <w:rFonts w:cs="Times New Roman"/>
          <w:b/>
          <w:bCs/>
          <w:szCs w:val="24"/>
        </w:rPr>
      </w:pPr>
      <w:r w:rsidRPr="006804CB">
        <w:rPr>
          <w:rFonts w:cs="Times New Roman"/>
          <w:b/>
          <w:bCs/>
          <w:szCs w:val="24"/>
        </w:rPr>
        <w:t xml:space="preserve">REFERENCES </w:t>
      </w:r>
    </w:p>
    <w:p w14:paraId="61EC0325" w14:textId="77777777" w:rsidR="00FC7B07" w:rsidRDefault="00FC7B07" w:rsidP="00FC7B07">
      <w:pPr>
        <w:spacing w:line="240" w:lineRule="auto"/>
        <w:ind w:hanging="480"/>
        <w:jc w:val="left"/>
      </w:pPr>
      <w:r>
        <w:t xml:space="preserve">Aghion, P. (2018). Innovation and Growth from a Schumpeterian Perspective: </w:t>
      </w:r>
      <w:r>
        <w:rPr>
          <w:i/>
          <w:iCs/>
        </w:rPr>
        <w:t>Revue d’économie Politique</w:t>
      </w:r>
      <w:r>
        <w:t xml:space="preserve">, </w:t>
      </w:r>
      <w:r>
        <w:rPr>
          <w:i/>
          <w:iCs/>
        </w:rPr>
        <w:t>Vol. 128</w:t>
      </w:r>
      <w:r>
        <w:t xml:space="preserve">(5), 693–711. </w:t>
      </w:r>
      <w:hyperlink r:id="rId7" w:history="1">
        <w:r>
          <w:rPr>
            <w:rStyle w:val="Hyperlink"/>
          </w:rPr>
          <w:t>https://doi.org/10.3917/redp.285.0693</w:t>
        </w:r>
      </w:hyperlink>
    </w:p>
    <w:p w14:paraId="36418CB1" w14:textId="77777777" w:rsidR="00FC7B07" w:rsidRDefault="00FC7B07" w:rsidP="00FC7B07">
      <w:pPr>
        <w:spacing w:line="240" w:lineRule="auto"/>
        <w:ind w:hanging="480"/>
      </w:pPr>
      <w:r>
        <w:t xml:space="preserve">Alchian, A. A., &amp; Demsetz, H. (1973). The Property Right Paradigm. </w:t>
      </w:r>
      <w:r>
        <w:rPr>
          <w:i/>
          <w:iCs/>
        </w:rPr>
        <w:t>The Journal of Economic History</w:t>
      </w:r>
      <w:r>
        <w:t xml:space="preserve">, </w:t>
      </w:r>
      <w:r>
        <w:rPr>
          <w:i/>
          <w:iCs/>
        </w:rPr>
        <w:t>33</w:t>
      </w:r>
      <w:r>
        <w:t xml:space="preserve">(1), 16–27. JSTOR. </w:t>
      </w:r>
      <w:hyperlink r:id="rId8" w:history="1">
        <w:r>
          <w:rPr>
            <w:rStyle w:val="Hyperlink"/>
          </w:rPr>
          <w:t>http://www.jstor.org/stable/2117138</w:t>
        </w:r>
      </w:hyperlink>
    </w:p>
    <w:p w14:paraId="0BBF2B82" w14:textId="77777777" w:rsidR="00FC7B07" w:rsidRDefault="00FC7B07" w:rsidP="00FC7B07">
      <w:pPr>
        <w:spacing w:line="240" w:lineRule="auto"/>
        <w:ind w:hanging="480"/>
      </w:pPr>
      <w:r>
        <w:t xml:space="preserve">Ali, M. I. (2020). Comparative Legal Research-building a Legal Attitude for a Transnational World. </w:t>
      </w:r>
      <w:r>
        <w:rPr>
          <w:i/>
          <w:iCs/>
        </w:rPr>
        <w:t>Journal of Legal Studies</w:t>
      </w:r>
      <w:r>
        <w:t xml:space="preserve">, </w:t>
      </w:r>
      <w:r>
        <w:rPr>
          <w:i/>
          <w:iCs/>
        </w:rPr>
        <w:t>26</w:t>
      </w:r>
      <w:r>
        <w:t xml:space="preserve">(40), 66–80. </w:t>
      </w:r>
      <w:hyperlink r:id="rId9" w:history="1">
        <w:r>
          <w:rPr>
            <w:rStyle w:val="Hyperlink"/>
          </w:rPr>
          <w:t>https://publicatii.uvvg.ro/index.php/jls/article/view/626</w:t>
        </w:r>
      </w:hyperlink>
    </w:p>
    <w:p w14:paraId="3FF4DF76" w14:textId="77777777" w:rsidR="00FC7B07" w:rsidRDefault="00FC7B07" w:rsidP="00FC7B07">
      <w:pPr>
        <w:spacing w:line="240" w:lineRule="auto"/>
        <w:ind w:hanging="480"/>
      </w:pPr>
      <w:r w:rsidRPr="00FC7B07">
        <w:rPr>
          <w:lang w:val="de-DE"/>
        </w:rPr>
        <w:t xml:space="preserve">Almlöf, H., &amp; Bjuggren, P.-O. (2019). </w:t>
      </w:r>
      <w:r>
        <w:t xml:space="preserve">A regulation and transaction cost perspective on the design of corporate law. </w:t>
      </w:r>
      <w:r>
        <w:rPr>
          <w:i/>
          <w:iCs/>
        </w:rPr>
        <w:t>European Journal of Law and Economics</w:t>
      </w:r>
      <w:r>
        <w:t xml:space="preserve">, </w:t>
      </w:r>
      <w:r>
        <w:rPr>
          <w:i/>
          <w:iCs/>
        </w:rPr>
        <w:t>47</w:t>
      </w:r>
      <w:r>
        <w:t xml:space="preserve">(3), 407–433. </w:t>
      </w:r>
      <w:hyperlink r:id="rId10" w:history="1">
        <w:r>
          <w:rPr>
            <w:rStyle w:val="Hyperlink"/>
          </w:rPr>
          <w:t>https://doi.org/10.1007/s10657-019-09620-x</w:t>
        </w:r>
      </w:hyperlink>
    </w:p>
    <w:p w14:paraId="302D856A" w14:textId="77777777" w:rsidR="00FC7B07" w:rsidRDefault="00FC7B07" w:rsidP="00FC7B07">
      <w:pPr>
        <w:spacing w:line="240" w:lineRule="auto"/>
        <w:ind w:hanging="480"/>
      </w:pPr>
      <w:r w:rsidRPr="00FC7B07">
        <w:rPr>
          <w:lang w:val="de-DE"/>
        </w:rPr>
        <w:t xml:space="preserve">Andersen, T. M., &amp; Sørensen, A. (2023). </w:t>
      </w:r>
      <w:r>
        <w:t xml:space="preserve">The interdependencies between the private and public sectors in open economies. </w:t>
      </w:r>
      <w:r>
        <w:rPr>
          <w:i/>
          <w:iCs/>
        </w:rPr>
        <w:t>European Economic Review</w:t>
      </w:r>
      <w:r>
        <w:t xml:space="preserve">, </w:t>
      </w:r>
      <w:r>
        <w:rPr>
          <w:i/>
          <w:iCs/>
        </w:rPr>
        <w:t>160</w:t>
      </w:r>
      <w:r>
        <w:t xml:space="preserve">, 104606. </w:t>
      </w:r>
      <w:hyperlink r:id="rId11" w:history="1">
        <w:r>
          <w:rPr>
            <w:rStyle w:val="Hyperlink"/>
          </w:rPr>
          <w:t>https://doi.org/10.1016/j.euroecorev.2023.104606</w:t>
        </w:r>
      </w:hyperlink>
    </w:p>
    <w:p w14:paraId="5D63FB4A" w14:textId="77777777" w:rsidR="00FC7B07" w:rsidRDefault="00FC7B07" w:rsidP="00FC7B07">
      <w:pPr>
        <w:spacing w:line="240" w:lineRule="auto"/>
        <w:ind w:hanging="480"/>
      </w:pPr>
      <w:r>
        <w:rPr>
          <w:i/>
          <w:iCs/>
        </w:rPr>
        <w:t>Artemis Accords—NASA</w:t>
      </w:r>
      <w:r>
        <w:t xml:space="preserve">. (2020). </w:t>
      </w:r>
      <w:hyperlink r:id="rId12" w:history="1">
        <w:r>
          <w:rPr>
            <w:rStyle w:val="Hyperlink"/>
          </w:rPr>
          <w:t>https://www.nasa.gov/artemis-accords/</w:t>
        </w:r>
      </w:hyperlink>
    </w:p>
    <w:p w14:paraId="5FAC202B" w14:textId="77777777" w:rsidR="00FC7B07" w:rsidRDefault="00FC7B07" w:rsidP="00FC7B07">
      <w:pPr>
        <w:spacing w:line="240" w:lineRule="auto"/>
        <w:ind w:hanging="480"/>
      </w:pPr>
      <w:r>
        <w:t xml:space="preserve">Azimzadeh, H., Azadmanesh, M., Nikolova, R., &amp; Asiaei, R. (2026). Legal Frameworks for Asteroid Mining: Techno-Economic Impacts and Regulatory Needs. </w:t>
      </w:r>
      <w:r>
        <w:rPr>
          <w:i/>
          <w:iCs/>
        </w:rPr>
        <w:t>The 17th International Scientific Conference on Aerospace, Automotive, and Railway Engineering</w:t>
      </w:r>
      <w:r>
        <w:t xml:space="preserve">, 27. </w:t>
      </w:r>
      <w:hyperlink r:id="rId13" w:history="1">
        <w:r>
          <w:rPr>
            <w:rStyle w:val="Hyperlink"/>
          </w:rPr>
          <w:t>https://doi.org/10.3390/engproc2025121027</w:t>
        </w:r>
      </w:hyperlink>
    </w:p>
    <w:p w14:paraId="695B0D1A" w14:textId="77777777" w:rsidR="00FC7B07" w:rsidRDefault="00FC7B07" w:rsidP="00FC7B07">
      <w:pPr>
        <w:spacing w:line="240" w:lineRule="auto"/>
        <w:ind w:hanging="480"/>
      </w:pPr>
      <w:r>
        <w:lastRenderedPageBreak/>
        <w:t xml:space="preserve">Bell, J. (2021). The Value of Micro-Comparison. In H. Dedek (Ed.), </w:t>
      </w:r>
      <w:r>
        <w:rPr>
          <w:i/>
          <w:iCs/>
        </w:rPr>
        <w:t>A Cosmopolitan Jurisprudence</w:t>
      </w:r>
      <w:r>
        <w:t xml:space="preserve"> (1st ed., pp. 64–82). Cambridge University Press. </w:t>
      </w:r>
      <w:hyperlink r:id="rId14" w:history="1">
        <w:r>
          <w:rPr>
            <w:rStyle w:val="Hyperlink"/>
          </w:rPr>
          <w:t>https://doi.org/10.1017/9781108894760.004</w:t>
        </w:r>
      </w:hyperlink>
    </w:p>
    <w:p w14:paraId="65128578" w14:textId="77777777" w:rsidR="00FC7B07" w:rsidRDefault="00FC7B07" w:rsidP="00FC7B07">
      <w:pPr>
        <w:spacing w:line="240" w:lineRule="auto"/>
        <w:ind w:hanging="480"/>
      </w:pPr>
      <w:r>
        <w:t xml:space="preserve">Bhat B, S. (2025). Indian space policy 2023: An evaluation. </w:t>
      </w:r>
      <w:r>
        <w:rPr>
          <w:i/>
          <w:iCs/>
        </w:rPr>
        <w:t>Space Policy</w:t>
      </w:r>
      <w:r>
        <w:t xml:space="preserve">, 101743. </w:t>
      </w:r>
      <w:hyperlink r:id="rId15" w:history="1">
        <w:r>
          <w:rPr>
            <w:rStyle w:val="Hyperlink"/>
          </w:rPr>
          <w:t>https://doi.org/10.1016/j.spacepol.2025.101743</w:t>
        </w:r>
      </w:hyperlink>
    </w:p>
    <w:p w14:paraId="1297436F" w14:textId="77777777" w:rsidR="00FC7B07" w:rsidRDefault="00FC7B07" w:rsidP="00FC7B07">
      <w:pPr>
        <w:spacing w:line="240" w:lineRule="auto"/>
        <w:ind w:hanging="480"/>
      </w:pPr>
      <w:r>
        <w:t xml:space="preserve">Bhat B., S., &amp; Variath, A. (2024). </w:t>
      </w:r>
      <w:r>
        <w:rPr>
          <w:i/>
          <w:iCs/>
        </w:rPr>
        <w:t>Promoting investment in space matters, but having a law matters more</w:t>
      </w:r>
      <w:r>
        <w:t xml:space="preserve">. Observer Research Foundation. </w:t>
      </w:r>
      <w:hyperlink r:id="rId16" w:history="1">
        <w:r>
          <w:rPr>
            <w:rStyle w:val="Hyperlink"/>
          </w:rPr>
          <w:t>https://www.orfonline.org/expert-speak/promoting-investment-in-space-matters-but-having-a-law-matters-more</w:t>
        </w:r>
      </w:hyperlink>
    </w:p>
    <w:p w14:paraId="5002AFF2" w14:textId="77777777" w:rsidR="00FC7B07" w:rsidRDefault="00FC7B07" w:rsidP="00FC7B07">
      <w:pPr>
        <w:spacing w:line="240" w:lineRule="auto"/>
        <w:ind w:hanging="480"/>
      </w:pPr>
      <w:r>
        <w:t xml:space="preserve">Blount, P. J., &amp; Robinson, C. (2016). One Small Step: The Impact of the U.S. Commercial Space Launch Competitiveness Act of 2015 on the Exploration of Resources in Outer Space. </w:t>
      </w:r>
      <w:r>
        <w:rPr>
          <w:i/>
          <w:iCs/>
        </w:rPr>
        <w:t>North Carolina Journal of Law and Technology</w:t>
      </w:r>
      <w:r>
        <w:t xml:space="preserve">, </w:t>
      </w:r>
      <w:r>
        <w:rPr>
          <w:i/>
          <w:iCs/>
        </w:rPr>
        <w:t>18</w:t>
      </w:r>
      <w:r>
        <w:t xml:space="preserve">(2), 160–186. </w:t>
      </w:r>
      <w:hyperlink r:id="rId17" w:history="1">
        <w:r>
          <w:rPr>
            <w:rStyle w:val="Hyperlink"/>
          </w:rPr>
          <w:t>https://scholarship.law.unc.edu/ncjolt/vol18/iss2/1</w:t>
        </w:r>
      </w:hyperlink>
    </w:p>
    <w:p w14:paraId="1224C0B7" w14:textId="77777777" w:rsidR="00FC7B07" w:rsidRDefault="00FC7B07" w:rsidP="00FC7B07">
      <w:pPr>
        <w:spacing w:line="240" w:lineRule="auto"/>
        <w:ind w:hanging="480"/>
      </w:pPr>
      <w:r>
        <w:t xml:space="preserve">Bureau, B. C. (2025, November 10). </w:t>
      </w:r>
      <w:r>
        <w:rPr>
          <w:i/>
          <w:iCs/>
        </w:rPr>
        <w:t>IN-SPACe, SIDBI green light ₹1,000-crore VC Fund for the India’s space sector</w:t>
      </w:r>
      <w:r>
        <w:t xml:space="preserve">. BusinessLine. </w:t>
      </w:r>
      <w:hyperlink r:id="rId18" w:history="1">
        <w:r>
          <w:rPr>
            <w:rStyle w:val="Hyperlink"/>
          </w:rPr>
          <w:t>https://www.thehindubusinessline.com/money-and-banking/in-space-sidbi-green-light-1000-crore-vc-fund-for-the-indias-space-sector/article70263148.ece</w:t>
        </w:r>
      </w:hyperlink>
    </w:p>
    <w:p w14:paraId="2701F23E" w14:textId="77777777" w:rsidR="00FC7B07" w:rsidRDefault="00FC7B07" w:rsidP="00FC7B07">
      <w:pPr>
        <w:spacing w:line="240" w:lineRule="auto"/>
        <w:ind w:hanging="480"/>
      </w:pPr>
      <w:r>
        <w:t xml:space="preserve">Candela, R. (2021, September 23). Toward a Constitutional Theory of Property Rights. </w:t>
      </w:r>
      <w:r>
        <w:rPr>
          <w:i/>
          <w:iCs/>
        </w:rPr>
        <w:t>Econlib</w:t>
      </w:r>
      <w:r>
        <w:t xml:space="preserve">. </w:t>
      </w:r>
      <w:hyperlink r:id="rId19" w:history="1">
        <w:r>
          <w:rPr>
            <w:rStyle w:val="Hyperlink"/>
          </w:rPr>
          <w:t>https://www.econlib.org/toward-a-constitutional-theory-of-property-rights/</w:t>
        </w:r>
      </w:hyperlink>
    </w:p>
    <w:p w14:paraId="10B6EC20" w14:textId="77777777" w:rsidR="00FC7B07" w:rsidRDefault="00FC7B07" w:rsidP="00FC7B07">
      <w:pPr>
        <w:spacing w:line="240" w:lineRule="auto"/>
        <w:ind w:hanging="480"/>
      </w:pPr>
      <w:r>
        <w:t xml:space="preserve">Canto, V. A., &amp; Wiese, A. (2018). Introduction: Asset Allocation: Indexing, Smart Beta, and ValueTiming. In </w:t>
      </w:r>
      <w:r>
        <w:rPr>
          <w:i/>
          <w:iCs/>
        </w:rPr>
        <w:t>Economic Disturbances and Equilibrium in an Integrated Global Economy</w:t>
      </w:r>
      <w:r>
        <w:t xml:space="preserve"> (pp. xv–xxvi). Elsevier. </w:t>
      </w:r>
      <w:hyperlink r:id="rId20" w:history="1">
        <w:r>
          <w:rPr>
            <w:rStyle w:val="Hyperlink"/>
          </w:rPr>
          <w:t>https://doi.org/10.1016/B978-0-12-813993-6.00054-4</w:t>
        </w:r>
      </w:hyperlink>
    </w:p>
    <w:p w14:paraId="548D328F" w14:textId="77777777" w:rsidR="00FC7B07" w:rsidRDefault="00FC7B07" w:rsidP="00FC7B07">
      <w:pPr>
        <w:spacing w:line="240" w:lineRule="auto"/>
        <w:ind w:hanging="480"/>
      </w:pPr>
      <w:r>
        <w:t xml:space="preserve">Capova, K. A. (2016). The New Space Age in the making: Emergence of exo-mining, exo-burials and exo-marketing. </w:t>
      </w:r>
      <w:r>
        <w:rPr>
          <w:i/>
          <w:iCs/>
        </w:rPr>
        <w:t>International Journal of Astrobiology</w:t>
      </w:r>
      <w:r>
        <w:t xml:space="preserve">, </w:t>
      </w:r>
      <w:r>
        <w:rPr>
          <w:i/>
          <w:iCs/>
        </w:rPr>
        <w:t>15</w:t>
      </w:r>
      <w:r>
        <w:t xml:space="preserve">(4), 307–310. </w:t>
      </w:r>
      <w:hyperlink r:id="rId21" w:history="1">
        <w:r>
          <w:rPr>
            <w:rStyle w:val="Hyperlink"/>
          </w:rPr>
          <w:t>https://doi.org/10.1017/S1473550416000185</w:t>
        </w:r>
      </w:hyperlink>
    </w:p>
    <w:p w14:paraId="47D974DC" w14:textId="77777777" w:rsidR="00FC7B07" w:rsidRDefault="00FC7B07" w:rsidP="00FC7B07">
      <w:pPr>
        <w:spacing w:line="240" w:lineRule="auto"/>
        <w:ind w:hanging="480"/>
      </w:pPr>
      <w:r>
        <w:t xml:space="preserve">Cheney, T. (2025). Non-use of Space: Reconsidering Article I of the Outer Space Treaty and the Useability of Space Resources. In S. Guggisberg &amp; C. Blanchard (Eds.), </w:t>
      </w:r>
      <w:r>
        <w:rPr>
          <w:i/>
          <w:iCs/>
        </w:rPr>
        <w:t>Non-use Measures for Global Goods and Commons in International Law</w:t>
      </w:r>
      <w:r>
        <w:t xml:space="preserve"> (pp. 428–452). Brill | Nijhoff. </w:t>
      </w:r>
      <w:hyperlink r:id="rId22" w:history="1">
        <w:r>
          <w:rPr>
            <w:rStyle w:val="Hyperlink"/>
          </w:rPr>
          <w:t>https://doi.org/10.1163/9789004730571_019</w:t>
        </w:r>
      </w:hyperlink>
    </w:p>
    <w:p w14:paraId="7C64FEC0" w14:textId="77777777" w:rsidR="00FC7B07" w:rsidRDefault="00FC7B07" w:rsidP="00FC7B07">
      <w:pPr>
        <w:spacing w:line="240" w:lineRule="auto"/>
        <w:ind w:hanging="480"/>
      </w:pPr>
      <w:r>
        <w:t xml:space="preserve">Chernykh, I., &amp; Gugunskiy, D. (2022). Space Resource Utilization as Sustainable Economic Growth Perspectives: Legal Aspects. In A. O. Inshakova &amp; E. I. Inshakova (Eds.), </w:t>
      </w:r>
      <w:r>
        <w:rPr>
          <w:i/>
          <w:iCs/>
        </w:rPr>
        <w:t>New Technology for Inclusive and Sustainable Growth</w:t>
      </w:r>
      <w:r>
        <w:t xml:space="preserve"> (Vol. 288, pp. 165–176). Springer Singapore. </w:t>
      </w:r>
      <w:hyperlink r:id="rId23" w:history="1">
        <w:r>
          <w:rPr>
            <w:rStyle w:val="Hyperlink"/>
          </w:rPr>
          <w:t>https://doi.org/10.1007/978-981-16-9808-8_18</w:t>
        </w:r>
      </w:hyperlink>
    </w:p>
    <w:p w14:paraId="498DFBFE" w14:textId="77777777" w:rsidR="00FC7B07" w:rsidRDefault="00FC7B07" w:rsidP="00FC7B07">
      <w:pPr>
        <w:spacing w:line="240" w:lineRule="auto"/>
        <w:ind w:hanging="480"/>
      </w:pPr>
      <w:r>
        <w:t xml:space="preserve">Coase, R. H. (1981). The Coase Theorem and the Empty Core: A Comment. </w:t>
      </w:r>
      <w:r>
        <w:rPr>
          <w:i/>
          <w:iCs/>
        </w:rPr>
        <w:t>The Journal of Law and Economics</w:t>
      </w:r>
      <w:r>
        <w:t xml:space="preserve">, </w:t>
      </w:r>
      <w:r>
        <w:rPr>
          <w:i/>
          <w:iCs/>
        </w:rPr>
        <w:t>24</w:t>
      </w:r>
      <w:r>
        <w:t xml:space="preserve">(1), 183–187. </w:t>
      </w:r>
      <w:hyperlink r:id="rId24" w:history="1">
        <w:r>
          <w:rPr>
            <w:rStyle w:val="Hyperlink"/>
          </w:rPr>
          <w:t>https://doi.org/10.1086/466980</w:t>
        </w:r>
      </w:hyperlink>
    </w:p>
    <w:p w14:paraId="67091D02" w14:textId="77777777" w:rsidR="00FC7B07" w:rsidRDefault="00FC7B07" w:rsidP="00FC7B07">
      <w:pPr>
        <w:spacing w:line="240" w:lineRule="auto"/>
        <w:ind w:hanging="480"/>
      </w:pPr>
      <w:r>
        <w:t xml:space="preserve">Cohn, M. (2024). Legal Transplants: A Theoretical Framework and a Case Study from Public Law. In M. Siems &amp; P. J. Yap (Eds.), </w:t>
      </w:r>
      <w:r>
        <w:rPr>
          <w:i/>
          <w:iCs/>
        </w:rPr>
        <w:t>The Cambridge Handbook of Comparative Law</w:t>
      </w:r>
      <w:r>
        <w:t xml:space="preserve"> (1st ed., pp. 426–452). Cambridge University Press. </w:t>
      </w:r>
      <w:hyperlink r:id="rId25" w:history="1">
        <w:r>
          <w:rPr>
            <w:rStyle w:val="Hyperlink"/>
          </w:rPr>
          <w:t>https://doi.org/10.1017/9781108914741.025</w:t>
        </w:r>
      </w:hyperlink>
    </w:p>
    <w:p w14:paraId="63AAB87B" w14:textId="77777777" w:rsidR="00FC7B07" w:rsidRDefault="00FC7B07" w:rsidP="00FC7B07">
      <w:pPr>
        <w:spacing w:line="240" w:lineRule="auto"/>
        <w:ind w:hanging="480"/>
      </w:pPr>
      <w:r>
        <w:t xml:space="preserve">Cross, M. K. D., &amp; Pekkanen, S. M. (2023). Introduction. Space Diplomacy: The Final Frontier of Theory and Practice. </w:t>
      </w:r>
      <w:r>
        <w:rPr>
          <w:i/>
          <w:iCs/>
        </w:rPr>
        <w:t>The Hague Journal of Diplomacy</w:t>
      </w:r>
      <w:r>
        <w:t xml:space="preserve">, </w:t>
      </w:r>
      <w:r>
        <w:rPr>
          <w:i/>
          <w:iCs/>
        </w:rPr>
        <w:t>18</w:t>
      </w:r>
      <w:r>
        <w:t xml:space="preserve">(2–3), 193–217. </w:t>
      </w:r>
      <w:hyperlink r:id="rId26" w:history="1">
        <w:r>
          <w:rPr>
            <w:rStyle w:val="Hyperlink"/>
          </w:rPr>
          <w:t>https://doi.org/10.1163/1871191x-bja10152</w:t>
        </w:r>
      </w:hyperlink>
    </w:p>
    <w:p w14:paraId="27742FF6" w14:textId="77777777" w:rsidR="00FC7B07" w:rsidRDefault="00FC7B07" w:rsidP="00FC7B07">
      <w:pPr>
        <w:spacing w:line="240" w:lineRule="auto"/>
        <w:ind w:hanging="480"/>
      </w:pPr>
      <w:r>
        <w:t xml:space="preserve">Cumming, D., Schmidt, D., &amp; Walz, U. (2010). Legality and venture capital governance around the world. </w:t>
      </w:r>
      <w:r>
        <w:rPr>
          <w:i/>
          <w:iCs/>
        </w:rPr>
        <w:t>Journal of Business Venturing</w:t>
      </w:r>
      <w:r>
        <w:t xml:space="preserve">, </w:t>
      </w:r>
      <w:r>
        <w:rPr>
          <w:i/>
          <w:iCs/>
        </w:rPr>
        <w:t>25</w:t>
      </w:r>
      <w:r>
        <w:t xml:space="preserve">(1), 54–72. </w:t>
      </w:r>
      <w:hyperlink r:id="rId27" w:history="1">
        <w:r>
          <w:rPr>
            <w:rStyle w:val="Hyperlink"/>
          </w:rPr>
          <w:t>https://doi.org/10.1016/j.jbusvent.2008.07.001</w:t>
        </w:r>
      </w:hyperlink>
    </w:p>
    <w:p w14:paraId="2F60ABB6" w14:textId="77777777" w:rsidR="00FC7B07" w:rsidRDefault="00FC7B07" w:rsidP="00FC7B07">
      <w:pPr>
        <w:spacing w:line="240" w:lineRule="auto"/>
        <w:ind w:hanging="480"/>
      </w:pPr>
      <w:r>
        <w:rPr>
          <w:i/>
          <w:iCs/>
        </w:rPr>
        <w:lastRenderedPageBreak/>
        <w:t>Declaration</w:t>
      </w:r>
      <w:r>
        <w:t xml:space="preserve">. (2026, January 11). Oxford Public International Law. </w:t>
      </w:r>
      <w:hyperlink r:id="rId28" w:history="1">
        <w:r>
          <w:rPr>
            <w:rStyle w:val="Hyperlink"/>
          </w:rPr>
          <w:t>https://opil.ouplaw.com/display/10.1093/law:epil/9780199231690/law-9780199231690-e1397?prd=OPIL</w:t>
        </w:r>
      </w:hyperlink>
    </w:p>
    <w:p w14:paraId="2AA83990" w14:textId="77777777" w:rsidR="00FC7B07" w:rsidRDefault="00FC7B07" w:rsidP="00FC7B07">
      <w:pPr>
        <w:spacing w:line="240" w:lineRule="auto"/>
        <w:ind w:hanging="480"/>
      </w:pPr>
      <w:r>
        <w:t xml:space="preserve">Demsetz, H. (1967). Toward a Theory of Property Rights. </w:t>
      </w:r>
      <w:r>
        <w:rPr>
          <w:i/>
          <w:iCs/>
        </w:rPr>
        <w:t>The American Economic Review</w:t>
      </w:r>
      <w:r>
        <w:t xml:space="preserve">, </w:t>
      </w:r>
      <w:r>
        <w:rPr>
          <w:i/>
          <w:iCs/>
        </w:rPr>
        <w:t>57</w:t>
      </w:r>
      <w:r>
        <w:t xml:space="preserve">(2), 347–359. JSTOR. </w:t>
      </w:r>
      <w:hyperlink r:id="rId29" w:history="1">
        <w:r>
          <w:rPr>
            <w:rStyle w:val="Hyperlink"/>
          </w:rPr>
          <w:t>http://www.jstor.org/stable/1821637</w:t>
        </w:r>
      </w:hyperlink>
    </w:p>
    <w:p w14:paraId="12B517FE" w14:textId="77777777" w:rsidR="00FC7B07" w:rsidRDefault="00FC7B07" w:rsidP="00FC7B07">
      <w:pPr>
        <w:spacing w:line="240" w:lineRule="auto"/>
        <w:ind w:hanging="480"/>
      </w:pPr>
      <w:r>
        <w:t xml:space="preserve">Department of Space, G. of I. (2024). </w:t>
      </w:r>
      <w:r>
        <w:rPr>
          <w:i/>
          <w:iCs/>
        </w:rPr>
        <w:t>Parliament Question: Efforts to make India a Developed Nation by 2047 in Space Sector</w:t>
      </w:r>
      <w:r>
        <w:t xml:space="preserve"> [Press Information Bureau]. </w:t>
      </w:r>
      <w:hyperlink r:id="rId30" w:history="1">
        <w:r>
          <w:rPr>
            <w:rStyle w:val="Hyperlink"/>
          </w:rPr>
          <w:t>https://www.pib.gov.in/www.pib.gov.in/Pressreleaseshare.aspx?PRID=2083766</w:t>
        </w:r>
      </w:hyperlink>
    </w:p>
    <w:p w14:paraId="4866141C" w14:textId="77777777" w:rsidR="00FC7B07" w:rsidRDefault="00FC7B07" w:rsidP="00FC7B07">
      <w:pPr>
        <w:spacing w:line="240" w:lineRule="auto"/>
        <w:ind w:hanging="480"/>
      </w:pPr>
      <w:r>
        <w:t xml:space="preserve">Departmentof Space, G. of I. (2023). </w:t>
      </w:r>
      <w:r>
        <w:rPr>
          <w:i/>
          <w:iCs/>
        </w:rPr>
        <w:t>The number of Space Start-Ups have gone up, from just 1 in 2014 to 189 in 2023 as per DPIIT Start-Up India Portal, says Union Minister Dr Jitendra Singh</w:t>
      </w:r>
      <w:r>
        <w:t xml:space="preserve">. </w:t>
      </w:r>
      <w:hyperlink r:id="rId31" w:history="1">
        <w:r>
          <w:rPr>
            <w:rStyle w:val="Hyperlink"/>
          </w:rPr>
          <w:t>https://www.pib.gov.in/www.pib.gov.in/Pressreleaseshare.aspx?PRID=1988864</w:t>
        </w:r>
      </w:hyperlink>
    </w:p>
    <w:p w14:paraId="0F1E4FCA" w14:textId="77777777" w:rsidR="00FC7B07" w:rsidRDefault="00FC7B07" w:rsidP="00FC7B07">
      <w:pPr>
        <w:spacing w:line="240" w:lineRule="auto"/>
        <w:ind w:hanging="480"/>
      </w:pPr>
      <w:r>
        <w:t xml:space="preserve">Etro, F. (2008). Stackelberg Competition with Endogenous Entry. </w:t>
      </w:r>
      <w:r>
        <w:rPr>
          <w:i/>
          <w:iCs/>
        </w:rPr>
        <w:t>The Economic Journal</w:t>
      </w:r>
      <w:r>
        <w:t xml:space="preserve">, </w:t>
      </w:r>
      <w:r>
        <w:rPr>
          <w:i/>
          <w:iCs/>
        </w:rPr>
        <w:t>118</w:t>
      </w:r>
      <w:r>
        <w:t xml:space="preserve">(532), 1670–1697. JSTOR. </w:t>
      </w:r>
      <w:hyperlink r:id="rId32" w:history="1">
        <w:r>
          <w:rPr>
            <w:rStyle w:val="Hyperlink"/>
          </w:rPr>
          <w:t>http://www.jstor.org/stable/20108879</w:t>
        </w:r>
      </w:hyperlink>
    </w:p>
    <w:p w14:paraId="18E7B527" w14:textId="77777777" w:rsidR="00FC7B07" w:rsidRDefault="00FC7B07" w:rsidP="00FC7B07">
      <w:pPr>
        <w:spacing w:line="240" w:lineRule="auto"/>
        <w:ind w:hanging="480"/>
      </w:pPr>
      <w:r>
        <w:t xml:space="preserve">Farrell, J. (1987). Information and the Coase Theorem. </w:t>
      </w:r>
      <w:r>
        <w:rPr>
          <w:i/>
          <w:iCs/>
        </w:rPr>
        <w:t>Journal of Economic Perspectives</w:t>
      </w:r>
      <w:r>
        <w:t xml:space="preserve">, </w:t>
      </w:r>
      <w:r>
        <w:rPr>
          <w:i/>
          <w:iCs/>
        </w:rPr>
        <w:t>1</w:t>
      </w:r>
      <w:r>
        <w:t xml:space="preserve">(2), 113–129. </w:t>
      </w:r>
      <w:hyperlink r:id="rId33" w:history="1">
        <w:r>
          <w:rPr>
            <w:rStyle w:val="Hyperlink"/>
          </w:rPr>
          <w:t>https://doi.org/10.1257/jep.1.2.113</w:t>
        </w:r>
      </w:hyperlink>
    </w:p>
    <w:p w14:paraId="0C1D5890" w14:textId="77777777" w:rsidR="00FC7B07" w:rsidRDefault="00FC7B07" w:rsidP="00FC7B07">
      <w:pPr>
        <w:spacing w:line="240" w:lineRule="auto"/>
        <w:ind w:hanging="480"/>
      </w:pPr>
      <w:r>
        <w:t xml:space="preserve">Ferreira-Snyman, A. (2022). Challenges to the prohibition on sovereignty in outer space—A new frontier for space governance. </w:t>
      </w:r>
      <w:r>
        <w:rPr>
          <w:i/>
          <w:iCs/>
        </w:rPr>
        <w:t>Potchefstroom Electronic Law Journal/Potchefstroomse Elektroniese Regsblad</w:t>
      </w:r>
      <w:r>
        <w:t xml:space="preserve">, </w:t>
      </w:r>
      <w:r>
        <w:rPr>
          <w:i/>
          <w:iCs/>
        </w:rPr>
        <w:t>24</w:t>
      </w:r>
      <w:r>
        <w:t xml:space="preserve">(1). </w:t>
      </w:r>
      <w:hyperlink r:id="rId34" w:history="1">
        <w:r>
          <w:rPr>
            <w:rStyle w:val="Hyperlink"/>
          </w:rPr>
          <w:t>https://www.ajol.info/index.php/pelj/article/view/235683</w:t>
        </w:r>
      </w:hyperlink>
    </w:p>
    <w:p w14:paraId="5CDB330D" w14:textId="77777777" w:rsidR="00FC7B07" w:rsidRDefault="00FC7B07" w:rsidP="00FC7B07">
      <w:pPr>
        <w:spacing w:line="240" w:lineRule="auto"/>
        <w:ind w:hanging="480"/>
      </w:pPr>
      <w:r>
        <w:t xml:space="preserve">Garoupa, N. (1997). The Theory of Optimal Law Enforcement. </w:t>
      </w:r>
      <w:r>
        <w:rPr>
          <w:i/>
          <w:iCs/>
        </w:rPr>
        <w:t>Journal of Economic Surveys</w:t>
      </w:r>
      <w:r>
        <w:t xml:space="preserve">, </w:t>
      </w:r>
      <w:r>
        <w:rPr>
          <w:i/>
          <w:iCs/>
        </w:rPr>
        <w:t>11</w:t>
      </w:r>
      <w:r>
        <w:t xml:space="preserve">(3), 267–295. </w:t>
      </w:r>
      <w:hyperlink r:id="rId35" w:history="1">
        <w:r>
          <w:rPr>
            <w:rStyle w:val="Hyperlink"/>
          </w:rPr>
          <w:t>https://doi.org/10.1111/1467-6419.00034</w:t>
        </w:r>
      </w:hyperlink>
    </w:p>
    <w:p w14:paraId="6042500A" w14:textId="77777777" w:rsidR="00FC7B07" w:rsidRDefault="00FC7B07" w:rsidP="00FC7B07">
      <w:pPr>
        <w:spacing w:line="240" w:lineRule="auto"/>
        <w:ind w:hanging="480"/>
      </w:pPr>
      <w:r>
        <w:t xml:space="preserve">Giannoni-Crystal, F. (2025). Orange County Bar Association. </w:t>
      </w:r>
      <w:r>
        <w:rPr>
          <w:i/>
          <w:iCs/>
        </w:rPr>
        <w:t>December 2025 Cover Story - Lunar Space Resource Utilization</w:t>
      </w:r>
      <w:r>
        <w:t xml:space="preserve">. </w:t>
      </w:r>
      <w:hyperlink r:id="rId36" w:history="1">
        <w:r>
          <w:rPr>
            <w:rStyle w:val="Hyperlink"/>
          </w:rPr>
          <w:t>https://www.ocbar.org/All-News/News-View/ArticleId/6870/December-2025-Cover-Story-Lunar-Space-Resource-Utilization</w:t>
        </w:r>
      </w:hyperlink>
    </w:p>
    <w:p w14:paraId="6B05730F" w14:textId="77777777" w:rsidR="00FC7B07" w:rsidRDefault="00FC7B07" w:rsidP="00FC7B07">
      <w:pPr>
        <w:spacing w:line="240" w:lineRule="auto"/>
        <w:ind w:hanging="480"/>
      </w:pPr>
      <w:r>
        <w:t xml:space="preserve">Goldman, A. R., Balakrishnan, A., Science, I., &amp; Highfill, T. (2025). The Space Economy Workforce and STEM Occupations. </w:t>
      </w:r>
      <w:r>
        <w:rPr>
          <w:i/>
          <w:iCs/>
        </w:rPr>
        <w:t>Bureau of Economic Analysis, BEA Working Paper Series</w:t>
      </w:r>
      <w:r>
        <w:t xml:space="preserve">. </w:t>
      </w:r>
      <w:hyperlink r:id="rId37" w:history="1">
        <w:r>
          <w:rPr>
            <w:rStyle w:val="Hyperlink"/>
          </w:rPr>
          <w:t>https://www.bea.gov/system/files/papers/WP2025-10.pdf</w:t>
        </w:r>
      </w:hyperlink>
    </w:p>
    <w:p w14:paraId="4B1C0813" w14:textId="77777777" w:rsidR="00FC7B07" w:rsidRDefault="00FC7B07" w:rsidP="00FC7B07">
      <w:pPr>
        <w:spacing w:line="240" w:lineRule="auto"/>
        <w:ind w:hanging="480"/>
      </w:pPr>
      <w:r>
        <w:t xml:space="preserve">Graziola, G. (2018). The Space Economy and Its Statistics: What Do They Tell Us? </w:t>
      </w:r>
      <w:r>
        <w:rPr>
          <w:i/>
          <w:iCs/>
        </w:rPr>
        <w:t>New Space</w:t>
      </w:r>
      <w:r>
        <w:t xml:space="preserve">, </w:t>
      </w:r>
      <w:r>
        <w:rPr>
          <w:i/>
          <w:iCs/>
        </w:rPr>
        <w:t>6</w:t>
      </w:r>
      <w:r>
        <w:t xml:space="preserve">(4), 269–287. </w:t>
      </w:r>
      <w:hyperlink r:id="rId38" w:history="1">
        <w:r>
          <w:rPr>
            <w:rStyle w:val="Hyperlink"/>
          </w:rPr>
          <w:t>https://doi.org/10.1089/space.2018.0012</w:t>
        </w:r>
      </w:hyperlink>
    </w:p>
    <w:p w14:paraId="0D6EA409" w14:textId="77777777" w:rsidR="00FC7B07" w:rsidRDefault="00FC7B07" w:rsidP="00FC7B07">
      <w:pPr>
        <w:spacing w:line="240" w:lineRule="auto"/>
        <w:ind w:hanging="480"/>
      </w:pPr>
      <w:r>
        <w:t xml:space="preserve">Gupta, J., Srivastava, A., &amp; Alzugaiby, B. (2024). Schumpeterian creative destruction and temporal changes in business models of US banks. </w:t>
      </w:r>
      <w:r>
        <w:rPr>
          <w:i/>
          <w:iCs/>
        </w:rPr>
        <w:t>International Review of Financial Analysis</w:t>
      </w:r>
      <w:r>
        <w:t xml:space="preserve">, </w:t>
      </w:r>
      <w:r>
        <w:rPr>
          <w:i/>
          <w:iCs/>
        </w:rPr>
        <w:t>91</w:t>
      </w:r>
      <w:r>
        <w:t xml:space="preserve">, 102951. </w:t>
      </w:r>
      <w:hyperlink r:id="rId39" w:history="1">
        <w:r>
          <w:rPr>
            <w:rStyle w:val="Hyperlink"/>
          </w:rPr>
          <w:t>https://doi.org/10.1016/j.irfa.2023.102951</w:t>
        </w:r>
      </w:hyperlink>
    </w:p>
    <w:p w14:paraId="6897ACA8" w14:textId="77777777" w:rsidR="00FC7B07" w:rsidRDefault="00FC7B07" w:rsidP="00FC7B07">
      <w:pPr>
        <w:spacing w:line="240" w:lineRule="auto"/>
        <w:ind w:hanging="480"/>
      </w:pPr>
      <w:r>
        <w:t xml:space="preserve">Guyomarc’h, A. (2023). Property on space resources: The search for a terminology. </w:t>
      </w:r>
      <w:r>
        <w:rPr>
          <w:i/>
          <w:iCs/>
        </w:rPr>
        <w:t>Journal of Law</w:t>
      </w:r>
      <w:r>
        <w:t xml:space="preserve">, </w:t>
      </w:r>
      <w:r>
        <w:rPr>
          <w:i/>
          <w:iCs/>
        </w:rPr>
        <w:t>Market&amp;amp; Innovation</w:t>
      </w:r>
      <w:r>
        <w:t xml:space="preserve">, 71-100 Pages. </w:t>
      </w:r>
      <w:hyperlink r:id="rId40" w:history="1">
        <w:r>
          <w:rPr>
            <w:rStyle w:val="Hyperlink"/>
          </w:rPr>
          <w:t>https://doi.org/10.13135/2785-7867/7954</w:t>
        </w:r>
      </w:hyperlink>
    </w:p>
    <w:p w14:paraId="1DC79C80" w14:textId="77777777" w:rsidR="00FC7B07" w:rsidRDefault="00FC7B07" w:rsidP="00FC7B07">
      <w:pPr>
        <w:spacing w:line="240" w:lineRule="auto"/>
        <w:ind w:hanging="480"/>
      </w:pPr>
      <w:r>
        <w:rPr>
          <w:i/>
          <w:iCs/>
        </w:rPr>
        <w:t>Initial Submission by the Delegation of the United States of America to the United Nations Committee on the Peaceful Uses of Outer Space Legal Subcommittee Working Group on the Legal Aspects of Space Resource Activities</w:t>
      </w:r>
      <w:r>
        <w:t xml:space="preserve">. (2023). UNCOPUOS. </w:t>
      </w:r>
      <w:hyperlink r:id="rId41" w:history="1">
        <w:r>
          <w:rPr>
            <w:rStyle w:val="Hyperlink"/>
          </w:rPr>
          <w:t>https://www.unoosa.org/documents/pdf/copuos/lsc/space-resources/LSC2023/StatesResponses/20230320_US_initial_submission_UNCOPUOS_LSC_SRU_WG_1.pdf</w:t>
        </w:r>
      </w:hyperlink>
    </w:p>
    <w:p w14:paraId="0DCB8A75" w14:textId="77777777" w:rsidR="00FC7B07" w:rsidRDefault="00FC7B07" w:rsidP="00FC7B07">
      <w:pPr>
        <w:spacing w:line="240" w:lineRule="auto"/>
        <w:ind w:hanging="480"/>
      </w:pPr>
      <w:r>
        <w:t xml:space="preserve">Invest India. (2025). </w:t>
      </w:r>
      <w:r>
        <w:rPr>
          <w:i/>
          <w:iCs/>
        </w:rPr>
        <w:t>Investment Opportunities in Space</w:t>
      </w:r>
      <w:r>
        <w:t xml:space="preserve">. </w:t>
      </w:r>
      <w:hyperlink r:id="rId42" w:history="1">
        <w:r>
          <w:rPr>
            <w:rStyle w:val="Hyperlink"/>
          </w:rPr>
          <w:t>https://www.investindia.gov.in/sector/space</w:t>
        </w:r>
      </w:hyperlink>
    </w:p>
    <w:p w14:paraId="548B6792" w14:textId="77777777" w:rsidR="00FC7B07" w:rsidRDefault="00FC7B07" w:rsidP="00FC7B07">
      <w:pPr>
        <w:spacing w:line="240" w:lineRule="auto"/>
        <w:ind w:hanging="480"/>
      </w:pPr>
      <w:r>
        <w:lastRenderedPageBreak/>
        <w:t xml:space="preserve">ISRO, D. of S. (2024). </w:t>
      </w:r>
      <w:r>
        <w:rPr>
          <w:i/>
          <w:iCs/>
        </w:rPr>
        <w:t>Union Cabinet approves establishment of Rs.1,000 crore Venture Capital Fund for Space Sector under aegis of IN-SPACe</w:t>
      </w:r>
      <w:r>
        <w:t xml:space="preserve">. </w:t>
      </w:r>
      <w:hyperlink r:id="rId43" w:history="1">
        <w:r>
          <w:rPr>
            <w:rStyle w:val="Hyperlink"/>
          </w:rPr>
          <w:t>https://www.isro.gov.in/UnionCabinetapprovesestablishment_INSPACe.html</w:t>
        </w:r>
      </w:hyperlink>
    </w:p>
    <w:p w14:paraId="0311274E" w14:textId="77777777" w:rsidR="00FC7B07" w:rsidRDefault="00FC7B07" w:rsidP="00FC7B07">
      <w:pPr>
        <w:spacing w:line="240" w:lineRule="auto"/>
        <w:ind w:hanging="480"/>
      </w:pPr>
      <w:r>
        <w:t xml:space="preserve">Janikowski, A. (2025). Bold steps forward: The investment impact of enacting space resources legislation. </w:t>
      </w:r>
      <w:r>
        <w:rPr>
          <w:i/>
          <w:iCs/>
        </w:rPr>
        <w:t>Space Policy</w:t>
      </w:r>
      <w:r>
        <w:t xml:space="preserve">, </w:t>
      </w:r>
      <w:r>
        <w:rPr>
          <w:i/>
          <w:iCs/>
        </w:rPr>
        <w:t>72</w:t>
      </w:r>
      <w:r>
        <w:t xml:space="preserve">, 101675. </w:t>
      </w:r>
      <w:hyperlink r:id="rId44" w:history="1">
        <w:r>
          <w:rPr>
            <w:rStyle w:val="Hyperlink"/>
          </w:rPr>
          <w:t>https://doi.org/10.1016/j.spacepol.2024.101675</w:t>
        </w:r>
      </w:hyperlink>
    </w:p>
    <w:p w14:paraId="441D97F4" w14:textId="77777777" w:rsidR="00FC7B07" w:rsidRDefault="00FC7B07" w:rsidP="00FC7B07">
      <w:pPr>
        <w:spacing w:line="240" w:lineRule="auto"/>
        <w:ind w:hanging="480"/>
      </w:pPr>
      <w:r>
        <w:t xml:space="preserve">Jeong, V. (2023). </w:t>
      </w:r>
      <w:r>
        <w:rPr>
          <w:i/>
          <w:iCs/>
        </w:rPr>
        <w:t>Global Outer Space Guide: United Arab Emirates (UAE)</w:t>
      </w:r>
      <w:r>
        <w:t xml:space="preserve">. Https://Www.Nortonrosefulbright.Com/En/Knowledge/Publications/E2a4dae0/Global-Outer-Space-Guide-Uae. </w:t>
      </w:r>
      <w:hyperlink r:id="rId45" w:history="1">
        <w:r>
          <w:rPr>
            <w:rStyle w:val="Hyperlink"/>
          </w:rPr>
          <w:t>https://www.nortonrosefulbright.com/en/knowledge/publications/e2a4dae0/global-outer-space-guide-uae</w:t>
        </w:r>
      </w:hyperlink>
    </w:p>
    <w:p w14:paraId="3E5B4376" w14:textId="77777777" w:rsidR="00FC7B07" w:rsidRDefault="00FC7B07" w:rsidP="00FC7B07">
      <w:pPr>
        <w:spacing w:line="240" w:lineRule="auto"/>
        <w:ind w:hanging="480"/>
      </w:pPr>
      <w:r>
        <w:t xml:space="preserve">Jiang, W., Han, H., He, M., &amp; Gu, W. (2024). When game theory meets satellite communication networks: A survey. </w:t>
      </w:r>
      <w:r>
        <w:rPr>
          <w:i/>
          <w:iCs/>
        </w:rPr>
        <w:t>Computer Communications</w:t>
      </w:r>
      <w:r>
        <w:t xml:space="preserve">, </w:t>
      </w:r>
      <w:r>
        <w:rPr>
          <w:i/>
          <w:iCs/>
        </w:rPr>
        <w:t>217</w:t>
      </w:r>
      <w:r>
        <w:t xml:space="preserve">, 208–229. </w:t>
      </w:r>
      <w:hyperlink r:id="rId46" w:history="1">
        <w:r>
          <w:rPr>
            <w:rStyle w:val="Hyperlink"/>
          </w:rPr>
          <w:t>https://doi.org/10.1016/j.comcom.2024.02.005</w:t>
        </w:r>
      </w:hyperlink>
    </w:p>
    <w:p w14:paraId="4E37CBDA" w14:textId="77777777" w:rsidR="00FC7B07" w:rsidRDefault="00FC7B07" w:rsidP="00FC7B07">
      <w:pPr>
        <w:spacing w:line="240" w:lineRule="auto"/>
        <w:ind w:hanging="480"/>
      </w:pPr>
      <w:r>
        <w:t xml:space="preserve">Julien, L. A. (2011). A note on Stackelberg competition. </w:t>
      </w:r>
      <w:r>
        <w:rPr>
          <w:i/>
          <w:iCs/>
        </w:rPr>
        <w:t>Journal of Economics</w:t>
      </w:r>
      <w:r>
        <w:t xml:space="preserve">, </w:t>
      </w:r>
      <w:r>
        <w:rPr>
          <w:i/>
          <w:iCs/>
        </w:rPr>
        <w:t>103</w:t>
      </w:r>
      <w:r>
        <w:t xml:space="preserve">(2), 171–187. </w:t>
      </w:r>
      <w:hyperlink r:id="rId47" w:history="1">
        <w:r>
          <w:rPr>
            <w:rStyle w:val="Hyperlink"/>
          </w:rPr>
          <w:t>https://doi.org/10.1007/s00712-010-0187-3</w:t>
        </w:r>
      </w:hyperlink>
    </w:p>
    <w:p w14:paraId="4D9436B2" w14:textId="77777777" w:rsidR="00FC7B07" w:rsidRDefault="00FC7B07" w:rsidP="00FC7B07">
      <w:pPr>
        <w:spacing w:line="240" w:lineRule="auto"/>
        <w:ind w:hanging="480"/>
      </w:pPr>
      <w:r>
        <w:t xml:space="preserve">Kamba, W. J. (1974). Comparative Law: A Theoretical Framework. </w:t>
      </w:r>
      <w:r>
        <w:rPr>
          <w:i/>
          <w:iCs/>
        </w:rPr>
        <w:t>The International and Comparative Law Quarterly</w:t>
      </w:r>
      <w:r>
        <w:t xml:space="preserve">, </w:t>
      </w:r>
      <w:r>
        <w:rPr>
          <w:i/>
          <w:iCs/>
        </w:rPr>
        <w:t>23</w:t>
      </w:r>
      <w:r>
        <w:t xml:space="preserve">(3), 485–519. JSTOR. </w:t>
      </w:r>
      <w:hyperlink r:id="rId48" w:history="1">
        <w:r>
          <w:rPr>
            <w:rStyle w:val="Hyperlink"/>
          </w:rPr>
          <w:t>http://www.jstor.org/stable/757885</w:t>
        </w:r>
      </w:hyperlink>
    </w:p>
    <w:p w14:paraId="4A0335F6" w14:textId="77777777" w:rsidR="00FC7B07" w:rsidRDefault="00FC7B07" w:rsidP="00FC7B07">
      <w:pPr>
        <w:spacing w:line="240" w:lineRule="auto"/>
        <w:ind w:hanging="480"/>
      </w:pPr>
      <w:r>
        <w:t xml:space="preserve">Kaul, R. (2025). India: National space law. In M. Hofmann &amp; P. J. Blount (Eds.), </w:t>
      </w:r>
      <w:r>
        <w:rPr>
          <w:i/>
          <w:iCs/>
        </w:rPr>
        <w:t>Elgar Concise Encyclopedia of Space Law</w:t>
      </w:r>
      <w:r>
        <w:t xml:space="preserve"> (pp. 130–134). Edward Elgar Publishing. </w:t>
      </w:r>
      <w:hyperlink r:id="rId49" w:history="1">
        <w:r>
          <w:rPr>
            <w:rStyle w:val="Hyperlink"/>
          </w:rPr>
          <w:t>https://doi.org/10.4337/9781802207361.00039</w:t>
        </w:r>
      </w:hyperlink>
    </w:p>
    <w:p w14:paraId="7839FC66" w14:textId="77777777" w:rsidR="00FC7B07" w:rsidRDefault="00FC7B07" w:rsidP="00FC7B07">
      <w:pPr>
        <w:spacing w:line="240" w:lineRule="auto"/>
        <w:ind w:hanging="480"/>
      </w:pPr>
      <w:r>
        <w:t xml:space="preserve">Kent, J. A. (2025). Space Resource Development and Property—Clarifying Usufruct. </w:t>
      </w:r>
      <w:r>
        <w:rPr>
          <w:i/>
          <w:iCs/>
        </w:rPr>
        <w:t>Journal of Air Law and Commerce</w:t>
      </w:r>
      <w:r>
        <w:t xml:space="preserve">, </w:t>
      </w:r>
      <w:r>
        <w:rPr>
          <w:i/>
          <w:iCs/>
        </w:rPr>
        <w:t>90</w:t>
      </w:r>
      <w:r>
        <w:t xml:space="preserve">(1), 41–72. </w:t>
      </w:r>
      <w:hyperlink r:id="rId50" w:history="1">
        <w:r>
          <w:rPr>
            <w:rStyle w:val="Hyperlink"/>
          </w:rPr>
          <w:t>https://doi.org/10.25172/jalc.90.1.3</w:t>
        </w:r>
      </w:hyperlink>
    </w:p>
    <w:p w14:paraId="6394D3AF" w14:textId="77777777" w:rsidR="00FC7B07" w:rsidRDefault="00FC7B07" w:rsidP="00FC7B07">
      <w:pPr>
        <w:spacing w:line="240" w:lineRule="auto"/>
        <w:ind w:hanging="480"/>
      </w:pPr>
      <w:r>
        <w:t xml:space="preserve">Kumar, A. (2024). Why India must invest in radical space technology. </w:t>
      </w:r>
      <w:r>
        <w:rPr>
          <w:i/>
          <w:iCs/>
        </w:rPr>
        <w:t>Nature India</w:t>
      </w:r>
      <w:r>
        <w:t xml:space="preserve">. </w:t>
      </w:r>
      <w:hyperlink r:id="rId51" w:history="1">
        <w:r>
          <w:rPr>
            <w:rStyle w:val="Hyperlink"/>
          </w:rPr>
          <w:t>https://doi.org/10.1038/d44151-024-00183-8</w:t>
        </w:r>
      </w:hyperlink>
    </w:p>
    <w:p w14:paraId="5F89B983" w14:textId="77777777" w:rsidR="00FC7B07" w:rsidRDefault="00FC7B07" w:rsidP="00FC7B07">
      <w:pPr>
        <w:spacing w:line="240" w:lineRule="auto"/>
        <w:ind w:hanging="480"/>
      </w:pPr>
      <w:r>
        <w:t xml:space="preserve">Levin, M. (1989). Conditional Rights. </w:t>
      </w:r>
      <w:r>
        <w:rPr>
          <w:i/>
          <w:iCs/>
        </w:rPr>
        <w:t>Philosophical Studies: An International Journal for Philosophy in the Analytic Tradition</w:t>
      </w:r>
      <w:r>
        <w:t xml:space="preserve">, </w:t>
      </w:r>
      <w:r>
        <w:rPr>
          <w:i/>
          <w:iCs/>
        </w:rPr>
        <w:t>55</w:t>
      </w:r>
      <w:r>
        <w:t xml:space="preserve">(2), 211–213. JSTOR. </w:t>
      </w:r>
      <w:hyperlink r:id="rId52" w:history="1">
        <w:r>
          <w:rPr>
            <w:rStyle w:val="Hyperlink"/>
          </w:rPr>
          <w:t>http://www.jstor.org/stable/4320014</w:t>
        </w:r>
      </w:hyperlink>
    </w:p>
    <w:p w14:paraId="419EC7BB" w14:textId="77777777" w:rsidR="00FC7B07" w:rsidRDefault="00FC7B07" w:rsidP="00FC7B07">
      <w:pPr>
        <w:spacing w:line="240" w:lineRule="auto"/>
        <w:ind w:hanging="480"/>
      </w:pPr>
      <w:r>
        <w:t xml:space="preserve">Lopez Bernal, J., Cummins, S., &amp; Gasparrini, A. (2016). Interrupted time series regression for the evaluation of public health interventions: A tutorial. </w:t>
      </w:r>
      <w:r>
        <w:rPr>
          <w:i/>
          <w:iCs/>
        </w:rPr>
        <w:t>International Journal of Epidemiology</w:t>
      </w:r>
      <w:r>
        <w:t xml:space="preserve">, dyw098. </w:t>
      </w:r>
      <w:hyperlink r:id="rId53" w:history="1">
        <w:r>
          <w:rPr>
            <w:rStyle w:val="Hyperlink"/>
          </w:rPr>
          <w:t>https://doi.org/10.1093/ije/dyw098</w:t>
        </w:r>
      </w:hyperlink>
    </w:p>
    <w:p w14:paraId="0361356B" w14:textId="77777777" w:rsidR="00FC7B07" w:rsidRDefault="00FC7B07" w:rsidP="00FC7B07">
      <w:pPr>
        <w:spacing w:line="240" w:lineRule="auto"/>
        <w:ind w:hanging="480"/>
      </w:pPr>
      <w:r>
        <w:t xml:space="preserve">Martin, A.-S. (2025). The Concept of ‘Non-use’ under the Space Legal Framework: Illustration with the Establishment of Safety Zones on the Moon. In S. Guggisberg &amp; C. Blanchard (Eds.), </w:t>
      </w:r>
      <w:r>
        <w:rPr>
          <w:i/>
          <w:iCs/>
        </w:rPr>
        <w:t>Non-use Measures for Global Goods and Commons in International Law</w:t>
      </w:r>
      <w:r>
        <w:t xml:space="preserve"> (pp. 453–472). Brill | Nijhoff. </w:t>
      </w:r>
      <w:hyperlink r:id="rId54" w:history="1">
        <w:r>
          <w:rPr>
            <w:rStyle w:val="Hyperlink"/>
          </w:rPr>
          <w:t>https://doi.org/10.1163/9789004730571_020</w:t>
        </w:r>
      </w:hyperlink>
    </w:p>
    <w:p w14:paraId="434AED3D" w14:textId="77777777" w:rsidR="00FC7B07" w:rsidRDefault="00FC7B07" w:rsidP="00FC7B07">
      <w:pPr>
        <w:spacing w:line="240" w:lineRule="auto"/>
        <w:ind w:hanging="480"/>
      </w:pPr>
      <w:r>
        <w:t xml:space="preserve">McKellar, M. D. (2017). It’s dangerous business: The possible effects of the space resource exploration and utilization act of 2015 on planetary defense. </w:t>
      </w:r>
      <w:r>
        <w:rPr>
          <w:i/>
          <w:iCs/>
        </w:rPr>
        <w:t>Journal of Space Law</w:t>
      </w:r>
      <w:r>
        <w:t xml:space="preserve">, </w:t>
      </w:r>
      <w:r>
        <w:rPr>
          <w:i/>
          <w:iCs/>
        </w:rPr>
        <w:t>41</w:t>
      </w:r>
      <w:r>
        <w:t>(1), 93–116.</w:t>
      </w:r>
    </w:p>
    <w:p w14:paraId="2C7C0CCF" w14:textId="77777777" w:rsidR="00FC7B07" w:rsidRDefault="00FC7B07" w:rsidP="00FC7B07">
      <w:pPr>
        <w:spacing w:line="240" w:lineRule="auto"/>
        <w:ind w:hanging="480"/>
      </w:pPr>
      <w:r>
        <w:t xml:space="preserve">Meggiolaro, M. (2025). </w:t>
      </w:r>
      <w:r>
        <w:rPr>
          <w:i/>
          <w:iCs/>
        </w:rPr>
        <w:t>A New Policy Framework for Resource Extraction and Property Rights in Outer Space</w:t>
      </w:r>
      <w:r>
        <w:t xml:space="preserve"> [Laurea, Politecnico di Torino]. </w:t>
      </w:r>
      <w:hyperlink r:id="rId55" w:history="1">
        <w:r>
          <w:rPr>
            <w:rStyle w:val="Hyperlink"/>
          </w:rPr>
          <w:t>https://webthesis.biblio.polito.it/35667/</w:t>
        </w:r>
      </w:hyperlink>
    </w:p>
    <w:p w14:paraId="2E043E43" w14:textId="77777777" w:rsidR="00FC7B07" w:rsidRDefault="00FC7B07" w:rsidP="00FC7B07">
      <w:pPr>
        <w:spacing w:line="240" w:lineRule="auto"/>
        <w:ind w:hanging="480"/>
      </w:pPr>
      <w:r>
        <w:t xml:space="preserve">Ménard, C., &amp; Shirley, M. M. (2022). </w:t>
      </w:r>
      <w:r>
        <w:rPr>
          <w:i/>
          <w:iCs/>
        </w:rPr>
        <w:t>Advanced Introduction to New Institutional Economics</w:t>
      </w:r>
      <w:r>
        <w:t xml:space="preserve">. Edward Elgar Publishing. </w:t>
      </w:r>
      <w:hyperlink r:id="rId56" w:history="1">
        <w:r>
          <w:rPr>
            <w:rStyle w:val="Hyperlink"/>
          </w:rPr>
          <w:t>https://doi.org/10.4337/9781789904499</w:t>
        </w:r>
      </w:hyperlink>
    </w:p>
    <w:p w14:paraId="73D55ABE" w14:textId="77777777" w:rsidR="00FC7B07" w:rsidRDefault="00FC7B07" w:rsidP="00FC7B07">
      <w:pPr>
        <w:spacing w:line="240" w:lineRule="auto"/>
        <w:ind w:hanging="480"/>
      </w:pPr>
      <w:r>
        <w:lastRenderedPageBreak/>
        <w:t xml:space="preserve">Michaels, R. (2006). The Functional Method of Comparative Law. In R. Michaels, </w:t>
      </w:r>
      <w:r>
        <w:rPr>
          <w:i/>
          <w:iCs/>
        </w:rPr>
        <w:t>The Oxford Handbook of Comparative Law</w:t>
      </w:r>
      <w:r>
        <w:t xml:space="preserve"> (pp. 338–382). Oxford University Press. </w:t>
      </w:r>
      <w:hyperlink r:id="rId57" w:history="1">
        <w:r>
          <w:rPr>
            <w:rStyle w:val="Hyperlink"/>
          </w:rPr>
          <w:t>https://doi.org/10.1093/oxfordhb/9780199296064.013.0011</w:t>
        </w:r>
      </w:hyperlink>
    </w:p>
    <w:p w14:paraId="5B071306" w14:textId="77777777" w:rsidR="00FC7B07" w:rsidRDefault="00FC7B07" w:rsidP="00FC7B07">
      <w:pPr>
        <w:spacing w:line="240" w:lineRule="auto"/>
        <w:ind w:hanging="480"/>
      </w:pPr>
      <w:r>
        <w:t xml:space="preserve">Ministry of Commerce and Industry, G. of I. (2024). </w:t>
      </w:r>
      <w:r>
        <w:rPr>
          <w:i/>
          <w:iCs/>
        </w:rPr>
        <w:t>Cabinet approves amendment in the Foreign Direct Investment (FDI) policy on Space Sector</w:t>
      </w:r>
      <w:r>
        <w:t xml:space="preserve"> [Press Information Bureau]. </w:t>
      </w:r>
      <w:hyperlink r:id="rId58" w:history="1">
        <w:r>
          <w:rPr>
            <w:rStyle w:val="Hyperlink"/>
          </w:rPr>
          <w:t>https://www.pib.gov.in/www.pib.gov.in/Pressreleaseshare.aspx?PRID=2007876</w:t>
        </w:r>
      </w:hyperlink>
    </w:p>
    <w:p w14:paraId="3971AB84" w14:textId="77777777" w:rsidR="00FC7B07" w:rsidRDefault="00FC7B07" w:rsidP="00FC7B07">
      <w:pPr>
        <w:spacing w:line="240" w:lineRule="auto"/>
        <w:ind w:hanging="480"/>
      </w:pPr>
      <w:r>
        <w:t xml:space="preserve">Mitnick, E. J. (2000). Constitutive Rights. </w:t>
      </w:r>
      <w:r>
        <w:rPr>
          <w:i/>
          <w:iCs/>
        </w:rPr>
        <w:t>Oxford Journal of Legal Studies</w:t>
      </w:r>
      <w:r>
        <w:t xml:space="preserve">, </w:t>
      </w:r>
      <w:r>
        <w:rPr>
          <w:i/>
          <w:iCs/>
        </w:rPr>
        <w:t>20</w:t>
      </w:r>
      <w:r>
        <w:t xml:space="preserve">(2), 185–204. </w:t>
      </w:r>
      <w:hyperlink r:id="rId59" w:history="1">
        <w:r>
          <w:rPr>
            <w:rStyle w:val="Hyperlink"/>
          </w:rPr>
          <w:t>https://doi.org/10.1093/ojls/20.2.185</w:t>
        </w:r>
      </w:hyperlink>
    </w:p>
    <w:p w14:paraId="58CDB4BA" w14:textId="77777777" w:rsidR="00FC7B07" w:rsidRDefault="00FC7B07" w:rsidP="00FC7B07">
      <w:pPr>
        <w:spacing w:line="240" w:lineRule="auto"/>
        <w:ind w:hanging="480"/>
      </w:pPr>
      <w:r>
        <w:t xml:space="preserve">Moustafa Aldabousi, A. (2025). Managing commercial space activities: Legal and regulatory challenges in the UAE’s space sector. </w:t>
      </w:r>
      <w:r>
        <w:rPr>
          <w:i/>
          <w:iCs/>
        </w:rPr>
        <w:t>Problems and Perspectives in Management</w:t>
      </w:r>
      <w:r>
        <w:t xml:space="preserve">, </w:t>
      </w:r>
      <w:r>
        <w:rPr>
          <w:i/>
          <w:iCs/>
        </w:rPr>
        <w:t>23</w:t>
      </w:r>
      <w:r>
        <w:t xml:space="preserve">(2), 423–432. </w:t>
      </w:r>
      <w:hyperlink r:id="rId60" w:history="1">
        <w:r>
          <w:rPr>
            <w:rStyle w:val="Hyperlink"/>
          </w:rPr>
          <w:t>https://doi.org/10.21511/ppm.23(2).2025.30</w:t>
        </w:r>
      </w:hyperlink>
    </w:p>
    <w:p w14:paraId="669B323D" w14:textId="77777777" w:rsidR="00FC7B07" w:rsidRDefault="00FC7B07" w:rsidP="00FC7B07">
      <w:pPr>
        <w:spacing w:line="240" w:lineRule="auto"/>
        <w:ind w:hanging="480"/>
      </w:pPr>
      <w:r>
        <w:t xml:space="preserve">Musole, M. (2009). Property rights, transaction costs and institutional change: Conceptual framework and literature review. </w:t>
      </w:r>
      <w:r>
        <w:rPr>
          <w:i/>
          <w:iCs/>
        </w:rPr>
        <w:t>Progress in Planning</w:t>
      </w:r>
      <w:r>
        <w:t xml:space="preserve">, </w:t>
      </w:r>
      <w:r>
        <w:rPr>
          <w:i/>
          <w:iCs/>
        </w:rPr>
        <w:t>71</w:t>
      </w:r>
      <w:r>
        <w:t xml:space="preserve">(2), 43–85. </w:t>
      </w:r>
      <w:hyperlink r:id="rId61" w:history="1">
        <w:r>
          <w:rPr>
            <w:rStyle w:val="Hyperlink"/>
          </w:rPr>
          <w:t>https://doi.org/10.1016/j.progress.2008.09.002</w:t>
        </w:r>
      </w:hyperlink>
    </w:p>
    <w:p w14:paraId="6AE332DD" w14:textId="77777777" w:rsidR="00FC7B07" w:rsidRDefault="00FC7B07" w:rsidP="00FC7B07">
      <w:pPr>
        <w:spacing w:line="240" w:lineRule="auto"/>
        <w:ind w:hanging="480"/>
      </w:pPr>
      <w:r>
        <w:t xml:space="preserve">Niehans, J. (1992). Heinrich von Stackelberg: Relinking German Economics to the Mainstream. </w:t>
      </w:r>
      <w:r>
        <w:rPr>
          <w:i/>
          <w:iCs/>
        </w:rPr>
        <w:t>Journal of the History of Economic Thought</w:t>
      </w:r>
      <w:r>
        <w:t xml:space="preserve">, </w:t>
      </w:r>
      <w:r>
        <w:rPr>
          <w:i/>
          <w:iCs/>
        </w:rPr>
        <w:t>14</w:t>
      </w:r>
      <w:r>
        <w:t xml:space="preserve">(2), 189–208. </w:t>
      </w:r>
      <w:hyperlink r:id="rId62" w:history="1">
        <w:r>
          <w:rPr>
            <w:rStyle w:val="Hyperlink"/>
          </w:rPr>
          <w:t>https://doi.org/10.1017/S1053837200004995</w:t>
        </w:r>
      </w:hyperlink>
    </w:p>
    <w:p w14:paraId="292326EC" w14:textId="77777777" w:rsidR="00FC7B07" w:rsidRPr="00FC7B07" w:rsidRDefault="00FC7B07" w:rsidP="00FC7B07">
      <w:pPr>
        <w:spacing w:line="240" w:lineRule="auto"/>
        <w:ind w:hanging="480"/>
        <w:rPr>
          <w:lang w:val="de-DE"/>
        </w:rPr>
      </w:pPr>
      <w:r>
        <w:t xml:space="preserve">North, D. C. (1986). The New Institutional Economics. </w:t>
      </w:r>
      <w:r w:rsidRPr="00FC7B07">
        <w:rPr>
          <w:i/>
          <w:iCs/>
          <w:lang w:val="de-DE"/>
        </w:rPr>
        <w:t>Journal of Institutional and Theoretical Economics (JITE) / Zeitschrift Für Die Gesamte Staatswissenschaft</w:t>
      </w:r>
      <w:r w:rsidRPr="00FC7B07">
        <w:rPr>
          <w:lang w:val="de-DE"/>
        </w:rPr>
        <w:t xml:space="preserve">, </w:t>
      </w:r>
      <w:r w:rsidRPr="00FC7B07">
        <w:rPr>
          <w:i/>
          <w:iCs/>
          <w:lang w:val="de-DE"/>
        </w:rPr>
        <w:t>142</w:t>
      </w:r>
      <w:r w:rsidRPr="00FC7B07">
        <w:rPr>
          <w:lang w:val="de-DE"/>
        </w:rPr>
        <w:t xml:space="preserve">(1), 230–237. JSTOR. </w:t>
      </w:r>
      <w:hyperlink r:id="rId63" w:history="1">
        <w:r w:rsidRPr="00FC7B07">
          <w:rPr>
            <w:rStyle w:val="Hyperlink"/>
            <w:lang w:val="de-DE"/>
          </w:rPr>
          <w:t>http://www.jstor.org/stable/40726723</w:t>
        </w:r>
      </w:hyperlink>
    </w:p>
    <w:p w14:paraId="4498EF18" w14:textId="77777777" w:rsidR="00FC7B07" w:rsidRDefault="00FC7B07" w:rsidP="00FC7B07">
      <w:pPr>
        <w:spacing w:line="240" w:lineRule="auto"/>
        <w:ind w:hanging="480"/>
      </w:pPr>
      <w:r w:rsidRPr="00FC7B07">
        <w:rPr>
          <w:lang w:val="de-DE"/>
        </w:rPr>
        <w:t xml:space="preserve">North, D. C., &amp; Weingast, B. R. (1989). </w:t>
      </w:r>
      <w:r>
        <w:t xml:space="preserve">Constitutions and Commitment: The Evolution of Institutions Governing Public Choice in Seventeenth-Century England. </w:t>
      </w:r>
      <w:r>
        <w:rPr>
          <w:i/>
          <w:iCs/>
        </w:rPr>
        <w:t>The Journal of Economic History</w:t>
      </w:r>
      <w:r>
        <w:t xml:space="preserve">, </w:t>
      </w:r>
      <w:r>
        <w:rPr>
          <w:i/>
          <w:iCs/>
        </w:rPr>
        <w:t>49</w:t>
      </w:r>
      <w:r>
        <w:t xml:space="preserve">(4), 803–832. </w:t>
      </w:r>
      <w:hyperlink r:id="rId64" w:history="1">
        <w:r>
          <w:rPr>
            <w:rStyle w:val="Hyperlink"/>
          </w:rPr>
          <w:t>https://doi.org/10.1017/S0022050700009451</w:t>
        </w:r>
      </w:hyperlink>
    </w:p>
    <w:p w14:paraId="3A1950DF" w14:textId="77777777" w:rsidR="00FC7B07" w:rsidRDefault="00FC7B07" w:rsidP="00FC7B07">
      <w:pPr>
        <w:spacing w:line="240" w:lineRule="auto"/>
        <w:ind w:hanging="480"/>
      </w:pPr>
      <w:r>
        <w:t xml:space="preserve">OECD. (2019). </w:t>
      </w:r>
      <w:r>
        <w:rPr>
          <w:i/>
          <w:iCs/>
        </w:rPr>
        <w:t>The Space Economy in Figures: How Space Contributes to the Global Economy</w:t>
      </w:r>
      <w:r>
        <w:t xml:space="preserve"> (1st ed.). OECD Publishing. </w:t>
      </w:r>
      <w:hyperlink r:id="rId65" w:history="1">
        <w:r>
          <w:rPr>
            <w:rStyle w:val="Hyperlink"/>
          </w:rPr>
          <w:t>https://doi.org/10.1787/c5996201-en</w:t>
        </w:r>
      </w:hyperlink>
    </w:p>
    <w:p w14:paraId="78405D17" w14:textId="77777777" w:rsidR="00FC7B07" w:rsidRDefault="00FC7B07" w:rsidP="00FC7B07">
      <w:pPr>
        <w:spacing w:line="240" w:lineRule="auto"/>
        <w:ind w:hanging="480"/>
      </w:pPr>
      <w:r>
        <w:t xml:space="preserve">Palkovitz, T. M.-Z. and N. (2017, January 30). Regulation of space resource rights: Meeting the needs of States and private parties. </w:t>
      </w:r>
      <w:r>
        <w:rPr>
          <w:i/>
          <w:iCs/>
        </w:rPr>
        <w:t>Questions of International Law</w:t>
      </w:r>
      <w:r>
        <w:t xml:space="preserve">. </w:t>
      </w:r>
      <w:hyperlink r:id="rId66" w:history="1">
        <w:r>
          <w:rPr>
            <w:rStyle w:val="Hyperlink"/>
          </w:rPr>
          <w:t>https://www.qil-qdi.org/regulation-space-resource-rights-meeting-needs-states-private-parties/</w:t>
        </w:r>
      </w:hyperlink>
    </w:p>
    <w:p w14:paraId="584032A4" w14:textId="77777777" w:rsidR="00FC7B07" w:rsidRDefault="00FC7B07" w:rsidP="00FC7B07">
      <w:pPr>
        <w:spacing w:line="240" w:lineRule="auto"/>
        <w:ind w:hanging="480"/>
      </w:pPr>
      <w:r>
        <w:t xml:space="preserve">Pandey, S. (2025). </w:t>
      </w:r>
      <w:r>
        <w:rPr>
          <w:i/>
          <w:iCs/>
        </w:rPr>
        <w:t>Global Space Mining Market | 2023 – 2030</w:t>
      </w:r>
      <w:r>
        <w:t xml:space="preserve">. Global Space Mining Market. </w:t>
      </w:r>
      <w:hyperlink r:id="rId67" w:history="1">
        <w:r>
          <w:rPr>
            <w:rStyle w:val="Hyperlink"/>
          </w:rPr>
          <w:t>https://www.kenresearch.com/global-space-mining-market</w:t>
        </w:r>
      </w:hyperlink>
    </w:p>
    <w:p w14:paraId="31E39E03" w14:textId="77777777" w:rsidR="00FC7B07" w:rsidRDefault="00FC7B07" w:rsidP="00FC7B07">
      <w:pPr>
        <w:spacing w:line="240" w:lineRule="auto"/>
        <w:ind w:hanging="480"/>
      </w:pPr>
      <w:r>
        <w:t xml:space="preserve">Peter, N. (2024). The Space Debris Challenge to the Sustainability of the Space Economy. </w:t>
      </w:r>
      <w:r>
        <w:rPr>
          <w:i/>
          <w:iCs/>
        </w:rPr>
        <w:t>European Review of International Studies</w:t>
      </w:r>
      <w:r>
        <w:t xml:space="preserve">, </w:t>
      </w:r>
      <w:r>
        <w:rPr>
          <w:i/>
          <w:iCs/>
        </w:rPr>
        <w:t>10</w:t>
      </w:r>
      <w:r>
        <w:t>(3), 303–324.</w:t>
      </w:r>
    </w:p>
    <w:p w14:paraId="0431AA2B" w14:textId="77777777" w:rsidR="00FC7B07" w:rsidRDefault="00FC7B07" w:rsidP="00FC7B07">
      <w:pPr>
        <w:spacing w:line="240" w:lineRule="auto"/>
        <w:ind w:hanging="480"/>
      </w:pPr>
      <w:r>
        <w:t xml:space="preserve">Pietrzak, M. (2025). Economic and Social Aspects of the Space Sector Development Based on the Modified Structure–Conduct–Performance Framework. </w:t>
      </w:r>
      <w:r>
        <w:rPr>
          <w:i/>
          <w:iCs/>
        </w:rPr>
        <w:t>World</w:t>
      </w:r>
      <w:r>
        <w:t xml:space="preserve">, </w:t>
      </w:r>
      <w:r>
        <w:rPr>
          <w:i/>
          <w:iCs/>
        </w:rPr>
        <w:t>6</w:t>
      </w:r>
      <w:r>
        <w:t xml:space="preserve">(2), 79. </w:t>
      </w:r>
      <w:hyperlink r:id="rId68" w:history="1">
        <w:r>
          <w:rPr>
            <w:rStyle w:val="Hyperlink"/>
          </w:rPr>
          <w:t>https://doi.org/10.3390/world6020079</w:t>
        </w:r>
      </w:hyperlink>
    </w:p>
    <w:p w14:paraId="0059D545" w14:textId="77777777" w:rsidR="00FC7B07" w:rsidRDefault="00FC7B07" w:rsidP="00FC7B07">
      <w:pPr>
        <w:spacing w:line="240" w:lineRule="auto"/>
        <w:ind w:hanging="480"/>
      </w:pPr>
      <w:r>
        <w:t xml:space="preserve">Principal Scientific Advisor, G. of I. (2025). </w:t>
      </w:r>
      <w:r>
        <w:rPr>
          <w:i/>
          <w:iCs/>
        </w:rPr>
        <w:t>IN-SPACe: Unlocking India’s potential in the Space Sector</w:t>
      </w:r>
      <w:r>
        <w:t xml:space="preserve">. </w:t>
      </w:r>
      <w:hyperlink r:id="rId69" w:history="1">
        <w:r>
          <w:rPr>
            <w:rStyle w:val="Hyperlink"/>
          </w:rPr>
          <w:t>https://www.psa.gov.in/article/space-unlocking-indias-potential-space-sector/3353</w:t>
        </w:r>
      </w:hyperlink>
    </w:p>
    <w:p w14:paraId="11575A89" w14:textId="77777777" w:rsidR="00FC7B07" w:rsidRDefault="00FC7B07" w:rsidP="00FC7B07">
      <w:pPr>
        <w:spacing w:line="240" w:lineRule="auto"/>
        <w:ind w:hanging="480"/>
      </w:pPr>
      <w:r>
        <w:t xml:space="preserve">Rangarajan, U., &amp; Ranjan, P. (2025, March 12). Understanding Foreign Investment Norms in the Space Sector. </w:t>
      </w:r>
      <w:r>
        <w:rPr>
          <w:i/>
          <w:iCs/>
        </w:rPr>
        <w:t>SCC Times</w:t>
      </w:r>
      <w:r>
        <w:t xml:space="preserve">. </w:t>
      </w:r>
      <w:hyperlink r:id="rId70" w:history="1">
        <w:r>
          <w:rPr>
            <w:rStyle w:val="Hyperlink"/>
          </w:rPr>
          <w:t>https://www.scconline.com/blog/post/2025/03/12/understanding-foreign-investment-norms-space-sector/</w:t>
        </w:r>
      </w:hyperlink>
    </w:p>
    <w:p w14:paraId="5F390286" w14:textId="77777777" w:rsidR="00FC7B07" w:rsidRPr="00FC7B07" w:rsidRDefault="00FC7B07" w:rsidP="00FC7B07">
      <w:pPr>
        <w:spacing w:line="240" w:lineRule="auto"/>
        <w:ind w:hanging="480"/>
        <w:rPr>
          <w:lang w:val="de-DE"/>
        </w:rPr>
      </w:pPr>
      <w:r>
        <w:lastRenderedPageBreak/>
        <w:t xml:space="preserve">Reuters, N. (2025, January 6). Space industry funding in India falls 55% in 2024, data show. </w:t>
      </w:r>
      <w:r w:rsidRPr="00FC7B07">
        <w:rPr>
          <w:i/>
          <w:iCs/>
          <w:lang w:val="de-DE"/>
        </w:rPr>
        <w:t>Reuters</w:t>
      </w:r>
      <w:r w:rsidRPr="00FC7B07">
        <w:rPr>
          <w:lang w:val="de-DE"/>
        </w:rPr>
        <w:t xml:space="preserve">. </w:t>
      </w:r>
      <w:hyperlink r:id="rId71" w:history="1">
        <w:r w:rsidRPr="00FC7B07">
          <w:rPr>
            <w:rStyle w:val="Hyperlink"/>
            <w:lang w:val="de-DE"/>
          </w:rPr>
          <w:t>https://www.reuters.com/technology/space/space-industry-funding-india-falls-55-2024-data-show-2025-01-06/</w:t>
        </w:r>
      </w:hyperlink>
    </w:p>
    <w:p w14:paraId="2922C533" w14:textId="77777777" w:rsidR="00FC7B07" w:rsidRDefault="00FC7B07" w:rsidP="00FC7B07">
      <w:pPr>
        <w:spacing w:line="240" w:lineRule="auto"/>
        <w:ind w:hanging="480"/>
      </w:pPr>
      <w:r>
        <w:t xml:space="preserve">Richards, T. M.-Z., Bob. (2015, December 8). Op-ed | International Perspectives on Space Resource Rights. </w:t>
      </w:r>
      <w:r>
        <w:rPr>
          <w:i/>
          <w:iCs/>
        </w:rPr>
        <w:t>SpaceNews</w:t>
      </w:r>
      <w:r>
        <w:t xml:space="preserve">. </w:t>
      </w:r>
      <w:hyperlink r:id="rId72" w:history="1">
        <w:r>
          <w:rPr>
            <w:rStyle w:val="Hyperlink"/>
          </w:rPr>
          <w:t>https://spacenews.com/op-ed-international-perspectives-on-space-resource-rights/</w:t>
        </w:r>
      </w:hyperlink>
    </w:p>
    <w:p w14:paraId="35F3FE82" w14:textId="77777777" w:rsidR="00FC7B07" w:rsidRDefault="00FC7B07" w:rsidP="00FC7B07">
      <w:pPr>
        <w:spacing w:line="240" w:lineRule="auto"/>
        <w:ind w:hanging="480"/>
      </w:pPr>
      <w:r>
        <w:t xml:space="preserve">Risse, M. (2013). Common Ownership of the Earth Revisited. </w:t>
      </w:r>
      <w:r>
        <w:rPr>
          <w:i/>
          <w:iCs/>
        </w:rPr>
        <w:t>Harvard University</w:t>
      </w:r>
      <w:r>
        <w:t xml:space="preserve">, 1–12. </w:t>
      </w:r>
      <w:hyperlink r:id="rId73" w:history="1">
        <w:r>
          <w:rPr>
            <w:rStyle w:val="Hyperlink"/>
          </w:rPr>
          <w:t>https://cooperative-individualism.org/risse-mathias_common-ownership-of-the-earth-revisited-2013-dec.pdf</w:t>
        </w:r>
      </w:hyperlink>
    </w:p>
    <w:p w14:paraId="6C7797EB" w14:textId="77777777" w:rsidR="00FC7B07" w:rsidRDefault="00FC7B07" w:rsidP="00FC7B07">
      <w:pPr>
        <w:spacing w:line="240" w:lineRule="auto"/>
        <w:ind w:hanging="480"/>
      </w:pPr>
      <w:r>
        <w:t xml:space="preserve">Salter, A. W. (2016). SPACE DEBRIS: A LAW AND ECONOMICS ANALYSIS OF THE ORBITAL COMMONS. </w:t>
      </w:r>
      <w:r>
        <w:rPr>
          <w:i/>
          <w:iCs/>
        </w:rPr>
        <w:t>Stanford Technology Law Review</w:t>
      </w:r>
      <w:r>
        <w:t xml:space="preserve">, </w:t>
      </w:r>
      <w:r>
        <w:rPr>
          <w:i/>
          <w:iCs/>
        </w:rPr>
        <w:t>19</w:t>
      </w:r>
      <w:r>
        <w:t xml:space="preserve">, 221–238. </w:t>
      </w:r>
      <w:hyperlink r:id="rId74" w:history="1">
        <w:r>
          <w:rPr>
            <w:rStyle w:val="Hyperlink"/>
          </w:rPr>
          <w:t>https://law.stanford.edu/wp-content/uploads/2017/11/19-2-2-salter-final_0.pdf</w:t>
        </w:r>
      </w:hyperlink>
    </w:p>
    <w:p w14:paraId="430BF248" w14:textId="77777777" w:rsidR="00FC7B07" w:rsidRDefault="00FC7B07" w:rsidP="00FC7B07">
      <w:pPr>
        <w:spacing w:line="240" w:lineRule="auto"/>
        <w:ind w:hanging="480"/>
      </w:pPr>
      <w:r>
        <w:t xml:space="preserve">Schumpeter, J. A. (2013). </w:t>
      </w:r>
      <w:r>
        <w:rPr>
          <w:i/>
          <w:iCs/>
        </w:rPr>
        <w:t>Capitalism, Socialism and Democracy</w:t>
      </w:r>
      <w:r>
        <w:t xml:space="preserve"> (5th ed.). Routledge. </w:t>
      </w:r>
      <w:hyperlink r:id="rId75" w:history="1">
        <w:r>
          <w:rPr>
            <w:rStyle w:val="Hyperlink"/>
          </w:rPr>
          <w:t>https://doi.org/10.4324/9780203202050</w:t>
        </w:r>
      </w:hyperlink>
    </w:p>
    <w:p w14:paraId="3C5A7AD0" w14:textId="77777777" w:rsidR="00FC7B07" w:rsidRDefault="00FC7B07" w:rsidP="00FC7B07">
      <w:pPr>
        <w:spacing w:line="240" w:lineRule="auto"/>
        <w:ind w:hanging="480"/>
      </w:pPr>
      <w:r>
        <w:t xml:space="preserve">Sen, A. (2024, March 1). India’s New Space Sector Reforms Open Door to Foreign Investments. </w:t>
      </w:r>
      <w:r>
        <w:rPr>
          <w:i/>
          <w:iCs/>
        </w:rPr>
        <w:t>Ministry of External Affairs | Economic Diplomacy Division</w:t>
      </w:r>
      <w:r>
        <w:t xml:space="preserve">. </w:t>
      </w:r>
      <w:hyperlink r:id="rId76" w:history="1">
        <w:r>
          <w:rPr>
            <w:rStyle w:val="Hyperlink"/>
          </w:rPr>
          <w:t>https://indbiz.gov.in/indias-new-space-sector-reforms-open-door-to-foreign-investments/</w:t>
        </w:r>
      </w:hyperlink>
    </w:p>
    <w:p w14:paraId="7626626A" w14:textId="77777777" w:rsidR="00FC7B07" w:rsidRDefault="00FC7B07" w:rsidP="00FC7B07">
      <w:pPr>
        <w:spacing w:line="240" w:lineRule="auto"/>
        <w:ind w:hanging="480"/>
      </w:pPr>
      <w:r>
        <w:t xml:space="preserve">Senn, P. R. (2012). The Scientific Contributions of Heinrich von Stackelberg. In J. G. Backhaus (Ed.), </w:t>
      </w:r>
      <w:r>
        <w:rPr>
          <w:i/>
          <w:iCs/>
        </w:rPr>
        <w:t>Handbook of the History of Economic Thought</w:t>
      </w:r>
      <w:r>
        <w:t xml:space="preserve"> (pp. 565–579). Springer New York. </w:t>
      </w:r>
      <w:hyperlink r:id="rId77" w:history="1">
        <w:r>
          <w:rPr>
            <w:rStyle w:val="Hyperlink"/>
          </w:rPr>
          <w:t>https://doi.org/10.1007/978-1-4419-8336-7_22</w:t>
        </w:r>
      </w:hyperlink>
    </w:p>
    <w:p w14:paraId="399A6914" w14:textId="77777777" w:rsidR="00FC7B07" w:rsidRDefault="00FC7B07" w:rsidP="00FC7B07">
      <w:pPr>
        <w:spacing w:line="240" w:lineRule="auto"/>
        <w:ind w:hanging="480"/>
      </w:pPr>
      <w:r>
        <w:t xml:space="preserve">Singh, M., &amp; Gupta, S. (2023, September 22). </w:t>
      </w:r>
      <w:r>
        <w:rPr>
          <w:i/>
          <w:iCs/>
        </w:rPr>
        <w:t>Exploring the Opportunities in Indian Space Sector</w:t>
      </w:r>
      <w:r>
        <w:t xml:space="preserve">. Association for the Protection of Intellectual Property. </w:t>
      </w:r>
      <w:hyperlink r:id="rId78" w:history="1">
        <w:r>
          <w:rPr>
            <w:rStyle w:val="Hyperlink"/>
          </w:rPr>
          <w:t>https://www.aippi.org/news/ascending-skies-exploring-the-opportunities-in-indian-space-sector/</w:t>
        </w:r>
      </w:hyperlink>
    </w:p>
    <w:p w14:paraId="73BE05BF" w14:textId="77777777" w:rsidR="00FC7B07" w:rsidRDefault="00FC7B07" w:rsidP="00FC7B07">
      <w:pPr>
        <w:spacing w:line="240" w:lineRule="auto"/>
        <w:ind w:hanging="480"/>
      </w:pPr>
      <w:r>
        <w:t xml:space="preserve">Snyder, D. (1992). Possession: A Brief for Louisiana’s Rights of Succession to the Legacy of Roman Law. </w:t>
      </w:r>
      <w:r>
        <w:rPr>
          <w:i/>
          <w:iCs/>
        </w:rPr>
        <w:t>Tulane Law Review</w:t>
      </w:r>
      <w:r>
        <w:t xml:space="preserve">, </w:t>
      </w:r>
      <w:r>
        <w:rPr>
          <w:i/>
          <w:iCs/>
        </w:rPr>
        <w:t>66</w:t>
      </w:r>
      <w:r>
        <w:t xml:space="preserve">, 1853–1888. </w:t>
      </w:r>
      <w:hyperlink r:id="rId79" w:history="1">
        <w:r>
          <w:rPr>
            <w:rStyle w:val="Hyperlink"/>
          </w:rPr>
          <w:t>https://www.repository.law.indiana.edu/facpub/2289</w:t>
        </w:r>
      </w:hyperlink>
    </w:p>
    <w:p w14:paraId="5BEF564A" w14:textId="77777777" w:rsidR="00FC7B07" w:rsidRDefault="00FC7B07" w:rsidP="00FC7B07">
      <w:pPr>
        <w:spacing w:line="240" w:lineRule="auto"/>
        <w:ind w:hanging="480"/>
      </w:pPr>
      <w:r>
        <w:t xml:space="preserve">Space Foundation. (2025, July 22). The Space Report 2025 Q2 Highlights Record $613 Billion Global Space Economy for 2024, Driven by Strong Commercial Sector Growth. </w:t>
      </w:r>
      <w:r>
        <w:rPr>
          <w:i/>
          <w:iCs/>
        </w:rPr>
        <w:t>Space Foundation</w:t>
      </w:r>
      <w:r>
        <w:t xml:space="preserve">. </w:t>
      </w:r>
      <w:hyperlink r:id="rId80" w:history="1">
        <w:r>
          <w:rPr>
            <w:rStyle w:val="Hyperlink"/>
          </w:rPr>
          <w:t>https://www.spacefoundation.org/2025/07/22/the-space-report-2025-q2/</w:t>
        </w:r>
      </w:hyperlink>
    </w:p>
    <w:p w14:paraId="07CE2FED" w14:textId="77777777" w:rsidR="00FC7B07" w:rsidRDefault="00FC7B07" w:rsidP="00FC7B07">
      <w:pPr>
        <w:spacing w:line="240" w:lineRule="auto"/>
        <w:ind w:hanging="480"/>
      </w:pPr>
      <w:r>
        <w:t xml:space="preserve">Stec, S. (2010). Humanitarian Limits to Sovereignty: Common Concern and Common Heritage Approaches to Natural Resources and Environment. </w:t>
      </w:r>
      <w:r>
        <w:rPr>
          <w:i/>
          <w:iCs/>
        </w:rPr>
        <w:t>International Community Law Review</w:t>
      </w:r>
      <w:r>
        <w:t xml:space="preserve">, </w:t>
      </w:r>
      <w:r>
        <w:rPr>
          <w:i/>
          <w:iCs/>
        </w:rPr>
        <w:t>12</w:t>
      </w:r>
      <w:r>
        <w:t xml:space="preserve">(3), 361–389. </w:t>
      </w:r>
      <w:hyperlink r:id="rId81" w:history="1">
        <w:r>
          <w:rPr>
            <w:rStyle w:val="Hyperlink"/>
          </w:rPr>
          <w:t>https://doi.org/10.1163/187197310X513743</w:t>
        </w:r>
      </w:hyperlink>
    </w:p>
    <w:p w14:paraId="0C113ED0" w14:textId="77777777" w:rsidR="00FC7B07" w:rsidRDefault="00FC7B07" w:rsidP="00FC7B07">
      <w:pPr>
        <w:spacing w:line="240" w:lineRule="auto"/>
        <w:ind w:hanging="480"/>
      </w:pPr>
      <w:r>
        <w:t xml:space="preserve">Su, J. (2025). Safety Zones for Space Resource Activities: Legal Basis and Constraints. </w:t>
      </w:r>
      <w:r>
        <w:rPr>
          <w:i/>
          <w:iCs/>
        </w:rPr>
        <w:t>Chinese Journal of International Law</w:t>
      </w:r>
      <w:r>
        <w:t xml:space="preserve">, </w:t>
      </w:r>
      <w:r>
        <w:rPr>
          <w:i/>
          <w:iCs/>
        </w:rPr>
        <w:t>24</w:t>
      </w:r>
      <w:r>
        <w:t xml:space="preserve">(3), jmaf029. </w:t>
      </w:r>
      <w:hyperlink r:id="rId82" w:history="1">
        <w:r>
          <w:rPr>
            <w:rStyle w:val="Hyperlink"/>
          </w:rPr>
          <w:t>https://doi.org/10.1093/chinesejil/jmaf029</w:t>
        </w:r>
      </w:hyperlink>
    </w:p>
    <w:p w14:paraId="0CA36F62" w14:textId="77777777" w:rsidR="00FC7B07" w:rsidRDefault="00FC7B07" w:rsidP="00FC7B07">
      <w:pPr>
        <w:spacing w:line="240" w:lineRule="auto"/>
        <w:ind w:hanging="480"/>
      </w:pPr>
      <w:r>
        <w:t xml:space="preserve">Uctu, R., Tuluce, N. S. H., &amp; Aykac, M. (2024). Creative destruction and artificial intelligence: The transformation of industries during the sixth wave. </w:t>
      </w:r>
      <w:r>
        <w:rPr>
          <w:i/>
          <w:iCs/>
        </w:rPr>
        <w:t>Journal of Economy and Technology</w:t>
      </w:r>
      <w:r>
        <w:t xml:space="preserve">, </w:t>
      </w:r>
      <w:r>
        <w:rPr>
          <w:i/>
          <w:iCs/>
        </w:rPr>
        <w:t>2</w:t>
      </w:r>
      <w:r>
        <w:t xml:space="preserve">, 296–309. </w:t>
      </w:r>
      <w:hyperlink r:id="rId83" w:history="1">
        <w:r>
          <w:rPr>
            <w:rStyle w:val="Hyperlink"/>
          </w:rPr>
          <w:t>https://doi.org/10.1016/j.ject.2024.09.004</w:t>
        </w:r>
      </w:hyperlink>
    </w:p>
    <w:p w14:paraId="74F4B074" w14:textId="77777777" w:rsidR="00FC7B07" w:rsidRDefault="00FC7B07" w:rsidP="00FC7B07">
      <w:pPr>
        <w:spacing w:line="240" w:lineRule="auto"/>
        <w:ind w:hanging="480"/>
      </w:pPr>
      <w:r>
        <w:rPr>
          <w:i/>
          <w:iCs/>
        </w:rPr>
        <w:t>UNTC</w:t>
      </w:r>
      <w:r>
        <w:t xml:space="preserve">. (1967). Ratification of Outer Space Treaty. </w:t>
      </w:r>
      <w:hyperlink r:id="rId84" w:history="1">
        <w:r>
          <w:rPr>
            <w:rStyle w:val="Hyperlink"/>
          </w:rPr>
          <w:t>https://treaties.un.org/pages/showdetails.aspx?objid=0800000280128cbd</w:t>
        </w:r>
      </w:hyperlink>
    </w:p>
    <w:p w14:paraId="6A2258A2" w14:textId="77777777" w:rsidR="00FC7B07" w:rsidRDefault="00FC7B07" w:rsidP="00FC7B07">
      <w:pPr>
        <w:spacing w:line="240" w:lineRule="auto"/>
        <w:ind w:hanging="480"/>
      </w:pPr>
      <w:r>
        <w:t xml:space="preserve">ÜNÜVAR, G. (2025). Luxembourg. In </w:t>
      </w:r>
      <w:r>
        <w:rPr>
          <w:i/>
          <w:iCs/>
        </w:rPr>
        <w:t>National Space Laws in Asia and Europe</w:t>
      </w:r>
      <w:r>
        <w:t xml:space="preserve"> (p. 261). CLJ Malaysia Sdn. Bhd. (https://orbilu.uni.lu/handle/10993/66911).</w:t>
      </w:r>
    </w:p>
    <w:p w14:paraId="42AF40DA" w14:textId="77777777" w:rsidR="00FC7B07" w:rsidRPr="00FC7B07" w:rsidRDefault="00FC7B07" w:rsidP="00FC7B07">
      <w:pPr>
        <w:spacing w:line="240" w:lineRule="auto"/>
        <w:ind w:hanging="480"/>
        <w:rPr>
          <w:lang w:val="de-DE"/>
        </w:rPr>
      </w:pPr>
      <w:r>
        <w:lastRenderedPageBreak/>
        <w:t xml:space="preserve">Van Hoecke, M. (2015). Methodology of Comparative Legal Research. </w:t>
      </w:r>
      <w:r w:rsidRPr="00FC7B07">
        <w:rPr>
          <w:i/>
          <w:iCs/>
          <w:lang w:val="de-DE"/>
        </w:rPr>
        <w:t>Recht En Methode in Onderzoek En Onderwijs</w:t>
      </w:r>
      <w:r w:rsidRPr="00FC7B07">
        <w:rPr>
          <w:lang w:val="de-DE"/>
        </w:rPr>
        <w:t xml:space="preserve">, 1–35. </w:t>
      </w:r>
      <w:hyperlink r:id="rId85" w:history="1">
        <w:r w:rsidRPr="00FC7B07">
          <w:rPr>
            <w:rStyle w:val="Hyperlink"/>
            <w:lang w:val="de-DE"/>
          </w:rPr>
          <w:t>https://doi.org/10.5553/REM/.000010</w:t>
        </w:r>
      </w:hyperlink>
    </w:p>
    <w:p w14:paraId="5857CAA7" w14:textId="77777777" w:rsidR="00FC7B07" w:rsidRDefault="00FC7B07" w:rsidP="00FC7B07">
      <w:pPr>
        <w:spacing w:line="240" w:lineRule="auto"/>
        <w:ind w:hanging="480"/>
      </w:pPr>
      <w:r w:rsidRPr="00FC7B07">
        <w:rPr>
          <w:lang w:val="de-DE"/>
        </w:rPr>
        <w:t xml:space="preserve">Verschuuren, J., &amp; Van Gestel, R. (2009). </w:t>
      </w:r>
      <w:r>
        <w:t xml:space="preserve">Chapter 1. Ex Ante Evaluation Of Legislation: An Introduction. In J. Verschuuren (Ed.), </w:t>
      </w:r>
      <w:r>
        <w:rPr>
          <w:i/>
          <w:iCs/>
        </w:rPr>
        <w:t>The Impact of Legislation</w:t>
      </w:r>
      <w:r>
        <w:t xml:space="preserve"> (pp. 1–10). Brill | Nijhoff. </w:t>
      </w:r>
      <w:hyperlink r:id="rId86" w:history="1">
        <w:r>
          <w:rPr>
            <w:rStyle w:val="Hyperlink"/>
          </w:rPr>
          <w:t>https://doi.org/10.1163/ej.9789004170209.i-280.8</w:t>
        </w:r>
      </w:hyperlink>
    </w:p>
    <w:p w14:paraId="3B06523E" w14:textId="77777777" w:rsidR="00FC7B07" w:rsidRDefault="00FC7B07" w:rsidP="00FC7B07">
      <w:pPr>
        <w:spacing w:line="240" w:lineRule="auto"/>
        <w:ind w:hanging="480"/>
      </w:pPr>
      <w:r>
        <w:t xml:space="preserve">Vylegzhanin, A. N., &amp; Krokhina, P. A. (2025). Status of the Natural Resources of Celestial Bodies: Legal Positions of the USA and Luxembourg. </w:t>
      </w:r>
      <w:r>
        <w:rPr>
          <w:i/>
          <w:iCs/>
        </w:rPr>
        <w:t>Kutafin Law Review</w:t>
      </w:r>
      <w:r>
        <w:t xml:space="preserve">, </w:t>
      </w:r>
      <w:r>
        <w:rPr>
          <w:i/>
          <w:iCs/>
        </w:rPr>
        <w:t>12</w:t>
      </w:r>
      <w:r>
        <w:t xml:space="preserve">(3), 463–492. </w:t>
      </w:r>
      <w:hyperlink r:id="rId87" w:history="1">
        <w:r>
          <w:rPr>
            <w:rStyle w:val="Hyperlink"/>
          </w:rPr>
          <w:t>https://doi.org/10.17803/2713-0533.2025.3.33.463-492</w:t>
        </w:r>
      </w:hyperlink>
    </w:p>
    <w:p w14:paraId="7C8DEBBD" w14:textId="77777777" w:rsidR="00FC7B07" w:rsidRDefault="00FC7B07" w:rsidP="00FC7B07">
      <w:pPr>
        <w:spacing w:line="240" w:lineRule="auto"/>
        <w:ind w:hanging="480"/>
      </w:pPr>
      <w:r>
        <w:t xml:space="preserve">Zider, B. (1998, November 1). How Venture Capital Works. </w:t>
      </w:r>
      <w:r>
        <w:rPr>
          <w:i/>
          <w:iCs/>
        </w:rPr>
        <w:t>Harvard Business Review</w:t>
      </w:r>
      <w:r>
        <w:t xml:space="preserve">. </w:t>
      </w:r>
      <w:hyperlink r:id="rId88" w:history="1">
        <w:r>
          <w:rPr>
            <w:rStyle w:val="Hyperlink"/>
          </w:rPr>
          <w:t>https://hbr.org/1998/11/how-venture-capital-works</w:t>
        </w:r>
      </w:hyperlink>
    </w:p>
    <w:p w14:paraId="1B0002B8" w14:textId="77777777" w:rsidR="00FC7B07" w:rsidRPr="006804CB" w:rsidRDefault="00FC7B07" w:rsidP="00C6418A">
      <w:pPr>
        <w:spacing w:line="240" w:lineRule="auto"/>
        <w:rPr>
          <w:rFonts w:cs="Times New Roman"/>
          <w:b/>
          <w:bCs/>
          <w:szCs w:val="24"/>
        </w:rPr>
      </w:pPr>
    </w:p>
    <w:sectPr w:rsidR="00FC7B07" w:rsidRPr="006804C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6C800" w14:textId="77777777" w:rsidR="000A0388" w:rsidRDefault="000A0388" w:rsidP="00495BD5">
      <w:pPr>
        <w:spacing w:after="0" w:line="240" w:lineRule="auto"/>
      </w:pPr>
      <w:r>
        <w:separator/>
      </w:r>
    </w:p>
  </w:endnote>
  <w:endnote w:type="continuationSeparator" w:id="0">
    <w:p w14:paraId="0E54D3FD" w14:textId="77777777" w:rsidR="000A0388" w:rsidRDefault="000A0388" w:rsidP="00495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0E968" w14:textId="77777777" w:rsidR="000A0388" w:rsidRDefault="000A0388" w:rsidP="00495BD5">
      <w:pPr>
        <w:spacing w:after="0" w:line="240" w:lineRule="auto"/>
      </w:pPr>
      <w:r>
        <w:separator/>
      </w:r>
    </w:p>
  </w:footnote>
  <w:footnote w:type="continuationSeparator" w:id="0">
    <w:p w14:paraId="549D33FB" w14:textId="77777777" w:rsidR="000A0388" w:rsidRDefault="000A0388" w:rsidP="00495BD5">
      <w:pPr>
        <w:spacing w:after="0" w:line="240" w:lineRule="auto"/>
      </w:pPr>
      <w:r>
        <w:continuationSeparator/>
      </w:r>
    </w:p>
  </w:footnote>
  <w:footnote w:id="1">
    <w:p w14:paraId="69EA2FF5" w14:textId="3F9E1B29" w:rsidR="000F1E75" w:rsidRDefault="000F1E75">
      <w:pPr>
        <w:pStyle w:val="FootnoteText"/>
      </w:pPr>
      <w:r>
        <w:rPr>
          <w:rStyle w:val="FootnoteReference"/>
        </w:rPr>
        <w:footnoteRef/>
      </w:r>
      <w:r>
        <w:t xml:space="preserve"> PhD Scholar, Rashtriya Raksha University, Gujarat, India. Email ID: </w:t>
      </w:r>
      <w:r w:rsidRPr="000F1E75">
        <w:t>raunak.sood_phd@rru.ac.in</w:t>
      </w:r>
      <w:r>
        <w:t xml:space="preserve">, ORCID ID: </w:t>
      </w:r>
      <w:r w:rsidRPr="000F1E75">
        <w:t>https://orcid.org/0009-0007-4764-569X</w:t>
      </w:r>
    </w:p>
  </w:footnote>
  <w:footnote w:id="2">
    <w:p w14:paraId="2022ABDD" w14:textId="6D504725" w:rsidR="000F1E75" w:rsidRDefault="000F1E75">
      <w:pPr>
        <w:pStyle w:val="FootnoteText"/>
      </w:pPr>
      <w:r>
        <w:rPr>
          <w:rStyle w:val="FootnoteReference"/>
        </w:rPr>
        <w:footnoteRef/>
      </w:r>
      <w:r>
        <w:t xml:space="preserve"> Associate Professor, Rashtriya Raksha University, Gujarat, India. Email ID: </w:t>
      </w:r>
      <w:r w:rsidRPr="000F1E75">
        <w:t>dimple.raval@rru.ac.in</w:t>
      </w:r>
      <w:r>
        <w:t xml:space="preserve">. ORCID ID: </w:t>
      </w:r>
      <w:r w:rsidRPr="000F1E75">
        <w:t>https://orcid.org/0009-0001-2098-9843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90700"/>
    <w:multiLevelType w:val="hybridMultilevel"/>
    <w:tmpl w:val="6246734A"/>
    <w:lvl w:ilvl="0" w:tplc="B8FAC9DA">
      <w:start w:val="1"/>
      <w:numFmt w:val="lowerLetter"/>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EFF3033"/>
    <w:multiLevelType w:val="hybridMultilevel"/>
    <w:tmpl w:val="8F1CA248"/>
    <w:lvl w:ilvl="0" w:tplc="978423B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D2F107F"/>
    <w:multiLevelType w:val="hybridMultilevel"/>
    <w:tmpl w:val="68DE7A1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0C64944"/>
    <w:multiLevelType w:val="hybridMultilevel"/>
    <w:tmpl w:val="93746934"/>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5DF72DE"/>
    <w:multiLevelType w:val="multilevel"/>
    <w:tmpl w:val="AE36D288"/>
    <w:lvl w:ilvl="0">
      <w:start w:val="1"/>
      <w:numFmt w:val="decimal"/>
      <w:lvlText w:val="%1."/>
      <w:lvlJc w:val="left"/>
      <w:pPr>
        <w:ind w:left="720"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6E67329E"/>
    <w:multiLevelType w:val="hybridMultilevel"/>
    <w:tmpl w:val="1E2CBD74"/>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15:restartNumberingAfterBreak="0">
    <w:nsid w:val="7B8447A4"/>
    <w:multiLevelType w:val="hybridMultilevel"/>
    <w:tmpl w:val="29AAC5EC"/>
    <w:lvl w:ilvl="0" w:tplc="40090019">
      <w:start w:val="5"/>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252858052">
    <w:abstractNumId w:val="1"/>
  </w:num>
  <w:num w:numId="2" w16cid:durableId="1706829574">
    <w:abstractNumId w:val="0"/>
  </w:num>
  <w:num w:numId="3" w16cid:durableId="2057120435">
    <w:abstractNumId w:val="3"/>
  </w:num>
  <w:num w:numId="4" w16cid:durableId="205728594">
    <w:abstractNumId w:val="6"/>
  </w:num>
  <w:num w:numId="5" w16cid:durableId="1633438092">
    <w:abstractNumId w:val="4"/>
  </w:num>
  <w:num w:numId="6" w16cid:durableId="618804660">
    <w:abstractNumId w:val="5"/>
  </w:num>
  <w:num w:numId="7" w16cid:durableId="11470113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31C"/>
    <w:rsid w:val="00016924"/>
    <w:rsid w:val="00021AF4"/>
    <w:rsid w:val="00040D75"/>
    <w:rsid w:val="000436F9"/>
    <w:rsid w:val="00044833"/>
    <w:rsid w:val="00044A97"/>
    <w:rsid w:val="00046D49"/>
    <w:rsid w:val="00050427"/>
    <w:rsid w:val="00054262"/>
    <w:rsid w:val="0006115F"/>
    <w:rsid w:val="000878AE"/>
    <w:rsid w:val="000939EE"/>
    <w:rsid w:val="000A0388"/>
    <w:rsid w:val="000A70DC"/>
    <w:rsid w:val="000B33EE"/>
    <w:rsid w:val="000C3B86"/>
    <w:rsid w:val="000C67F3"/>
    <w:rsid w:val="000D06E2"/>
    <w:rsid w:val="000F1363"/>
    <w:rsid w:val="000F1E75"/>
    <w:rsid w:val="000F57AB"/>
    <w:rsid w:val="00132147"/>
    <w:rsid w:val="001413C6"/>
    <w:rsid w:val="00143671"/>
    <w:rsid w:val="00153769"/>
    <w:rsid w:val="001673DE"/>
    <w:rsid w:val="00170C3E"/>
    <w:rsid w:val="001778DC"/>
    <w:rsid w:val="00177C8D"/>
    <w:rsid w:val="0018093D"/>
    <w:rsid w:val="00180CFF"/>
    <w:rsid w:val="001812A8"/>
    <w:rsid w:val="0019421B"/>
    <w:rsid w:val="001969DE"/>
    <w:rsid w:val="001A6B02"/>
    <w:rsid w:val="001B6611"/>
    <w:rsid w:val="001B6EA8"/>
    <w:rsid w:val="001C655B"/>
    <w:rsid w:val="001D277D"/>
    <w:rsid w:val="001D36E0"/>
    <w:rsid w:val="001E64FB"/>
    <w:rsid w:val="00200A90"/>
    <w:rsid w:val="00210E99"/>
    <w:rsid w:val="00214A4A"/>
    <w:rsid w:val="00222052"/>
    <w:rsid w:val="00226FDD"/>
    <w:rsid w:val="002309B9"/>
    <w:rsid w:val="00234D75"/>
    <w:rsid w:val="002453E9"/>
    <w:rsid w:val="00253766"/>
    <w:rsid w:val="00276D06"/>
    <w:rsid w:val="0028331C"/>
    <w:rsid w:val="002857C4"/>
    <w:rsid w:val="002859AA"/>
    <w:rsid w:val="00290DD3"/>
    <w:rsid w:val="002B640E"/>
    <w:rsid w:val="002D2B8E"/>
    <w:rsid w:val="002D3218"/>
    <w:rsid w:val="002D5232"/>
    <w:rsid w:val="002E06A8"/>
    <w:rsid w:val="002E1A7F"/>
    <w:rsid w:val="002F1C6E"/>
    <w:rsid w:val="00303EAA"/>
    <w:rsid w:val="00323743"/>
    <w:rsid w:val="00341299"/>
    <w:rsid w:val="0034242F"/>
    <w:rsid w:val="00351156"/>
    <w:rsid w:val="00365F05"/>
    <w:rsid w:val="00371CC5"/>
    <w:rsid w:val="00376335"/>
    <w:rsid w:val="00384AA9"/>
    <w:rsid w:val="00392BD3"/>
    <w:rsid w:val="003A3A5E"/>
    <w:rsid w:val="003C364D"/>
    <w:rsid w:val="003C5643"/>
    <w:rsid w:val="003D5706"/>
    <w:rsid w:val="003E3436"/>
    <w:rsid w:val="003E3FBA"/>
    <w:rsid w:val="003F6D0C"/>
    <w:rsid w:val="003F78CE"/>
    <w:rsid w:val="00405130"/>
    <w:rsid w:val="004131D8"/>
    <w:rsid w:val="0041382C"/>
    <w:rsid w:val="00414AFC"/>
    <w:rsid w:val="004249FF"/>
    <w:rsid w:val="00434DE9"/>
    <w:rsid w:val="00437BDE"/>
    <w:rsid w:val="00437D1B"/>
    <w:rsid w:val="004401E8"/>
    <w:rsid w:val="00443B67"/>
    <w:rsid w:val="0044428E"/>
    <w:rsid w:val="00446FA3"/>
    <w:rsid w:val="004528BF"/>
    <w:rsid w:val="004535BB"/>
    <w:rsid w:val="00461734"/>
    <w:rsid w:val="00462971"/>
    <w:rsid w:val="004673C5"/>
    <w:rsid w:val="004762FF"/>
    <w:rsid w:val="00482F7C"/>
    <w:rsid w:val="00487B7E"/>
    <w:rsid w:val="00495BD5"/>
    <w:rsid w:val="004B1844"/>
    <w:rsid w:val="004B47D2"/>
    <w:rsid w:val="004C152F"/>
    <w:rsid w:val="004C1AB8"/>
    <w:rsid w:val="004C4189"/>
    <w:rsid w:val="004C4D41"/>
    <w:rsid w:val="004C4EBE"/>
    <w:rsid w:val="004C7E5F"/>
    <w:rsid w:val="004D0BAF"/>
    <w:rsid w:val="004D1D33"/>
    <w:rsid w:val="004D3DEF"/>
    <w:rsid w:val="004D7243"/>
    <w:rsid w:val="004E0882"/>
    <w:rsid w:val="004E2BA6"/>
    <w:rsid w:val="004E6C8F"/>
    <w:rsid w:val="004E7CE5"/>
    <w:rsid w:val="004F4026"/>
    <w:rsid w:val="004F5349"/>
    <w:rsid w:val="004F5E1F"/>
    <w:rsid w:val="004F6C64"/>
    <w:rsid w:val="004F7F9E"/>
    <w:rsid w:val="005032C9"/>
    <w:rsid w:val="00513770"/>
    <w:rsid w:val="005157BA"/>
    <w:rsid w:val="0051612F"/>
    <w:rsid w:val="00525987"/>
    <w:rsid w:val="0053435C"/>
    <w:rsid w:val="0055234E"/>
    <w:rsid w:val="00552A89"/>
    <w:rsid w:val="005544BE"/>
    <w:rsid w:val="00566271"/>
    <w:rsid w:val="00567744"/>
    <w:rsid w:val="00576C5D"/>
    <w:rsid w:val="00577C7C"/>
    <w:rsid w:val="005A71F4"/>
    <w:rsid w:val="005A756A"/>
    <w:rsid w:val="005B50A6"/>
    <w:rsid w:val="005B6FB3"/>
    <w:rsid w:val="005B7FC8"/>
    <w:rsid w:val="005C2C1B"/>
    <w:rsid w:val="005C4F53"/>
    <w:rsid w:val="005C5FDD"/>
    <w:rsid w:val="005C65EA"/>
    <w:rsid w:val="005E0545"/>
    <w:rsid w:val="00600C68"/>
    <w:rsid w:val="00620CEA"/>
    <w:rsid w:val="00630003"/>
    <w:rsid w:val="00641098"/>
    <w:rsid w:val="00644A98"/>
    <w:rsid w:val="00651C18"/>
    <w:rsid w:val="006562F5"/>
    <w:rsid w:val="006707AF"/>
    <w:rsid w:val="00671576"/>
    <w:rsid w:val="00674704"/>
    <w:rsid w:val="00676D95"/>
    <w:rsid w:val="006804CB"/>
    <w:rsid w:val="00681B3D"/>
    <w:rsid w:val="006847B8"/>
    <w:rsid w:val="00687479"/>
    <w:rsid w:val="00690BDF"/>
    <w:rsid w:val="00693454"/>
    <w:rsid w:val="00696052"/>
    <w:rsid w:val="006A3942"/>
    <w:rsid w:val="006A716A"/>
    <w:rsid w:val="006C12A3"/>
    <w:rsid w:val="006D2DC1"/>
    <w:rsid w:val="006E05D1"/>
    <w:rsid w:val="006F204C"/>
    <w:rsid w:val="00730717"/>
    <w:rsid w:val="0074199E"/>
    <w:rsid w:val="00766A20"/>
    <w:rsid w:val="00766C20"/>
    <w:rsid w:val="00770585"/>
    <w:rsid w:val="007764A8"/>
    <w:rsid w:val="007A2189"/>
    <w:rsid w:val="007A390B"/>
    <w:rsid w:val="007A6E66"/>
    <w:rsid w:val="007A791D"/>
    <w:rsid w:val="007B4771"/>
    <w:rsid w:val="007C6526"/>
    <w:rsid w:val="007D3558"/>
    <w:rsid w:val="007D43DC"/>
    <w:rsid w:val="007E0112"/>
    <w:rsid w:val="007E3571"/>
    <w:rsid w:val="007E5B91"/>
    <w:rsid w:val="007F737C"/>
    <w:rsid w:val="00805D37"/>
    <w:rsid w:val="00815135"/>
    <w:rsid w:val="008159DD"/>
    <w:rsid w:val="008249C6"/>
    <w:rsid w:val="00834197"/>
    <w:rsid w:val="00837FA7"/>
    <w:rsid w:val="008414E5"/>
    <w:rsid w:val="008435A2"/>
    <w:rsid w:val="008515FB"/>
    <w:rsid w:val="0085205B"/>
    <w:rsid w:val="0086064E"/>
    <w:rsid w:val="0088566C"/>
    <w:rsid w:val="00895A89"/>
    <w:rsid w:val="008A44C0"/>
    <w:rsid w:val="008A6914"/>
    <w:rsid w:val="008B1CF0"/>
    <w:rsid w:val="008B5CAE"/>
    <w:rsid w:val="008B799A"/>
    <w:rsid w:val="008C5A57"/>
    <w:rsid w:val="008D13F6"/>
    <w:rsid w:val="008D4738"/>
    <w:rsid w:val="008E17F9"/>
    <w:rsid w:val="008E2CDB"/>
    <w:rsid w:val="008E58C7"/>
    <w:rsid w:val="00905109"/>
    <w:rsid w:val="00911BB1"/>
    <w:rsid w:val="0092031A"/>
    <w:rsid w:val="0092119A"/>
    <w:rsid w:val="00925464"/>
    <w:rsid w:val="00925BDA"/>
    <w:rsid w:val="009266AA"/>
    <w:rsid w:val="0092708D"/>
    <w:rsid w:val="009279F3"/>
    <w:rsid w:val="009372F3"/>
    <w:rsid w:val="00942CAC"/>
    <w:rsid w:val="00947282"/>
    <w:rsid w:val="00950D0F"/>
    <w:rsid w:val="00960702"/>
    <w:rsid w:val="00974BE3"/>
    <w:rsid w:val="00986FB3"/>
    <w:rsid w:val="009925D3"/>
    <w:rsid w:val="0099339E"/>
    <w:rsid w:val="009A4988"/>
    <w:rsid w:val="009A4F6E"/>
    <w:rsid w:val="009B3498"/>
    <w:rsid w:val="009C387F"/>
    <w:rsid w:val="009C7E81"/>
    <w:rsid w:val="009D3726"/>
    <w:rsid w:val="009E04DC"/>
    <w:rsid w:val="009E0BC0"/>
    <w:rsid w:val="00A10407"/>
    <w:rsid w:val="00A12141"/>
    <w:rsid w:val="00A134F1"/>
    <w:rsid w:val="00A323CA"/>
    <w:rsid w:val="00A338FA"/>
    <w:rsid w:val="00A43CE7"/>
    <w:rsid w:val="00A43EAD"/>
    <w:rsid w:val="00A45864"/>
    <w:rsid w:val="00A663A2"/>
    <w:rsid w:val="00A76833"/>
    <w:rsid w:val="00A83F60"/>
    <w:rsid w:val="00A84A01"/>
    <w:rsid w:val="00A85799"/>
    <w:rsid w:val="00A94B8B"/>
    <w:rsid w:val="00A97BD5"/>
    <w:rsid w:val="00AA3CD4"/>
    <w:rsid w:val="00AB1D08"/>
    <w:rsid w:val="00AC1738"/>
    <w:rsid w:val="00AC3896"/>
    <w:rsid w:val="00AC54DD"/>
    <w:rsid w:val="00AE2612"/>
    <w:rsid w:val="00AE7331"/>
    <w:rsid w:val="00B00050"/>
    <w:rsid w:val="00B018BE"/>
    <w:rsid w:val="00B02AF4"/>
    <w:rsid w:val="00B155AE"/>
    <w:rsid w:val="00B17F54"/>
    <w:rsid w:val="00B21231"/>
    <w:rsid w:val="00B26680"/>
    <w:rsid w:val="00B436D7"/>
    <w:rsid w:val="00B55BBE"/>
    <w:rsid w:val="00B6144B"/>
    <w:rsid w:val="00B6396F"/>
    <w:rsid w:val="00B660B9"/>
    <w:rsid w:val="00B66A96"/>
    <w:rsid w:val="00B828ED"/>
    <w:rsid w:val="00B93414"/>
    <w:rsid w:val="00B95EAB"/>
    <w:rsid w:val="00B97E6A"/>
    <w:rsid w:val="00BA4D0D"/>
    <w:rsid w:val="00BA52C1"/>
    <w:rsid w:val="00BA68FE"/>
    <w:rsid w:val="00BE01CC"/>
    <w:rsid w:val="00C108D7"/>
    <w:rsid w:val="00C3245B"/>
    <w:rsid w:val="00C34F1E"/>
    <w:rsid w:val="00C3707C"/>
    <w:rsid w:val="00C4091A"/>
    <w:rsid w:val="00C6418A"/>
    <w:rsid w:val="00C64297"/>
    <w:rsid w:val="00C70396"/>
    <w:rsid w:val="00C70A70"/>
    <w:rsid w:val="00C800F5"/>
    <w:rsid w:val="00C83421"/>
    <w:rsid w:val="00C97781"/>
    <w:rsid w:val="00CB334C"/>
    <w:rsid w:val="00CC7528"/>
    <w:rsid w:val="00CD1876"/>
    <w:rsid w:val="00CD2748"/>
    <w:rsid w:val="00CD63AC"/>
    <w:rsid w:val="00CF476C"/>
    <w:rsid w:val="00D01CF4"/>
    <w:rsid w:val="00D121B0"/>
    <w:rsid w:val="00D137AE"/>
    <w:rsid w:val="00D139A2"/>
    <w:rsid w:val="00D14205"/>
    <w:rsid w:val="00D1689D"/>
    <w:rsid w:val="00D23576"/>
    <w:rsid w:val="00D30812"/>
    <w:rsid w:val="00D32E57"/>
    <w:rsid w:val="00D33A52"/>
    <w:rsid w:val="00D44A24"/>
    <w:rsid w:val="00D50292"/>
    <w:rsid w:val="00D5608F"/>
    <w:rsid w:val="00D64DA0"/>
    <w:rsid w:val="00D679BA"/>
    <w:rsid w:val="00D67E52"/>
    <w:rsid w:val="00D7355B"/>
    <w:rsid w:val="00D84646"/>
    <w:rsid w:val="00D85889"/>
    <w:rsid w:val="00D93DBC"/>
    <w:rsid w:val="00DA0CD3"/>
    <w:rsid w:val="00DA1CC9"/>
    <w:rsid w:val="00DA24A8"/>
    <w:rsid w:val="00DA273F"/>
    <w:rsid w:val="00DA70D5"/>
    <w:rsid w:val="00DB0294"/>
    <w:rsid w:val="00DB2025"/>
    <w:rsid w:val="00DB3E05"/>
    <w:rsid w:val="00DB4054"/>
    <w:rsid w:val="00DC36BE"/>
    <w:rsid w:val="00DC63FA"/>
    <w:rsid w:val="00DD0C39"/>
    <w:rsid w:val="00DD4FDA"/>
    <w:rsid w:val="00DD560D"/>
    <w:rsid w:val="00DD7041"/>
    <w:rsid w:val="00DE0C56"/>
    <w:rsid w:val="00DF1775"/>
    <w:rsid w:val="00DF420E"/>
    <w:rsid w:val="00DF4839"/>
    <w:rsid w:val="00E05B3A"/>
    <w:rsid w:val="00E07503"/>
    <w:rsid w:val="00E1203C"/>
    <w:rsid w:val="00E16854"/>
    <w:rsid w:val="00E3153A"/>
    <w:rsid w:val="00E32375"/>
    <w:rsid w:val="00E32F4F"/>
    <w:rsid w:val="00E406C8"/>
    <w:rsid w:val="00E46694"/>
    <w:rsid w:val="00E74B6F"/>
    <w:rsid w:val="00E74E5F"/>
    <w:rsid w:val="00E86AEC"/>
    <w:rsid w:val="00E9796D"/>
    <w:rsid w:val="00E979FF"/>
    <w:rsid w:val="00EA79B7"/>
    <w:rsid w:val="00EB5748"/>
    <w:rsid w:val="00EB6AF2"/>
    <w:rsid w:val="00EB7A82"/>
    <w:rsid w:val="00EC293F"/>
    <w:rsid w:val="00EC4A9D"/>
    <w:rsid w:val="00EE2245"/>
    <w:rsid w:val="00EE2B19"/>
    <w:rsid w:val="00EE7662"/>
    <w:rsid w:val="00EE76AD"/>
    <w:rsid w:val="00EF1966"/>
    <w:rsid w:val="00F0242F"/>
    <w:rsid w:val="00F02559"/>
    <w:rsid w:val="00F06BF2"/>
    <w:rsid w:val="00F41477"/>
    <w:rsid w:val="00F52452"/>
    <w:rsid w:val="00F556FE"/>
    <w:rsid w:val="00F606F4"/>
    <w:rsid w:val="00FB0F98"/>
    <w:rsid w:val="00FB6DF6"/>
    <w:rsid w:val="00FC2B92"/>
    <w:rsid w:val="00FC3D60"/>
    <w:rsid w:val="00FC6038"/>
    <w:rsid w:val="00FC67ED"/>
    <w:rsid w:val="00FC7B07"/>
    <w:rsid w:val="00FD0530"/>
    <w:rsid w:val="00FD6CA5"/>
    <w:rsid w:val="00FF1A42"/>
    <w:rsid w:val="00FF452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9476B"/>
  <w15:chartTrackingRefBased/>
  <w15:docId w15:val="{D1BAD75B-C4DA-4127-8A5A-0A24DD4EF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F6"/>
    <w:pPr>
      <w:jc w:val="both"/>
    </w:pPr>
    <w:rPr>
      <w:rFonts w:ascii="Times New Roman" w:hAnsi="Times New Roman"/>
    </w:rPr>
  </w:style>
  <w:style w:type="paragraph" w:styleId="Heading1">
    <w:name w:val="heading 1"/>
    <w:basedOn w:val="Normal"/>
    <w:next w:val="Normal"/>
    <w:link w:val="Heading1Char"/>
    <w:uiPriority w:val="9"/>
    <w:qFormat/>
    <w:rsid w:val="0028331C"/>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28331C"/>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28331C"/>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2833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33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33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33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33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33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31C"/>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28331C"/>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28331C"/>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2833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33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33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33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33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331C"/>
    <w:rPr>
      <w:rFonts w:eastAsiaTheme="majorEastAsia" w:cstheme="majorBidi"/>
      <w:color w:val="272727" w:themeColor="text1" w:themeTint="D8"/>
    </w:rPr>
  </w:style>
  <w:style w:type="paragraph" w:styleId="Title">
    <w:name w:val="Title"/>
    <w:basedOn w:val="Normal"/>
    <w:next w:val="Normal"/>
    <w:link w:val="TitleChar"/>
    <w:uiPriority w:val="10"/>
    <w:qFormat/>
    <w:rsid w:val="0028331C"/>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28331C"/>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28331C"/>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28331C"/>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28331C"/>
    <w:pPr>
      <w:spacing w:before="160"/>
      <w:jc w:val="center"/>
    </w:pPr>
    <w:rPr>
      <w:i/>
      <w:iCs/>
      <w:color w:val="404040" w:themeColor="text1" w:themeTint="BF"/>
    </w:rPr>
  </w:style>
  <w:style w:type="character" w:customStyle="1" w:styleId="QuoteChar">
    <w:name w:val="Quote Char"/>
    <w:basedOn w:val="DefaultParagraphFont"/>
    <w:link w:val="Quote"/>
    <w:uiPriority w:val="29"/>
    <w:rsid w:val="0028331C"/>
    <w:rPr>
      <w:i/>
      <w:iCs/>
      <w:color w:val="404040" w:themeColor="text1" w:themeTint="BF"/>
    </w:rPr>
  </w:style>
  <w:style w:type="paragraph" w:styleId="ListParagraph">
    <w:name w:val="List Paragraph"/>
    <w:basedOn w:val="Normal"/>
    <w:uiPriority w:val="34"/>
    <w:qFormat/>
    <w:rsid w:val="0028331C"/>
    <w:pPr>
      <w:ind w:left="720"/>
      <w:contextualSpacing/>
    </w:pPr>
  </w:style>
  <w:style w:type="character" w:styleId="IntenseEmphasis">
    <w:name w:val="Intense Emphasis"/>
    <w:basedOn w:val="DefaultParagraphFont"/>
    <w:uiPriority w:val="21"/>
    <w:qFormat/>
    <w:rsid w:val="0028331C"/>
    <w:rPr>
      <w:i/>
      <w:iCs/>
      <w:color w:val="0F4761" w:themeColor="accent1" w:themeShade="BF"/>
    </w:rPr>
  </w:style>
  <w:style w:type="paragraph" w:styleId="IntenseQuote">
    <w:name w:val="Intense Quote"/>
    <w:basedOn w:val="Normal"/>
    <w:next w:val="Normal"/>
    <w:link w:val="IntenseQuoteChar"/>
    <w:uiPriority w:val="30"/>
    <w:qFormat/>
    <w:rsid w:val="002833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331C"/>
    <w:rPr>
      <w:i/>
      <w:iCs/>
      <w:color w:val="0F4761" w:themeColor="accent1" w:themeShade="BF"/>
    </w:rPr>
  </w:style>
  <w:style w:type="character" w:styleId="IntenseReference">
    <w:name w:val="Intense Reference"/>
    <w:basedOn w:val="DefaultParagraphFont"/>
    <w:uiPriority w:val="32"/>
    <w:qFormat/>
    <w:rsid w:val="0028331C"/>
    <w:rPr>
      <w:b/>
      <w:bCs/>
      <w:smallCaps/>
      <w:color w:val="0F4761" w:themeColor="accent1" w:themeShade="BF"/>
      <w:spacing w:val="5"/>
    </w:rPr>
  </w:style>
  <w:style w:type="paragraph" w:styleId="FootnoteText">
    <w:name w:val="footnote text"/>
    <w:basedOn w:val="Normal"/>
    <w:link w:val="FootnoteTextChar"/>
    <w:uiPriority w:val="99"/>
    <w:semiHidden/>
    <w:unhideWhenUsed/>
    <w:rsid w:val="00495BD5"/>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495BD5"/>
    <w:rPr>
      <w:rFonts w:ascii="Times New Roman" w:hAnsi="Times New Roman"/>
      <w:sz w:val="20"/>
      <w:szCs w:val="18"/>
    </w:rPr>
  </w:style>
  <w:style w:type="character" w:styleId="FootnoteReference">
    <w:name w:val="footnote reference"/>
    <w:basedOn w:val="DefaultParagraphFont"/>
    <w:uiPriority w:val="99"/>
    <w:semiHidden/>
    <w:unhideWhenUsed/>
    <w:rsid w:val="00495BD5"/>
    <w:rPr>
      <w:vertAlign w:val="superscript"/>
    </w:rPr>
  </w:style>
  <w:style w:type="character" w:styleId="Hyperlink">
    <w:name w:val="Hyperlink"/>
    <w:basedOn w:val="DefaultParagraphFont"/>
    <w:uiPriority w:val="99"/>
    <w:unhideWhenUsed/>
    <w:rsid w:val="00495BD5"/>
    <w:rPr>
      <w:color w:val="467886" w:themeColor="hyperlink"/>
      <w:u w:val="single"/>
    </w:rPr>
  </w:style>
  <w:style w:type="character" w:styleId="UnresolvedMention">
    <w:name w:val="Unresolved Mention"/>
    <w:basedOn w:val="DefaultParagraphFont"/>
    <w:uiPriority w:val="99"/>
    <w:semiHidden/>
    <w:unhideWhenUsed/>
    <w:rsid w:val="00495BD5"/>
    <w:rPr>
      <w:color w:val="605E5C"/>
      <w:shd w:val="clear" w:color="auto" w:fill="E1DFDD"/>
    </w:rPr>
  </w:style>
  <w:style w:type="table" w:styleId="TableGrid">
    <w:name w:val="Table Grid"/>
    <w:basedOn w:val="TableNormal"/>
    <w:uiPriority w:val="39"/>
    <w:rsid w:val="00FD6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6774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63/1871191x-bja10152" TargetMode="External"/><Relationship Id="rId21" Type="http://schemas.openxmlformats.org/officeDocument/2006/relationships/hyperlink" Target="https://doi.org/10.1017/S1473550416000185" TargetMode="External"/><Relationship Id="rId42" Type="http://schemas.openxmlformats.org/officeDocument/2006/relationships/hyperlink" Target="https://www.investindia.gov.in/sector/space" TargetMode="External"/><Relationship Id="rId47" Type="http://schemas.openxmlformats.org/officeDocument/2006/relationships/hyperlink" Target="https://doi.org/10.1007/s00712-010-0187-3" TargetMode="External"/><Relationship Id="rId63" Type="http://schemas.openxmlformats.org/officeDocument/2006/relationships/hyperlink" Target="http://www.jstor.org/stable/40726723" TargetMode="External"/><Relationship Id="rId68" Type="http://schemas.openxmlformats.org/officeDocument/2006/relationships/hyperlink" Target="https://doi.org/10.3390/world6020079" TargetMode="External"/><Relationship Id="rId84" Type="http://schemas.openxmlformats.org/officeDocument/2006/relationships/hyperlink" Target="https://treaties.un.org/pages/showdetails.aspx?objid=0800000280128cbd" TargetMode="External"/><Relationship Id="rId89" Type="http://schemas.openxmlformats.org/officeDocument/2006/relationships/fontTable" Target="fontTable.xml"/><Relationship Id="rId16" Type="http://schemas.openxmlformats.org/officeDocument/2006/relationships/hyperlink" Target="https://www.orfonline.org/expert-speak/promoting-investment-in-space-matters-but-having-a-law-matters-more" TargetMode="External"/><Relationship Id="rId11" Type="http://schemas.openxmlformats.org/officeDocument/2006/relationships/hyperlink" Target="https://doi.org/10.1016/j.euroecorev.2023.104606" TargetMode="External"/><Relationship Id="rId32" Type="http://schemas.openxmlformats.org/officeDocument/2006/relationships/hyperlink" Target="http://www.jstor.org/stable/20108879" TargetMode="External"/><Relationship Id="rId37" Type="http://schemas.openxmlformats.org/officeDocument/2006/relationships/hyperlink" Target="https://www.bea.gov/system/files/papers/WP2025-10.pdf" TargetMode="External"/><Relationship Id="rId53" Type="http://schemas.openxmlformats.org/officeDocument/2006/relationships/hyperlink" Target="https://doi.org/10.1093/ije/dyw098" TargetMode="External"/><Relationship Id="rId58" Type="http://schemas.openxmlformats.org/officeDocument/2006/relationships/hyperlink" Target="https://www.pib.gov.in/www.pib.gov.in/Pressreleaseshare.aspx?PRID=2007876" TargetMode="External"/><Relationship Id="rId74" Type="http://schemas.openxmlformats.org/officeDocument/2006/relationships/hyperlink" Target="https://law.stanford.edu/wp-content/uploads/2017/11/19-2-2-salter-final_0.pdf" TargetMode="External"/><Relationship Id="rId79" Type="http://schemas.openxmlformats.org/officeDocument/2006/relationships/hyperlink" Target="https://www.repository.law.indiana.edu/facpub/2289" TargetMode="External"/><Relationship Id="rId5" Type="http://schemas.openxmlformats.org/officeDocument/2006/relationships/footnotes" Target="footnotes.xml"/><Relationship Id="rId90" Type="http://schemas.openxmlformats.org/officeDocument/2006/relationships/theme" Target="theme/theme1.xml"/><Relationship Id="rId14" Type="http://schemas.openxmlformats.org/officeDocument/2006/relationships/hyperlink" Target="https://doi.org/10.1017/9781108894760.004" TargetMode="External"/><Relationship Id="rId22" Type="http://schemas.openxmlformats.org/officeDocument/2006/relationships/hyperlink" Target="https://doi.org/10.1163/9789004730571_019" TargetMode="External"/><Relationship Id="rId27" Type="http://schemas.openxmlformats.org/officeDocument/2006/relationships/hyperlink" Target="https://doi.org/10.1016/j.jbusvent.2008.07.001" TargetMode="External"/><Relationship Id="rId30" Type="http://schemas.openxmlformats.org/officeDocument/2006/relationships/hyperlink" Target="https://www.pib.gov.in/www.pib.gov.in/Pressreleaseshare.aspx?PRID=2083766" TargetMode="External"/><Relationship Id="rId35" Type="http://schemas.openxmlformats.org/officeDocument/2006/relationships/hyperlink" Target="https://doi.org/10.1111/1467-6419.00034" TargetMode="External"/><Relationship Id="rId43" Type="http://schemas.openxmlformats.org/officeDocument/2006/relationships/hyperlink" Target="https://www.isro.gov.in/UnionCabinetapprovesestablishment_INSPACe.html" TargetMode="External"/><Relationship Id="rId48" Type="http://schemas.openxmlformats.org/officeDocument/2006/relationships/hyperlink" Target="http://www.jstor.org/stable/757885" TargetMode="External"/><Relationship Id="rId56" Type="http://schemas.openxmlformats.org/officeDocument/2006/relationships/hyperlink" Target="https://doi.org/10.4337/9781789904499" TargetMode="External"/><Relationship Id="rId64" Type="http://schemas.openxmlformats.org/officeDocument/2006/relationships/hyperlink" Target="https://doi.org/10.1017/S0022050700009451" TargetMode="External"/><Relationship Id="rId69" Type="http://schemas.openxmlformats.org/officeDocument/2006/relationships/hyperlink" Target="https://www.psa.gov.in/article/space-unlocking-indias-potential-space-sector/3353" TargetMode="External"/><Relationship Id="rId77" Type="http://schemas.openxmlformats.org/officeDocument/2006/relationships/hyperlink" Target="https://doi.org/10.1007/978-1-4419-8336-7_22" TargetMode="External"/><Relationship Id="rId8" Type="http://schemas.openxmlformats.org/officeDocument/2006/relationships/hyperlink" Target="http://www.jstor.org/stable/2117138" TargetMode="External"/><Relationship Id="rId51" Type="http://schemas.openxmlformats.org/officeDocument/2006/relationships/hyperlink" Target="https://doi.org/10.1038/d44151-024-00183-8" TargetMode="External"/><Relationship Id="rId72" Type="http://schemas.openxmlformats.org/officeDocument/2006/relationships/hyperlink" Target="https://spacenews.com/op-ed-international-perspectives-on-space-resource-rights/" TargetMode="External"/><Relationship Id="rId80" Type="http://schemas.openxmlformats.org/officeDocument/2006/relationships/hyperlink" Target="https://www.spacefoundation.org/2025/07/22/the-space-report-2025-q2/" TargetMode="External"/><Relationship Id="rId85" Type="http://schemas.openxmlformats.org/officeDocument/2006/relationships/hyperlink" Target="https://doi.org/10.5553/REM/.000010" TargetMode="External"/><Relationship Id="rId3" Type="http://schemas.openxmlformats.org/officeDocument/2006/relationships/settings" Target="settings.xml"/><Relationship Id="rId12" Type="http://schemas.openxmlformats.org/officeDocument/2006/relationships/hyperlink" Target="https://www.nasa.gov/artemis-accords/" TargetMode="External"/><Relationship Id="rId17" Type="http://schemas.openxmlformats.org/officeDocument/2006/relationships/hyperlink" Target="https://scholarship.law.unc.edu/ncjolt/vol18/iss2/1" TargetMode="External"/><Relationship Id="rId25" Type="http://schemas.openxmlformats.org/officeDocument/2006/relationships/hyperlink" Target="https://doi.org/10.1017/9781108914741.025" TargetMode="External"/><Relationship Id="rId33" Type="http://schemas.openxmlformats.org/officeDocument/2006/relationships/hyperlink" Target="https://doi.org/10.1257/jep.1.2.113" TargetMode="External"/><Relationship Id="rId38" Type="http://schemas.openxmlformats.org/officeDocument/2006/relationships/hyperlink" Target="https://doi.org/10.1089/space.2018.0012" TargetMode="External"/><Relationship Id="rId46" Type="http://schemas.openxmlformats.org/officeDocument/2006/relationships/hyperlink" Target="https://doi.org/10.1016/j.comcom.2024.02.005" TargetMode="External"/><Relationship Id="rId59" Type="http://schemas.openxmlformats.org/officeDocument/2006/relationships/hyperlink" Target="https://doi.org/10.1093/ojls/20.2.185" TargetMode="External"/><Relationship Id="rId67" Type="http://schemas.openxmlformats.org/officeDocument/2006/relationships/hyperlink" Target="https://www.kenresearch.com/global-space-mining-market" TargetMode="External"/><Relationship Id="rId20" Type="http://schemas.openxmlformats.org/officeDocument/2006/relationships/hyperlink" Target="https://doi.org/10.1016/B978-0-12-813993-6.00054-4" TargetMode="External"/><Relationship Id="rId41" Type="http://schemas.openxmlformats.org/officeDocument/2006/relationships/hyperlink" Target="https://www.unoosa.org/documents/pdf/copuos/lsc/space-resources/LSC2023/StatesResponses/20230320_US_initial_submission_UNCOPUOS_LSC_SRU_WG_1.pdf" TargetMode="External"/><Relationship Id="rId54" Type="http://schemas.openxmlformats.org/officeDocument/2006/relationships/hyperlink" Target="https://doi.org/10.1163/9789004730571_020" TargetMode="External"/><Relationship Id="rId62" Type="http://schemas.openxmlformats.org/officeDocument/2006/relationships/hyperlink" Target="https://doi.org/10.1017/S1053837200004995" TargetMode="External"/><Relationship Id="rId70" Type="http://schemas.openxmlformats.org/officeDocument/2006/relationships/hyperlink" Target="https://www.scconline.com/blog/post/2025/03/12/understanding-foreign-investment-norms-space-sector/" TargetMode="External"/><Relationship Id="rId75" Type="http://schemas.openxmlformats.org/officeDocument/2006/relationships/hyperlink" Target="https://doi.org/10.4324/9780203202050" TargetMode="External"/><Relationship Id="rId83" Type="http://schemas.openxmlformats.org/officeDocument/2006/relationships/hyperlink" Target="https://doi.org/10.1016/j.ject.2024.09.004" TargetMode="External"/><Relationship Id="rId88" Type="http://schemas.openxmlformats.org/officeDocument/2006/relationships/hyperlink" Target="https://hbr.org/1998/11/how-venture-capital-work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16/j.spacepol.2025.101743" TargetMode="External"/><Relationship Id="rId23" Type="http://schemas.openxmlformats.org/officeDocument/2006/relationships/hyperlink" Target="https://doi.org/10.1007/978-981-16-9808-8_18" TargetMode="External"/><Relationship Id="rId28" Type="http://schemas.openxmlformats.org/officeDocument/2006/relationships/hyperlink" Target="https://opil.ouplaw.com/display/10.1093/law:epil/9780199231690/law-9780199231690-e1397?prd=OPIL" TargetMode="External"/><Relationship Id="rId36" Type="http://schemas.openxmlformats.org/officeDocument/2006/relationships/hyperlink" Target="https://www.ocbar.org/All-News/News-View/ArticleId/6870/December-2025-Cover-Story-Lunar-Space-Resource-Utilization" TargetMode="External"/><Relationship Id="rId49" Type="http://schemas.openxmlformats.org/officeDocument/2006/relationships/hyperlink" Target="https://doi.org/10.4337/9781802207361.00039" TargetMode="External"/><Relationship Id="rId57" Type="http://schemas.openxmlformats.org/officeDocument/2006/relationships/hyperlink" Target="https://doi.org/10.1093/oxfordhb/9780199296064.013.0011" TargetMode="External"/><Relationship Id="rId10" Type="http://schemas.openxmlformats.org/officeDocument/2006/relationships/hyperlink" Target="https://doi.org/10.1007/s10657-019-09620-x" TargetMode="External"/><Relationship Id="rId31" Type="http://schemas.openxmlformats.org/officeDocument/2006/relationships/hyperlink" Target="https://www.pib.gov.in/www.pib.gov.in/Pressreleaseshare.aspx?PRID=1988864" TargetMode="External"/><Relationship Id="rId44" Type="http://schemas.openxmlformats.org/officeDocument/2006/relationships/hyperlink" Target="https://doi.org/10.1016/j.spacepol.2024.101675" TargetMode="External"/><Relationship Id="rId52" Type="http://schemas.openxmlformats.org/officeDocument/2006/relationships/hyperlink" Target="http://www.jstor.org/stable/4320014" TargetMode="External"/><Relationship Id="rId60" Type="http://schemas.openxmlformats.org/officeDocument/2006/relationships/hyperlink" Target="https://doi.org/10.21511/ppm.23(2).2025.30" TargetMode="External"/><Relationship Id="rId65" Type="http://schemas.openxmlformats.org/officeDocument/2006/relationships/hyperlink" Target="https://doi.org/10.1787/c5996201-en" TargetMode="External"/><Relationship Id="rId73" Type="http://schemas.openxmlformats.org/officeDocument/2006/relationships/hyperlink" Target="https://cooperative-individualism.org/risse-mathias_common-ownership-of-the-earth-revisited-2013-dec.pdf" TargetMode="External"/><Relationship Id="rId78" Type="http://schemas.openxmlformats.org/officeDocument/2006/relationships/hyperlink" Target="https://www.aippi.org/news/ascending-skies-exploring-the-opportunities-in-indian-space-sector/" TargetMode="External"/><Relationship Id="rId81" Type="http://schemas.openxmlformats.org/officeDocument/2006/relationships/hyperlink" Target="https://doi.org/10.1163/187197310X513743" TargetMode="External"/><Relationship Id="rId86" Type="http://schemas.openxmlformats.org/officeDocument/2006/relationships/hyperlink" Target="https://doi.org/10.1163/ej.9789004170209.i-280.8" TargetMode="External"/><Relationship Id="rId4" Type="http://schemas.openxmlformats.org/officeDocument/2006/relationships/webSettings" Target="webSettings.xml"/><Relationship Id="rId9" Type="http://schemas.openxmlformats.org/officeDocument/2006/relationships/hyperlink" Target="https://publicatii.uvvg.ro/index.php/jls/article/view/626" TargetMode="External"/><Relationship Id="rId13" Type="http://schemas.openxmlformats.org/officeDocument/2006/relationships/hyperlink" Target="https://doi.org/10.3390/engproc2025121027" TargetMode="External"/><Relationship Id="rId18" Type="http://schemas.openxmlformats.org/officeDocument/2006/relationships/hyperlink" Target="https://www.thehindubusinessline.com/money-and-banking/in-space-sidbi-green-light-1000-crore-vc-fund-for-the-indias-space-sector/article70263148.ece" TargetMode="External"/><Relationship Id="rId39" Type="http://schemas.openxmlformats.org/officeDocument/2006/relationships/hyperlink" Target="https://doi.org/10.1016/j.irfa.2023.102951" TargetMode="External"/><Relationship Id="rId34" Type="http://schemas.openxmlformats.org/officeDocument/2006/relationships/hyperlink" Target="https://www.ajol.info/index.php/pelj/article/view/235683" TargetMode="External"/><Relationship Id="rId50" Type="http://schemas.openxmlformats.org/officeDocument/2006/relationships/hyperlink" Target="https://doi.org/10.25172/jalc.90.1.3" TargetMode="External"/><Relationship Id="rId55" Type="http://schemas.openxmlformats.org/officeDocument/2006/relationships/hyperlink" Target="https://webthesis.biblio.polito.it/35667/" TargetMode="External"/><Relationship Id="rId76" Type="http://schemas.openxmlformats.org/officeDocument/2006/relationships/hyperlink" Target="https://indbiz.gov.in/indias-new-space-sector-reforms-open-door-to-foreign-investments/" TargetMode="External"/><Relationship Id="rId7" Type="http://schemas.openxmlformats.org/officeDocument/2006/relationships/hyperlink" Target="https://doi.org/10.3917/redp.285.0693" TargetMode="External"/><Relationship Id="rId71" Type="http://schemas.openxmlformats.org/officeDocument/2006/relationships/hyperlink" Target="https://www.reuters.com/technology/space/space-industry-funding-india-falls-55-2024-data-show-2025-01-06/" TargetMode="External"/><Relationship Id="rId2" Type="http://schemas.openxmlformats.org/officeDocument/2006/relationships/styles" Target="styles.xml"/><Relationship Id="rId29" Type="http://schemas.openxmlformats.org/officeDocument/2006/relationships/hyperlink" Target="http://www.jstor.org/stable/1821637" TargetMode="External"/><Relationship Id="rId24" Type="http://schemas.openxmlformats.org/officeDocument/2006/relationships/hyperlink" Target="https://doi.org/10.1086/466980" TargetMode="External"/><Relationship Id="rId40" Type="http://schemas.openxmlformats.org/officeDocument/2006/relationships/hyperlink" Target="https://doi.org/10.13135/2785-7867/7954" TargetMode="External"/><Relationship Id="rId45" Type="http://schemas.openxmlformats.org/officeDocument/2006/relationships/hyperlink" Target="https://www.nortonrosefulbright.com/en/knowledge/publications/e2a4dae0/global-outer-space-guide-uae" TargetMode="External"/><Relationship Id="rId66" Type="http://schemas.openxmlformats.org/officeDocument/2006/relationships/hyperlink" Target="https://www.qil-qdi.org/regulation-space-resource-rights-meeting-needs-states-private-parties/" TargetMode="External"/><Relationship Id="rId87" Type="http://schemas.openxmlformats.org/officeDocument/2006/relationships/hyperlink" Target="https://doi.org/10.17803/2713-0533.2025.3.33.463-492" TargetMode="External"/><Relationship Id="rId61" Type="http://schemas.openxmlformats.org/officeDocument/2006/relationships/hyperlink" Target="https://doi.org/10.1016/j.progress.2008.09.002" TargetMode="External"/><Relationship Id="rId82" Type="http://schemas.openxmlformats.org/officeDocument/2006/relationships/hyperlink" Target="https://doi.org/10.1093/chinesejil/jmaf029" TargetMode="External"/><Relationship Id="rId19" Type="http://schemas.openxmlformats.org/officeDocument/2006/relationships/hyperlink" Target="https://www.econlib.org/toward-a-constitutional-theory-of-property-r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5221</TotalTime>
  <Pages>23</Pages>
  <Words>11926</Words>
  <Characters>67980</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raunak sood</dc:creator>
  <cp:keywords/>
  <dc:description/>
  <cp:lastModifiedBy>raunak sood</cp:lastModifiedBy>
  <cp:revision>335</cp:revision>
  <cp:lastPrinted>2026-01-29T22:34:00Z</cp:lastPrinted>
  <dcterms:created xsi:type="dcterms:W3CDTF">2025-12-25T06:00:00Z</dcterms:created>
  <dcterms:modified xsi:type="dcterms:W3CDTF">2026-01-29T23:20:00Z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7cd811b3-afae-4f20-b2ec-7ebe02d8fed6</vt:lpwstr>
  </property>
</Properties>
</file>