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F997" w14:textId="0F3B2850" w:rsidR="00946AC7" w:rsidRDefault="001A232D" w:rsidP="000C3BC4">
      <w:pPr>
        <w:spacing w:line="480" w:lineRule="auto"/>
        <w:jc w:val="both"/>
        <w:rPr>
          <w:rFonts w:ascii="Times New Roman" w:hAnsi="Times New Roman" w:cs="Times New Roman"/>
          <w:b/>
          <w:bCs/>
        </w:rPr>
      </w:pPr>
      <w:r w:rsidRPr="00413BD1">
        <w:rPr>
          <w:rFonts w:ascii="Times New Roman" w:hAnsi="Times New Roman" w:cs="Times New Roman"/>
          <w:b/>
          <w:bCs/>
        </w:rPr>
        <w:t>Evaluation of Corporate Social Responsibility in Indonesian Mining Companies in Achieving Sustainable Development Goal 6</w:t>
      </w:r>
    </w:p>
    <w:p w14:paraId="6B86432D" w14:textId="77777777" w:rsidR="00946AC7" w:rsidRDefault="00946AC7">
      <w:pPr>
        <w:rPr>
          <w:rFonts w:ascii="Times New Roman" w:hAnsi="Times New Roman" w:cs="Times New Roman"/>
          <w:b/>
          <w:bCs/>
        </w:rPr>
      </w:pPr>
      <w:r>
        <w:rPr>
          <w:rFonts w:ascii="Times New Roman" w:hAnsi="Times New Roman" w:cs="Times New Roman"/>
          <w:b/>
          <w:bCs/>
        </w:rPr>
        <w:br w:type="page"/>
      </w:r>
    </w:p>
    <w:p w14:paraId="03A5EB29" w14:textId="77777777" w:rsidR="00B01D24" w:rsidRPr="00413BD1" w:rsidRDefault="00B01D24" w:rsidP="000C3BC4">
      <w:pPr>
        <w:spacing w:line="480" w:lineRule="auto"/>
        <w:jc w:val="both"/>
        <w:rPr>
          <w:rFonts w:ascii="Times New Roman" w:hAnsi="Times New Roman" w:cs="Times New Roman"/>
          <w:b/>
          <w:bCs/>
        </w:rPr>
      </w:pPr>
    </w:p>
    <w:p w14:paraId="769C8636" w14:textId="3203CD8E" w:rsidR="00123322" w:rsidRPr="00413BD1" w:rsidRDefault="001A232D" w:rsidP="000C3BC4">
      <w:pPr>
        <w:tabs>
          <w:tab w:val="left" w:pos="7513"/>
        </w:tabs>
        <w:spacing w:before="93" w:line="480" w:lineRule="auto"/>
        <w:ind w:right="92"/>
        <w:jc w:val="both"/>
        <w:rPr>
          <w:rFonts w:ascii="Times New Roman" w:hAnsi="Times New Roman" w:cs="Times New Roman"/>
        </w:rPr>
      </w:pPr>
      <w:r w:rsidRPr="00413BD1">
        <w:rPr>
          <w:rFonts w:ascii="Times New Roman" w:hAnsi="Times New Roman" w:cs="Times New Roman"/>
        </w:rPr>
        <w:t>Wahyu Endah Christiani Putri</w:t>
      </w:r>
      <w:r w:rsidRPr="00413BD1">
        <w:rPr>
          <w:rFonts w:ascii="Times New Roman" w:hAnsi="Times New Roman" w:cs="Times New Roman"/>
          <w:vertAlign w:val="superscript"/>
        </w:rPr>
        <w:t>1*</w:t>
      </w:r>
      <w:r w:rsidRPr="00413BD1">
        <w:rPr>
          <w:rFonts w:ascii="Times New Roman" w:hAnsi="Times New Roman" w:cs="Times New Roman"/>
        </w:rPr>
        <w:t>, Akhmad Zamroni</w:t>
      </w:r>
      <w:r w:rsidRPr="00413BD1">
        <w:rPr>
          <w:rFonts w:ascii="Times New Roman" w:hAnsi="Times New Roman" w:cs="Times New Roman"/>
          <w:vertAlign w:val="superscript"/>
        </w:rPr>
        <w:t>2</w:t>
      </w:r>
      <w:r w:rsidRPr="00413BD1">
        <w:rPr>
          <w:rFonts w:ascii="Times New Roman" w:hAnsi="Times New Roman" w:cs="Times New Roman"/>
        </w:rPr>
        <w:t>, Roel F. Ceballos</w:t>
      </w:r>
      <w:r w:rsidRPr="00413BD1">
        <w:rPr>
          <w:rFonts w:ascii="Times New Roman" w:hAnsi="Times New Roman" w:cs="Times New Roman"/>
          <w:vertAlign w:val="superscript"/>
        </w:rPr>
        <w:t>3</w:t>
      </w:r>
      <w:r w:rsidR="007D1320" w:rsidRPr="00413BD1">
        <w:rPr>
          <w:rFonts w:ascii="Times New Roman" w:hAnsi="Times New Roman" w:cs="Times New Roman"/>
        </w:rPr>
        <w:t>, Ronnel C. Nolos</w:t>
      </w:r>
      <w:r w:rsidR="007D1320" w:rsidRPr="00413BD1">
        <w:rPr>
          <w:rFonts w:ascii="Times New Roman" w:hAnsi="Times New Roman" w:cs="Times New Roman"/>
          <w:vertAlign w:val="superscript"/>
        </w:rPr>
        <w:t>4</w:t>
      </w:r>
      <w:r w:rsidR="000C3BC4" w:rsidRPr="00413BD1">
        <w:rPr>
          <w:rFonts w:ascii="Times New Roman" w:hAnsi="Times New Roman" w:cs="Times New Roman"/>
          <w:vertAlign w:val="superscript"/>
        </w:rPr>
        <w:t>,5</w:t>
      </w:r>
      <w:r w:rsidR="007D1320" w:rsidRPr="00413BD1">
        <w:rPr>
          <w:rFonts w:ascii="Times New Roman" w:hAnsi="Times New Roman" w:cs="Times New Roman"/>
        </w:rPr>
        <w:t>, and Alan Prahutama</w:t>
      </w:r>
      <w:r w:rsidR="000C3BC4" w:rsidRPr="00413BD1">
        <w:rPr>
          <w:rFonts w:ascii="Times New Roman" w:hAnsi="Times New Roman" w:cs="Times New Roman"/>
          <w:vertAlign w:val="superscript"/>
        </w:rPr>
        <w:t>6</w:t>
      </w:r>
    </w:p>
    <w:p w14:paraId="6DD5BC3A" w14:textId="77777777" w:rsidR="00123322" w:rsidRPr="00413BD1" w:rsidRDefault="001A232D" w:rsidP="000C3BC4">
      <w:pPr>
        <w:pStyle w:val="ListParagraph"/>
        <w:widowControl w:val="0"/>
        <w:numPr>
          <w:ilvl w:val="0"/>
          <w:numId w:val="13"/>
        </w:numPr>
        <w:autoSpaceDE w:val="0"/>
        <w:autoSpaceDN w:val="0"/>
        <w:spacing w:before="93" w:after="0" w:line="480" w:lineRule="auto"/>
        <w:ind w:right="518"/>
        <w:contextualSpacing w:val="0"/>
        <w:rPr>
          <w:rFonts w:ascii="Times New Roman" w:hAnsi="Times New Roman" w:cs="Times New Roman"/>
        </w:rPr>
      </w:pPr>
      <w:r w:rsidRPr="00413BD1">
        <w:rPr>
          <w:rFonts w:ascii="Times New Roman" w:hAnsi="Times New Roman" w:cs="Times New Roman"/>
        </w:rPr>
        <w:t xml:space="preserve">Department of Mining Engineering, </w:t>
      </w:r>
      <w:proofErr w:type="spellStart"/>
      <w:r w:rsidRPr="00413BD1">
        <w:rPr>
          <w:rFonts w:ascii="Times New Roman" w:hAnsi="Times New Roman" w:cs="Times New Roman"/>
        </w:rPr>
        <w:t>Institut</w:t>
      </w:r>
      <w:proofErr w:type="spellEnd"/>
      <w:r w:rsidRPr="00413BD1">
        <w:rPr>
          <w:rFonts w:ascii="Times New Roman" w:hAnsi="Times New Roman" w:cs="Times New Roman"/>
        </w:rPr>
        <w:t xml:space="preserve"> </w:t>
      </w:r>
      <w:proofErr w:type="spellStart"/>
      <w:r w:rsidRPr="00413BD1">
        <w:rPr>
          <w:rFonts w:ascii="Times New Roman" w:hAnsi="Times New Roman" w:cs="Times New Roman"/>
        </w:rPr>
        <w:t>Teknologi</w:t>
      </w:r>
      <w:proofErr w:type="spellEnd"/>
      <w:r w:rsidRPr="00413BD1">
        <w:rPr>
          <w:rFonts w:ascii="Times New Roman" w:hAnsi="Times New Roman" w:cs="Times New Roman"/>
        </w:rPr>
        <w:t xml:space="preserve"> Nasional Yogyakarta, Indonesia</w:t>
      </w:r>
    </w:p>
    <w:p w14:paraId="3BA2EB97" w14:textId="77777777" w:rsidR="00123322" w:rsidRPr="00413BD1" w:rsidRDefault="001A232D" w:rsidP="000C3BC4">
      <w:pPr>
        <w:pStyle w:val="ListParagraph"/>
        <w:widowControl w:val="0"/>
        <w:numPr>
          <w:ilvl w:val="0"/>
          <w:numId w:val="13"/>
        </w:numPr>
        <w:autoSpaceDE w:val="0"/>
        <w:autoSpaceDN w:val="0"/>
        <w:spacing w:before="93" w:after="0" w:line="480" w:lineRule="auto"/>
        <w:ind w:right="518"/>
        <w:contextualSpacing w:val="0"/>
        <w:rPr>
          <w:rFonts w:ascii="Times New Roman" w:hAnsi="Times New Roman" w:cs="Times New Roman"/>
        </w:rPr>
      </w:pPr>
      <w:r w:rsidRPr="00413BD1">
        <w:rPr>
          <w:rFonts w:ascii="Times New Roman" w:hAnsi="Times New Roman" w:cs="Times New Roman"/>
        </w:rPr>
        <w:t xml:space="preserve">Department of Geological Engineering, </w:t>
      </w:r>
      <w:proofErr w:type="spellStart"/>
      <w:r w:rsidRPr="00413BD1">
        <w:rPr>
          <w:rFonts w:ascii="Times New Roman" w:hAnsi="Times New Roman" w:cs="Times New Roman"/>
        </w:rPr>
        <w:t>Institut</w:t>
      </w:r>
      <w:proofErr w:type="spellEnd"/>
      <w:r w:rsidRPr="00413BD1">
        <w:rPr>
          <w:rFonts w:ascii="Times New Roman" w:hAnsi="Times New Roman" w:cs="Times New Roman"/>
        </w:rPr>
        <w:t xml:space="preserve"> </w:t>
      </w:r>
      <w:proofErr w:type="spellStart"/>
      <w:r w:rsidRPr="00413BD1">
        <w:rPr>
          <w:rFonts w:ascii="Times New Roman" w:hAnsi="Times New Roman" w:cs="Times New Roman"/>
        </w:rPr>
        <w:t>Teknologi</w:t>
      </w:r>
      <w:proofErr w:type="spellEnd"/>
      <w:r w:rsidRPr="00413BD1">
        <w:rPr>
          <w:rFonts w:ascii="Times New Roman" w:hAnsi="Times New Roman" w:cs="Times New Roman"/>
        </w:rPr>
        <w:t xml:space="preserve"> Nasional Yogyakarta, Indonesia</w:t>
      </w:r>
    </w:p>
    <w:p w14:paraId="7434D6B2" w14:textId="77777777" w:rsidR="00123322" w:rsidRPr="00413BD1" w:rsidRDefault="001A232D" w:rsidP="000C3BC4">
      <w:pPr>
        <w:pStyle w:val="ListParagraph"/>
        <w:widowControl w:val="0"/>
        <w:numPr>
          <w:ilvl w:val="0"/>
          <w:numId w:val="13"/>
        </w:numPr>
        <w:tabs>
          <w:tab w:val="left" w:pos="8789"/>
        </w:tabs>
        <w:autoSpaceDE w:val="0"/>
        <w:autoSpaceDN w:val="0"/>
        <w:spacing w:before="93" w:after="0" w:line="480" w:lineRule="auto"/>
        <w:ind w:right="659"/>
        <w:contextualSpacing w:val="0"/>
        <w:rPr>
          <w:rFonts w:ascii="Times New Roman" w:hAnsi="Times New Roman" w:cs="Times New Roman"/>
        </w:rPr>
      </w:pPr>
      <w:r w:rsidRPr="00413BD1">
        <w:rPr>
          <w:rFonts w:ascii="Times New Roman" w:hAnsi="Times New Roman" w:cs="Times New Roman"/>
        </w:rPr>
        <w:t>Department of Mathematics and Statistics, University of Southeastern Philippines, Philippines</w:t>
      </w:r>
    </w:p>
    <w:p w14:paraId="1A4C7B3E" w14:textId="4B8B91BD" w:rsidR="007D1320" w:rsidRPr="00413BD1" w:rsidRDefault="007D1320" w:rsidP="000C3BC4">
      <w:pPr>
        <w:pStyle w:val="ListParagraph"/>
        <w:widowControl w:val="0"/>
        <w:numPr>
          <w:ilvl w:val="0"/>
          <w:numId w:val="13"/>
        </w:numPr>
        <w:tabs>
          <w:tab w:val="left" w:pos="8789"/>
        </w:tabs>
        <w:autoSpaceDE w:val="0"/>
        <w:autoSpaceDN w:val="0"/>
        <w:spacing w:before="93" w:after="0" w:line="480" w:lineRule="auto"/>
        <w:ind w:right="659"/>
        <w:contextualSpacing w:val="0"/>
        <w:rPr>
          <w:rFonts w:ascii="Times New Roman" w:hAnsi="Times New Roman" w:cs="Times New Roman"/>
        </w:rPr>
      </w:pPr>
      <w:r w:rsidRPr="00413BD1">
        <w:rPr>
          <w:rFonts w:ascii="Times New Roman" w:hAnsi="Times New Roman" w:cs="Times New Roman"/>
        </w:rPr>
        <w:t>College of Environmental Studies, Marinduque State University, Philippines</w:t>
      </w:r>
    </w:p>
    <w:p w14:paraId="15580024" w14:textId="438E13D1" w:rsidR="000C3BC4" w:rsidRPr="00413BD1" w:rsidRDefault="000C3BC4" w:rsidP="000C3BC4">
      <w:pPr>
        <w:pStyle w:val="ListParagraph"/>
        <w:widowControl w:val="0"/>
        <w:numPr>
          <w:ilvl w:val="0"/>
          <w:numId w:val="13"/>
        </w:numPr>
        <w:tabs>
          <w:tab w:val="left" w:pos="8789"/>
        </w:tabs>
        <w:autoSpaceDE w:val="0"/>
        <w:autoSpaceDN w:val="0"/>
        <w:spacing w:before="93" w:after="0" w:line="480" w:lineRule="auto"/>
        <w:ind w:right="659"/>
        <w:contextualSpacing w:val="0"/>
        <w:rPr>
          <w:rFonts w:ascii="Times New Roman" w:hAnsi="Times New Roman" w:cs="Times New Roman"/>
        </w:rPr>
      </w:pPr>
      <w:r w:rsidRPr="00413BD1">
        <w:rPr>
          <w:rFonts w:ascii="Times New Roman" w:hAnsi="Times New Roman" w:cs="Times New Roman"/>
        </w:rPr>
        <w:t>Department of Environmental Science, College of Agriculture, Life, and Environmental Sciences, University of Arizona, Tucson, 85721, USA</w:t>
      </w:r>
    </w:p>
    <w:p w14:paraId="2A1D5883" w14:textId="51BF4349" w:rsidR="00123322" w:rsidRPr="00413BD1" w:rsidRDefault="007D1320" w:rsidP="000C3BC4">
      <w:pPr>
        <w:pStyle w:val="ListParagraph"/>
        <w:widowControl w:val="0"/>
        <w:numPr>
          <w:ilvl w:val="0"/>
          <w:numId w:val="13"/>
        </w:numPr>
        <w:tabs>
          <w:tab w:val="left" w:pos="8789"/>
        </w:tabs>
        <w:autoSpaceDE w:val="0"/>
        <w:autoSpaceDN w:val="0"/>
        <w:spacing w:before="93" w:after="0" w:line="480" w:lineRule="auto"/>
        <w:ind w:right="659"/>
        <w:contextualSpacing w:val="0"/>
        <w:rPr>
          <w:rFonts w:ascii="Times New Roman" w:hAnsi="Times New Roman" w:cs="Times New Roman"/>
        </w:rPr>
      </w:pPr>
      <w:r w:rsidRPr="00413BD1">
        <w:rPr>
          <w:rFonts w:ascii="Times New Roman" w:hAnsi="Times New Roman" w:cs="Times New Roman"/>
        </w:rPr>
        <w:t xml:space="preserve">Department of Statistics, </w:t>
      </w:r>
      <w:proofErr w:type="spellStart"/>
      <w:r w:rsidRPr="00413BD1">
        <w:rPr>
          <w:rFonts w:ascii="Times New Roman" w:hAnsi="Times New Roman" w:cs="Times New Roman"/>
        </w:rPr>
        <w:t>Diponegoro</w:t>
      </w:r>
      <w:proofErr w:type="spellEnd"/>
      <w:r w:rsidRPr="00413BD1">
        <w:rPr>
          <w:rFonts w:ascii="Times New Roman" w:hAnsi="Times New Roman" w:cs="Times New Roman"/>
        </w:rPr>
        <w:t xml:space="preserve"> University, Indonesia</w:t>
      </w:r>
    </w:p>
    <w:p w14:paraId="42D95828" w14:textId="77777777" w:rsidR="00123322" w:rsidRPr="00413BD1" w:rsidRDefault="001A232D" w:rsidP="000C3BC4">
      <w:pPr>
        <w:spacing w:before="93" w:line="480" w:lineRule="auto"/>
        <w:ind w:right="2760"/>
        <w:rPr>
          <w:rFonts w:ascii="Times New Roman" w:hAnsi="Times New Roman" w:cs="Times New Roman"/>
        </w:rPr>
      </w:pPr>
      <w:r w:rsidRPr="00413BD1">
        <w:rPr>
          <w:rFonts w:ascii="Times New Roman" w:hAnsi="Times New Roman" w:cs="Times New Roman"/>
        </w:rPr>
        <w:t>*Corresponding author: wahyuendah@itny.ac.id</w:t>
      </w:r>
    </w:p>
    <w:p w14:paraId="2717C3B6" w14:textId="77777777" w:rsidR="00A6077C" w:rsidRPr="00413BD1" w:rsidRDefault="00A6077C" w:rsidP="000C3BC4">
      <w:pPr>
        <w:spacing w:line="480" w:lineRule="auto"/>
        <w:jc w:val="center"/>
        <w:rPr>
          <w:rFonts w:ascii="Times New Roman" w:hAnsi="Times New Roman" w:cs="Times New Roman"/>
          <w:b/>
          <w:bCs/>
        </w:rPr>
      </w:pPr>
    </w:p>
    <w:p w14:paraId="55BBD40A" w14:textId="77777777" w:rsidR="00A6077C" w:rsidRPr="00413BD1" w:rsidRDefault="00A6077C" w:rsidP="000C3BC4">
      <w:pPr>
        <w:spacing w:line="480" w:lineRule="auto"/>
        <w:jc w:val="both"/>
        <w:rPr>
          <w:rStyle w:val="Hyperlink"/>
          <w:rFonts w:ascii="Times New Roman" w:hAnsi="Times New Roman" w:cs="Times New Roman"/>
          <w:color w:val="auto"/>
        </w:rPr>
      </w:pPr>
    </w:p>
    <w:p w14:paraId="21C262F2" w14:textId="77777777" w:rsidR="00123322" w:rsidRPr="00413BD1" w:rsidRDefault="001A232D" w:rsidP="000C3BC4">
      <w:pPr>
        <w:spacing w:line="480" w:lineRule="auto"/>
        <w:rPr>
          <w:rStyle w:val="Hyperlink"/>
          <w:rFonts w:ascii="Times New Roman" w:hAnsi="Times New Roman" w:cs="Times New Roman"/>
          <w:b/>
          <w:bCs/>
          <w:color w:val="auto"/>
          <w:u w:val="none"/>
        </w:rPr>
      </w:pPr>
      <w:r w:rsidRPr="00413BD1">
        <w:rPr>
          <w:rStyle w:val="Hyperlink"/>
          <w:rFonts w:ascii="Times New Roman" w:hAnsi="Times New Roman" w:cs="Times New Roman"/>
          <w:b/>
          <w:bCs/>
          <w:color w:val="auto"/>
          <w:u w:val="none"/>
        </w:rPr>
        <w:br w:type="page"/>
      </w:r>
    </w:p>
    <w:p w14:paraId="395A9330" w14:textId="77777777" w:rsidR="00A6077C" w:rsidRPr="00413BD1" w:rsidRDefault="001A232D" w:rsidP="000C3BC4">
      <w:pPr>
        <w:spacing w:line="480" w:lineRule="auto"/>
        <w:jc w:val="center"/>
        <w:rPr>
          <w:rFonts w:ascii="Times New Roman" w:hAnsi="Times New Roman" w:cs="Times New Roman"/>
          <w:b/>
          <w:bCs/>
        </w:rPr>
      </w:pPr>
      <w:r w:rsidRPr="00413BD1">
        <w:rPr>
          <w:rStyle w:val="Hyperlink"/>
          <w:rFonts w:ascii="Times New Roman" w:hAnsi="Times New Roman" w:cs="Times New Roman"/>
          <w:b/>
          <w:bCs/>
          <w:color w:val="auto"/>
          <w:u w:val="none"/>
        </w:rPr>
        <w:lastRenderedPageBreak/>
        <w:t>Abstract</w:t>
      </w:r>
    </w:p>
    <w:p w14:paraId="7F7D75C3" w14:textId="0FECC52E" w:rsidR="00615834"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 xml:space="preserve">The United Nations (UN) launched the Sustainable Development Goal (SDG) 6 global acceleration framework to address sustainable water resource management. </w:t>
      </w:r>
      <w:r w:rsidR="0070422F" w:rsidRPr="00413BD1">
        <w:rPr>
          <w:rFonts w:ascii="Times New Roman" w:hAnsi="Times New Roman" w:cs="Times New Roman"/>
        </w:rPr>
        <w:t>T</w:t>
      </w:r>
      <w:r w:rsidRPr="00413BD1">
        <w:rPr>
          <w:rFonts w:ascii="Times New Roman" w:hAnsi="Times New Roman" w:cs="Times New Roman"/>
        </w:rPr>
        <w:t xml:space="preserve">here is an ongoing debate about </w:t>
      </w:r>
      <w:r w:rsidR="007D1320" w:rsidRPr="00413BD1">
        <w:rPr>
          <w:rFonts w:ascii="Times New Roman" w:hAnsi="Times New Roman" w:cs="Times New Roman"/>
        </w:rPr>
        <w:t>the adequacy of corporate social responsibility (</w:t>
      </w:r>
      <w:r w:rsidRPr="00413BD1">
        <w:rPr>
          <w:rFonts w:ascii="Times New Roman" w:hAnsi="Times New Roman" w:cs="Times New Roman"/>
        </w:rPr>
        <w:t>CSR</w:t>
      </w:r>
      <w:r w:rsidR="007D1320" w:rsidRPr="00413BD1">
        <w:rPr>
          <w:rFonts w:ascii="Times New Roman" w:hAnsi="Times New Roman" w:cs="Times New Roman"/>
        </w:rPr>
        <w:t xml:space="preserve">) </w:t>
      </w:r>
      <w:r w:rsidRPr="00413BD1">
        <w:rPr>
          <w:rFonts w:ascii="Times New Roman" w:hAnsi="Times New Roman" w:cs="Times New Roman"/>
        </w:rPr>
        <w:t>in achieving the SDGs</w:t>
      </w:r>
      <w:r w:rsidR="007D1320" w:rsidRPr="00413BD1">
        <w:rPr>
          <w:rFonts w:ascii="Times New Roman" w:hAnsi="Times New Roman" w:cs="Times New Roman"/>
        </w:rPr>
        <w:t>. T</w:t>
      </w:r>
      <w:r w:rsidRPr="00413BD1">
        <w:rPr>
          <w:rFonts w:ascii="Times New Roman" w:hAnsi="Times New Roman" w:cs="Times New Roman"/>
        </w:rPr>
        <w:t xml:space="preserve">his study evaluates the CSR activities of mining companies in Indonesia, </w:t>
      </w:r>
      <w:proofErr w:type="spellStart"/>
      <w:r w:rsidRPr="00413BD1">
        <w:rPr>
          <w:rFonts w:ascii="Times New Roman" w:hAnsi="Times New Roman" w:cs="Times New Roman"/>
        </w:rPr>
        <w:t>analyzing</w:t>
      </w:r>
      <w:proofErr w:type="spellEnd"/>
      <w:r w:rsidRPr="00413BD1">
        <w:rPr>
          <w:rFonts w:ascii="Times New Roman" w:hAnsi="Times New Roman" w:cs="Times New Roman"/>
        </w:rPr>
        <w:t xml:space="preserve"> their CSR or sustainability reports on company websites. The seven CSR samples came from Indonesian mining companies chosen at random. Several questions focused on various water and sanitation issues were proposed to evaluate corporations' contributions to attaining SDG 6. Initiatives for CSR undertaken by Indonesian mining firms contribute to the achievement of SDG 6 by improving water accessibility, sanitation, quality, and ecosystem restoration. The initiative has several limitations, including inadequate monitoring, a narrow focus, reliance on outside funding, technological integration gaps, biodiversity preservation, environmental effects, international collaboration, standards, and communication with stakeholders. Recommendations for policy reform with focus </w:t>
      </w:r>
      <w:proofErr w:type="gramStart"/>
      <w:r w:rsidRPr="00413BD1">
        <w:rPr>
          <w:rFonts w:ascii="Times New Roman" w:hAnsi="Times New Roman" w:cs="Times New Roman"/>
        </w:rPr>
        <w:t>on  increasing</w:t>
      </w:r>
      <w:proofErr w:type="gramEnd"/>
      <w:r w:rsidRPr="00413BD1">
        <w:rPr>
          <w:rFonts w:ascii="Times New Roman" w:hAnsi="Times New Roman" w:cs="Times New Roman"/>
        </w:rPr>
        <w:t xml:space="preserve"> openness about CSR, strengthening internal capabilities, minimizing reliance on external factors, empowering communities, incorporating advanced technology, establishing precise biodiversity metrics, fostering international cooperation, and adhering to global standards to build stakeholder trust must be generated to enhance local impact and ensure long-term viability.</w:t>
      </w:r>
    </w:p>
    <w:p w14:paraId="0B1BB76C" w14:textId="77777777" w:rsidR="00B91F0E" w:rsidRPr="00413BD1" w:rsidRDefault="001A232D" w:rsidP="000C3BC4">
      <w:pPr>
        <w:spacing w:line="480" w:lineRule="auto"/>
        <w:jc w:val="both"/>
        <w:rPr>
          <w:rFonts w:ascii="Times New Roman" w:hAnsi="Times New Roman" w:cs="Times New Roman"/>
          <w:b/>
          <w:bCs/>
        </w:rPr>
      </w:pPr>
      <w:r w:rsidRPr="00413BD1">
        <w:rPr>
          <w:rFonts w:ascii="Times New Roman" w:hAnsi="Times New Roman" w:cs="Times New Roman"/>
          <w:b/>
          <w:bCs/>
        </w:rPr>
        <w:t xml:space="preserve">Keywords: </w:t>
      </w:r>
      <w:r w:rsidRPr="00413BD1">
        <w:rPr>
          <w:rFonts w:ascii="Times New Roman" w:hAnsi="Times New Roman" w:cs="Times New Roman"/>
        </w:rPr>
        <w:t>CSR, SDG 6, mining company, water, stakeholder</w:t>
      </w:r>
      <w:r w:rsidR="00E26C95" w:rsidRPr="00413BD1">
        <w:rPr>
          <w:rFonts w:ascii="Times New Roman" w:hAnsi="Times New Roman" w:cs="Times New Roman"/>
        </w:rPr>
        <w:t>s, sanitation</w:t>
      </w:r>
    </w:p>
    <w:p w14:paraId="40B42CD7" w14:textId="77777777" w:rsidR="008E2698" w:rsidRPr="00413BD1" w:rsidRDefault="001A232D" w:rsidP="000C3BC4">
      <w:pPr>
        <w:spacing w:line="480" w:lineRule="auto"/>
        <w:rPr>
          <w:rFonts w:ascii="Times New Roman" w:hAnsi="Times New Roman" w:cs="Times New Roman"/>
          <w:b/>
          <w:bCs/>
        </w:rPr>
      </w:pPr>
      <w:r w:rsidRPr="00413BD1">
        <w:rPr>
          <w:rFonts w:ascii="Times New Roman" w:hAnsi="Times New Roman" w:cs="Times New Roman"/>
          <w:b/>
          <w:bCs/>
        </w:rPr>
        <w:br w:type="page"/>
      </w:r>
    </w:p>
    <w:p w14:paraId="4ED847CE" w14:textId="6ADA3F14" w:rsidR="004A2AF8" w:rsidRPr="00413BD1" w:rsidRDefault="001A232D" w:rsidP="000C3BC4">
      <w:pPr>
        <w:pStyle w:val="ListParagraph"/>
        <w:numPr>
          <w:ilvl w:val="0"/>
          <w:numId w:val="14"/>
        </w:numPr>
        <w:spacing w:line="480" w:lineRule="auto"/>
        <w:ind w:left="284" w:hanging="284"/>
        <w:jc w:val="both"/>
        <w:rPr>
          <w:rFonts w:ascii="Times New Roman" w:hAnsi="Times New Roman" w:cs="Times New Roman"/>
          <w:b/>
          <w:bCs/>
        </w:rPr>
      </w:pPr>
      <w:r w:rsidRPr="00413BD1">
        <w:rPr>
          <w:rFonts w:ascii="Times New Roman" w:hAnsi="Times New Roman" w:cs="Times New Roman"/>
          <w:b/>
          <w:bCs/>
        </w:rPr>
        <w:lastRenderedPageBreak/>
        <w:t>Introduction</w:t>
      </w:r>
    </w:p>
    <w:p w14:paraId="5A478133" w14:textId="749A32FA" w:rsidR="00484A3B" w:rsidRPr="00413BD1" w:rsidRDefault="001A232D" w:rsidP="000C3BC4">
      <w:pPr>
        <w:spacing w:line="480" w:lineRule="auto"/>
        <w:ind w:firstLine="709"/>
        <w:jc w:val="both"/>
        <w:rPr>
          <w:rFonts w:ascii="Times New Roman" w:hAnsi="Times New Roman" w:cs="Times New Roman"/>
        </w:rPr>
      </w:pPr>
      <w:r w:rsidRPr="00413BD1">
        <w:rPr>
          <w:rFonts w:ascii="Times New Roman" w:hAnsi="Times New Roman" w:cs="Times New Roman"/>
        </w:rPr>
        <w:t>Corporate social responsibility (CSR) has gained significant attention, reflecting the initiatives of corporations and industries to benefit society. The implementation of CSR is anticipated to foster economic and social development; however, CSR practices within the extractive sector, particularly in developing nations, provoke discussions among stakeholders. The discussions primarily focus on the detrimental perception of extractive industries concerning environmental degradation and the exploitation of local populations (</w:t>
      </w:r>
      <w:proofErr w:type="spellStart"/>
      <w:r w:rsidRPr="00413BD1">
        <w:rPr>
          <w:rFonts w:ascii="Times New Roman" w:hAnsi="Times New Roman" w:cs="Times New Roman"/>
        </w:rPr>
        <w:t>Anggoro</w:t>
      </w:r>
      <w:proofErr w:type="spellEnd"/>
      <w:r w:rsidRPr="00413BD1">
        <w:rPr>
          <w:rFonts w:ascii="Times New Roman" w:hAnsi="Times New Roman" w:cs="Times New Roman"/>
        </w:rPr>
        <w:t xml:space="preserve"> et al., 2021</w:t>
      </w:r>
      <w:r w:rsidR="00692B8B" w:rsidRPr="00413BD1">
        <w:rPr>
          <w:rFonts w:ascii="Times New Roman" w:hAnsi="Times New Roman" w:cs="Times New Roman"/>
        </w:rPr>
        <w:t xml:space="preserve">; </w:t>
      </w:r>
      <w:proofErr w:type="spellStart"/>
      <w:r w:rsidR="00692B8B" w:rsidRPr="00413BD1">
        <w:rPr>
          <w:rFonts w:ascii="Times New Roman" w:hAnsi="Times New Roman" w:cs="Times New Roman"/>
        </w:rPr>
        <w:t>Nyakuwanika</w:t>
      </w:r>
      <w:proofErr w:type="spellEnd"/>
      <w:r w:rsidR="00692B8B" w:rsidRPr="00413BD1">
        <w:rPr>
          <w:rFonts w:ascii="Times New Roman" w:hAnsi="Times New Roman" w:cs="Times New Roman"/>
        </w:rPr>
        <w:t xml:space="preserve"> et al., 2023</w:t>
      </w:r>
      <w:r w:rsidRPr="00413BD1">
        <w:rPr>
          <w:rFonts w:ascii="Times New Roman" w:hAnsi="Times New Roman" w:cs="Times New Roman"/>
        </w:rPr>
        <w:t xml:space="preserve">). </w:t>
      </w:r>
      <w:r w:rsidR="00682439" w:rsidRPr="00413BD1">
        <w:rPr>
          <w:rFonts w:ascii="Times New Roman" w:hAnsi="Times New Roman" w:cs="Times New Roman"/>
        </w:rPr>
        <w:t>Mining, oil, and gas companies (including geothermal energy) must have a more complete "social obligation" to local communities, notably in Indonesia, because they use natural resources near these areas (</w:t>
      </w:r>
      <w:proofErr w:type="spellStart"/>
      <w:r w:rsidR="003369FB" w:rsidRPr="00413BD1">
        <w:rPr>
          <w:rFonts w:ascii="Times New Roman" w:hAnsi="Times New Roman" w:cs="Times New Roman"/>
        </w:rPr>
        <w:t>Kurniati</w:t>
      </w:r>
      <w:proofErr w:type="spellEnd"/>
      <w:r w:rsidR="003369FB" w:rsidRPr="00413BD1">
        <w:rPr>
          <w:rFonts w:ascii="Times New Roman" w:hAnsi="Times New Roman" w:cs="Times New Roman"/>
        </w:rPr>
        <w:t xml:space="preserve"> et al., 2023; </w:t>
      </w:r>
      <w:r w:rsidR="00682439" w:rsidRPr="00413BD1">
        <w:rPr>
          <w:rFonts w:ascii="Times New Roman" w:hAnsi="Times New Roman" w:cs="Times New Roman"/>
        </w:rPr>
        <w:t>Zamroni et al., 2022</w:t>
      </w:r>
      <w:r w:rsidR="003673DA" w:rsidRPr="00413BD1">
        <w:rPr>
          <w:rFonts w:ascii="Times New Roman" w:hAnsi="Times New Roman" w:cs="Times New Roman"/>
        </w:rPr>
        <w:t>a</w:t>
      </w:r>
      <w:r w:rsidR="00682439" w:rsidRPr="00413BD1">
        <w:rPr>
          <w:rFonts w:ascii="Times New Roman" w:hAnsi="Times New Roman" w:cs="Times New Roman"/>
        </w:rPr>
        <w:t xml:space="preserve">). </w:t>
      </w:r>
      <w:r w:rsidRPr="00413BD1">
        <w:rPr>
          <w:rFonts w:ascii="Times New Roman" w:hAnsi="Times New Roman" w:cs="Times New Roman"/>
        </w:rPr>
        <w:t>As a developing nation, Indonesia has yet to establish a comprehensive regulatory framework concerning the social responsibility of mining companies. Initially, CSR was mandated solely for state-owned enterprises (SOEs), but this requirement was extended to encompass foreign direct investment, including mining companies. Following the implementation of the Company Act in 2007, CSR activities have been mandated for all companies in Indonesia (Agus, 2020</w:t>
      </w:r>
      <w:r w:rsidR="00692B8B" w:rsidRPr="00413BD1">
        <w:rPr>
          <w:rFonts w:ascii="Times New Roman" w:hAnsi="Times New Roman" w:cs="Times New Roman"/>
        </w:rPr>
        <w:t xml:space="preserve">; </w:t>
      </w:r>
      <w:proofErr w:type="spellStart"/>
      <w:r w:rsidR="00692B8B" w:rsidRPr="00413BD1">
        <w:rPr>
          <w:rFonts w:ascii="Times New Roman" w:hAnsi="Times New Roman" w:cs="Times New Roman"/>
        </w:rPr>
        <w:t>Suryaputra</w:t>
      </w:r>
      <w:proofErr w:type="spellEnd"/>
      <w:r w:rsidR="00692B8B" w:rsidRPr="00413BD1">
        <w:rPr>
          <w:rFonts w:ascii="Times New Roman" w:hAnsi="Times New Roman" w:cs="Times New Roman"/>
        </w:rPr>
        <w:t xml:space="preserve"> et al., 2024</w:t>
      </w:r>
      <w:r w:rsidRPr="00413BD1">
        <w:rPr>
          <w:rFonts w:ascii="Times New Roman" w:hAnsi="Times New Roman" w:cs="Times New Roman"/>
        </w:rPr>
        <w:t>). Mining activities result in adverse environmental effects and social conflicts, yet they offer economic advantages to communities and ensure the availability of minerals essential for low-carbon technology (</w:t>
      </w:r>
      <w:proofErr w:type="spellStart"/>
      <w:r w:rsidRPr="00413BD1">
        <w:rPr>
          <w:rFonts w:ascii="Times New Roman" w:hAnsi="Times New Roman" w:cs="Times New Roman"/>
        </w:rPr>
        <w:t>Ivic</w:t>
      </w:r>
      <w:proofErr w:type="spellEnd"/>
      <w:r w:rsidRPr="00413BD1">
        <w:rPr>
          <w:rFonts w:ascii="Times New Roman" w:hAnsi="Times New Roman" w:cs="Times New Roman"/>
        </w:rPr>
        <w:t xml:space="preserve"> et al., 2021</w:t>
      </w:r>
      <w:r w:rsidR="00682439" w:rsidRPr="00413BD1">
        <w:rPr>
          <w:rFonts w:ascii="Times New Roman" w:hAnsi="Times New Roman" w:cs="Times New Roman"/>
        </w:rPr>
        <w:t xml:space="preserve">; </w:t>
      </w:r>
      <w:proofErr w:type="spellStart"/>
      <w:r w:rsidR="00682439" w:rsidRPr="00413BD1">
        <w:rPr>
          <w:rFonts w:ascii="Times New Roman" w:hAnsi="Times New Roman" w:cs="Times New Roman"/>
        </w:rPr>
        <w:t>Nolos</w:t>
      </w:r>
      <w:proofErr w:type="spellEnd"/>
      <w:r w:rsidR="00682439" w:rsidRPr="00413BD1">
        <w:rPr>
          <w:rFonts w:ascii="Times New Roman" w:hAnsi="Times New Roman" w:cs="Times New Roman"/>
        </w:rPr>
        <w:t xml:space="preserve"> et al., 2023</w:t>
      </w:r>
      <w:r w:rsidR="003673DA" w:rsidRPr="00413BD1">
        <w:rPr>
          <w:rFonts w:ascii="Times New Roman" w:hAnsi="Times New Roman" w:cs="Times New Roman"/>
        </w:rPr>
        <w:t xml:space="preserve">; </w:t>
      </w:r>
      <w:proofErr w:type="spellStart"/>
      <w:r w:rsidR="00692B8B" w:rsidRPr="00413BD1">
        <w:rPr>
          <w:rFonts w:ascii="Times New Roman" w:hAnsi="Times New Roman" w:cs="Times New Roman"/>
        </w:rPr>
        <w:t>Pradnyani</w:t>
      </w:r>
      <w:proofErr w:type="spellEnd"/>
      <w:r w:rsidR="00692B8B" w:rsidRPr="00413BD1">
        <w:rPr>
          <w:rFonts w:ascii="Times New Roman" w:hAnsi="Times New Roman" w:cs="Times New Roman"/>
        </w:rPr>
        <w:t xml:space="preserve"> et al., 2024; </w:t>
      </w:r>
      <w:proofErr w:type="spellStart"/>
      <w:r w:rsidR="003C5862" w:rsidRPr="00413BD1">
        <w:rPr>
          <w:rFonts w:ascii="Times New Roman" w:hAnsi="Times New Roman" w:cs="Times New Roman"/>
        </w:rPr>
        <w:t>Trisnaning</w:t>
      </w:r>
      <w:proofErr w:type="spellEnd"/>
      <w:r w:rsidR="003C5862" w:rsidRPr="00413BD1">
        <w:rPr>
          <w:rFonts w:ascii="Times New Roman" w:hAnsi="Times New Roman" w:cs="Times New Roman"/>
        </w:rPr>
        <w:t xml:space="preserve"> et al., 2022; </w:t>
      </w:r>
      <w:r w:rsidR="003673DA" w:rsidRPr="00413BD1">
        <w:rPr>
          <w:rFonts w:ascii="Times New Roman" w:hAnsi="Times New Roman" w:cs="Times New Roman"/>
        </w:rPr>
        <w:t>Zamroni et al., 2022b</w:t>
      </w:r>
      <w:r w:rsidRPr="00413BD1">
        <w:rPr>
          <w:rFonts w:ascii="Times New Roman" w:hAnsi="Times New Roman" w:cs="Times New Roman"/>
        </w:rPr>
        <w:t xml:space="preserve">). In the second quarter of 2018 and 2019, mining companies contributed 7.77% and 7.38% to Indonesia's gross domestic product (GDP). Conversely, individuals associated with the business experienced the adverse effects of overexploitation of mining and natural resources. The Ministry of Environment and Forestry reported that between 2017 and 2018, eleven mining companies were deemed guilty of environmental pollution and faced various sanctions. A company should not solely prioritize the interests of internal stakeholders, including management and shareholders, but must also consider environmental factors </w:t>
      </w:r>
      <w:r w:rsidRPr="00413BD1">
        <w:rPr>
          <w:rFonts w:ascii="Times New Roman" w:hAnsi="Times New Roman" w:cs="Times New Roman"/>
        </w:rPr>
        <w:lastRenderedPageBreak/>
        <w:t>and the broader community's interests (</w:t>
      </w:r>
      <w:proofErr w:type="spellStart"/>
      <w:r w:rsidRPr="00413BD1">
        <w:rPr>
          <w:rFonts w:ascii="Times New Roman" w:hAnsi="Times New Roman" w:cs="Times New Roman"/>
        </w:rPr>
        <w:t>Nuswantara</w:t>
      </w:r>
      <w:proofErr w:type="spellEnd"/>
      <w:r w:rsidRPr="00413BD1">
        <w:rPr>
          <w:rFonts w:ascii="Times New Roman" w:hAnsi="Times New Roman" w:cs="Times New Roman"/>
        </w:rPr>
        <w:t xml:space="preserve"> &amp; </w:t>
      </w:r>
      <w:proofErr w:type="spellStart"/>
      <w:r w:rsidRPr="00413BD1">
        <w:rPr>
          <w:rFonts w:ascii="Times New Roman" w:hAnsi="Times New Roman" w:cs="Times New Roman"/>
        </w:rPr>
        <w:t>Pramesti</w:t>
      </w:r>
      <w:proofErr w:type="spellEnd"/>
      <w:r w:rsidRPr="00413BD1">
        <w:rPr>
          <w:rFonts w:ascii="Times New Roman" w:hAnsi="Times New Roman" w:cs="Times New Roman"/>
        </w:rPr>
        <w:t xml:space="preserve">, 2020). </w:t>
      </w:r>
      <w:r w:rsidR="007D1320" w:rsidRPr="00413BD1">
        <w:rPr>
          <w:rFonts w:ascii="Times New Roman" w:hAnsi="Times New Roman" w:cs="Times New Roman"/>
        </w:rPr>
        <w:t>Managing sustainability well, particularly in business, also helps set a company apart from others and gives it a strong advantage over competitors (Diaz-Iglesias et al., 2021).</w:t>
      </w:r>
    </w:p>
    <w:p w14:paraId="043479CB" w14:textId="77777777" w:rsidR="001B5022" w:rsidRPr="00413BD1" w:rsidRDefault="001A232D" w:rsidP="000C3BC4">
      <w:pPr>
        <w:spacing w:line="480" w:lineRule="auto"/>
        <w:ind w:firstLine="720"/>
        <w:jc w:val="both"/>
        <w:rPr>
          <w:rFonts w:ascii="Times New Roman" w:hAnsi="Times New Roman" w:cs="Times New Roman"/>
        </w:rPr>
      </w:pPr>
      <w:r w:rsidRPr="00413BD1">
        <w:rPr>
          <w:rFonts w:ascii="Times New Roman" w:hAnsi="Times New Roman" w:cs="Times New Roman"/>
        </w:rPr>
        <w:t>The United Nations General Assembly established the Sustainable Development Goals (SDGs) 2015 as a comprehensive global initiative to promote sustainable development by emphasizing the five fundamental pillars of people, planet, prosperity, peace, and partnership. The SDGs, comprising 17 integrated objectives, aim to foster a harmonious interplay among human, social, economic, and environmental dimensions to realize these targets by 2030 (</w:t>
      </w:r>
      <w:proofErr w:type="spellStart"/>
      <w:r w:rsidRPr="00413BD1">
        <w:rPr>
          <w:rFonts w:ascii="Times New Roman" w:hAnsi="Times New Roman" w:cs="Times New Roman"/>
        </w:rPr>
        <w:t>Wilasittha</w:t>
      </w:r>
      <w:proofErr w:type="spellEnd"/>
      <w:r w:rsidRPr="00413BD1">
        <w:rPr>
          <w:rFonts w:ascii="Times New Roman" w:hAnsi="Times New Roman" w:cs="Times New Roman"/>
        </w:rPr>
        <w:t xml:space="preserve"> et al., 2022). The predominant method for conveying advancements in sustainable development involves publishing annual sustainability reports. These documents enable companies to disclose non-financial dimensions of their operations, encompassing environmental and social repercussions and matters related to corporate governance (</w:t>
      </w:r>
      <w:proofErr w:type="spellStart"/>
      <w:r w:rsidRPr="00413BD1">
        <w:rPr>
          <w:rFonts w:ascii="Times New Roman" w:hAnsi="Times New Roman" w:cs="Times New Roman"/>
        </w:rPr>
        <w:t>Ivic</w:t>
      </w:r>
      <w:proofErr w:type="spellEnd"/>
      <w:r w:rsidRPr="00413BD1">
        <w:rPr>
          <w:rFonts w:ascii="Times New Roman" w:hAnsi="Times New Roman" w:cs="Times New Roman"/>
        </w:rPr>
        <w:t xml:space="preserve"> et al., 2021). In truth, numerous enterprises in Indonesia have adversely affected their environments and the four foundational aspects of sustainable development goals: economic sustainability, environmental sustainability, social sustainability, and cultural sustainability. For example, the operations of mining companies are intricately connected to the environment and society. Business activities characterized by high risk encompass those that influence health, safety, environmental conditions, and the management of natural resources. The Indonesian Government Regulation No. 5 (2021) defines risk as potential damage or loss from hazards. The risk dimensions include safety, health, environmental considerations, resource utilization, and management practices. Consequently, industries characterized by high risk that affect the environment and society ought to articulate their commitment to sustainability about the pillars of the Sustainable Development Goals within their Sustainability Reports (Husnah &amp; </w:t>
      </w:r>
      <w:proofErr w:type="spellStart"/>
      <w:r w:rsidRPr="00413BD1">
        <w:rPr>
          <w:rFonts w:ascii="Times New Roman" w:hAnsi="Times New Roman" w:cs="Times New Roman"/>
        </w:rPr>
        <w:t>Fahlevi</w:t>
      </w:r>
      <w:proofErr w:type="spellEnd"/>
      <w:r w:rsidRPr="00413BD1">
        <w:rPr>
          <w:rFonts w:ascii="Times New Roman" w:hAnsi="Times New Roman" w:cs="Times New Roman"/>
        </w:rPr>
        <w:t xml:space="preserve">, 2023). </w:t>
      </w:r>
      <w:r w:rsidR="005522CE" w:rsidRPr="00413BD1">
        <w:rPr>
          <w:rFonts w:ascii="Times New Roman" w:hAnsi="Times New Roman" w:cs="Times New Roman"/>
        </w:rPr>
        <w:t xml:space="preserve"> </w:t>
      </w:r>
    </w:p>
    <w:p w14:paraId="6C310250" w14:textId="77777777" w:rsidR="00637400" w:rsidRPr="00413BD1" w:rsidRDefault="001A232D" w:rsidP="000C3BC4">
      <w:pPr>
        <w:spacing w:line="480" w:lineRule="auto"/>
        <w:ind w:firstLine="720"/>
        <w:jc w:val="both"/>
        <w:rPr>
          <w:rFonts w:ascii="Times New Roman" w:hAnsi="Times New Roman" w:cs="Times New Roman"/>
        </w:rPr>
      </w:pPr>
      <w:r w:rsidRPr="00413BD1">
        <w:rPr>
          <w:rFonts w:ascii="Times New Roman" w:hAnsi="Times New Roman" w:cs="Times New Roman"/>
        </w:rPr>
        <w:t xml:space="preserve">Access to clean water and adequate sanitation is crucial for survival, having been explicitly acknowledged as a human right by the United Nations (UN) in 2010. Five years later, this recognition </w:t>
      </w:r>
      <w:r w:rsidRPr="00413BD1">
        <w:rPr>
          <w:rFonts w:ascii="Times New Roman" w:hAnsi="Times New Roman" w:cs="Times New Roman"/>
        </w:rPr>
        <w:lastRenderedPageBreak/>
        <w:t xml:space="preserve">was reiterated in the 2030 Agenda for SDG 6, which seeks to guarantee the availability and sustainable management of water and sanitation for all by 2030 (Ho et al., 2020). SDG 6 includes six primary targets, nine essential indicators, and two means of implementation targets and indicators. Through the Integrated Monitoring Initiative for SDG 6, run by UN-Water, United Nations custodian agencies will monitor and report indicators for SDG 6 internationally. National data and results will be the foundation for all monitoring and reporting activities. UN-Water has set out four steps for advancing SDG 6: first, adapting enabling environments to make implementation easier; next, moving forward through implementation; evaluating progress through monitoring and evaluation; and finally, assessing progress with follow-up and review (Guppy et al., 2019). SDG 6 guarantees the availability and sustainable management of water and sanitation for all populations. The primary objective is subdivided into six specific subgoals: (1) enhancing access to drinking water; (2) improving sanitation access; (3) mitigating water pollution; (4) optimizing water use efficiencies and ensuring sustainable withdrawals; (5) executing integrated water resource management (IWRM); and (6) safeguarding water-related ecosystems (Lele, 2017). </w:t>
      </w:r>
    </w:p>
    <w:p w14:paraId="2F329F4A" w14:textId="30264828" w:rsidR="00AE1B59" w:rsidRPr="00413BD1" w:rsidRDefault="001A232D" w:rsidP="000C3BC4">
      <w:pPr>
        <w:spacing w:line="480" w:lineRule="auto"/>
        <w:ind w:firstLine="720"/>
        <w:jc w:val="both"/>
        <w:rPr>
          <w:rFonts w:ascii="Times New Roman" w:hAnsi="Times New Roman" w:cs="Times New Roman"/>
        </w:rPr>
      </w:pPr>
      <w:r w:rsidRPr="00413BD1">
        <w:rPr>
          <w:rFonts w:ascii="Times New Roman" w:hAnsi="Times New Roman" w:cs="Times New Roman"/>
        </w:rPr>
        <w:t xml:space="preserve">One of the 17 SDGs set forth by the UN is clean water and sanitation, designated as SDG 6. Nevertheless, global progress toward SDG 6's targets still needs improvement. The UN initiated the SDG 6 global acceleration framework to address the situation and promote sustainable water resource management. This framework encompasses financing, data and information, capacity development, innovation, and governance (Lu et al., 2021a). While CSR may be synonymous with sustainability, questions remain regarding its adequacy in addressing the objectives of the SDGs. Various CSR monitoring frameworks, including the Global Reporting Initiative (GRI) and Global Compact (GC), aim to connect corporate activities with their </w:t>
      </w:r>
      <w:r w:rsidR="0052634C" w:rsidRPr="00413BD1">
        <w:rPr>
          <w:rFonts w:ascii="Times New Roman" w:hAnsi="Times New Roman" w:cs="Times New Roman"/>
        </w:rPr>
        <w:t xml:space="preserve">SDG </w:t>
      </w:r>
      <w:r w:rsidRPr="00413BD1">
        <w:rPr>
          <w:rFonts w:ascii="Times New Roman" w:hAnsi="Times New Roman" w:cs="Times New Roman"/>
        </w:rPr>
        <w:t xml:space="preserve">contributions. Companies typically respond selectively to the indicators of the SDGs that align with their interests while obscuring their adverse effects on these goals (Lu et al., 2021b). </w:t>
      </w:r>
      <w:r w:rsidR="00285A2F" w:rsidRPr="00413BD1">
        <w:rPr>
          <w:rFonts w:ascii="Times New Roman" w:hAnsi="Times New Roman" w:cs="Times New Roman"/>
        </w:rPr>
        <w:t>This</w:t>
      </w:r>
      <w:r w:rsidR="00A840EB" w:rsidRPr="00413BD1">
        <w:rPr>
          <w:rFonts w:ascii="Times New Roman" w:hAnsi="Times New Roman" w:cs="Times New Roman"/>
        </w:rPr>
        <w:t xml:space="preserve"> study aims to assess the extent to which CSR programs </w:t>
      </w:r>
      <w:r w:rsidR="00A840EB" w:rsidRPr="00413BD1">
        <w:rPr>
          <w:rFonts w:ascii="Times New Roman" w:hAnsi="Times New Roman" w:cs="Times New Roman"/>
        </w:rPr>
        <w:lastRenderedPageBreak/>
        <w:t xml:space="preserve">of Indonesian mining companies contribute to SDG 6. By </w:t>
      </w:r>
      <w:proofErr w:type="spellStart"/>
      <w:r w:rsidR="00A840EB" w:rsidRPr="00413BD1">
        <w:rPr>
          <w:rFonts w:ascii="Times New Roman" w:hAnsi="Times New Roman" w:cs="Times New Roman"/>
        </w:rPr>
        <w:t>analyzing</w:t>
      </w:r>
      <w:proofErr w:type="spellEnd"/>
      <w:r w:rsidR="00A840EB" w:rsidRPr="00413BD1">
        <w:rPr>
          <w:rFonts w:ascii="Times New Roman" w:hAnsi="Times New Roman" w:cs="Times New Roman"/>
        </w:rPr>
        <w:t xml:space="preserve"> company sustainability reports, this research seeks to identify strengths, weaknesses, and opportunities for improvement in corporate water and sanitation initiatives. The findings will inform policymakers, industry leaders, and stakeholders on how CSR can be better leveraged to support sustainable water resource management. Furthermore, this study will provide insights into the broader implications of CSR in the extractive sector, offering recommendations for enhancing corporate contributions to sustainable development.</w:t>
      </w:r>
    </w:p>
    <w:p w14:paraId="4415A6D6" w14:textId="77777777" w:rsidR="00814EF6" w:rsidRPr="00413BD1" w:rsidRDefault="00814EF6" w:rsidP="000C3BC4">
      <w:pPr>
        <w:pStyle w:val="ListParagraph"/>
        <w:spacing w:line="480" w:lineRule="auto"/>
        <w:rPr>
          <w:rFonts w:ascii="Times New Roman" w:hAnsi="Times New Roman" w:cs="Times New Roman"/>
          <w:b/>
          <w:bCs/>
        </w:rPr>
      </w:pPr>
    </w:p>
    <w:p w14:paraId="0DAE2820" w14:textId="3CABE620" w:rsidR="00814EF6" w:rsidRPr="00413BD1" w:rsidRDefault="001A232D" w:rsidP="00311EBE">
      <w:pPr>
        <w:pStyle w:val="ListParagraph"/>
        <w:numPr>
          <w:ilvl w:val="0"/>
          <w:numId w:val="14"/>
        </w:numPr>
        <w:spacing w:line="480" w:lineRule="auto"/>
        <w:ind w:left="284" w:hanging="284"/>
        <w:rPr>
          <w:rFonts w:ascii="Times New Roman" w:hAnsi="Times New Roman" w:cs="Times New Roman"/>
          <w:b/>
          <w:bCs/>
        </w:rPr>
      </w:pPr>
      <w:r w:rsidRPr="00413BD1">
        <w:rPr>
          <w:rFonts w:ascii="Times New Roman" w:hAnsi="Times New Roman" w:cs="Times New Roman"/>
          <w:b/>
          <w:bCs/>
        </w:rPr>
        <w:t>Conceptual Framework</w:t>
      </w:r>
    </w:p>
    <w:p w14:paraId="6D4618EE" w14:textId="77777777" w:rsidR="00FC7694" w:rsidRPr="00413BD1" w:rsidRDefault="001A232D" w:rsidP="000C3BC4">
      <w:pPr>
        <w:pStyle w:val="ListParagraph"/>
        <w:spacing w:line="480" w:lineRule="auto"/>
        <w:ind w:left="0" w:firstLine="720"/>
        <w:jc w:val="both"/>
        <w:rPr>
          <w:rFonts w:ascii="Times New Roman" w:hAnsi="Times New Roman" w:cs="Times New Roman"/>
        </w:rPr>
      </w:pPr>
      <w:r w:rsidRPr="00413BD1">
        <w:rPr>
          <w:rFonts w:ascii="Times New Roman" w:hAnsi="Times New Roman" w:cs="Times New Roman"/>
        </w:rPr>
        <w:t>The framework for integrating SDG 6 with CSR emphasizes how important corporate social responsibility is to attaining SDG 6's sustainable water and sanitation management goals. Through integrated resource management, the creation of policies for the preservation and restoration of water-related ecosystems, and the accomplishment of particular goals like universal access to clean drinking water, enhanced sanitation, wastewater treatment, and efficient water use, mining companies can significantly contribute to SDG 6 through their CSR initiatives (Guppy et al., 2019; Ho et al., 2020; Lele, 2017). Effective CSR programs necessitate meaningful stakeholder involvement and inclusive partnerships with governments, international organizations, and local communities to ensure relevance and ownership (Lu et al., 2021a). Aligning CSR initiatives with international standards like those of UN-Water, implementing cutting-edge technologies like artificial intelligence (AI) and real-time monitoring for effective resource use, and enhancing community capacity for the sustainable management of water and sanitation systems are some implementation strategies (</w:t>
      </w:r>
      <w:proofErr w:type="spellStart"/>
      <w:r w:rsidRPr="00413BD1">
        <w:rPr>
          <w:rFonts w:ascii="Times New Roman" w:hAnsi="Times New Roman" w:cs="Times New Roman"/>
        </w:rPr>
        <w:t>Nosirov</w:t>
      </w:r>
      <w:proofErr w:type="spellEnd"/>
      <w:r w:rsidRPr="00413BD1">
        <w:rPr>
          <w:rFonts w:ascii="Times New Roman" w:hAnsi="Times New Roman" w:cs="Times New Roman"/>
        </w:rPr>
        <w:t xml:space="preserve"> et al., 2024; Raihan et al., 2024). According to </w:t>
      </w:r>
      <w:proofErr w:type="spellStart"/>
      <w:r w:rsidRPr="00413BD1">
        <w:rPr>
          <w:rFonts w:ascii="Times New Roman" w:hAnsi="Times New Roman" w:cs="Times New Roman"/>
        </w:rPr>
        <w:t>Mackieson</w:t>
      </w:r>
      <w:proofErr w:type="spellEnd"/>
      <w:r w:rsidRPr="00413BD1">
        <w:rPr>
          <w:rFonts w:ascii="Times New Roman" w:hAnsi="Times New Roman" w:cs="Times New Roman"/>
        </w:rPr>
        <w:t xml:space="preserve"> et al. (2019), monitoring and evaluation are essential components of this system, which depends on external audits, standardized metrics, and stakeholder feedback to provide accountability and transparency. Establishing substantial biodiversity and sustainability metrics, community engagement, and internal capacity building are necessary to </w:t>
      </w:r>
      <w:r w:rsidRPr="00413BD1">
        <w:rPr>
          <w:rFonts w:ascii="Times New Roman" w:hAnsi="Times New Roman" w:cs="Times New Roman"/>
        </w:rPr>
        <w:lastRenderedPageBreak/>
        <w:t>overcome obstacles like limited scope, reliance on outside resources, gaps in biodiversity conservation, and inadequate technological integration (</w:t>
      </w:r>
      <w:proofErr w:type="spellStart"/>
      <w:r w:rsidRPr="00413BD1">
        <w:rPr>
          <w:rFonts w:ascii="Times New Roman" w:hAnsi="Times New Roman" w:cs="Times New Roman"/>
        </w:rPr>
        <w:t>Atzmanstorfer</w:t>
      </w:r>
      <w:proofErr w:type="spellEnd"/>
      <w:r w:rsidRPr="00413BD1">
        <w:rPr>
          <w:rFonts w:ascii="Times New Roman" w:hAnsi="Times New Roman" w:cs="Times New Roman"/>
        </w:rPr>
        <w:t xml:space="preserve"> et al., 2023). According to the framework, effective CSR practices significantly improve SDG 6 results and positively impact ecosystems, communities, and company sustainability (</w:t>
      </w:r>
      <w:proofErr w:type="spellStart"/>
      <w:r w:rsidRPr="00413BD1">
        <w:rPr>
          <w:rFonts w:ascii="Times New Roman" w:hAnsi="Times New Roman" w:cs="Times New Roman"/>
        </w:rPr>
        <w:t>Moratis</w:t>
      </w:r>
      <w:proofErr w:type="spellEnd"/>
      <w:r w:rsidRPr="00413BD1">
        <w:rPr>
          <w:rFonts w:ascii="Times New Roman" w:hAnsi="Times New Roman" w:cs="Times New Roman"/>
        </w:rPr>
        <w:t>, 2017; Lee et al., 2024).</w:t>
      </w:r>
    </w:p>
    <w:p w14:paraId="35376357" w14:textId="77777777" w:rsidR="003D5128" w:rsidRPr="00413BD1" w:rsidRDefault="003D5128" w:rsidP="000C3BC4">
      <w:pPr>
        <w:pStyle w:val="ListParagraph"/>
        <w:spacing w:line="480" w:lineRule="auto"/>
        <w:ind w:left="0" w:firstLine="720"/>
        <w:jc w:val="both"/>
        <w:rPr>
          <w:rFonts w:ascii="Times New Roman" w:hAnsi="Times New Roman" w:cs="Times New Roman"/>
          <w:b/>
          <w:bCs/>
        </w:rPr>
      </w:pPr>
    </w:p>
    <w:p w14:paraId="28EAC444" w14:textId="6A85ACCF" w:rsidR="00814EF6" w:rsidRPr="00413BD1" w:rsidRDefault="001A232D" w:rsidP="000C3BC4">
      <w:pPr>
        <w:pStyle w:val="ListParagraph"/>
        <w:spacing w:line="480" w:lineRule="auto"/>
        <w:ind w:left="0" w:firstLine="720"/>
        <w:jc w:val="both"/>
        <w:rPr>
          <w:rFonts w:ascii="Times New Roman" w:hAnsi="Times New Roman" w:cs="Times New Roman"/>
        </w:rPr>
      </w:pPr>
      <w:r w:rsidRPr="00413BD1">
        <w:rPr>
          <w:rFonts w:ascii="Times New Roman" w:hAnsi="Times New Roman" w:cs="Times New Roman"/>
        </w:rPr>
        <w:t xml:space="preserve">Figure 1 below shows the conceptual framework that visually represents the relationship between SDG 6 and </w:t>
      </w:r>
      <w:r w:rsidR="00285A2F" w:rsidRPr="00413BD1">
        <w:rPr>
          <w:rFonts w:ascii="Times New Roman" w:hAnsi="Times New Roman" w:cs="Times New Roman"/>
        </w:rPr>
        <w:t>mining companies' CSR initiatives</w:t>
      </w:r>
      <w:r w:rsidRPr="00413BD1">
        <w:rPr>
          <w:rFonts w:ascii="Times New Roman" w:hAnsi="Times New Roman" w:cs="Times New Roman"/>
        </w:rPr>
        <w:t>. This framework outlines key elements, their interactions, and expected outcomes.</w:t>
      </w:r>
    </w:p>
    <w:p w14:paraId="51783F5E" w14:textId="77777777" w:rsidR="00814EF6" w:rsidRPr="00413BD1" w:rsidRDefault="00814EF6" w:rsidP="000C3BC4">
      <w:pPr>
        <w:pStyle w:val="ListParagraph"/>
        <w:spacing w:line="480" w:lineRule="auto"/>
        <w:ind w:left="0"/>
        <w:rPr>
          <w:rFonts w:ascii="Times New Roman" w:hAnsi="Times New Roman" w:cs="Times New Roman"/>
        </w:rPr>
      </w:pPr>
    </w:p>
    <w:p w14:paraId="0D23CAC0" w14:textId="77777777" w:rsidR="00814EF6" w:rsidRPr="00413BD1" w:rsidRDefault="001A232D" w:rsidP="000C3BC4">
      <w:pPr>
        <w:pStyle w:val="ListParagraph"/>
        <w:spacing w:line="480" w:lineRule="auto"/>
        <w:ind w:left="0"/>
        <w:jc w:val="center"/>
        <w:rPr>
          <w:rFonts w:ascii="Times New Roman" w:hAnsi="Times New Roman" w:cs="Times New Roman"/>
        </w:rPr>
      </w:pPr>
      <w:r w:rsidRPr="00413BD1">
        <w:rPr>
          <w:rFonts w:ascii="Times New Roman" w:hAnsi="Times New Roman" w:cs="Times New Roman"/>
          <w:noProof/>
        </w:rPr>
        <w:drawing>
          <wp:inline distT="0" distB="0" distL="0" distR="0" wp14:anchorId="307E026C" wp14:editId="6D2FA925">
            <wp:extent cx="5943600" cy="3200400"/>
            <wp:effectExtent l="0" t="0" r="0" b="0"/>
            <wp:docPr id="18123184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125D3CF" w14:textId="77777777" w:rsidR="00814EF6" w:rsidRPr="00413BD1" w:rsidRDefault="00814EF6" w:rsidP="000C3BC4">
      <w:pPr>
        <w:pStyle w:val="ListParagraph"/>
        <w:spacing w:line="480" w:lineRule="auto"/>
        <w:ind w:left="0"/>
        <w:rPr>
          <w:rFonts w:ascii="Times New Roman" w:hAnsi="Times New Roman" w:cs="Times New Roman"/>
        </w:rPr>
      </w:pPr>
    </w:p>
    <w:p w14:paraId="133B7E8C" w14:textId="77777777" w:rsidR="00814EF6" w:rsidRPr="00413BD1" w:rsidRDefault="001A232D" w:rsidP="000C3BC4">
      <w:pPr>
        <w:pStyle w:val="ListParagraph"/>
        <w:spacing w:line="480" w:lineRule="auto"/>
        <w:ind w:left="0"/>
        <w:jc w:val="center"/>
        <w:rPr>
          <w:rFonts w:ascii="Times New Roman" w:hAnsi="Times New Roman" w:cs="Times New Roman"/>
        </w:rPr>
      </w:pPr>
      <w:r w:rsidRPr="00413BD1">
        <w:rPr>
          <w:rFonts w:ascii="Times New Roman" w:hAnsi="Times New Roman" w:cs="Times New Roman"/>
          <w:b/>
          <w:bCs/>
        </w:rPr>
        <w:t>Figure 1.</w:t>
      </w:r>
      <w:r w:rsidRPr="00413BD1">
        <w:rPr>
          <w:rFonts w:ascii="Times New Roman" w:hAnsi="Times New Roman" w:cs="Times New Roman"/>
        </w:rPr>
        <w:t xml:space="preserve"> Framework for the evaluation of corporate social responsibility and SDG 6</w:t>
      </w:r>
    </w:p>
    <w:p w14:paraId="6C728C3C" w14:textId="77777777" w:rsidR="00814EF6" w:rsidRPr="00413BD1" w:rsidRDefault="00814EF6" w:rsidP="000C3BC4">
      <w:pPr>
        <w:pStyle w:val="ListParagraph"/>
        <w:spacing w:line="480" w:lineRule="auto"/>
        <w:ind w:left="0"/>
        <w:rPr>
          <w:rFonts w:ascii="Times New Roman" w:hAnsi="Times New Roman" w:cs="Times New Roman"/>
        </w:rPr>
      </w:pPr>
    </w:p>
    <w:p w14:paraId="017ACFAA" w14:textId="77777777" w:rsidR="00814EF6" w:rsidRPr="00413BD1" w:rsidRDefault="001A232D" w:rsidP="000C3BC4">
      <w:pPr>
        <w:pStyle w:val="ListParagraph"/>
        <w:spacing w:line="480" w:lineRule="auto"/>
        <w:ind w:left="0" w:firstLine="720"/>
        <w:jc w:val="both"/>
        <w:rPr>
          <w:rFonts w:ascii="Times New Roman" w:hAnsi="Times New Roman" w:cs="Times New Roman"/>
        </w:rPr>
      </w:pPr>
      <w:r w:rsidRPr="00413BD1">
        <w:rPr>
          <w:rFonts w:ascii="Times New Roman" w:hAnsi="Times New Roman" w:cs="Times New Roman"/>
        </w:rPr>
        <w:t xml:space="preserve">In order to integrate SDG 6 and CSR in mining firms, Figure 1 illustrates the connection between corporate actions and sustainable development. According to Guppy et al. (2019) and Lu et </w:t>
      </w:r>
      <w:r w:rsidRPr="00413BD1">
        <w:rPr>
          <w:rFonts w:ascii="Times New Roman" w:hAnsi="Times New Roman" w:cs="Times New Roman"/>
        </w:rPr>
        <w:lastRenderedPageBreak/>
        <w:t xml:space="preserve">al. (2021a), it starts with inputs such as corporate financial resources, human capital, advanced technology, compliance with national and international regulations, and active stakeholder involvement involving communities, governments, and international organizations. Enhancing access to clean water and sanitation, lowering water pollution, increasing water-use efficiency, implementing integrated water resource management, and restoring water-related ecosystems are some of the SDG 6 targets that are being pursued by CSR processes driven by these inputs (Lele, 2017; Ho et al., 2020). Water infrastructure development, sanitation and hygiene promotion, wastewater treatment, biodiversity conservation, and the use of cutting-edge technology such as real-time monitoring and AI-powered solutions are important initiatives (Raihan et al., 2024; </w:t>
      </w:r>
      <w:proofErr w:type="spellStart"/>
      <w:r w:rsidRPr="00413BD1">
        <w:rPr>
          <w:rFonts w:ascii="Times New Roman" w:hAnsi="Times New Roman" w:cs="Times New Roman"/>
        </w:rPr>
        <w:t>Nosirov</w:t>
      </w:r>
      <w:proofErr w:type="spellEnd"/>
      <w:r w:rsidRPr="00413BD1">
        <w:rPr>
          <w:rFonts w:ascii="Times New Roman" w:hAnsi="Times New Roman" w:cs="Times New Roman"/>
        </w:rPr>
        <w:t xml:space="preserve"> et al., 2024). </w:t>
      </w:r>
      <w:r w:rsidR="0025495F" w:rsidRPr="00413BD1">
        <w:rPr>
          <w:rFonts w:ascii="Times New Roman" w:hAnsi="Times New Roman" w:cs="Times New Roman"/>
        </w:rPr>
        <w:t>The outputs of these initiatives are improved access to clean water and sanitation, reduced environmental impact, and more efficient water management practices (Lu et al., 2021b). In the short term, these efforts foster trust and address immediate community needs, while in the long term, they contribute to sustainable water resource management, ecosystem restoration, and alignment with global sustainability standards (</w:t>
      </w:r>
      <w:proofErr w:type="spellStart"/>
      <w:r w:rsidR="0025495F" w:rsidRPr="00413BD1">
        <w:rPr>
          <w:rFonts w:ascii="Times New Roman" w:hAnsi="Times New Roman" w:cs="Times New Roman"/>
        </w:rPr>
        <w:t>Moratis</w:t>
      </w:r>
      <w:proofErr w:type="spellEnd"/>
      <w:r w:rsidR="0025495F" w:rsidRPr="00413BD1">
        <w:rPr>
          <w:rFonts w:ascii="Times New Roman" w:hAnsi="Times New Roman" w:cs="Times New Roman"/>
        </w:rPr>
        <w:t>, 2017; Lee et al., 2024). A feedback loop ensures continuous monitoring and evaluation of CSR initiatives, incorporating stakeholder input to refine strategies, address gaps, and maintain transparency and accountability, ultimately achieving long-term sustainability goals (</w:t>
      </w:r>
      <w:proofErr w:type="spellStart"/>
      <w:r w:rsidR="0025495F" w:rsidRPr="00413BD1">
        <w:rPr>
          <w:rFonts w:ascii="Times New Roman" w:hAnsi="Times New Roman" w:cs="Times New Roman"/>
        </w:rPr>
        <w:t>Atzmanstorfer</w:t>
      </w:r>
      <w:proofErr w:type="spellEnd"/>
      <w:r w:rsidR="0025495F" w:rsidRPr="00413BD1">
        <w:rPr>
          <w:rFonts w:ascii="Times New Roman" w:hAnsi="Times New Roman" w:cs="Times New Roman"/>
        </w:rPr>
        <w:t xml:space="preserve"> et al., 2023; </w:t>
      </w:r>
      <w:proofErr w:type="spellStart"/>
      <w:r w:rsidR="0025495F" w:rsidRPr="00413BD1">
        <w:rPr>
          <w:rFonts w:ascii="Times New Roman" w:hAnsi="Times New Roman" w:cs="Times New Roman"/>
        </w:rPr>
        <w:t>Mackieson</w:t>
      </w:r>
      <w:proofErr w:type="spellEnd"/>
      <w:r w:rsidR="0025495F" w:rsidRPr="00413BD1">
        <w:rPr>
          <w:rFonts w:ascii="Times New Roman" w:hAnsi="Times New Roman" w:cs="Times New Roman"/>
        </w:rPr>
        <w:t xml:space="preserve"> et al., 2019).</w:t>
      </w:r>
    </w:p>
    <w:p w14:paraId="5F7D5598" w14:textId="217C34DA" w:rsidR="00451EBC" w:rsidRPr="00413BD1" w:rsidRDefault="001A232D" w:rsidP="00311EBE">
      <w:pPr>
        <w:pStyle w:val="ListParagraph"/>
        <w:numPr>
          <w:ilvl w:val="0"/>
          <w:numId w:val="14"/>
        </w:numPr>
        <w:spacing w:line="480" w:lineRule="auto"/>
        <w:ind w:left="284" w:hanging="284"/>
        <w:rPr>
          <w:rFonts w:ascii="Times New Roman" w:hAnsi="Times New Roman" w:cs="Times New Roman"/>
          <w:b/>
          <w:bCs/>
        </w:rPr>
      </w:pPr>
      <w:r w:rsidRPr="00413BD1">
        <w:rPr>
          <w:rFonts w:ascii="Times New Roman" w:hAnsi="Times New Roman" w:cs="Times New Roman"/>
          <w:b/>
          <w:bCs/>
        </w:rPr>
        <w:t>M</w:t>
      </w:r>
      <w:r w:rsidR="00A6077C" w:rsidRPr="00413BD1">
        <w:rPr>
          <w:rFonts w:ascii="Times New Roman" w:hAnsi="Times New Roman" w:cs="Times New Roman"/>
          <w:b/>
          <w:bCs/>
        </w:rPr>
        <w:t xml:space="preserve">aterials and Methods </w:t>
      </w:r>
    </w:p>
    <w:p w14:paraId="664981D5" w14:textId="60034601" w:rsidR="00451EBC" w:rsidRPr="00413BD1" w:rsidRDefault="00311EBE" w:rsidP="000C3BC4">
      <w:pPr>
        <w:spacing w:line="480" w:lineRule="auto"/>
        <w:jc w:val="both"/>
        <w:rPr>
          <w:rFonts w:ascii="Times New Roman" w:hAnsi="Times New Roman" w:cs="Times New Roman"/>
          <w:b/>
          <w:bCs/>
        </w:rPr>
      </w:pPr>
      <w:r w:rsidRPr="00413BD1">
        <w:rPr>
          <w:rFonts w:ascii="Times New Roman" w:hAnsi="Times New Roman" w:cs="Times New Roman"/>
          <w:b/>
          <w:bCs/>
        </w:rPr>
        <w:t xml:space="preserve">3.1 </w:t>
      </w:r>
      <w:r w:rsidR="001A232D" w:rsidRPr="00413BD1">
        <w:rPr>
          <w:rFonts w:ascii="Times New Roman" w:hAnsi="Times New Roman" w:cs="Times New Roman"/>
          <w:b/>
          <w:bCs/>
        </w:rPr>
        <w:t>Data Collection</w:t>
      </w:r>
    </w:p>
    <w:p w14:paraId="2D06B6F9" w14:textId="78A176D1" w:rsidR="00A840EB" w:rsidRPr="00413BD1" w:rsidRDefault="001A232D" w:rsidP="000C3BC4">
      <w:pPr>
        <w:spacing w:line="480" w:lineRule="auto"/>
        <w:ind w:firstLine="709"/>
        <w:jc w:val="both"/>
        <w:rPr>
          <w:rFonts w:ascii="Times New Roman" w:hAnsi="Times New Roman" w:cs="Times New Roman"/>
        </w:rPr>
      </w:pPr>
      <w:r w:rsidRPr="00413BD1">
        <w:rPr>
          <w:rFonts w:ascii="Times New Roman" w:hAnsi="Times New Roman" w:cs="Times New Roman"/>
        </w:rPr>
        <w:t xml:space="preserve">The study gathered data from the corporate social </w:t>
      </w:r>
      <w:proofErr w:type="gramStart"/>
      <w:r w:rsidRPr="00413BD1">
        <w:rPr>
          <w:rFonts w:ascii="Times New Roman" w:hAnsi="Times New Roman" w:cs="Times New Roman"/>
        </w:rPr>
        <w:t>responsibility(</w:t>
      </w:r>
      <w:proofErr w:type="gramEnd"/>
      <w:r w:rsidRPr="00413BD1">
        <w:rPr>
          <w:rFonts w:ascii="Times New Roman" w:hAnsi="Times New Roman" w:cs="Times New Roman"/>
        </w:rPr>
        <w:t>CSR) and sustainability reports published by mining companies in Indonesia. To ensure reliability and authenticity, these data were accessed through the official websites of these mining companies</w:t>
      </w:r>
    </w:p>
    <w:p w14:paraId="75A64C30" w14:textId="77777777" w:rsidR="00D1012E" w:rsidRPr="00413BD1" w:rsidRDefault="001A232D" w:rsidP="000C3BC4">
      <w:pPr>
        <w:spacing w:line="480" w:lineRule="auto"/>
        <w:ind w:firstLine="709"/>
        <w:jc w:val="both"/>
        <w:rPr>
          <w:rFonts w:ascii="Times New Roman" w:hAnsi="Times New Roman" w:cs="Times New Roman"/>
        </w:rPr>
      </w:pPr>
      <w:r w:rsidRPr="00413BD1">
        <w:rPr>
          <w:rFonts w:ascii="Times New Roman" w:hAnsi="Times New Roman" w:cs="Times New Roman"/>
        </w:rPr>
        <w:t xml:space="preserve">CSR or sustainability reports were obtained from the company websites. The assessment focused on the CSR initiatives presented on the company's website. Some companies exclusively </w:t>
      </w:r>
      <w:r w:rsidRPr="00413BD1">
        <w:rPr>
          <w:rFonts w:ascii="Times New Roman" w:hAnsi="Times New Roman" w:cs="Times New Roman"/>
        </w:rPr>
        <w:lastRenderedPageBreak/>
        <w:t xml:space="preserve">present sustainability reports rather than CSR reports, leading to the assumption that the environmental, social, and economic initiatives outlined in the sustainability reports constitute the company's CSR programs. If the company has executed certain CSR activities pertinent to the evaluation criteria but are not documented on the website, it is presumed that they do not exist. This study randomly selected seven CSR samples from mining companies in Indonesia. Table 1 presents the profiles of the mining companies chosen for this study. </w:t>
      </w:r>
    </w:p>
    <w:p w14:paraId="4BC4EF02" w14:textId="27642337" w:rsidR="00BD0F87" w:rsidRPr="00413BD1" w:rsidRDefault="001A232D" w:rsidP="000C3BC4">
      <w:pPr>
        <w:spacing w:line="480" w:lineRule="auto"/>
        <w:rPr>
          <w:rFonts w:ascii="Times New Roman" w:hAnsi="Times New Roman" w:cs="Times New Roman"/>
        </w:rPr>
      </w:pPr>
      <w:r w:rsidRPr="00413BD1">
        <w:rPr>
          <w:rFonts w:ascii="Times New Roman" w:hAnsi="Times New Roman" w:cs="Times New Roman"/>
          <w:b/>
          <w:bCs/>
        </w:rPr>
        <w:t>Table 1</w:t>
      </w:r>
      <w:r w:rsidR="00311EBE" w:rsidRPr="00413BD1">
        <w:rPr>
          <w:rFonts w:ascii="Times New Roman" w:hAnsi="Times New Roman" w:cs="Times New Roman"/>
          <w:b/>
          <w:bCs/>
        </w:rPr>
        <w:t>.</w:t>
      </w:r>
      <w:r w:rsidR="00311EBE" w:rsidRPr="00413BD1">
        <w:rPr>
          <w:rFonts w:ascii="Times New Roman" w:hAnsi="Times New Roman" w:cs="Times New Roman"/>
        </w:rPr>
        <w:t xml:space="preserve"> </w:t>
      </w:r>
      <w:r w:rsidRPr="00413BD1">
        <w:rPr>
          <w:rFonts w:ascii="Times New Roman" w:hAnsi="Times New Roman" w:cs="Times New Roman"/>
        </w:rPr>
        <w:t xml:space="preserve">The </w:t>
      </w:r>
      <w:r w:rsidR="00E12637" w:rsidRPr="00413BD1">
        <w:rPr>
          <w:rFonts w:ascii="Times New Roman" w:hAnsi="Times New Roman" w:cs="Times New Roman"/>
        </w:rPr>
        <w:t>Mining Companies’ Profiles were Chosen for This Study</w:t>
      </w:r>
    </w:p>
    <w:tbl>
      <w:tblPr>
        <w:tblStyle w:val="TableGrid"/>
        <w:tblW w:w="1006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45"/>
        <w:gridCol w:w="4742"/>
        <w:gridCol w:w="3177"/>
      </w:tblGrid>
      <w:tr w:rsidR="004A2AF8" w:rsidRPr="00413BD1" w14:paraId="70C28E6F" w14:textId="77777777" w:rsidTr="009120E2">
        <w:trPr>
          <w:trHeight w:val="270"/>
        </w:trPr>
        <w:tc>
          <w:tcPr>
            <w:tcW w:w="2145" w:type="dxa"/>
            <w:tcBorders>
              <w:top w:val="single" w:sz="4" w:space="0" w:color="auto"/>
              <w:bottom w:val="single" w:sz="4" w:space="0" w:color="auto"/>
            </w:tcBorders>
          </w:tcPr>
          <w:p w14:paraId="5D120F5E" w14:textId="77777777" w:rsidR="00BD0F87" w:rsidRPr="00413BD1" w:rsidRDefault="001A232D" w:rsidP="000C3BC4">
            <w:pPr>
              <w:spacing w:line="480" w:lineRule="auto"/>
              <w:jc w:val="both"/>
              <w:rPr>
                <w:rFonts w:ascii="Times New Roman" w:hAnsi="Times New Roman" w:cs="Times New Roman"/>
                <w:b/>
                <w:bCs/>
              </w:rPr>
            </w:pPr>
            <w:r w:rsidRPr="00413BD1">
              <w:rPr>
                <w:rFonts w:ascii="Times New Roman" w:hAnsi="Times New Roman" w:cs="Times New Roman"/>
                <w:b/>
                <w:bCs/>
              </w:rPr>
              <w:t>Mining company</w:t>
            </w:r>
          </w:p>
        </w:tc>
        <w:tc>
          <w:tcPr>
            <w:tcW w:w="4742" w:type="dxa"/>
            <w:tcBorders>
              <w:top w:val="single" w:sz="4" w:space="0" w:color="auto"/>
              <w:bottom w:val="single" w:sz="4" w:space="0" w:color="auto"/>
            </w:tcBorders>
          </w:tcPr>
          <w:p w14:paraId="18E47BB7" w14:textId="77777777" w:rsidR="00BD0F87" w:rsidRPr="00413BD1" w:rsidRDefault="001A232D" w:rsidP="000C3BC4">
            <w:pPr>
              <w:spacing w:line="480" w:lineRule="auto"/>
              <w:jc w:val="center"/>
              <w:rPr>
                <w:rFonts w:ascii="Times New Roman" w:hAnsi="Times New Roman" w:cs="Times New Roman"/>
                <w:b/>
                <w:bCs/>
              </w:rPr>
            </w:pPr>
            <w:r w:rsidRPr="00413BD1">
              <w:rPr>
                <w:rFonts w:ascii="Times New Roman" w:hAnsi="Times New Roman" w:cs="Times New Roman"/>
                <w:b/>
                <w:bCs/>
              </w:rPr>
              <w:t>Profile</w:t>
            </w:r>
          </w:p>
        </w:tc>
        <w:tc>
          <w:tcPr>
            <w:tcW w:w="3177" w:type="dxa"/>
            <w:tcBorders>
              <w:top w:val="single" w:sz="4" w:space="0" w:color="auto"/>
              <w:bottom w:val="single" w:sz="4" w:space="0" w:color="auto"/>
            </w:tcBorders>
          </w:tcPr>
          <w:p w14:paraId="106AEAE8" w14:textId="77777777" w:rsidR="00BD0F87" w:rsidRPr="00413BD1" w:rsidRDefault="001A232D" w:rsidP="000C3BC4">
            <w:pPr>
              <w:spacing w:line="480" w:lineRule="auto"/>
              <w:jc w:val="center"/>
              <w:rPr>
                <w:rFonts w:ascii="Times New Roman" w:hAnsi="Times New Roman" w:cs="Times New Roman"/>
                <w:b/>
                <w:bCs/>
              </w:rPr>
            </w:pPr>
            <w:r w:rsidRPr="00413BD1">
              <w:rPr>
                <w:rFonts w:ascii="Times New Roman" w:hAnsi="Times New Roman" w:cs="Times New Roman"/>
                <w:b/>
                <w:bCs/>
              </w:rPr>
              <w:t>Source</w:t>
            </w:r>
          </w:p>
        </w:tc>
      </w:tr>
      <w:tr w:rsidR="004A2AF8" w:rsidRPr="00413BD1" w14:paraId="394EA9A7" w14:textId="77777777" w:rsidTr="009120E2">
        <w:trPr>
          <w:trHeight w:val="1938"/>
        </w:trPr>
        <w:tc>
          <w:tcPr>
            <w:tcW w:w="2145" w:type="dxa"/>
            <w:tcBorders>
              <w:top w:val="single" w:sz="4" w:space="0" w:color="auto"/>
            </w:tcBorders>
          </w:tcPr>
          <w:p w14:paraId="72DF3574" w14:textId="77777777" w:rsidR="00BD0F87" w:rsidRPr="00413BD1" w:rsidRDefault="001A232D" w:rsidP="000C3BC4">
            <w:pPr>
              <w:spacing w:line="480" w:lineRule="auto"/>
              <w:jc w:val="both"/>
              <w:rPr>
                <w:rFonts w:ascii="Times New Roman" w:hAnsi="Times New Roman" w:cs="Times New Roman"/>
              </w:rPr>
            </w:pPr>
            <w:proofErr w:type="spellStart"/>
            <w:r w:rsidRPr="00413BD1">
              <w:rPr>
                <w:rFonts w:ascii="Times New Roman" w:hAnsi="Times New Roman" w:cs="Times New Roman"/>
              </w:rPr>
              <w:t>Arutmin</w:t>
            </w:r>
            <w:proofErr w:type="spellEnd"/>
            <w:r w:rsidRPr="00413BD1">
              <w:rPr>
                <w:rFonts w:ascii="Times New Roman" w:hAnsi="Times New Roman" w:cs="Times New Roman"/>
              </w:rPr>
              <w:t xml:space="preserve"> Indonesia</w:t>
            </w:r>
          </w:p>
        </w:tc>
        <w:tc>
          <w:tcPr>
            <w:tcW w:w="4742" w:type="dxa"/>
            <w:tcBorders>
              <w:top w:val="single" w:sz="4" w:space="0" w:color="auto"/>
            </w:tcBorders>
          </w:tcPr>
          <w:p w14:paraId="78128A2A" w14:textId="77777777" w:rsidR="00BD0F87" w:rsidRPr="00413BD1" w:rsidRDefault="001A232D" w:rsidP="000C3BC4">
            <w:pPr>
              <w:spacing w:line="480" w:lineRule="auto"/>
              <w:jc w:val="both"/>
              <w:rPr>
                <w:rFonts w:ascii="Times New Roman" w:hAnsi="Times New Roman" w:cs="Times New Roman"/>
              </w:rPr>
            </w:pPr>
            <w:proofErr w:type="spellStart"/>
            <w:r w:rsidRPr="00413BD1">
              <w:rPr>
                <w:rFonts w:ascii="Times New Roman" w:hAnsi="Times New Roman" w:cs="Times New Roman"/>
              </w:rPr>
              <w:t>Arutmin</w:t>
            </w:r>
            <w:proofErr w:type="spellEnd"/>
            <w:r w:rsidRPr="00413BD1">
              <w:rPr>
                <w:rFonts w:ascii="Times New Roman" w:hAnsi="Times New Roman" w:cs="Times New Roman"/>
              </w:rPr>
              <w:t xml:space="preserve"> serves as a coal mining contractor for the Indonesian government. </w:t>
            </w:r>
            <w:proofErr w:type="spellStart"/>
            <w:r w:rsidRPr="00413BD1">
              <w:rPr>
                <w:rFonts w:ascii="Times New Roman" w:hAnsi="Times New Roman" w:cs="Times New Roman"/>
              </w:rPr>
              <w:t>Arutmin</w:t>
            </w:r>
            <w:proofErr w:type="spellEnd"/>
            <w:r w:rsidRPr="00413BD1">
              <w:rPr>
                <w:rFonts w:ascii="Times New Roman" w:hAnsi="Times New Roman" w:cs="Times New Roman"/>
              </w:rPr>
              <w:t xml:space="preserve"> operates its mining business across three districts in South Kalimantan: Tanah Bumbu, Tanah Laut, and </w:t>
            </w:r>
            <w:proofErr w:type="spellStart"/>
            <w:r w:rsidRPr="00413BD1">
              <w:rPr>
                <w:rFonts w:ascii="Times New Roman" w:hAnsi="Times New Roman" w:cs="Times New Roman"/>
              </w:rPr>
              <w:t>Kotabaru</w:t>
            </w:r>
            <w:proofErr w:type="spellEnd"/>
            <w:r w:rsidRPr="00413BD1">
              <w:rPr>
                <w:rFonts w:ascii="Times New Roman" w:hAnsi="Times New Roman" w:cs="Times New Roman"/>
              </w:rPr>
              <w:t>, encompassing five operational sites and one coal port</w:t>
            </w:r>
          </w:p>
        </w:tc>
        <w:tc>
          <w:tcPr>
            <w:tcW w:w="3177" w:type="dxa"/>
            <w:tcBorders>
              <w:top w:val="single" w:sz="4" w:space="0" w:color="auto"/>
            </w:tcBorders>
          </w:tcPr>
          <w:p w14:paraId="7A4B642A"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https://www.arutmin.com/en/sustainability#corporate-responsibility</w:t>
            </w:r>
          </w:p>
        </w:tc>
      </w:tr>
      <w:tr w:rsidR="004A2AF8" w:rsidRPr="00413BD1" w14:paraId="4E2BB26B" w14:textId="77777777" w:rsidTr="009120E2">
        <w:trPr>
          <w:trHeight w:val="1923"/>
        </w:trPr>
        <w:tc>
          <w:tcPr>
            <w:tcW w:w="2145" w:type="dxa"/>
          </w:tcPr>
          <w:p w14:paraId="19CF3207" w14:textId="77777777" w:rsidR="00BD0F87" w:rsidRPr="00413BD1" w:rsidRDefault="001A232D" w:rsidP="000C3BC4">
            <w:pPr>
              <w:spacing w:line="480" w:lineRule="auto"/>
              <w:jc w:val="both"/>
              <w:rPr>
                <w:rFonts w:ascii="Times New Roman" w:hAnsi="Times New Roman" w:cs="Times New Roman"/>
              </w:rPr>
            </w:pPr>
            <w:proofErr w:type="spellStart"/>
            <w:r w:rsidRPr="00413BD1">
              <w:rPr>
                <w:rFonts w:ascii="Times New Roman" w:hAnsi="Times New Roman" w:cs="Times New Roman"/>
              </w:rPr>
              <w:t>Baramulti</w:t>
            </w:r>
            <w:proofErr w:type="spellEnd"/>
            <w:r w:rsidRPr="00413BD1">
              <w:rPr>
                <w:rFonts w:ascii="Times New Roman" w:hAnsi="Times New Roman" w:cs="Times New Roman"/>
              </w:rPr>
              <w:t xml:space="preserve"> </w:t>
            </w:r>
            <w:proofErr w:type="spellStart"/>
            <w:r w:rsidRPr="00413BD1">
              <w:rPr>
                <w:rFonts w:ascii="Times New Roman" w:hAnsi="Times New Roman" w:cs="Times New Roman"/>
              </w:rPr>
              <w:t>Suksessarana</w:t>
            </w:r>
            <w:proofErr w:type="spellEnd"/>
          </w:p>
        </w:tc>
        <w:tc>
          <w:tcPr>
            <w:tcW w:w="4742" w:type="dxa"/>
          </w:tcPr>
          <w:p w14:paraId="3CBEFF86"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 xml:space="preserve">PT </w:t>
            </w:r>
            <w:proofErr w:type="spellStart"/>
            <w:r w:rsidRPr="00413BD1">
              <w:rPr>
                <w:rFonts w:ascii="Times New Roman" w:hAnsi="Times New Roman" w:cs="Times New Roman"/>
              </w:rPr>
              <w:t>Baramulti</w:t>
            </w:r>
            <w:proofErr w:type="spellEnd"/>
            <w:r w:rsidRPr="00413BD1">
              <w:rPr>
                <w:rFonts w:ascii="Times New Roman" w:hAnsi="Times New Roman" w:cs="Times New Roman"/>
              </w:rPr>
              <w:t xml:space="preserve"> </w:t>
            </w:r>
            <w:proofErr w:type="spellStart"/>
            <w:r w:rsidRPr="00413BD1">
              <w:rPr>
                <w:rFonts w:ascii="Times New Roman" w:hAnsi="Times New Roman" w:cs="Times New Roman"/>
              </w:rPr>
              <w:t>Suksessarana</w:t>
            </w:r>
            <w:proofErr w:type="spellEnd"/>
            <w:r w:rsidRPr="00413BD1">
              <w:rPr>
                <w:rFonts w:ascii="Times New Roman" w:hAnsi="Times New Roman" w:cs="Times New Roman"/>
              </w:rPr>
              <w:t xml:space="preserve"> (BSSR) </w:t>
            </w:r>
            <w:proofErr w:type="spellStart"/>
            <w:r w:rsidRPr="00413BD1">
              <w:rPr>
                <w:rFonts w:ascii="Times New Roman" w:hAnsi="Times New Roman" w:cs="Times New Roman"/>
              </w:rPr>
              <w:t>Tbk</w:t>
            </w:r>
            <w:proofErr w:type="spellEnd"/>
            <w:r w:rsidRPr="00413BD1">
              <w:rPr>
                <w:rFonts w:ascii="Times New Roman" w:hAnsi="Times New Roman" w:cs="Times New Roman"/>
              </w:rPr>
              <w:t xml:space="preserve"> was established in 1990 as a coal trading company and has since evolved into a coal extraction company. PT </w:t>
            </w:r>
            <w:proofErr w:type="spellStart"/>
            <w:r w:rsidRPr="00413BD1">
              <w:rPr>
                <w:rFonts w:ascii="Times New Roman" w:hAnsi="Times New Roman" w:cs="Times New Roman"/>
              </w:rPr>
              <w:t>Antang</w:t>
            </w:r>
            <w:proofErr w:type="spellEnd"/>
            <w:r w:rsidRPr="00413BD1">
              <w:rPr>
                <w:rFonts w:ascii="Times New Roman" w:hAnsi="Times New Roman" w:cs="Times New Roman"/>
              </w:rPr>
              <w:t xml:space="preserve"> </w:t>
            </w:r>
            <w:proofErr w:type="spellStart"/>
            <w:r w:rsidRPr="00413BD1">
              <w:rPr>
                <w:rFonts w:ascii="Times New Roman" w:hAnsi="Times New Roman" w:cs="Times New Roman"/>
              </w:rPr>
              <w:t>Gunung</w:t>
            </w:r>
            <w:proofErr w:type="spellEnd"/>
            <w:r w:rsidRPr="00413BD1">
              <w:rPr>
                <w:rFonts w:ascii="Times New Roman" w:hAnsi="Times New Roman" w:cs="Times New Roman"/>
              </w:rPr>
              <w:t xml:space="preserve"> </w:t>
            </w:r>
            <w:proofErr w:type="spellStart"/>
            <w:r w:rsidRPr="00413BD1">
              <w:rPr>
                <w:rFonts w:ascii="Times New Roman" w:hAnsi="Times New Roman" w:cs="Times New Roman"/>
              </w:rPr>
              <w:t>Meratus</w:t>
            </w:r>
            <w:proofErr w:type="spellEnd"/>
            <w:r w:rsidRPr="00413BD1">
              <w:rPr>
                <w:rFonts w:ascii="Times New Roman" w:hAnsi="Times New Roman" w:cs="Times New Roman"/>
              </w:rPr>
              <w:t xml:space="preserve"> (AGM) of South Kalimantan and PT BSSR of East Kalimantan are the two coal concessions in the BSSR</w:t>
            </w:r>
          </w:p>
        </w:tc>
        <w:tc>
          <w:tcPr>
            <w:tcW w:w="3177" w:type="dxa"/>
          </w:tcPr>
          <w:p w14:paraId="065D8E60"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http://www.bssr.co.id/index.php/sustainability</w:t>
            </w:r>
          </w:p>
        </w:tc>
      </w:tr>
      <w:tr w:rsidR="004A2AF8" w:rsidRPr="00413BD1" w14:paraId="457E1ECE" w14:textId="77777777" w:rsidTr="009120E2">
        <w:trPr>
          <w:trHeight w:val="3049"/>
        </w:trPr>
        <w:tc>
          <w:tcPr>
            <w:tcW w:w="2145" w:type="dxa"/>
          </w:tcPr>
          <w:p w14:paraId="7D689FE3" w14:textId="77777777" w:rsidR="00BD0F87" w:rsidRPr="00413BD1" w:rsidRDefault="001A232D" w:rsidP="000C3BC4">
            <w:pPr>
              <w:spacing w:line="480" w:lineRule="auto"/>
              <w:jc w:val="both"/>
              <w:rPr>
                <w:rFonts w:ascii="Times New Roman" w:hAnsi="Times New Roman" w:cs="Times New Roman"/>
              </w:rPr>
            </w:pPr>
            <w:proofErr w:type="spellStart"/>
            <w:r w:rsidRPr="00413BD1">
              <w:rPr>
                <w:rFonts w:ascii="Times New Roman" w:hAnsi="Times New Roman" w:cs="Times New Roman"/>
              </w:rPr>
              <w:lastRenderedPageBreak/>
              <w:t>Berau</w:t>
            </w:r>
            <w:proofErr w:type="spellEnd"/>
            <w:r w:rsidRPr="00413BD1">
              <w:rPr>
                <w:rFonts w:ascii="Times New Roman" w:hAnsi="Times New Roman" w:cs="Times New Roman"/>
              </w:rPr>
              <w:t xml:space="preserve"> Coal</w:t>
            </w:r>
          </w:p>
        </w:tc>
        <w:tc>
          <w:tcPr>
            <w:tcW w:w="4742" w:type="dxa"/>
          </w:tcPr>
          <w:p w14:paraId="31CAD2AF"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 xml:space="preserve">PT </w:t>
            </w:r>
            <w:proofErr w:type="spellStart"/>
            <w:r w:rsidRPr="00413BD1">
              <w:rPr>
                <w:rFonts w:ascii="Times New Roman" w:hAnsi="Times New Roman" w:cs="Times New Roman"/>
              </w:rPr>
              <w:t>Berau</w:t>
            </w:r>
            <w:proofErr w:type="spellEnd"/>
            <w:r w:rsidRPr="00413BD1">
              <w:rPr>
                <w:rFonts w:ascii="Times New Roman" w:hAnsi="Times New Roman" w:cs="Times New Roman"/>
              </w:rPr>
              <w:t xml:space="preserve"> Coal possesses a mining concession spanning 118,400 hectares in the </w:t>
            </w:r>
            <w:proofErr w:type="spellStart"/>
            <w:r w:rsidRPr="00413BD1">
              <w:rPr>
                <w:rFonts w:ascii="Times New Roman" w:hAnsi="Times New Roman" w:cs="Times New Roman"/>
              </w:rPr>
              <w:t>Berau</w:t>
            </w:r>
            <w:proofErr w:type="spellEnd"/>
            <w:r w:rsidRPr="00413BD1">
              <w:rPr>
                <w:rFonts w:ascii="Times New Roman" w:hAnsi="Times New Roman" w:cs="Times New Roman"/>
              </w:rPr>
              <w:t xml:space="preserve"> Regency, located around 300 </w:t>
            </w:r>
            <w:proofErr w:type="spellStart"/>
            <w:r w:rsidRPr="00413BD1">
              <w:rPr>
                <w:rFonts w:ascii="Times New Roman" w:hAnsi="Times New Roman" w:cs="Times New Roman"/>
              </w:rPr>
              <w:t>kilometers</w:t>
            </w:r>
            <w:proofErr w:type="spellEnd"/>
            <w:r w:rsidRPr="00413BD1">
              <w:rPr>
                <w:rFonts w:ascii="Times New Roman" w:hAnsi="Times New Roman" w:cs="Times New Roman"/>
              </w:rPr>
              <w:t xml:space="preserve"> north of </w:t>
            </w:r>
            <w:proofErr w:type="spellStart"/>
            <w:r w:rsidRPr="00413BD1">
              <w:rPr>
                <w:rFonts w:ascii="Times New Roman" w:hAnsi="Times New Roman" w:cs="Times New Roman"/>
              </w:rPr>
              <w:t>Samarinda</w:t>
            </w:r>
            <w:proofErr w:type="spellEnd"/>
            <w:r w:rsidRPr="00413BD1">
              <w:rPr>
                <w:rFonts w:ascii="Times New Roman" w:hAnsi="Times New Roman" w:cs="Times New Roman"/>
              </w:rPr>
              <w:t>, the capital of East Kalimantan province. The concession area is delineated by a letter from the Ministry of Energy and Mineral Resources, No. 178.K/40.00/DJG/205, dated 7 April 2005, and remains valid until 2025, with the possibility of two 10-year extensions</w:t>
            </w:r>
          </w:p>
        </w:tc>
        <w:tc>
          <w:tcPr>
            <w:tcW w:w="3177" w:type="dxa"/>
          </w:tcPr>
          <w:p w14:paraId="4D0149EE"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https://beraucoalenergy.co.id/pilar-pilar-comdev-2/#</w:t>
            </w:r>
          </w:p>
        </w:tc>
      </w:tr>
      <w:tr w:rsidR="004A2AF8" w:rsidRPr="00413BD1" w14:paraId="08695477" w14:textId="77777777" w:rsidTr="009120E2">
        <w:trPr>
          <w:trHeight w:val="2764"/>
        </w:trPr>
        <w:tc>
          <w:tcPr>
            <w:tcW w:w="2145" w:type="dxa"/>
          </w:tcPr>
          <w:p w14:paraId="12709B88"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ANTAM</w:t>
            </w:r>
          </w:p>
        </w:tc>
        <w:tc>
          <w:tcPr>
            <w:tcW w:w="4742" w:type="dxa"/>
          </w:tcPr>
          <w:p w14:paraId="050B69F5"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ANTAM is a vertically integrated, export-oriented, diversified mining and metal corporation. It is a MIND ID (Mining Industry Indonesia) member with operations dispersed throughout the mineral-rich Indonesian archipelago. ANTAM is responsible for exploring, excavating, refining, and marketing nickel ore, ferronickel, gold, silver, bauxite, and coal</w:t>
            </w:r>
          </w:p>
        </w:tc>
        <w:tc>
          <w:tcPr>
            <w:tcW w:w="3177" w:type="dxa"/>
          </w:tcPr>
          <w:p w14:paraId="21EC7C4D"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https://www.antam.com/en/reports/csr-related-reports</w:t>
            </w:r>
          </w:p>
        </w:tc>
      </w:tr>
      <w:tr w:rsidR="004A2AF8" w:rsidRPr="00413BD1" w14:paraId="591235D3" w14:textId="77777777" w:rsidTr="009120E2">
        <w:trPr>
          <w:trHeight w:val="1923"/>
        </w:trPr>
        <w:tc>
          <w:tcPr>
            <w:tcW w:w="2145" w:type="dxa"/>
          </w:tcPr>
          <w:p w14:paraId="4BDA1F70"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J Resources</w:t>
            </w:r>
          </w:p>
        </w:tc>
        <w:tc>
          <w:tcPr>
            <w:tcW w:w="4742" w:type="dxa"/>
          </w:tcPr>
          <w:p w14:paraId="09F4ED19"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Indonesia owns J Resources, an intermediate gold producer in terms of global output. J Resources produces approximately 200,000 ounces annually, mostly from Indonesian assets. J Resources comprehends heap leach systems and low-grade deposits and operates and mines them</w:t>
            </w:r>
          </w:p>
        </w:tc>
        <w:tc>
          <w:tcPr>
            <w:tcW w:w="3177" w:type="dxa"/>
          </w:tcPr>
          <w:p w14:paraId="143890A8"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https://www.jresources.com/sustainability-overview</w:t>
            </w:r>
          </w:p>
        </w:tc>
      </w:tr>
      <w:tr w:rsidR="004A2AF8" w:rsidRPr="00413BD1" w14:paraId="018DF209" w14:textId="77777777" w:rsidTr="009120E2">
        <w:trPr>
          <w:trHeight w:val="3034"/>
        </w:trPr>
        <w:tc>
          <w:tcPr>
            <w:tcW w:w="2145" w:type="dxa"/>
          </w:tcPr>
          <w:p w14:paraId="2AA7D3B8"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lastRenderedPageBreak/>
              <w:t>PT TIMAH</w:t>
            </w:r>
          </w:p>
        </w:tc>
        <w:tc>
          <w:tcPr>
            <w:tcW w:w="4742" w:type="dxa"/>
          </w:tcPr>
          <w:p w14:paraId="0371FB2F"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 xml:space="preserve">PT TIMAH </w:t>
            </w:r>
            <w:proofErr w:type="spellStart"/>
            <w:r w:rsidRPr="00413BD1">
              <w:rPr>
                <w:rFonts w:ascii="Times New Roman" w:hAnsi="Times New Roman" w:cs="Times New Roman"/>
              </w:rPr>
              <w:t>Tbk</w:t>
            </w:r>
            <w:proofErr w:type="spellEnd"/>
            <w:r w:rsidRPr="00413BD1">
              <w:rPr>
                <w:rFonts w:ascii="Times New Roman" w:hAnsi="Times New Roman" w:cs="Times New Roman"/>
              </w:rPr>
              <w:t xml:space="preserve"> holds Mining Business Permits (IUP) for 473.310 hectares of land onshore and offshore of Bangka, Belitung, and </w:t>
            </w:r>
            <w:proofErr w:type="spellStart"/>
            <w:r w:rsidRPr="00413BD1">
              <w:rPr>
                <w:rFonts w:ascii="Times New Roman" w:hAnsi="Times New Roman" w:cs="Times New Roman"/>
              </w:rPr>
              <w:t>Kundur</w:t>
            </w:r>
            <w:proofErr w:type="spellEnd"/>
            <w:r w:rsidRPr="00413BD1">
              <w:rPr>
                <w:rFonts w:ascii="Times New Roman" w:hAnsi="Times New Roman" w:cs="Times New Roman"/>
              </w:rPr>
              <w:t xml:space="preserve"> Island. Mining, industry, trading, transportation, and services comprise the company's scope of operations. The company's primary function is to serve as the holding company that conducts tin mining operations and provides marketing services to its business units</w:t>
            </w:r>
          </w:p>
        </w:tc>
        <w:tc>
          <w:tcPr>
            <w:tcW w:w="3177" w:type="dxa"/>
          </w:tcPr>
          <w:p w14:paraId="46BDFC89"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https://timah.com/blog/report/sustainability-report.html</w:t>
            </w:r>
          </w:p>
        </w:tc>
      </w:tr>
      <w:tr w:rsidR="004A2AF8" w:rsidRPr="00413BD1" w14:paraId="2A167E0B" w14:textId="77777777" w:rsidTr="009120E2">
        <w:trPr>
          <w:trHeight w:val="826"/>
        </w:trPr>
        <w:tc>
          <w:tcPr>
            <w:tcW w:w="2145" w:type="dxa"/>
          </w:tcPr>
          <w:p w14:paraId="3D8AE3B7" w14:textId="77777777" w:rsidR="00BD0F87" w:rsidRPr="00413BD1" w:rsidRDefault="001A232D" w:rsidP="000C3BC4">
            <w:pPr>
              <w:spacing w:line="480" w:lineRule="auto"/>
              <w:jc w:val="both"/>
              <w:rPr>
                <w:rFonts w:ascii="Times New Roman" w:hAnsi="Times New Roman" w:cs="Times New Roman"/>
              </w:rPr>
            </w:pPr>
            <w:proofErr w:type="spellStart"/>
            <w:r w:rsidRPr="00413BD1">
              <w:rPr>
                <w:rFonts w:ascii="Times New Roman" w:hAnsi="Times New Roman" w:cs="Times New Roman"/>
              </w:rPr>
              <w:t>Kideco</w:t>
            </w:r>
            <w:proofErr w:type="spellEnd"/>
          </w:p>
        </w:tc>
        <w:tc>
          <w:tcPr>
            <w:tcW w:w="4742" w:type="dxa"/>
          </w:tcPr>
          <w:p w14:paraId="144EAFE9" w14:textId="77777777" w:rsidR="00BD0F87" w:rsidRPr="00413BD1" w:rsidRDefault="001A232D" w:rsidP="000C3BC4">
            <w:pPr>
              <w:spacing w:line="480" w:lineRule="auto"/>
              <w:jc w:val="both"/>
              <w:rPr>
                <w:rFonts w:ascii="Times New Roman" w:hAnsi="Times New Roman" w:cs="Times New Roman"/>
              </w:rPr>
            </w:pPr>
            <w:proofErr w:type="spellStart"/>
            <w:r w:rsidRPr="00413BD1">
              <w:rPr>
                <w:rFonts w:ascii="Times New Roman" w:hAnsi="Times New Roman" w:cs="Times New Roman"/>
              </w:rPr>
              <w:t>Kideco</w:t>
            </w:r>
            <w:proofErr w:type="spellEnd"/>
            <w:r w:rsidRPr="00413BD1">
              <w:rPr>
                <w:rFonts w:ascii="Times New Roman" w:hAnsi="Times New Roman" w:cs="Times New Roman"/>
              </w:rPr>
              <w:t xml:space="preserve"> is the third-largest coal mine in Indonesia, located in Paser, East Kalimantan</w:t>
            </w:r>
          </w:p>
        </w:tc>
        <w:tc>
          <w:tcPr>
            <w:tcW w:w="3177" w:type="dxa"/>
          </w:tcPr>
          <w:p w14:paraId="29BF4713" w14:textId="77777777" w:rsidR="00BD0F8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https://www.kideco.co.id/publication/report-publication/</w:t>
            </w:r>
          </w:p>
        </w:tc>
      </w:tr>
    </w:tbl>
    <w:p w14:paraId="3BEE332E" w14:textId="77777777" w:rsidR="007E0381" w:rsidRPr="00413BD1" w:rsidRDefault="007E0381" w:rsidP="000C3BC4">
      <w:pPr>
        <w:spacing w:line="480" w:lineRule="auto"/>
        <w:jc w:val="both"/>
        <w:rPr>
          <w:rFonts w:ascii="Times New Roman" w:hAnsi="Times New Roman" w:cs="Times New Roman"/>
        </w:rPr>
      </w:pPr>
    </w:p>
    <w:p w14:paraId="3C2E349E" w14:textId="0AF25E35" w:rsidR="00BD0F87" w:rsidRPr="00413BD1" w:rsidRDefault="00311EBE" w:rsidP="000C3BC4">
      <w:pPr>
        <w:spacing w:line="480" w:lineRule="auto"/>
        <w:jc w:val="both"/>
        <w:rPr>
          <w:rFonts w:ascii="Times New Roman" w:hAnsi="Times New Roman" w:cs="Times New Roman"/>
          <w:b/>
          <w:bCs/>
        </w:rPr>
      </w:pPr>
      <w:r w:rsidRPr="00413BD1">
        <w:rPr>
          <w:rFonts w:ascii="Times New Roman" w:hAnsi="Times New Roman" w:cs="Times New Roman"/>
          <w:b/>
          <w:bCs/>
        </w:rPr>
        <w:t xml:space="preserve">3.2 </w:t>
      </w:r>
      <w:r w:rsidR="001A232D" w:rsidRPr="00413BD1">
        <w:rPr>
          <w:rFonts w:ascii="Times New Roman" w:hAnsi="Times New Roman" w:cs="Times New Roman"/>
          <w:b/>
          <w:bCs/>
        </w:rPr>
        <w:t>SDGs Evaluation</w:t>
      </w:r>
    </w:p>
    <w:p w14:paraId="53A5611F" w14:textId="77777777" w:rsidR="00757468" w:rsidRPr="00413BD1" w:rsidRDefault="001A232D" w:rsidP="000C3BC4">
      <w:pPr>
        <w:spacing w:line="480" w:lineRule="auto"/>
        <w:ind w:firstLine="709"/>
        <w:jc w:val="both"/>
        <w:rPr>
          <w:rFonts w:ascii="Times New Roman" w:hAnsi="Times New Roman" w:cs="Times New Roman"/>
        </w:rPr>
      </w:pPr>
      <w:r w:rsidRPr="00413BD1">
        <w:rPr>
          <w:rFonts w:ascii="Times New Roman" w:hAnsi="Times New Roman" w:cs="Times New Roman"/>
        </w:rPr>
        <w:t>Lu et al. (2021a) proposed questions to evaluate the achievement of SDG 6, which include:</w:t>
      </w:r>
    </w:p>
    <w:p w14:paraId="0A8BC64B" w14:textId="77777777" w:rsidR="00757468" w:rsidRPr="00413BD1" w:rsidRDefault="001A232D" w:rsidP="000C3BC4">
      <w:pPr>
        <w:spacing w:line="480" w:lineRule="auto"/>
        <w:ind w:left="284" w:hanging="284"/>
        <w:jc w:val="both"/>
        <w:rPr>
          <w:rFonts w:ascii="Times New Roman" w:hAnsi="Times New Roman" w:cs="Times New Roman"/>
        </w:rPr>
      </w:pPr>
      <w:r w:rsidRPr="00413BD1">
        <w:rPr>
          <w:rFonts w:ascii="Times New Roman" w:hAnsi="Times New Roman" w:cs="Times New Roman"/>
        </w:rPr>
        <w:t>1. How does the company ensure everyone can access safe, clean, and cheap drinking water?</w:t>
      </w:r>
    </w:p>
    <w:p w14:paraId="2F42F188" w14:textId="77777777" w:rsidR="00757468" w:rsidRPr="00413BD1" w:rsidRDefault="001A232D" w:rsidP="000C3BC4">
      <w:pPr>
        <w:spacing w:line="480" w:lineRule="auto"/>
        <w:ind w:left="284" w:hanging="284"/>
        <w:jc w:val="both"/>
        <w:rPr>
          <w:rFonts w:ascii="Times New Roman" w:hAnsi="Times New Roman" w:cs="Times New Roman"/>
        </w:rPr>
      </w:pPr>
      <w:r w:rsidRPr="00413BD1">
        <w:rPr>
          <w:rFonts w:ascii="Times New Roman" w:hAnsi="Times New Roman" w:cs="Times New Roman"/>
        </w:rPr>
        <w:t>2. How does the company ensure everyone can access sanitation and hygiene?</w:t>
      </w:r>
    </w:p>
    <w:p w14:paraId="3638B06B" w14:textId="77777777" w:rsidR="00757468" w:rsidRPr="00413BD1" w:rsidRDefault="001A232D" w:rsidP="000C3BC4">
      <w:pPr>
        <w:spacing w:line="480" w:lineRule="auto"/>
        <w:ind w:left="284" w:hanging="284"/>
        <w:jc w:val="both"/>
        <w:rPr>
          <w:rFonts w:ascii="Times New Roman" w:hAnsi="Times New Roman" w:cs="Times New Roman"/>
        </w:rPr>
      </w:pPr>
      <w:r w:rsidRPr="00413BD1">
        <w:rPr>
          <w:rFonts w:ascii="Times New Roman" w:hAnsi="Times New Roman" w:cs="Times New Roman"/>
        </w:rPr>
        <w:t>3. How does the company improve water quality?</w:t>
      </w:r>
    </w:p>
    <w:p w14:paraId="37D4D3AF" w14:textId="77777777" w:rsidR="00757468" w:rsidRPr="00413BD1" w:rsidRDefault="001A232D" w:rsidP="000C3BC4">
      <w:pPr>
        <w:spacing w:line="480" w:lineRule="auto"/>
        <w:ind w:left="284" w:hanging="284"/>
        <w:jc w:val="both"/>
        <w:rPr>
          <w:rFonts w:ascii="Times New Roman" w:hAnsi="Times New Roman" w:cs="Times New Roman"/>
        </w:rPr>
      </w:pPr>
      <w:r w:rsidRPr="00413BD1">
        <w:rPr>
          <w:rFonts w:ascii="Times New Roman" w:hAnsi="Times New Roman" w:cs="Times New Roman"/>
        </w:rPr>
        <w:t>4. How does the company significantly change how efficiently it uses water?</w:t>
      </w:r>
    </w:p>
    <w:p w14:paraId="7AC9C01B" w14:textId="77777777" w:rsidR="00757468" w:rsidRPr="00413BD1" w:rsidRDefault="001A232D" w:rsidP="000C3BC4">
      <w:pPr>
        <w:spacing w:line="480" w:lineRule="auto"/>
        <w:ind w:left="284" w:hanging="284"/>
        <w:jc w:val="both"/>
        <w:rPr>
          <w:rFonts w:ascii="Times New Roman" w:hAnsi="Times New Roman" w:cs="Times New Roman"/>
        </w:rPr>
      </w:pPr>
      <w:r w:rsidRPr="00413BD1">
        <w:rPr>
          <w:rFonts w:ascii="Times New Roman" w:hAnsi="Times New Roman" w:cs="Times New Roman"/>
        </w:rPr>
        <w:t>5. How does the company protect and repair ecosystems that depend on water?</w:t>
      </w:r>
    </w:p>
    <w:p w14:paraId="28DBBC5A" w14:textId="77777777" w:rsidR="00757468" w:rsidRPr="00413BD1" w:rsidRDefault="001A232D" w:rsidP="000C3BC4">
      <w:pPr>
        <w:spacing w:line="480" w:lineRule="auto"/>
        <w:ind w:left="284" w:hanging="284"/>
        <w:jc w:val="both"/>
        <w:rPr>
          <w:rFonts w:ascii="Times New Roman" w:hAnsi="Times New Roman" w:cs="Times New Roman"/>
        </w:rPr>
      </w:pPr>
      <w:r w:rsidRPr="00413BD1">
        <w:rPr>
          <w:rFonts w:ascii="Times New Roman" w:hAnsi="Times New Roman" w:cs="Times New Roman"/>
        </w:rPr>
        <w:t>6. What does the company do to increase international cooperation and help developing countries build their skills in areas like water and sanitation?</w:t>
      </w:r>
    </w:p>
    <w:p w14:paraId="10D59BF2" w14:textId="77777777" w:rsidR="00757468" w:rsidRPr="00413BD1" w:rsidRDefault="001A232D" w:rsidP="000C3BC4">
      <w:pPr>
        <w:spacing w:line="480" w:lineRule="auto"/>
        <w:ind w:left="284" w:hanging="284"/>
        <w:jc w:val="both"/>
        <w:rPr>
          <w:rFonts w:ascii="Times New Roman" w:hAnsi="Times New Roman" w:cs="Times New Roman"/>
        </w:rPr>
      </w:pPr>
      <w:r w:rsidRPr="00413BD1">
        <w:rPr>
          <w:rFonts w:ascii="Times New Roman" w:hAnsi="Times New Roman" w:cs="Times New Roman"/>
        </w:rPr>
        <w:lastRenderedPageBreak/>
        <w:t>7. How does the company help and strengthen local communities' involvement in improving water and sanitation management?</w:t>
      </w:r>
    </w:p>
    <w:p w14:paraId="6DCC3ED2" w14:textId="31546E1F" w:rsidR="00451EBC" w:rsidRPr="00413BD1" w:rsidRDefault="001A232D" w:rsidP="000C3BC4">
      <w:pPr>
        <w:spacing w:line="480" w:lineRule="auto"/>
        <w:ind w:firstLine="709"/>
        <w:jc w:val="both"/>
        <w:rPr>
          <w:rFonts w:ascii="Times New Roman" w:hAnsi="Times New Roman" w:cs="Times New Roman"/>
        </w:rPr>
      </w:pPr>
      <w:r w:rsidRPr="00413BD1">
        <w:rPr>
          <w:rFonts w:ascii="Times New Roman" w:hAnsi="Times New Roman" w:cs="Times New Roman"/>
        </w:rPr>
        <w:t xml:space="preserve"> </w:t>
      </w:r>
      <w:r w:rsidR="009B4AF8" w:rsidRPr="00413BD1">
        <w:rPr>
          <w:rFonts w:ascii="Times New Roman" w:hAnsi="Times New Roman" w:cs="Times New Roman"/>
        </w:rPr>
        <w:t>This study examines the information presented in the CSR reports of the selected companies through content analysis. This method of data analysis has been used in prior research in the area of CSR (</w:t>
      </w:r>
      <w:proofErr w:type="spellStart"/>
      <w:r w:rsidR="009B4AF8" w:rsidRPr="00413BD1">
        <w:rPr>
          <w:rFonts w:ascii="Times New Roman" w:hAnsi="Times New Roman" w:cs="Times New Roman"/>
        </w:rPr>
        <w:t>Bashtovaya</w:t>
      </w:r>
      <w:proofErr w:type="spellEnd"/>
      <w:r w:rsidR="009B4AF8" w:rsidRPr="00413BD1">
        <w:rPr>
          <w:rFonts w:ascii="Times New Roman" w:hAnsi="Times New Roman" w:cs="Times New Roman"/>
        </w:rPr>
        <w:t xml:space="preserve">, 2014). This study uses qualitative content analysis to find themes that are present and absent in business CSR disclosures. This allows for a more in-depth analysis rather than just a count of how common they are. Qualitative content analysis is interpretive because it looks at more than just the number of words, sentences, or disclosures. It also considers how text and pictures might be communicating meaning. In-depth content analysis was used to code and index the reports' qualitative content to find the main themes. </w:t>
      </w:r>
      <w:r w:rsidR="008A1CD7" w:rsidRPr="00413BD1">
        <w:rPr>
          <w:rFonts w:ascii="Times New Roman" w:hAnsi="Times New Roman" w:cs="Times New Roman"/>
        </w:rPr>
        <w:t xml:space="preserve">Responses can be categorized by common themes, allowing for the identification of those that do not fit (Aniah et al., 2019). The evaluation involved searching for keywords in reports based on specific topics, such as "drinking water," "sanitation," "hygiene," "water quality," "wastewater," "water use," "efficiency," "management," "ecosystems," "international," "capacity building," and "local communities." A thorough rereading of the report helps to ensure more accurate search results. The findings are presented according to themes and patterns </w:t>
      </w:r>
      <w:r w:rsidR="00A020D2" w:rsidRPr="00413BD1">
        <w:rPr>
          <w:rFonts w:ascii="Times New Roman" w:hAnsi="Times New Roman" w:cs="Times New Roman"/>
        </w:rPr>
        <w:t>frequently appearing</w:t>
      </w:r>
      <w:r w:rsidR="008A1CD7" w:rsidRPr="00413BD1">
        <w:rPr>
          <w:rFonts w:ascii="Times New Roman" w:hAnsi="Times New Roman" w:cs="Times New Roman"/>
        </w:rPr>
        <w:t xml:space="preserve"> in the report (Neethling et al., 2017).</w:t>
      </w:r>
    </w:p>
    <w:p w14:paraId="4F92E910" w14:textId="6CFEC1F9" w:rsidR="00781224" w:rsidRPr="00413BD1" w:rsidRDefault="00A020D2" w:rsidP="000C3BC4">
      <w:pPr>
        <w:spacing w:line="480" w:lineRule="auto"/>
        <w:ind w:firstLine="709"/>
        <w:jc w:val="both"/>
        <w:rPr>
          <w:rFonts w:ascii="Times New Roman" w:hAnsi="Times New Roman" w:cs="Times New Roman"/>
        </w:rPr>
      </w:pPr>
      <w:r w:rsidRPr="00413BD1">
        <w:rPr>
          <w:rFonts w:ascii="Times New Roman" w:hAnsi="Times New Roman" w:cs="Times New Roman"/>
        </w:rPr>
        <w:t>This study used applied thematic analysis, which provides structure and incorporates reflexivity into qualitative research involving textual data (</w:t>
      </w:r>
      <w:proofErr w:type="spellStart"/>
      <w:r w:rsidRPr="00413BD1">
        <w:rPr>
          <w:rFonts w:ascii="Times New Roman" w:hAnsi="Times New Roman" w:cs="Times New Roman"/>
        </w:rPr>
        <w:t>Mackieson</w:t>
      </w:r>
      <w:proofErr w:type="spellEnd"/>
      <w:r w:rsidRPr="00413BD1">
        <w:rPr>
          <w:rFonts w:ascii="Times New Roman" w:hAnsi="Times New Roman" w:cs="Times New Roman"/>
        </w:rPr>
        <w:t xml:space="preserve"> et al., 2019). ChatGPT was utilized for thematic analysis. ChatGPT can perform thematic analysis by generating initial codes, identifying significant themes, and uncovering patterns in complex data sets. ChatGPT offers advantages in efficiently and thoroughly </w:t>
      </w:r>
      <w:proofErr w:type="spellStart"/>
      <w:r w:rsidRPr="00413BD1">
        <w:rPr>
          <w:rFonts w:ascii="Times New Roman" w:hAnsi="Times New Roman" w:cs="Times New Roman"/>
        </w:rPr>
        <w:t>analyzing</w:t>
      </w:r>
      <w:proofErr w:type="spellEnd"/>
      <w:r w:rsidRPr="00413BD1">
        <w:rPr>
          <w:rFonts w:ascii="Times New Roman" w:hAnsi="Times New Roman" w:cs="Times New Roman"/>
        </w:rPr>
        <w:t xml:space="preserve"> qualitative data (</w:t>
      </w:r>
      <w:proofErr w:type="spellStart"/>
      <w:r w:rsidRPr="00413BD1">
        <w:rPr>
          <w:rFonts w:ascii="Times New Roman" w:hAnsi="Times New Roman" w:cs="Times New Roman"/>
        </w:rPr>
        <w:t>Turobov</w:t>
      </w:r>
      <w:proofErr w:type="spellEnd"/>
      <w:r w:rsidRPr="00413BD1">
        <w:rPr>
          <w:rFonts w:ascii="Times New Roman" w:hAnsi="Times New Roman" w:cs="Times New Roman"/>
        </w:rPr>
        <w:t xml:space="preserve"> et al., 2024). </w:t>
      </w:r>
      <w:r w:rsidR="00D10D38" w:rsidRPr="00413BD1">
        <w:rPr>
          <w:rFonts w:ascii="Times New Roman" w:hAnsi="Times New Roman" w:cs="Times New Roman"/>
        </w:rPr>
        <w:t xml:space="preserve">AI tools like ChatGPT can serve as additional members of the analysis team, which could greatly contribute to data triangulation. </w:t>
      </w:r>
      <w:r w:rsidRPr="00413BD1">
        <w:rPr>
          <w:rFonts w:ascii="Times New Roman" w:hAnsi="Times New Roman" w:cs="Times New Roman"/>
        </w:rPr>
        <w:t>However, human involvement can capture data with greater detail when understanding it (Lee et al., 2024). Thus, researchers must still validate the findings in the CSR report.</w:t>
      </w:r>
      <w:r w:rsidR="001A232D" w:rsidRPr="00413BD1">
        <w:rPr>
          <w:rFonts w:ascii="Times New Roman" w:hAnsi="Times New Roman" w:cs="Times New Roman"/>
        </w:rPr>
        <w:t xml:space="preserve"> </w:t>
      </w:r>
    </w:p>
    <w:p w14:paraId="5203DE82" w14:textId="11AD35DD" w:rsidR="008506D4" w:rsidRPr="00413BD1" w:rsidRDefault="001A232D" w:rsidP="00311EBE">
      <w:pPr>
        <w:pStyle w:val="ListParagraph"/>
        <w:numPr>
          <w:ilvl w:val="0"/>
          <w:numId w:val="14"/>
        </w:numPr>
        <w:spacing w:line="480" w:lineRule="auto"/>
        <w:ind w:left="284" w:hanging="284"/>
        <w:rPr>
          <w:rFonts w:ascii="Times New Roman" w:hAnsi="Times New Roman" w:cs="Times New Roman"/>
          <w:b/>
          <w:bCs/>
        </w:rPr>
      </w:pPr>
      <w:r w:rsidRPr="00413BD1">
        <w:rPr>
          <w:rFonts w:ascii="Times New Roman" w:hAnsi="Times New Roman" w:cs="Times New Roman"/>
          <w:b/>
          <w:bCs/>
        </w:rPr>
        <w:lastRenderedPageBreak/>
        <w:t>Results and Discussion</w:t>
      </w:r>
    </w:p>
    <w:p w14:paraId="797BF6F1" w14:textId="248F1E14" w:rsidR="00451EBC" w:rsidRPr="00413BD1" w:rsidRDefault="00BD7510" w:rsidP="000C3BC4">
      <w:pPr>
        <w:spacing w:line="480" w:lineRule="auto"/>
        <w:ind w:firstLine="709"/>
        <w:jc w:val="both"/>
        <w:rPr>
          <w:rFonts w:ascii="Times New Roman" w:hAnsi="Times New Roman" w:cs="Times New Roman"/>
        </w:rPr>
      </w:pPr>
      <w:r w:rsidRPr="00413BD1">
        <w:rPr>
          <w:rFonts w:ascii="Times New Roman" w:hAnsi="Times New Roman" w:cs="Times New Roman"/>
        </w:rPr>
        <w:t>The evaluation of CSR in mining companies in Indonesia highlights the strengths and weaknesses within each theme.</w:t>
      </w:r>
    </w:p>
    <w:p w14:paraId="23BD73F6" w14:textId="13A704FF" w:rsidR="00D02837" w:rsidRPr="00413BD1" w:rsidRDefault="00311EBE" w:rsidP="000C3BC4">
      <w:pPr>
        <w:spacing w:line="480" w:lineRule="auto"/>
        <w:jc w:val="both"/>
        <w:rPr>
          <w:rFonts w:ascii="Times New Roman" w:hAnsi="Times New Roman" w:cs="Times New Roman"/>
          <w:b/>
          <w:bCs/>
        </w:rPr>
      </w:pPr>
      <w:r w:rsidRPr="00413BD1">
        <w:rPr>
          <w:rFonts w:ascii="Times New Roman" w:hAnsi="Times New Roman" w:cs="Times New Roman"/>
          <w:b/>
          <w:bCs/>
        </w:rPr>
        <w:t xml:space="preserve">4.1 </w:t>
      </w:r>
      <w:r w:rsidR="001A232D" w:rsidRPr="00413BD1">
        <w:rPr>
          <w:rFonts w:ascii="Times New Roman" w:hAnsi="Times New Roman" w:cs="Times New Roman"/>
          <w:b/>
          <w:bCs/>
        </w:rPr>
        <w:t xml:space="preserve">CSR </w:t>
      </w:r>
      <w:r w:rsidR="00DF520F" w:rsidRPr="00413BD1">
        <w:rPr>
          <w:rFonts w:ascii="Times New Roman" w:hAnsi="Times New Roman" w:cs="Times New Roman"/>
          <w:b/>
          <w:bCs/>
        </w:rPr>
        <w:t xml:space="preserve">Strengths of </w:t>
      </w:r>
      <w:r w:rsidR="001A232D" w:rsidRPr="00413BD1">
        <w:rPr>
          <w:rFonts w:ascii="Times New Roman" w:hAnsi="Times New Roman" w:cs="Times New Roman"/>
          <w:b/>
          <w:bCs/>
        </w:rPr>
        <w:t xml:space="preserve">Indonesian </w:t>
      </w:r>
      <w:r w:rsidR="00DF520F" w:rsidRPr="00413BD1">
        <w:rPr>
          <w:rFonts w:ascii="Times New Roman" w:hAnsi="Times New Roman" w:cs="Times New Roman"/>
          <w:b/>
          <w:bCs/>
        </w:rPr>
        <w:t>Mining Companies</w:t>
      </w:r>
    </w:p>
    <w:p w14:paraId="36167A50" w14:textId="67FD70B9" w:rsidR="00F219A4" w:rsidRPr="00413BD1" w:rsidRDefault="00BD7510" w:rsidP="000C3BC4">
      <w:pPr>
        <w:spacing w:line="480" w:lineRule="auto"/>
        <w:ind w:firstLine="720"/>
        <w:jc w:val="both"/>
        <w:rPr>
          <w:rFonts w:ascii="Times New Roman" w:hAnsi="Times New Roman" w:cs="Times New Roman"/>
        </w:rPr>
      </w:pPr>
      <w:r w:rsidRPr="00413BD1">
        <w:rPr>
          <w:rFonts w:ascii="Times New Roman" w:hAnsi="Times New Roman" w:cs="Times New Roman"/>
        </w:rPr>
        <w:t>Indonesian mining companies excel in CSR by providing universal access to clean drinking water, enhancing sanitation and hygiene, improving water quality and wastewater management, increasing the efficiency and conservation of water use, protecting and restoring water-related ecosystems, and engaging communities in water and sanitation management.</w:t>
      </w:r>
    </w:p>
    <w:p w14:paraId="175F0FA7" w14:textId="77777777" w:rsidR="00C35982" w:rsidRPr="00413BD1" w:rsidRDefault="001A232D" w:rsidP="000C3BC4">
      <w:pPr>
        <w:pStyle w:val="ListParagraph"/>
        <w:numPr>
          <w:ilvl w:val="0"/>
          <w:numId w:val="7"/>
        </w:numPr>
        <w:spacing w:line="480" w:lineRule="auto"/>
        <w:ind w:left="284" w:hanging="284"/>
        <w:jc w:val="both"/>
        <w:rPr>
          <w:rFonts w:ascii="Times New Roman" w:hAnsi="Times New Roman" w:cs="Times New Roman"/>
        </w:rPr>
      </w:pPr>
      <w:r w:rsidRPr="00413BD1">
        <w:rPr>
          <w:rFonts w:ascii="Times New Roman" w:hAnsi="Times New Roman" w:cs="Times New Roman"/>
        </w:rPr>
        <w:t xml:space="preserve">Universal access to clean drinking water </w:t>
      </w:r>
    </w:p>
    <w:p w14:paraId="34E8432C" w14:textId="52402F8C" w:rsidR="00D02837" w:rsidRPr="00413BD1" w:rsidRDefault="00BD7510" w:rsidP="000C3BC4">
      <w:pPr>
        <w:spacing w:line="480" w:lineRule="auto"/>
        <w:ind w:firstLine="720"/>
        <w:jc w:val="both"/>
        <w:rPr>
          <w:rFonts w:ascii="Times New Roman" w:hAnsi="Times New Roman" w:cs="Times New Roman"/>
        </w:rPr>
      </w:pPr>
      <w:r w:rsidRPr="00413BD1">
        <w:rPr>
          <w:rFonts w:ascii="Times New Roman" w:hAnsi="Times New Roman" w:cs="Times New Roman"/>
        </w:rPr>
        <w:t>The theme of universal access to clean drinking water in Indonesian mining companies’ CSR initiatives highlights accessibility to clean drinking water, infrastructure development, and disaster response. Examples from CSR reports include distributing bottled drinking water during emergencies, installing subsidized water meters, and constructing water treatment facilities to make surface water safe to drink. The study revealed that these CSR initiatives are aligned with SDG 6.1, which aims to ensure universal access to clean and affordable drinking water. These efforts underscore the responsibility of businesses to meet the water needs of communities, particularly in emergencies and underserved areas</w:t>
      </w:r>
      <w:r w:rsidR="001A232D" w:rsidRPr="00413BD1">
        <w:rPr>
          <w:rFonts w:ascii="Times New Roman" w:hAnsi="Times New Roman" w:cs="Times New Roman"/>
        </w:rPr>
        <w:t xml:space="preserve">. </w:t>
      </w:r>
    </w:p>
    <w:p w14:paraId="4D65D017" w14:textId="77777777" w:rsidR="000E026F" w:rsidRPr="00413BD1" w:rsidRDefault="001A232D" w:rsidP="000C3BC4">
      <w:pPr>
        <w:pStyle w:val="ListParagraph"/>
        <w:numPr>
          <w:ilvl w:val="0"/>
          <w:numId w:val="7"/>
        </w:numPr>
        <w:spacing w:line="480" w:lineRule="auto"/>
        <w:ind w:left="284" w:hanging="284"/>
        <w:jc w:val="both"/>
        <w:rPr>
          <w:rFonts w:ascii="Times New Roman" w:hAnsi="Times New Roman" w:cs="Times New Roman"/>
        </w:rPr>
      </w:pPr>
      <w:r w:rsidRPr="00413BD1">
        <w:rPr>
          <w:rFonts w:ascii="Times New Roman" w:hAnsi="Times New Roman" w:cs="Times New Roman"/>
        </w:rPr>
        <w:t xml:space="preserve">Improving sanitation and hygiene </w:t>
      </w:r>
    </w:p>
    <w:p w14:paraId="55ECEBC7" w14:textId="51AC99E6" w:rsidR="000E026F" w:rsidRPr="00413BD1" w:rsidRDefault="00501A14" w:rsidP="000C3BC4">
      <w:pPr>
        <w:spacing w:line="480" w:lineRule="auto"/>
        <w:ind w:firstLine="720"/>
        <w:jc w:val="both"/>
        <w:rPr>
          <w:rFonts w:ascii="Times New Roman" w:hAnsi="Times New Roman" w:cs="Times New Roman"/>
        </w:rPr>
      </w:pPr>
      <w:r w:rsidRPr="00413BD1">
        <w:rPr>
          <w:rFonts w:ascii="Times New Roman" w:hAnsi="Times New Roman" w:cs="Times New Roman"/>
        </w:rPr>
        <w:t xml:space="preserve">The theme of improving sanitation and hygiene among Indonesian mining companies' CSR projects emphasizes health campaigns, reducing household wastewater pollution, and building infrastructure for public and school sanitation. Examples from the CSR reports include the construction of public and family restrooms, the distribution of sanitation kits, and initiatives to </w:t>
      </w:r>
      <w:r w:rsidRPr="00413BD1">
        <w:rPr>
          <w:rFonts w:ascii="Times New Roman" w:hAnsi="Times New Roman" w:cs="Times New Roman"/>
        </w:rPr>
        <w:lastRenderedPageBreak/>
        <w:t>enhance sanitation and hygiene in schools. These efforts support SDG 6.2, which aims for universal access to basic sanitation and hygiene by reducing pollution and creating gender-specific sanitation facilities. This illustrates how mining corporations promote equitable sanitation and public health, facilitating inclusive access to hygienic practices in local communities.</w:t>
      </w:r>
      <w:r w:rsidR="001A232D" w:rsidRPr="00413BD1">
        <w:rPr>
          <w:rFonts w:ascii="Times New Roman" w:hAnsi="Times New Roman" w:cs="Times New Roman"/>
        </w:rPr>
        <w:t xml:space="preserve"> </w:t>
      </w:r>
    </w:p>
    <w:p w14:paraId="7D1E20EF" w14:textId="77777777" w:rsidR="006D184D" w:rsidRPr="00413BD1" w:rsidRDefault="001A232D" w:rsidP="000C3BC4">
      <w:pPr>
        <w:pStyle w:val="ListParagraph"/>
        <w:numPr>
          <w:ilvl w:val="0"/>
          <w:numId w:val="7"/>
        </w:numPr>
        <w:spacing w:line="480" w:lineRule="auto"/>
        <w:ind w:left="284" w:hanging="284"/>
        <w:jc w:val="both"/>
        <w:rPr>
          <w:rFonts w:ascii="Times New Roman" w:hAnsi="Times New Roman" w:cs="Times New Roman"/>
        </w:rPr>
      </w:pPr>
      <w:r w:rsidRPr="00413BD1">
        <w:rPr>
          <w:rFonts w:ascii="Times New Roman" w:hAnsi="Times New Roman" w:cs="Times New Roman"/>
        </w:rPr>
        <w:t>Improving water quality and wastewater management</w:t>
      </w:r>
    </w:p>
    <w:p w14:paraId="2D9D0FA5" w14:textId="77777777" w:rsidR="00107618" w:rsidRPr="00413BD1" w:rsidRDefault="00107618" w:rsidP="000C3BC4">
      <w:pPr>
        <w:spacing w:line="480" w:lineRule="auto"/>
        <w:ind w:firstLine="709"/>
        <w:jc w:val="both"/>
        <w:rPr>
          <w:rFonts w:ascii="Times New Roman" w:hAnsi="Times New Roman" w:cs="Times New Roman"/>
        </w:rPr>
      </w:pPr>
      <w:r w:rsidRPr="00413BD1">
        <w:rPr>
          <w:rFonts w:ascii="Times New Roman" w:hAnsi="Times New Roman" w:cs="Times New Roman"/>
        </w:rPr>
        <w:t>Wastewater monitoring and treatment, pollution regulation compliance, and wastewater quality management are key focuses of water quality improvement and wastewater management in Indonesian mining companies’ CSR initiatives. According to the CSR report, examples include wastewater filtration according to local requirements, implementation of online wastewater monitoring systems, and conducting daily and monthly water quality assessments. SDG 6.3, which focuses on improving water quality by reducing pollution, aligns with these initiatives. Businesses can reduce their environmental impact and enhance the quality of water for ecosystems and surrounding communities by adhering to quality standards and implementing proactive wastewater treatment.</w:t>
      </w:r>
    </w:p>
    <w:p w14:paraId="130BC2D5" w14:textId="376B620B" w:rsidR="00912446"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 xml:space="preserve">d. Increasing water-use efficiency and conservation </w:t>
      </w:r>
    </w:p>
    <w:p w14:paraId="453E0E24" w14:textId="151925C1" w:rsidR="00912446" w:rsidRPr="00413BD1" w:rsidRDefault="00790AB4" w:rsidP="000C3BC4">
      <w:pPr>
        <w:spacing w:line="480" w:lineRule="auto"/>
        <w:ind w:firstLine="720"/>
        <w:jc w:val="both"/>
        <w:rPr>
          <w:rFonts w:ascii="Times New Roman" w:hAnsi="Times New Roman" w:cs="Times New Roman"/>
        </w:rPr>
      </w:pPr>
      <w:r w:rsidRPr="00413BD1">
        <w:rPr>
          <w:rFonts w:ascii="Times New Roman" w:hAnsi="Times New Roman" w:cs="Times New Roman"/>
        </w:rPr>
        <w:t>The theme of enhancing water efficiency and conservation highlights the importance of recycling water in operations, reducing raw water extraction, and promoting effective water use. Instances from the CSR report illustrate water reuse in the gold production process, the design of systems to cut down water consumption, and the utilization of sediment ponds for recycled water in operational areas. These efforts align with SDG 6.4, which emphasizes improving water use efficiency, and SDG 6.5, which advocates for water resource management at all levels. By decreasing natural water withdrawals and emphasizing recycling, companies support sustainable water resource management, balancing industrial demand and community water access.</w:t>
      </w:r>
    </w:p>
    <w:p w14:paraId="78B14DB9" w14:textId="77777777" w:rsidR="00912446" w:rsidRPr="00413BD1" w:rsidRDefault="001A232D" w:rsidP="000C3BC4">
      <w:pPr>
        <w:pStyle w:val="ListParagraph"/>
        <w:numPr>
          <w:ilvl w:val="0"/>
          <w:numId w:val="10"/>
        </w:numPr>
        <w:spacing w:line="480" w:lineRule="auto"/>
        <w:ind w:left="284" w:hanging="284"/>
        <w:jc w:val="both"/>
        <w:rPr>
          <w:rFonts w:ascii="Times New Roman" w:hAnsi="Times New Roman" w:cs="Times New Roman"/>
        </w:rPr>
      </w:pPr>
      <w:r w:rsidRPr="00413BD1">
        <w:rPr>
          <w:rFonts w:ascii="Times New Roman" w:hAnsi="Times New Roman" w:cs="Times New Roman"/>
        </w:rPr>
        <w:lastRenderedPageBreak/>
        <w:t>Protection and restoration of water-related ecosystems</w:t>
      </w:r>
    </w:p>
    <w:p w14:paraId="44FF9975" w14:textId="32E054F7" w:rsidR="00912446" w:rsidRPr="00413BD1" w:rsidRDefault="00790AB4" w:rsidP="000C3BC4">
      <w:pPr>
        <w:spacing w:line="480" w:lineRule="auto"/>
        <w:ind w:firstLine="720"/>
        <w:jc w:val="both"/>
        <w:rPr>
          <w:rFonts w:ascii="Times New Roman" w:hAnsi="Times New Roman" w:cs="Times New Roman"/>
        </w:rPr>
      </w:pPr>
      <w:r w:rsidRPr="00413BD1">
        <w:rPr>
          <w:rFonts w:ascii="Times New Roman" w:hAnsi="Times New Roman" w:cs="Times New Roman"/>
        </w:rPr>
        <w:t>The theme of protecting and restoring water-related ecosystems emphasizes the creation of conservation zones, ecosystem restoration, and biodiversity conservation. Examples include coral reef transplantation, mangrove restoration, habitat conservation near protected areas, and regular biodiversity monitoring. SDG 6.6, which calls for preserving and restoring water-related ecosystems, aligns with this initiative. These steps are evidence of mining companies' responsibility to maintain ecological balance and demonstrate their dedication to biodiversity conservation, especially in areas affected by mining</w:t>
      </w:r>
      <w:r w:rsidR="001A232D" w:rsidRPr="00413BD1">
        <w:rPr>
          <w:rFonts w:ascii="Times New Roman" w:hAnsi="Times New Roman" w:cs="Times New Roman"/>
        </w:rPr>
        <w:t>.</w:t>
      </w:r>
    </w:p>
    <w:p w14:paraId="1CAF0309" w14:textId="77777777" w:rsidR="00962C6F" w:rsidRPr="00413BD1" w:rsidRDefault="001A232D" w:rsidP="000C3BC4">
      <w:pPr>
        <w:pStyle w:val="ListParagraph"/>
        <w:numPr>
          <w:ilvl w:val="0"/>
          <w:numId w:val="10"/>
        </w:numPr>
        <w:spacing w:line="480" w:lineRule="auto"/>
        <w:ind w:left="284" w:hanging="284"/>
        <w:jc w:val="both"/>
        <w:rPr>
          <w:rFonts w:ascii="Times New Roman" w:hAnsi="Times New Roman" w:cs="Times New Roman"/>
        </w:rPr>
      </w:pPr>
      <w:r w:rsidRPr="00413BD1">
        <w:rPr>
          <w:rFonts w:ascii="Times New Roman" w:hAnsi="Times New Roman" w:cs="Times New Roman"/>
        </w:rPr>
        <w:t>Community engagement in water and sanitation management</w:t>
      </w:r>
    </w:p>
    <w:p w14:paraId="01142878" w14:textId="45398FF3" w:rsidR="00962C6F" w:rsidRPr="00413BD1" w:rsidRDefault="001B11B8" w:rsidP="000C3BC4">
      <w:pPr>
        <w:spacing w:line="480" w:lineRule="auto"/>
        <w:ind w:firstLine="720"/>
        <w:jc w:val="both"/>
        <w:rPr>
          <w:rFonts w:ascii="Times New Roman" w:hAnsi="Times New Roman" w:cs="Times New Roman"/>
        </w:rPr>
      </w:pPr>
      <w:r w:rsidRPr="00413BD1">
        <w:rPr>
          <w:rFonts w:ascii="Times New Roman" w:hAnsi="Times New Roman" w:cs="Times New Roman"/>
        </w:rPr>
        <w:t>The theme of community engagement in water and sanitation management stresses the importance of local participation in water management, community programs, and collaboration with local governments. Examples of these activities include involving all stakeholders in building water infrastructure in both inland and coastal communities, implementing community empowerment programs for fishermen, and conducting public consultations before issuing water permits. This CSR program supports SDG 6.b, which emphasizes the significance of community engagement in water and sanitation management by involving communities and fostering local partnerships. At the regional level, this strategy encourages sustainable water management practices, provides livelihood opportunities, and enhances local knowledge</w:t>
      </w:r>
      <w:r w:rsidR="001A232D" w:rsidRPr="00413BD1">
        <w:rPr>
          <w:rFonts w:ascii="Times New Roman" w:hAnsi="Times New Roman" w:cs="Times New Roman"/>
        </w:rPr>
        <w:t>.</w:t>
      </w:r>
      <w:r w:rsidR="00D10D38" w:rsidRPr="00413BD1">
        <w:rPr>
          <w:rFonts w:ascii="Times New Roman" w:hAnsi="Times New Roman" w:cs="Times New Roman"/>
        </w:rPr>
        <w:t xml:space="preserve"> This indicates positive signs of community engagement in water management, despite findings that many water managers either lacked experience or trust in engaging with the community (Hall, 2015).</w:t>
      </w:r>
    </w:p>
    <w:p w14:paraId="7D613FE8" w14:textId="3F74E2AF" w:rsidR="0014365F" w:rsidRPr="00413BD1" w:rsidRDefault="00311EBE" w:rsidP="000C3BC4">
      <w:pPr>
        <w:spacing w:line="480" w:lineRule="auto"/>
        <w:jc w:val="both"/>
        <w:rPr>
          <w:rFonts w:ascii="Times New Roman" w:hAnsi="Times New Roman" w:cs="Times New Roman"/>
          <w:b/>
          <w:bCs/>
        </w:rPr>
      </w:pPr>
      <w:r w:rsidRPr="00413BD1">
        <w:rPr>
          <w:rFonts w:ascii="Times New Roman" w:hAnsi="Times New Roman" w:cs="Times New Roman"/>
          <w:b/>
          <w:bCs/>
        </w:rPr>
        <w:t xml:space="preserve">4.2 </w:t>
      </w:r>
      <w:r w:rsidR="001A232D" w:rsidRPr="00413BD1">
        <w:rPr>
          <w:rFonts w:ascii="Times New Roman" w:hAnsi="Times New Roman" w:cs="Times New Roman"/>
          <w:b/>
          <w:bCs/>
        </w:rPr>
        <w:t xml:space="preserve">CSR </w:t>
      </w:r>
      <w:r w:rsidR="00DF520F" w:rsidRPr="00413BD1">
        <w:rPr>
          <w:rFonts w:ascii="Times New Roman" w:hAnsi="Times New Roman" w:cs="Times New Roman"/>
          <w:b/>
          <w:bCs/>
        </w:rPr>
        <w:t xml:space="preserve">Weaknesses of </w:t>
      </w:r>
      <w:r w:rsidR="001A232D" w:rsidRPr="00413BD1">
        <w:rPr>
          <w:rFonts w:ascii="Times New Roman" w:hAnsi="Times New Roman" w:cs="Times New Roman"/>
          <w:b/>
          <w:bCs/>
        </w:rPr>
        <w:t xml:space="preserve">Indonesian </w:t>
      </w:r>
      <w:r w:rsidR="00DF520F" w:rsidRPr="00413BD1">
        <w:rPr>
          <w:rFonts w:ascii="Times New Roman" w:hAnsi="Times New Roman" w:cs="Times New Roman"/>
          <w:b/>
          <w:bCs/>
        </w:rPr>
        <w:t>Mining Companies</w:t>
      </w:r>
    </w:p>
    <w:p w14:paraId="16DDAFF4" w14:textId="2295456D" w:rsidR="00451EBC" w:rsidRPr="00413BD1" w:rsidRDefault="001A232D" w:rsidP="000C3BC4">
      <w:pPr>
        <w:spacing w:line="480" w:lineRule="auto"/>
        <w:ind w:firstLine="720"/>
        <w:jc w:val="both"/>
        <w:rPr>
          <w:rFonts w:ascii="Times New Roman" w:hAnsi="Times New Roman" w:cs="Times New Roman"/>
          <w:b/>
          <w:bCs/>
        </w:rPr>
      </w:pPr>
      <w:r w:rsidRPr="00413BD1">
        <w:rPr>
          <w:rFonts w:ascii="Times New Roman" w:hAnsi="Times New Roman" w:cs="Times New Roman"/>
        </w:rPr>
        <w:t xml:space="preserve">Identifying weaknesses in CSR programs is critical for a thorough review because it identifies opportunities for improvement and ensures that efforts are effectively contributing to SDG 6. </w:t>
      </w:r>
      <w:r w:rsidR="00B577C1" w:rsidRPr="00413BD1">
        <w:rPr>
          <w:rFonts w:ascii="Times New Roman" w:hAnsi="Times New Roman" w:cs="Times New Roman"/>
        </w:rPr>
        <w:t xml:space="preserve">The </w:t>
      </w:r>
      <w:r w:rsidR="00B577C1" w:rsidRPr="00413BD1">
        <w:rPr>
          <w:rFonts w:ascii="Times New Roman" w:hAnsi="Times New Roman" w:cs="Times New Roman"/>
        </w:rPr>
        <w:lastRenderedPageBreak/>
        <w:t>weaknesses of Indonesian mining companies’ CSR include a limited scope and coverage, insufficient monitoring and evaluation, reliance on external factors for resource allocation, minimal community involvement and empowerment, difficulties in integrating technology, challenges in biodiversity conservation and environmental impact management, as well as obstacles in international cooperation, compliance with standards, and stakeholder communication.</w:t>
      </w:r>
    </w:p>
    <w:p w14:paraId="51B3EEA5" w14:textId="77777777" w:rsidR="008257AC"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a. Limited scope and coverage</w:t>
      </w:r>
    </w:p>
    <w:p w14:paraId="7ED702F5" w14:textId="7411E1A2" w:rsidR="00992974" w:rsidRPr="00413BD1" w:rsidRDefault="001A232D" w:rsidP="000C3BC4">
      <w:pPr>
        <w:spacing w:line="480" w:lineRule="auto"/>
        <w:ind w:firstLine="720"/>
        <w:jc w:val="both"/>
        <w:rPr>
          <w:rFonts w:ascii="Times New Roman" w:hAnsi="Times New Roman" w:cs="Times New Roman"/>
        </w:rPr>
      </w:pPr>
      <w:r w:rsidRPr="00413BD1">
        <w:rPr>
          <w:rFonts w:ascii="Times New Roman" w:hAnsi="Times New Roman" w:cs="Times New Roman"/>
        </w:rPr>
        <w:t>Many CSR initiatives in Indonesian mining companies appear to be concentrated in specific areas and target specific groups, such as fishermen; however, this limited geographical and demographic scope may overlook other communities and vulnerable populations—such as women, children, and marginalized groups—reducing the overall impact of CSR efforts across broader mining-affected regions.</w:t>
      </w:r>
      <w:r w:rsidR="002E756E" w:rsidRPr="00413BD1">
        <w:rPr>
          <w:rFonts w:ascii="Times New Roman" w:hAnsi="Times New Roman" w:cs="Times New Roman"/>
        </w:rPr>
        <w:t xml:space="preserve"> Hurst &amp; Ihlen (2018) emphasized that CSR should include all stakeholders. However, if complete inclusion is not feasible at a given time, there should be a strong rationale for choosing which specific stakeholder group to target.</w:t>
      </w:r>
    </w:p>
    <w:p w14:paraId="19997B19" w14:textId="77777777" w:rsidR="00CA2C1E"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b. Insufficient monitoring and evaluation</w:t>
      </w:r>
    </w:p>
    <w:p w14:paraId="30143EEE" w14:textId="7C7A76AA" w:rsidR="00CA2C1E" w:rsidRPr="00413BD1" w:rsidRDefault="001A232D" w:rsidP="000C3BC4">
      <w:pPr>
        <w:spacing w:line="480" w:lineRule="auto"/>
        <w:ind w:firstLine="720"/>
        <w:jc w:val="both"/>
        <w:rPr>
          <w:rFonts w:ascii="Times New Roman" w:hAnsi="Times New Roman" w:cs="Times New Roman"/>
        </w:rPr>
      </w:pPr>
      <w:r w:rsidRPr="00413BD1">
        <w:rPr>
          <w:rFonts w:ascii="Times New Roman" w:hAnsi="Times New Roman" w:cs="Times New Roman"/>
        </w:rPr>
        <w:t>Monitoring and evaluating CSR initiatives should be more visible in data transparency and long-term impact assessment.</w:t>
      </w:r>
      <w:r w:rsidR="00DF6065" w:rsidRPr="00413BD1">
        <w:rPr>
          <w:rFonts w:ascii="Times New Roman" w:hAnsi="Times New Roman" w:cs="Times New Roman"/>
        </w:rPr>
        <w:t xml:space="preserve"> Evaluation may include quantitative metrics such as environmental impact assessments, social returns, and customer feedback, while qualitative assessments may include interviews (</w:t>
      </w:r>
      <w:proofErr w:type="spellStart"/>
      <w:r w:rsidR="00DF6065" w:rsidRPr="00413BD1">
        <w:rPr>
          <w:rFonts w:ascii="Times New Roman" w:hAnsi="Times New Roman" w:cs="Times New Roman"/>
        </w:rPr>
        <w:t>Etikan</w:t>
      </w:r>
      <w:proofErr w:type="spellEnd"/>
      <w:r w:rsidR="00DF6065" w:rsidRPr="00413BD1">
        <w:rPr>
          <w:rFonts w:ascii="Times New Roman" w:hAnsi="Times New Roman" w:cs="Times New Roman"/>
        </w:rPr>
        <w:t>, 2024).</w:t>
      </w:r>
      <w:r w:rsidRPr="00413BD1">
        <w:rPr>
          <w:rFonts w:ascii="Times New Roman" w:hAnsi="Times New Roman" w:cs="Times New Roman"/>
        </w:rPr>
        <w:t xml:space="preserve"> Although some projects are stated, precise measurements of their efficacy are limited, indicating a need for systematic monitoring and honest reporting. </w:t>
      </w:r>
      <w:r w:rsidR="00413207" w:rsidRPr="00413BD1">
        <w:rPr>
          <w:rFonts w:ascii="Times New Roman" w:hAnsi="Times New Roman" w:cs="Times New Roman"/>
        </w:rPr>
        <w:t xml:space="preserve">This absence creates obstacles in evaluating CSR initiatives' true impact and identifying improvement areas. </w:t>
      </w:r>
      <w:r w:rsidR="00896F8D" w:rsidRPr="00413BD1">
        <w:rPr>
          <w:rFonts w:ascii="Times New Roman" w:hAnsi="Times New Roman" w:cs="Times New Roman"/>
        </w:rPr>
        <w:t xml:space="preserve">Transparency in monitoring and evaluation schemes plays a significant role in enhancing firms' positive reputation. </w:t>
      </w:r>
      <w:r w:rsidR="00413207" w:rsidRPr="00413BD1">
        <w:rPr>
          <w:rFonts w:ascii="Times New Roman" w:hAnsi="Times New Roman" w:cs="Times New Roman"/>
        </w:rPr>
        <w:t xml:space="preserve">Additionally, projects such as the construction of toilets and the installation of water meters often lack long-term sustainability or impact assessments. Accurate impact evaluations are essential for </w:t>
      </w:r>
      <w:r w:rsidR="00413207" w:rsidRPr="00413BD1">
        <w:rPr>
          <w:rFonts w:ascii="Times New Roman" w:hAnsi="Times New Roman" w:cs="Times New Roman"/>
        </w:rPr>
        <w:lastRenderedPageBreak/>
        <w:t>assessing long-term effects, not merely as a short-term solution.</w:t>
      </w:r>
      <w:r w:rsidRPr="00413BD1">
        <w:rPr>
          <w:rFonts w:ascii="Times New Roman" w:hAnsi="Times New Roman" w:cs="Times New Roman"/>
        </w:rPr>
        <w:t xml:space="preserve"> </w:t>
      </w:r>
      <w:r w:rsidR="00B9595E" w:rsidRPr="00413BD1">
        <w:rPr>
          <w:rFonts w:ascii="Times New Roman" w:hAnsi="Times New Roman" w:cs="Times New Roman"/>
        </w:rPr>
        <w:t>Impact evaluations should also not focus only on small groups of people but can be extended to the national or regional scale. (Barnett et al., 2020).</w:t>
      </w:r>
    </w:p>
    <w:p w14:paraId="13BF09EE" w14:textId="55DD8247" w:rsidR="00AF0D59"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 xml:space="preserve">c. </w:t>
      </w:r>
      <w:r w:rsidR="00520341" w:rsidRPr="00413BD1">
        <w:rPr>
          <w:rFonts w:ascii="Times New Roman" w:hAnsi="Times New Roman" w:cs="Times New Roman"/>
        </w:rPr>
        <w:t xml:space="preserve">Reliance </w:t>
      </w:r>
      <w:r w:rsidRPr="00413BD1">
        <w:rPr>
          <w:rFonts w:ascii="Times New Roman" w:hAnsi="Times New Roman" w:cs="Times New Roman"/>
        </w:rPr>
        <w:t xml:space="preserve">on external factors </w:t>
      </w:r>
      <w:r w:rsidR="00520341" w:rsidRPr="00413BD1">
        <w:rPr>
          <w:rFonts w:ascii="Times New Roman" w:hAnsi="Times New Roman" w:cs="Times New Roman"/>
        </w:rPr>
        <w:t xml:space="preserve">for </w:t>
      </w:r>
      <w:r w:rsidRPr="00413BD1">
        <w:rPr>
          <w:rFonts w:ascii="Times New Roman" w:hAnsi="Times New Roman" w:cs="Times New Roman"/>
        </w:rPr>
        <w:t>resource allocation</w:t>
      </w:r>
    </w:p>
    <w:p w14:paraId="22EC9E4B" w14:textId="4FBDCEAA" w:rsidR="00AF0D59" w:rsidRPr="00413BD1" w:rsidRDefault="00520341" w:rsidP="000C3BC4">
      <w:pPr>
        <w:spacing w:line="480" w:lineRule="auto"/>
        <w:ind w:firstLine="720"/>
        <w:jc w:val="both"/>
        <w:rPr>
          <w:rFonts w:ascii="Times New Roman" w:hAnsi="Times New Roman" w:cs="Times New Roman"/>
        </w:rPr>
      </w:pPr>
      <w:r w:rsidRPr="00413BD1">
        <w:rPr>
          <w:rFonts w:ascii="Times New Roman" w:hAnsi="Times New Roman" w:cs="Times New Roman"/>
        </w:rPr>
        <w:t>Challenges to the sustainability of CSR initiatives stem from dependence on external factors, resource allocation, and efficiency issues. Many programs form partnerships with local governments and organizations; however, the specifics of these collaborations remain unclear. Reliance on external partners and the necessity for a strong internal framework can result in program implementation and sustainability inconsistencies. Moreover, specific CSR initiatives must adhere to regulatory mandates like wastewater quality standards. This compliance-driven approach can sometimes hinder innovation and not sufficiently address systemic water and sanitation issues. CSR data highlights projects linked to resource allocation; however, details on budget distribution and funding sources are essential for efficiently and adequately evaluating funding sources to achieve maximum results.</w:t>
      </w:r>
      <w:r w:rsidR="001A232D" w:rsidRPr="00413BD1">
        <w:rPr>
          <w:rFonts w:ascii="Times New Roman" w:hAnsi="Times New Roman" w:cs="Times New Roman"/>
        </w:rPr>
        <w:t xml:space="preserve"> Initiatives such as water recycling and wastewater management are recognized; however, quantifiable efficiency gains and reductions in resource consumption still need to be specified. The absence of data constrains the capacity to assess progress and efficiently allocate resources.</w:t>
      </w:r>
    </w:p>
    <w:p w14:paraId="6A816AE0" w14:textId="77777777" w:rsidR="00D74EB7"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 xml:space="preserve">d. </w:t>
      </w:r>
      <w:r w:rsidR="00B624B3" w:rsidRPr="00413BD1">
        <w:rPr>
          <w:rFonts w:ascii="Times New Roman" w:hAnsi="Times New Roman" w:cs="Times New Roman"/>
        </w:rPr>
        <w:t>Limited</w:t>
      </w:r>
      <w:r w:rsidRPr="00413BD1">
        <w:rPr>
          <w:rFonts w:ascii="Times New Roman" w:hAnsi="Times New Roman" w:cs="Times New Roman"/>
        </w:rPr>
        <w:t xml:space="preserve"> community engagement and empowerment</w:t>
      </w:r>
    </w:p>
    <w:p w14:paraId="01EE0618" w14:textId="77777777" w:rsidR="00D74EB7" w:rsidRPr="00413BD1" w:rsidRDefault="001A232D" w:rsidP="000C3BC4">
      <w:pPr>
        <w:spacing w:line="480" w:lineRule="auto"/>
        <w:ind w:firstLine="720"/>
        <w:jc w:val="both"/>
        <w:rPr>
          <w:rFonts w:ascii="Times New Roman" w:hAnsi="Times New Roman" w:cs="Times New Roman"/>
        </w:rPr>
      </w:pPr>
      <w:r w:rsidRPr="00413BD1">
        <w:rPr>
          <w:rFonts w:ascii="Times New Roman" w:hAnsi="Times New Roman" w:cs="Times New Roman"/>
        </w:rPr>
        <w:t xml:space="preserve">Community engagement and empowerment are critical for the success and sustainability of CSR initiatives. Although programs like public consultations and empowerment initiatives exist, they frequently need more comprehensive descriptions of the levels of community participation. This restricted method of engagement may lead to inadequate community ownership and participation, thereby diminishing the effectiveness and sustainability of the initiatives. Furthermore, specific capacity-building initiatives, such as the POS PELAUT Program (Polyculture </w:t>
      </w:r>
      <w:proofErr w:type="spellStart"/>
      <w:r w:rsidRPr="00413BD1">
        <w:rPr>
          <w:rFonts w:ascii="Times New Roman" w:hAnsi="Times New Roman" w:cs="Times New Roman"/>
        </w:rPr>
        <w:t>Silvofishery</w:t>
      </w:r>
      <w:proofErr w:type="spellEnd"/>
      <w:r w:rsidRPr="00413BD1">
        <w:rPr>
          <w:rFonts w:ascii="Times New Roman" w:hAnsi="Times New Roman" w:cs="Times New Roman"/>
        </w:rPr>
        <w:t xml:space="preserve">, as </w:t>
      </w:r>
      <w:r w:rsidRPr="00413BD1">
        <w:rPr>
          <w:rFonts w:ascii="Times New Roman" w:hAnsi="Times New Roman" w:cs="Times New Roman"/>
        </w:rPr>
        <w:lastRenderedPageBreak/>
        <w:t>Fishermen Empowerment) are referenced but must include thorough training or educational elements. Without sufficient capacity-building initiatives, communities may face challenges in the sustainable maintenance and management of water and sanitation facilities over time.</w:t>
      </w:r>
    </w:p>
    <w:p w14:paraId="236C7DB8" w14:textId="77777777" w:rsidR="00CE7E38"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 xml:space="preserve">e. </w:t>
      </w:r>
      <w:r w:rsidR="00FE6764" w:rsidRPr="00413BD1">
        <w:rPr>
          <w:rFonts w:ascii="Times New Roman" w:hAnsi="Times New Roman" w:cs="Times New Roman"/>
        </w:rPr>
        <w:t>Limitations</w:t>
      </w:r>
      <w:r w:rsidRPr="00413BD1">
        <w:rPr>
          <w:rFonts w:ascii="Times New Roman" w:hAnsi="Times New Roman" w:cs="Times New Roman"/>
        </w:rPr>
        <w:t xml:space="preserve"> in the integration of technology, biodiversity conservation, and environmental impact</w:t>
      </w:r>
    </w:p>
    <w:p w14:paraId="141FBBC3" w14:textId="77777777" w:rsidR="00CE7E38" w:rsidRPr="00413BD1" w:rsidRDefault="001A232D" w:rsidP="000C3BC4">
      <w:pPr>
        <w:spacing w:line="480" w:lineRule="auto"/>
        <w:ind w:firstLine="720"/>
        <w:jc w:val="both"/>
        <w:rPr>
          <w:rFonts w:ascii="Times New Roman" w:hAnsi="Times New Roman" w:cs="Times New Roman"/>
        </w:rPr>
      </w:pPr>
      <w:r w:rsidRPr="00413BD1">
        <w:rPr>
          <w:rFonts w:ascii="Times New Roman" w:hAnsi="Times New Roman" w:cs="Times New Roman"/>
        </w:rPr>
        <w:t xml:space="preserve">Sustainable CSR practices are presented with significant challenges when addressing environmental impact and biodiversity conservation, as well as integrating innovative technologies. Nevertheless, the company has recognized the necessity of biodiversity management plans (BMPs) and is developing them. However, a structured, comprehensive approach may still be necessary to support these initiatives, which could leave gaps in ecosystem protection. Furthermore, despite the extensive land rehabilitation that has been reported, the efficacy of these </w:t>
      </w:r>
      <w:proofErr w:type="spellStart"/>
      <w:r w:rsidRPr="00413BD1">
        <w:rPr>
          <w:rFonts w:ascii="Times New Roman" w:hAnsi="Times New Roman" w:cs="Times New Roman"/>
        </w:rPr>
        <w:t>endeavors</w:t>
      </w:r>
      <w:proofErr w:type="spellEnd"/>
      <w:r w:rsidRPr="00413BD1">
        <w:rPr>
          <w:rFonts w:ascii="Times New Roman" w:hAnsi="Times New Roman" w:cs="Times New Roman"/>
        </w:rPr>
        <w:t xml:space="preserve"> in restoring ecosystems to their original state has not been comprehensively assessed. It is still being determined whether these initiatives effectively lessen the damage that mining operations cause to the environment with reliable restoration metrics. Some sophisticated technologies, including gravity-based sediment ponds and online wastewater monitoring, are implemented in innovation. Nevertheless, the degree of technological integration across all operations is still being determined, and there may be lost opportunities to implement cutting-edge solutions to enhance water and sanitation management. Additionally, although implementation details for these technological solutions are provided, their long-term sustainability and scalability in response to changing conditions must be more adequately planned, potentially restricting their long-term adaptability and effectiveness.</w:t>
      </w:r>
    </w:p>
    <w:p w14:paraId="2072EFFF" w14:textId="77777777" w:rsidR="00366ABD" w:rsidRPr="00413BD1" w:rsidRDefault="001A232D" w:rsidP="000C3BC4">
      <w:pPr>
        <w:pStyle w:val="ListParagraph"/>
        <w:numPr>
          <w:ilvl w:val="0"/>
          <w:numId w:val="11"/>
        </w:numPr>
        <w:spacing w:line="480" w:lineRule="auto"/>
        <w:ind w:left="284" w:hanging="284"/>
        <w:jc w:val="both"/>
        <w:rPr>
          <w:rFonts w:ascii="Times New Roman" w:hAnsi="Times New Roman" w:cs="Times New Roman"/>
        </w:rPr>
      </w:pPr>
      <w:r w:rsidRPr="00413BD1">
        <w:rPr>
          <w:rFonts w:ascii="Times New Roman" w:hAnsi="Times New Roman" w:cs="Times New Roman"/>
        </w:rPr>
        <w:t>Limitations in international cooperation, standards, and stakeholder communication</w:t>
      </w:r>
    </w:p>
    <w:p w14:paraId="746DE067" w14:textId="3CC4D862" w:rsidR="00366ABD" w:rsidRPr="00413BD1" w:rsidRDefault="001A232D" w:rsidP="000C3BC4">
      <w:pPr>
        <w:spacing w:line="480" w:lineRule="auto"/>
        <w:ind w:firstLine="720"/>
        <w:jc w:val="both"/>
        <w:rPr>
          <w:rFonts w:ascii="Times New Roman" w:hAnsi="Times New Roman" w:cs="Times New Roman"/>
        </w:rPr>
      </w:pPr>
      <w:r w:rsidRPr="00413BD1">
        <w:rPr>
          <w:rFonts w:ascii="Times New Roman" w:hAnsi="Times New Roman" w:cs="Times New Roman"/>
        </w:rPr>
        <w:t xml:space="preserve">Robust international cooperation, transparent communication with stakeholders, and adherence to global standards are essential components of effective CSR practices; however, these </w:t>
      </w:r>
      <w:r w:rsidRPr="00413BD1">
        <w:rPr>
          <w:rFonts w:ascii="Times New Roman" w:hAnsi="Times New Roman" w:cs="Times New Roman"/>
        </w:rPr>
        <w:lastRenderedPageBreak/>
        <w:t xml:space="preserve">areas still need to be improved. The company has no specific water conservation and sanitation programs involving international cooperation despite its references to international guidelines, such as those from the International Council on Mining &amp; Metals (ICMM). This restricted global collaboration may lead to the loss of opportunities to implement best practices, acquire supplementary resources, and capitalize on international expertise to improve corporate social responsibility initiatives. Furthermore, even though specific standards are cited, they must indicate their consistent application across all CSR activities. This inconsistency could undermine the overall objectives by resulting in variations in the quality and effectiveness of CSR programs. The CSR data lists initiatives, but it lacks detailed explanations and accessible reporting formats, which makes it difficult for stakeholders to fully comprehend and assess CSR efforts in terms of communication and stakeholder transparency. Poor communication and transparency can erode trust between the company and the community, reducing accountability. </w:t>
      </w:r>
      <w:r w:rsidR="00D47225" w:rsidRPr="00413BD1">
        <w:rPr>
          <w:rFonts w:ascii="Times New Roman" w:hAnsi="Times New Roman" w:cs="Times New Roman"/>
        </w:rPr>
        <w:t xml:space="preserve">Stakeholders might also grow </w:t>
      </w:r>
      <w:proofErr w:type="spellStart"/>
      <w:r w:rsidR="00D47225" w:rsidRPr="00413BD1">
        <w:rPr>
          <w:rFonts w:ascii="Times New Roman" w:hAnsi="Times New Roman" w:cs="Times New Roman"/>
        </w:rPr>
        <w:t>skeptical</w:t>
      </w:r>
      <w:proofErr w:type="spellEnd"/>
      <w:r w:rsidR="00D47225" w:rsidRPr="00413BD1">
        <w:rPr>
          <w:rFonts w:ascii="Times New Roman" w:hAnsi="Times New Roman" w:cs="Times New Roman"/>
        </w:rPr>
        <w:t xml:space="preserve"> about the genuine motives behind the company's CSR, believing </w:t>
      </w:r>
      <w:r w:rsidR="003304D5" w:rsidRPr="00413BD1">
        <w:rPr>
          <w:rFonts w:ascii="Times New Roman" w:hAnsi="Times New Roman" w:cs="Times New Roman"/>
        </w:rPr>
        <w:t>it could be aimed solely at its</w:t>
      </w:r>
      <w:r w:rsidR="00D47225" w:rsidRPr="00413BD1">
        <w:rPr>
          <w:rFonts w:ascii="Times New Roman" w:hAnsi="Times New Roman" w:cs="Times New Roman"/>
        </w:rPr>
        <w:t xml:space="preserve"> own advantage (Liu et al., 2023). </w:t>
      </w:r>
      <w:r w:rsidRPr="00413BD1">
        <w:rPr>
          <w:rFonts w:ascii="Times New Roman" w:hAnsi="Times New Roman" w:cs="Times New Roman"/>
        </w:rPr>
        <w:t>Additionally, information regarding community feedback mechanisms and grievance redressal systems is restricted. Due to the absence of robust feedback channels, the company may be unable to promptly identify and address issues, resulting in unresolved community concerns and a reduction in the efficacy of CSR activities.</w:t>
      </w:r>
    </w:p>
    <w:p w14:paraId="3646B64C" w14:textId="7AD84E8E" w:rsidR="00891FAF" w:rsidRPr="00413BD1" w:rsidRDefault="00311EBE" w:rsidP="000C3BC4">
      <w:pPr>
        <w:spacing w:line="480" w:lineRule="auto"/>
        <w:jc w:val="both"/>
        <w:rPr>
          <w:rFonts w:ascii="Times New Roman" w:hAnsi="Times New Roman" w:cs="Times New Roman"/>
          <w:b/>
          <w:bCs/>
        </w:rPr>
      </w:pPr>
      <w:r w:rsidRPr="00413BD1">
        <w:rPr>
          <w:rFonts w:ascii="Times New Roman" w:hAnsi="Times New Roman" w:cs="Times New Roman"/>
          <w:b/>
          <w:bCs/>
        </w:rPr>
        <w:t xml:space="preserve">4.3 </w:t>
      </w:r>
      <w:r w:rsidR="001A232D" w:rsidRPr="00413BD1">
        <w:rPr>
          <w:rFonts w:ascii="Times New Roman" w:hAnsi="Times New Roman" w:cs="Times New Roman"/>
          <w:b/>
          <w:bCs/>
        </w:rPr>
        <w:t xml:space="preserve">Policy </w:t>
      </w:r>
      <w:r w:rsidR="00DF520F" w:rsidRPr="00413BD1">
        <w:rPr>
          <w:rFonts w:ascii="Times New Roman" w:hAnsi="Times New Roman" w:cs="Times New Roman"/>
          <w:b/>
          <w:bCs/>
        </w:rPr>
        <w:t xml:space="preserve">Recommendations for </w:t>
      </w:r>
      <w:r w:rsidR="001A232D" w:rsidRPr="00413BD1">
        <w:rPr>
          <w:rFonts w:ascii="Times New Roman" w:hAnsi="Times New Roman" w:cs="Times New Roman"/>
          <w:b/>
          <w:bCs/>
        </w:rPr>
        <w:t xml:space="preserve">CSR </w:t>
      </w:r>
      <w:r w:rsidR="00DF520F" w:rsidRPr="00413BD1">
        <w:rPr>
          <w:rFonts w:ascii="Times New Roman" w:hAnsi="Times New Roman" w:cs="Times New Roman"/>
          <w:b/>
          <w:bCs/>
        </w:rPr>
        <w:t xml:space="preserve">of </w:t>
      </w:r>
      <w:r w:rsidR="001A232D" w:rsidRPr="00413BD1">
        <w:rPr>
          <w:rFonts w:ascii="Times New Roman" w:hAnsi="Times New Roman" w:cs="Times New Roman"/>
          <w:b/>
          <w:bCs/>
        </w:rPr>
        <w:t xml:space="preserve">Indonesian </w:t>
      </w:r>
      <w:r w:rsidR="00DF520F" w:rsidRPr="00413BD1">
        <w:rPr>
          <w:rFonts w:ascii="Times New Roman" w:hAnsi="Times New Roman" w:cs="Times New Roman"/>
          <w:b/>
          <w:bCs/>
        </w:rPr>
        <w:t>Mining Companies</w:t>
      </w:r>
    </w:p>
    <w:p w14:paraId="51CC4438" w14:textId="25FB4EFF" w:rsidR="00772806" w:rsidRPr="00413BD1" w:rsidRDefault="004D0B29" w:rsidP="000C3BC4">
      <w:pPr>
        <w:spacing w:line="480" w:lineRule="auto"/>
        <w:ind w:firstLine="720"/>
        <w:jc w:val="both"/>
        <w:rPr>
          <w:rFonts w:ascii="Times New Roman" w:hAnsi="Times New Roman" w:cs="Times New Roman"/>
        </w:rPr>
      </w:pPr>
      <w:r w:rsidRPr="00413BD1">
        <w:rPr>
          <w:rFonts w:ascii="Times New Roman" w:hAnsi="Times New Roman" w:cs="Times New Roman"/>
        </w:rPr>
        <w:t>Policy recommendations to enhance the quality of CSR among mining companies in Indonesia must be refined to achieve sustainable practices. Effective policies can increase engagement, ensure compliance, and encourage innovation, benefiting all stakeholders, institutions, and society. Promoting a self-regulatory framework in CSR programs can enhance alignment with social governance objectives (</w:t>
      </w:r>
      <w:proofErr w:type="spellStart"/>
      <w:r w:rsidRPr="00413BD1">
        <w:rPr>
          <w:rFonts w:ascii="Times New Roman" w:hAnsi="Times New Roman" w:cs="Times New Roman"/>
        </w:rPr>
        <w:t>Kumaza</w:t>
      </w:r>
      <w:proofErr w:type="spellEnd"/>
      <w:r w:rsidRPr="00413BD1">
        <w:rPr>
          <w:rFonts w:ascii="Times New Roman" w:hAnsi="Times New Roman" w:cs="Times New Roman"/>
        </w:rPr>
        <w:t xml:space="preserve"> &amp; He, 2018). Several companies have demonstrated that CSR innovation policies can improve corporate reputation and generate economic benefits (Kumar &amp; </w:t>
      </w:r>
      <w:r w:rsidRPr="00413BD1">
        <w:rPr>
          <w:rFonts w:ascii="Times New Roman" w:hAnsi="Times New Roman" w:cs="Times New Roman"/>
        </w:rPr>
        <w:lastRenderedPageBreak/>
        <w:t>Sinha, 2024). Some recommendations that Indonesian mining companies can adopt to enhance the effectiveness of CSR initiatives in achieving SDG 6 include</w:t>
      </w:r>
      <w:r w:rsidR="009B682C" w:rsidRPr="00413BD1">
        <w:rPr>
          <w:rFonts w:ascii="Times New Roman" w:hAnsi="Times New Roman" w:cs="Times New Roman"/>
        </w:rPr>
        <w:t>:</w:t>
      </w:r>
    </w:p>
    <w:p w14:paraId="2462048B" w14:textId="77777777" w:rsidR="00772806"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1. Enhanced monitoring, evaluation, and transparency in CSR</w:t>
      </w:r>
    </w:p>
    <w:p w14:paraId="5F55070F" w14:textId="6B86A6B6" w:rsidR="00772806" w:rsidRPr="00413BD1" w:rsidRDefault="006420B3" w:rsidP="000C3BC4">
      <w:pPr>
        <w:spacing w:line="480" w:lineRule="auto"/>
        <w:ind w:firstLine="720"/>
        <w:jc w:val="both"/>
        <w:rPr>
          <w:rFonts w:ascii="Times New Roman" w:hAnsi="Times New Roman" w:cs="Times New Roman"/>
        </w:rPr>
      </w:pPr>
      <w:r w:rsidRPr="00413BD1">
        <w:rPr>
          <w:rFonts w:ascii="Times New Roman" w:hAnsi="Times New Roman" w:cs="Times New Roman"/>
        </w:rPr>
        <w:t>Companies should establish a structured framework with measurable metrics, external audits, and detailed reporting to enhance monitoring, assessment, and transparency of CSR initiatives. This framework will cultivate trust among stakeholders. Organizations must define appropriate and measurable metrics for each CSR initiative. Collecting baseline data is crucial to evaluate initial conditions, followed by measuring progress and conducting a final impact assessment to differentiate between long-term benefits and short-term solutions (</w:t>
      </w:r>
      <w:proofErr w:type="spellStart"/>
      <w:r w:rsidRPr="00413BD1">
        <w:rPr>
          <w:rFonts w:ascii="Times New Roman" w:hAnsi="Times New Roman" w:cs="Times New Roman"/>
        </w:rPr>
        <w:t>Aravossis</w:t>
      </w:r>
      <w:proofErr w:type="spellEnd"/>
      <w:r w:rsidRPr="00413BD1">
        <w:rPr>
          <w:rFonts w:ascii="Times New Roman" w:hAnsi="Times New Roman" w:cs="Times New Roman"/>
        </w:rPr>
        <w:t xml:space="preserve"> et al., 2006). Additionally, implementing third-party audits can provide an objective assessment of CSR initiatives, thereby </w:t>
      </w:r>
      <w:proofErr w:type="gramStart"/>
      <w:r w:rsidRPr="00413BD1">
        <w:rPr>
          <w:rFonts w:ascii="Times New Roman" w:hAnsi="Times New Roman" w:cs="Times New Roman"/>
        </w:rPr>
        <w:t>boosting</w:t>
      </w:r>
      <w:proofErr w:type="gramEnd"/>
      <w:r w:rsidRPr="00413BD1">
        <w:rPr>
          <w:rFonts w:ascii="Times New Roman" w:hAnsi="Times New Roman" w:cs="Times New Roman"/>
        </w:rPr>
        <w:t xml:space="preserve"> transparency and uncovering opportunities for improvement. </w:t>
      </w:r>
      <w:r w:rsidR="0007657D" w:rsidRPr="00413BD1">
        <w:rPr>
          <w:rFonts w:ascii="Times New Roman" w:hAnsi="Times New Roman" w:cs="Times New Roman"/>
        </w:rPr>
        <w:t xml:space="preserve">Companies serious about making good, clear CSR reports are also more likely to carefully check and verify those reports (Sethi et al., 2017). Furthermore, stakeholders should have access to regularly published reports that detail CSR outcomes, including resource consumption and societal benefits (Sallam &amp; </w:t>
      </w:r>
      <w:proofErr w:type="spellStart"/>
      <w:r w:rsidR="0007657D" w:rsidRPr="00413BD1">
        <w:rPr>
          <w:rFonts w:ascii="Times New Roman" w:hAnsi="Times New Roman" w:cs="Times New Roman"/>
        </w:rPr>
        <w:t>ALSohybe</w:t>
      </w:r>
      <w:proofErr w:type="spellEnd"/>
      <w:r w:rsidR="0007657D" w:rsidRPr="00413BD1">
        <w:rPr>
          <w:rFonts w:ascii="Times New Roman" w:hAnsi="Times New Roman" w:cs="Times New Roman"/>
        </w:rPr>
        <w:t>, 2023). These CSR reports should serve as accountability tools rather than as instruments of impression management for the firms (Michelon et al., 2015).</w:t>
      </w:r>
      <w:r w:rsidR="001A232D" w:rsidRPr="00413BD1">
        <w:rPr>
          <w:rFonts w:ascii="Times New Roman" w:hAnsi="Times New Roman" w:cs="Times New Roman"/>
        </w:rPr>
        <w:t xml:space="preserve"> </w:t>
      </w:r>
    </w:p>
    <w:p w14:paraId="0B81F7CC" w14:textId="65CEE32C" w:rsidR="00FE1BA4" w:rsidRPr="00413BD1" w:rsidRDefault="00FE1BA4" w:rsidP="000C3BC4">
      <w:pPr>
        <w:spacing w:line="480" w:lineRule="auto"/>
        <w:ind w:firstLine="720"/>
        <w:jc w:val="both"/>
        <w:rPr>
          <w:rFonts w:ascii="Times New Roman" w:hAnsi="Times New Roman" w:cs="Times New Roman"/>
        </w:rPr>
      </w:pPr>
      <w:r w:rsidRPr="00413BD1">
        <w:rPr>
          <w:rFonts w:ascii="Times New Roman" w:hAnsi="Times New Roman" w:cs="Times New Roman"/>
        </w:rPr>
        <w:t>Transparency is important for the CSR committee to provide a comprehensive report. This report is essential for the company to monitor and evaluate, especially regarding SDGs: clean water and sanitation. CSR committees from companies in Indonesia tend to be secretive regarding water information (</w:t>
      </w:r>
      <w:proofErr w:type="spellStart"/>
      <w:r w:rsidRPr="00413BD1">
        <w:rPr>
          <w:rFonts w:ascii="Times New Roman" w:hAnsi="Times New Roman" w:cs="Times New Roman"/>
        </w:rPr>
        <w:t>Wahyuningrum</w:t>
      </w:r>
      <w:proofErr w:type="spellEnd"/>
      <w:r w:rsidRPr="00413BD1">
        <w:rPr>
          <w:rFonts w:ascii="Times New Roman" w:hAnsi="Times New Roman" w:cs="Times New Roman"/>
        </w:rPr>
        <w:t xml:space="preserve"> et al., 2023). The level above (i.e., directors and managers) must support the creation of transparency at the CSR committee level. Transparency of water information in mining companies is an integral part of the process so that the public can assess the company's performance to create sustainability. Public assessment is not intended to judge; this is part of the public's monitoring and evaluation to improve the CSR committee (</w:t>
      </w:r>
      <w:proofErr w:type="spellStart"/>
      <w:r w:rsidRPr="00413BD1">
        <w:rPr>
          <w:rFonts w:ascii="Times New Roman" w:hAnsi="Times New Roman" w:cs="Times New Roman"/>
        </w:rPr>
        <w:t>Helfaya</w:t>
      </w:r>
      <w:proofErr w:type="spellEnd"/>
      <w:r w:rsidRPr="00413BD1">
        <w:rPr>
          <w:rFonts w:ascii="Times New Roman" w:hAnsi="Times New Roman" w:cs="Times New Roman"/>
        </w:rPr>
        <w:t xml:space="preserve"> &amp; Moussa, 2017).</w:t>
      </w:r>
    </w:p>
    <w:p w14:paraId="5BFCBDFD" w14:textId="77777777" w:rsidR="00772806"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lastRenderedPageBreak/>
        <w:t>2. Strengthen internal capacity and reduce dependency on external factors</w:t>
      </w:r>
    </w:p>
    <w:p w14:paraId="1EA6366B" w14:textId="28E516CD" w:rsidR="00A53134" w:rsidRPr="00413BD1" w:rsidRDefault="00A53134" w:rsidP="000C3BC4">
      <w:pPr>
        <w:spacing w:line="480" w:lineRule="auto"/>
        <w:ind w:firstLine="720"/>
        <w:jc w:val="both"/>
        <w:rPr>
          <w:rFonts w:ascii="Times New Roman" w:hAnsi="Times New Roman" w:cs="Times New Roman"/>
        </w:rPr>
      </w:pPr>
      <w:r w:rsidRPr="00413BD1">
        <w:rPr>
          <w:rFonts w:ascii="Times New Roman" w:hAnsi="Times New Roman" w:cs="Times New Roman"/>
        </w:rPr>
        <w:t xml:space="preserve">Companies should develop a detailed internal framework with well-defined roles, structured guidelines for allocating resources, and decision-making protocols to ensure that CSR initiatives are consistent and sustainable. This will enhance internal capacity and decrease reliance on external factors when implementing CSR. Assigning roles within the team will foster accountability and optimize activity initiatives (Dixit &amp; Mishra, 2022). </w:t>
      </w:r>
      <w:r w:rsidR="000566FA" w:rsidRPr="00413BD1">
        <w:rPr>
          <w:rFonts w:ascii="Times New Roman" w:hAnsi="Times New Roman" w:cs="Times New Roman"/>
        </w:rPr>
        <w:t>Employee-oriented CSR has been shown to positively impact relationship quality, a desirable outcome for organizations. Trust fostered through these initiatives encourages stronger personal relationships, alignment of values and goals — even in challenging situations — and higher levels of employee commitment (</w:t>
      </w:r>
      <w:proofErr w:type="spellStart"/>
      <w:r w:rsidR="000566FA" w:rsidRPr="00413BD1">
        <w:rPr>
          <w:rFonts w:ascii="Times New Roman" w:hAnsi="Times New Roman" w:cs="Times New Roman"/>
        </w:rPr>
        <w:t>Pfajfar</w:t>
      </w:r>
      <w:proofErr w:type="spellEnd"/>
      <w:r w:rsidR="000566FA" w:rsidRPr="00413BD1">
        <w:rPr>
          <w:rFonts w:ascii="Times New Roman" w:hAnsi="Times New Roman" w:cs="Times New Roman"/>
        </w:rPr>
        <w:t xml:space="preserve"> et al., 2022). </w:t>
      </w:r>
      <w:r w:rsidRPr="00413BD1">
        <w:rPr>
          <w:rFonts w:ascii="Times New Roman" w:hAnsi="Times New Roman" w:cs="Times New Roman"/>
        </w:rPr>
        <w:t>A systematic approach to resource allocation will guarantee adequate funding for essential projects such as water recycling and biodiversity conservation (Poplawska, 2014). Additionally, establishing clear decision-making protocols enhances operational efficiency (Risi &amp; Wickert, 2019). Budget transparency is crucial as it can build trust and enable better tracking of expenditures (Dixit &amp; Mishra, 2022). Proactive measures like water conservation can inspire innovative ideas that extend beyond mere regulatory compliance (Sánchez-Hernández et al., 2021). Collaborating with local governments and organizations with clear objectives is vital to sustaining the positive impacts of CSR projects after implementation (Rama et al., 2009).</w:t>
      </w:r>
    </w:p>
    <w:p w14:paraId="5255459D" w14:textId="09BD4877" w:rsidR="00FE1BA4" w:rsidRPr="00413BD1" w:rsidRDefault="00FE1BA4" w:rsidP="000C3BC4">
      <w:pPr>
        <w:spacing w:line="480" w:lineRule="auto"/>
        <w:ind w:firstLine="720"/>
        <w:jc w:val="both"/>
        <w:rPr>
          <w:rFonts w:ascii="Times New Roman" w:hAnsi="Times New Roman" w:cs="Times New Roman"/>
        </w:rPr>
      </w:pPr>
      <w:r w:rsidRPr="00413BD1">
        <w:rPr>
          <w:rFonts w:ascii="Times New Roman" w:hAnsi="Times New Roman" w:cs="Times New Roman"/>
        </w:rPr>
        <w:t>CSR in developing countries is different from that in developed countries, where CSR is more dependent on investment and economy from foreign parties (Hilson, 2012). Therefore, it is essential for CSR not to depend on external parties. Strengthening internal capacity needs to be done as a step to reduce dependence on external parties. Recognizing the surrounding environment and identifying contributions to society are essential to CSR's ability to impact society. Many CSRs are only symbolic and do not have a tangible impact on society. The cause is the ability of CSR to identify and implement CSR programs is not on target.</w:t>
      </w:r>
    </w:p>
    <w:p w14:paraId="5A0A0D79" w14:textId="25ED60C5" w:rsidR="00215E3C"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lastRenderedPageBreak/>
        <w:t>3. Deepen Community Engagement and Empowerment</w:t>
      </w:r>
    </w:p>
    <w:p w14:paraId="4EB3B698" w14:textId="6F059752" w:rsidR="00992974" w:rsidRPr="00413BD1" w:rsidRDefault="00306434" w:rsidP="000C3BC4">
      <w:pPr>
        <w:spacing w:line="480" w:lineRule="auto"/>
        <w:ind w:firstLine="720"/>
        <w:jc w:val="both"/>
        <w:rPr>
          <w:rFonts w:ascii="Times New Roman" w:hAnsi="Times New Roman" w:cs="Times New Roman"/>
        </w:rPr>
      </w:pPr>
      <w:r w:rsidRPr="00413BD1">
        <w:rPr>
          <w:rFonts w:ascii="Times New Roman" w:hAnsi="Times New Roman" w:cs="Times New Roman"/>
        </w:rPr>
        <w:t xml:space="preserve">Companies should adopt inclusive practices that engage local communities throughout the duration of CSR activities to enhance community involvement and empowerment. This approach can cultivate a sense of ownership and effectively address local community needs. Strategies to achieve this goal may employ participatory methods, such as workshops and feedback sessions, that promote collaborative problem-solving and idea generation (Sroufe &amp; Ramos, 2015). Holt (2024) asserts that public consultations foster open communication and ensure the inclusion of community perspectives in CSR planning. Capacity-building programs might include facility maintenance and management training, empowering communities to independently and sustainably manage their resources (Fulton et al., 2023). </w:t>
      </w:r>
      <w:proofErr w:type="spellStart"/>
      <w:r w:rsidRPr="00413BD1">
        <w:rPr>
          <w:rFonts w:ascii="Times New Roman" w:hAnsi="Times New Roman" w:cs="Times New Roman"/>
        </w:rPr>
        <w:t>Atzmanstorfer</w:t>
      </w:r>
      <w:proofErr w:type="spellEnd"/>
      <w:r w:rsidRPr="00413BD1">
        <w:rPr>
          <w:rFonts w:ascii="Times New Roman" w:hAnsi="Times New Roman" w:cs="Times New Roman"/>
        </w:rPr>
        <w:t xml:space="preserve"> et al. (2023) indicate that establishing community-led grievance redress systems and feedback mechanisms can enable companies </w:t>
      </w:r>
      <w:r w:rsidR="00181D44" w:rsidRPr="00413BD1">
        <w:rPr>
          <w:rFonts w:ascii="Times New Roman" w:hAnsi="Times New Roman" w:cs="Times New Roman"/>
        </w:rPr>
        <w:t>to directly address community needs and concerns directly</w:t>
      </w:r>
      <w:r w:rsidRPr="00413BD1">
        <w:rPr>
          <w:rFonts w:ascii="Times New Roman" w:hAnsi="Times New Roman" w:cs="Times New Roman"/>
        </w:rPr>
        <w:t>, facilitating aligning CSR projects with local community priorities.</w:t>
      </w:r>
      <w:r w:rsidR="001A232D" w:rsidRPr="00413BD1">
        <w:rPr>
          <w:rFonts w:ascii="Times New Roman" w:hAnsi="Times New Roman" w:cs="Times New Roman"/>
        </w:rPr>
        <w:t xml:space="preserve"> </w:t>
      </w:r>
      <w:r w:rsidR="00840ED7" w:rsidRPr="00413BD1">
        <w:rPr>
          <w:rFonts w:ascii="Times New Roman" w:hAnsi="Times New Roman" w:cs="Times New Roman"/>
        </w:rPr>
        <w:t>Similarly, it is essential to acknowledge local water resource settings, traditional practices, and the community's willingness to engage with introduced projects (SDG Resource Centre, 2025).</w:t>
      </w:r>
    </w:p>
    <w:p w14:paraId="40C3E5A6" w14:textId="29E90DFF" w:rsidR="00B772B8" w:rsidRPr="00413BD1" w:rsidRDefault="00B772B8" w:rsidP="000C3BC4">
      <w:pPr>
        <w:spacing w:line="480" w:lineRule="auto"/>
        <w:ind w:firstLine="720"/>
        <w:jc w:val="both"/>
        <w:rPr>
          <w:rFonts w:ascii="Times New Roman" w:hAnsi="Times New Roman" w:cs="Times New Roman"/>
        </w:rPr>
      </w:pPr>
      <w:proofErr w:type="spellStart"/>
      <w:r w:rsidRPr="00413BD1">
        <w:rPr>
          <w:rFonts w:ascii="Times New Roman" w:hAnsi="Times New Roman" w:cs="Times New Roman"/>
        </w:rPr>
        <w:t>Rudito</w:t>
      </w:r>
      <w:proofErr w:type="spellEnd"/>
      <w:r w:rsidRPr="00413BD1">
        <w:rPr>
          <w:rFonts w:ascii="Times New Roman" w:hAnsi="Times New Roman" w:cs="Times New Roman"/>
        </w:rPr>
        <w:t xml:space="preserve"> et al. (2022) examine the significance of social capital in the efficacy of CSR initiatives focused on community empowerment in developing nations. The result emphasizes the importance of including communities in CSR programs. Effective participation not only leads to improved outcomes but also gives communities the ability to achieve sustainable development. Besides, the presence of social capital increases the possibility that a community will participate in CSR activities, decreases the amount of uncertainty, boosts morale and motivation, encourages the exchange of information, and fortifies the sense of togetherness. Involving communities in water security programs cultivates a sense of ownership and accountability (Aimar, 2018). CSR programs can enhance community engagement via educational initiatives, awareness campaigns, and </w:t>
      </w:r>
      <w:r w:rsidRPr="00413BD1">
        <w:rPr>
          <w:rFonts w:ascii="Times New Roman" w:hAnsi="Times New Roman" w:cs="Times New Roman"/>
        </w:rPr>
        <w:lastRenderedPageBreak/>
        <w:t>participatory projects. This engagement guarantees that water security solutions are culturally suitable and broadly endorsed.</w:t>
      </w:r>
    </w:p>
    <w:p w14:paraId="5F70C4AD" w14:textId="77777777" w:rsidR="00F12561"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4. Strengthen technological integration and environmental sustainability</w:t>
      </w:r>
    </w:p>
    <w:p w14:paraId="04360A6D" w14:textId="7F756F7A" w:rsidR="00D41D4F" w:rsidRPr="00413BD1" w:rsidRDefault="00181D44" w:rsidP="000C3BC4">
      <w:pPr>
        <w:spacing w:line="480" w:lineRule="auto"/>
        <w:ind w:firstLine="720"/>
        <w:jc w:val="both"/>
        <w:rPr>
          <w:rFonts w:ascii="Times New Roman" w:hAnsi="Times New Roman" w:cs="Times New Roman"/>
        </w:rPr>
      </w:pPr>
      <w:r w:rsidRPr="00413BD1">
        <w:rPr>
          <w:rFonts w:ascii="Times New Roman" w:hAnsi="Times New Roman" w:cs="Times New Roman"/>
        </w:rPr>
        <w:t xml:space="preserve">Companies should enhance technology integration and promote environmental sustainability. This includes installing gravity-based sedimentation ponds and implementing online wastewater monitoring systems. Moreover, real-time water quality monitoring and AI-powered predictive maintenance are essential. </w:t>
      </w:r>
      <w:r w:rsidR="00840ED7" w:rsidRPr="00413BD1">
        <w:rPr>
          <w:rFonts w:ascii="Times New Roman" w:hAnsi="Times New Roman" w:cs="Times New Roman"/>
        </w:rPr>
        <w:t xml:space="preserve">Studies show the use of portable devices and the integration of the Internet of Things (IoT) for the in-situ detection of water contaminants, such as potentially toxic elements (Jan et al., 2021; </w:t>
      </w:r>
      <w:proofErr w:type="spellStart"/>
      <w:r w:rsidR="00840ED7" w:rsidRPr="00413BD1">
        <w:rPr>
          <w:rFonts w:ascii="Times New Roman" w:hAnsi="Times New Roman" w:cs="Times New Roman"/>
        </w:rPr>
        <w:t>Senoro</w:t>
      </w:r>
      <w:proofErr w:type="spellEnd"/>
      <w:r w:rsidR="00840ED7" w:rsidRPr="00413BD1">
        <w:rPr>
          <w:rFonts w:ascii="Times New Roman" w:hAnsi="Times New Roman" w:cs="Times New Roman"/>
        </w:rPr>
        <w:t xml:space="preserve"> et al., 2022; Thakur &amp; Devi, 2024). </w:t>
      </w:r>
      <w:r w:rsidRPr="00413BD1">
        <w:rPr>
          <w:rFonts w:ascii="Times New Roman" w:hAnsi="Times New Roman" w:cs="Times New Roman"/>
        </w:rPr>
        <w:t xml:space="preserve">Companies require clear biodiversity conservation goals and metrics to assess land and ecosystem restoration efforts, ensuring alignment with sustainable development objectives. </w:t>
      </w:r>
      <w:r w:rsidR="00A6671C" w:rsidRPr="00413BD1">
        <w:rPr>
          <w:rFonts w:ascii="Times New Roman" w:hAnsi="Times New Roman" w:cs="Times New Roman"/>
        </w:rPr>
        <w:t xml:space="preserve">Essentially, Presidential Decree No. 77 Series of 2024 is in place in Indonesia to accelerate the establishment and management of nursery facilities related to mineral and coal mining operations in the country (Deloitte, 2024). </w:t>
      </w:r>
      <w:r w:rsidRPr="00413BD1">
        <w:rPr>
          <w:rFonts w:ascii="Times New Roman" w:hAnsi="Times New Roman" w:cs="Times New Roman"/>
        </w:rPr>
        <w:t>Innovative technologies like AI and machine learning optimize resource use and reduce waste, significantly advancing sustainability targets (</w:t>
      </w:r>
      <w:proofErr w:type="spellStart"/>
      <w:r w:rsidRPr="00413BD1">
        <w:rPr>
          <w:rFonts w:ascii="Times New Roman" w:hAnsi="Times New Roman" w:cs="Times New Roman"/>
        </w:rPr>
        <w:t>Nosirov</w:t>
      </w:r>
      <w:proofErr w:type="spellEnd"/>
      <w:r w:rsidRPr="00413BD1">
        <w:rPr>
          <w:rFonts w:ascii="Times New Roman" w:hAnsi="Times New Roman" w:cs="Times New Roman"/>
        </w:rPr>
        <w:t xml:space="preserve"> et al., 2024). Real-time monitoring through online wastewater systems and water quality evaluations can provide immediate feedback and enable timely interventions (Raihan et al., 2024). Additionally, monitoring ecological impacts is crucial for aligning with sustainability goals (Raihan et al., 2024). Investing in adaptive technologies that evolve with environmental challenges strengthens the long-term sustainability of CSR initiatives (Tarasenko, 2024). Engaging multiple stakeholders is vital for successfully implementing sustainable technologies (Adelakun, 2023)</w:t>
      </w:r>
      <w:r w:rsidR="001A232D" w:rsidRPr="00413BD1">
        <w:rPr>
          <w:rFonts w:ascii="Times New Roman" w:hAnsi="Times New Roman" w:cs="Times New Roman"/>
        </w:rPr>
        <w:t xml:space="preserve">. </w:t>
      </w:r>
    </w:p>
    <w:p w14:paraId="7F881189" w14:textId="1133FD7D" w:rsidR="00B772B8" w:rsidRPr="00413BD1" w:rsidRDefault="00B772B8" w:rsidP="000C3BC4">
      <w:pPr>
        <w:spacing w:line="480" w:lineRule="auto"/>
        <w:ind w:firstLine="720"/>
        <w:jc w:val="both"/>
        <w:rPr>
          <w:rFonts w:ascii="Times New Roman" w:hAnsi="Times New Roman" w:cs="Times New Roman"/>
        </w:rPr>
      </w:pPr>
      <w:r w:rsidRPr="00413BD1">
        <w:rPr>
          <w:rFonts w:ascii="Times New Roman" w:hAnsi="Times New Roman" w:cs="Times New Roman"/>
        </w:rPr>
        <w:t xml:space="preserve">Aside from that, one concept that can be adapted to enhance environmentally friendly technology is green mining. Green mining refers to the adoption of sustainable methods and technologies within the mining sector to reduce its ecological footprint. This strategy aims to improve the sustainability of mining operations by utilizing renewable energy sources, recycling mine waste, </w:t>
      </w:r>
      <w:r w:rsidRPr="00413BD1">
        <w:rPr>
          <w:rFonts w:ascii="Times New Roman" w:hAnsi="Times New Roman" w:cs="Times New Roman"/>
        </w:rPr>
        <w:lastRenderedPageBreak/>
        <w:t>and conserving water (Sun, 2024). Green mining prioritizes water conservation measures to lessen the negative impacts on the environment. Efficiency in water management, advancements in wastewater treatment, and reduced reliance on local water sources are all advantages of this approach, which includes collecting and utilizing rainfall.</w:t>
      </w:r>
      <w:r w:rsidR="00C13C90" w:rsidRPr="00413BD1">
        <w:rPr>
          <w:rFonts w:ascii="Times New Roman" w:hAnsi="Times New Roman" w:cs="Times New Roman"/>
        </w:rPr>
        <w:t xml:space="preserve"> In addition, governments can provide regulatory frameworks to encourage technology adoption. </w:t>
      </w:r>
    </w:p>
    <w:p w14:paraId="283AA874" w14:textId="77777777" w:rsidR="002861D6" w:rsidRPr="00413BD1" w:rsidRDefault="001A232D" w:rsidP="000C3BC4">
      <w:pPr>
        <w:spacing w:line="480" w:lineRule="auto"/>
        <w:jc w:val="both"/>
        <w:rPr>
          <w:rFonts w:ascii="Times New Roman" w:hAnsi="Times New Roman" w:cs="Times New Roman"/>
        </w:rPr>
      </w:pPr>
      <w:r w:rsidRPr="00413BD1">
        <w:rPr>
          <w:rFonts w:ascii="Times New Roman" w:hAnsi="Times New Roman" w:cs="Times New Roman"/>
        </w:rPr>
        <w:t>5. Enhance international cooperation, standards compliance, and stakeholder communication</w:t>
      </w:r>
    </w:p>
    <w:p w14:paraId="6D5D2E19" w14:textId="1221B970" w:rsidR="00D63C95" w:rsidRPr="00413BD1" w:rsidRDefault="005655A0" w:rsidP="000C3BC4">
      <w:pPr>
        <w:spacing w:line="480" w:lineRule="auto"/>
        <w:ind w:firstLine="720"/>
        <w:jc w:val="both"/>
        <w:rPr>
          <w:rFonts w:ascii="Times New Roman" w:hAnsi="Times New Roman" w:cs="Times New Roman"/>
        </w:rPr>
      </w:pPr>
      <w:r w:rsidRPr="00413BD1">
        <w:rPr>
          <w:rFonts w:ascii="Times New Roman" w:hAnsi="Times New Roman" w:cs="Times New Roman"/>
        </w:rPr>
        <w:t>Companies should develop relationships with international organizations to implement global best practices and enhance stakeholder communication in water and biodiversity conservation. This approach fosters innovation and efficiency while aligning CSR programs with international standards. Adhering to quality standards will enhance the organization's credibility and stakeholder trust by complying with globally recognized standards and effectively communicating CSR practices (</w:t>
      </w:r>
      <w:proofErr w:type="spellStart"/>
      <w:r w:rsidRPr="00413BD1">
        <w:rPr>
          <w:rFonts w:ascii="Times New Roman" w:hAnsi="Times New Roman" w:cs="Times New Roman"/>
        </w:rPr>
        <w:t>Moratis</w:t>
      </w:r>
      <w:proofErr w:type="spellEnd"/>
      <w:r w:rsidRPr="00413BD1">
        <w:rPr>
          <w:rFonts w:ascii="Times New Roman" w:hAnsi="Times New Roman" w:cs="Times New Roman"/>
        </w:rPr>
        <w:t xml:space="preserve">, 2017). According to </w:t>
      </w:r>
      <w:proofErr w:type="spellStart"/>
      <w:r w:rsidRPr="00413BD1">
        <w:rPr>
          <w:rFonts w:ascii="Times New Roman" w:hAnsi="Times New Roman" w:cs="Times New Roman"/>
        </w:rPr>
        <w:t>Eduah</w:t>
      </w:r>
      <w:proofErr w:type="spellEnd"/>
      <w:r w:rsidRPr="00413BD1">
        <w:rPr>
          <w:rFonts w:ascii="Times New Roman" w:hAnsi="Times New Roman" w:cs="Times New Roman"/>
        </w:rPr>
        <w:t xml:space="preserve"> (2024), companies can strengthen trust by regularly connecting and engaging with their stakeholders</w:t>
      </w:r>
      <w:r w:rsidR="001A232D" w:rsidRPr="00413BD1">
        <w:rPr>
          <w:rFonts w:ascii="Times New Roman" w:hAnsi="Times New Roman" w:cs="Times New Roman"/>
        </w:rPr>
        <w:t xml:space="preserve">. </w:t>
      </w:r>
    </w:p>
    <w:p w14:paraId="2ABE6B9F" w14:textId="574A9878" w:rsidR="00D63C95" w:rsidRPr="00413BD1" w:rsidRDefault="00BA1E67" w:rsidP="00311EBE">
      <w:pPr>
        <w:spacing w:line="480" w:lineRule="auto"/>
        <w:ind w:firstLine="720"/>
        <w:jc w:val="both"/>
        <w:rPr>
          <w:rFonts w:ascii="Times New Roman" w:hAnsi="Times New Roman" w:cs="Times New Roman"/>
        </w:rPr>
      </w:pPr>
      <w:r w:rsidRPr="00413BD1">
        <w:rPr>
          <w:rFonts w:ascii="Times New Roman" w:hAnsi="Times New Roman" w:cs="Times New Roman"/>
        </w:rPr>
        <w:t xml:space="preserve">Bezuidenhout (2018) formulates a CSR communication model aimed at enhancing the capacity of enterprises and society for sustainability. A key aspect of achieving this goal is stakeholder empowerment. The concept provides guidance on identifying and engaging stakeholders in the CSR communication process, highlighting reciprocal empowerment and sustainability. Actions that can be taken include identifying relevant stakeholders, engaging them in CSR activities, and establishing two-way communication between stakeholders and corporations. By effectively involving stakeholders, corporations can build lasting connections that promote sustainable development. CSR initiatives are designed to meet current needs while supporting the long-term well-being of the business and its stakeholders. Moreover, collaboration among enterprises, governmental bodies, and communities is essential for achieving water security. This underscores that CSR can play a significant role in fostering these partnerships (Aimar, 2018). Collaborative efforts lead to the </w:t>
      </w:r>
      <w:r w:rsidRPr="00413BD1">
        <w:rPr>
          <w:rFonts w:ascii="Times New Roman" w:hAnsi="Times New Roman" w:cs="Times New Roman"/>
        </w:rPr>
        <w:lastRenderedPageBreak/>
        <w:t>development of comprehensive water management strategies. Such collaborations can pool resources, share knowledge, and implement large-scale projects that benefit entire regions.</w:t>
      </w:r>
    </w:p>
    <w:p w14:paraId="66337406" w14:textId="215FAB6A" w:rsidR="00B91F0E" w:rsidRPr="00413BD1" w:rsidRDefault="001A232D" w:rsidP="00311EBE">
      <w:pPr>
        <w:pStyle w:val="ListParagraph"/>
        <w:numPr>
          <w:ilvl w:val="0"/>
          <w:numId w:val="14"/>
        </w:numPr>
        <w:spacing w:line="480" w:lineRule="auto"/>
        <w:ind w:left="284" w:hanging="284"/>
        <w:rPr>
          <w:rFonts w:ascii="Times New Roman" w:hAnsi="Times New Roman" w:cs="Times New Roman"/>
          <w:b/>
          <w:bCs/>
        </w:rPr>
      </w:pPr>
      <w:r w:rsidRPr="00413BD1">
        <w:rPr>
          <w:rFonts w:ascii="Times New Roman" w:hAnsi="Times New Roman" w:cs="Times New Roman"/>
          <w:b/>
          <w:bCs/>
        </w:rPr>
        <w:t>C</w:t>
      </w:r>
      <w:r w:rsidR="00A6077C" w:rsidRPr="00413BD1">
        <w:rPr>
          <w:rFonts w:ascii="Times New Roman" w:hAnsi="Times New Roman" w:cs="Times New Roman"/>
          <w:b/>
          <w:bCs/>
        </w:rPr>
        <w:t>onclusion</w:t>
      </w:r>
    </w:p>
    <w:p w14:paraId="4C81A4B5" w14:textId="77777777" w:rsidR="00E45716" w:rsidRPr="00413BD1" w:rsidRDefault="001A232D" w:rsidP="00E45716">
      <w:pPr>
        <w:spacing w:line="480" w:lineRule="auto"/>
        <w:ind w:firstLine="709"/>
        <w:jc w:val="both"/>
        <w:rPr>
          <w:rFonts w:ascii="Times New Roman" w:hAnsi="Times New Roman" w:cs="Times New Roman"/>
        </w:rPr>
      </w:pPr>
      <w:r w:rsidRPr="00413BD1">
        <w:rPr>
          <w:rFonts w:ascii="Times New Roman" w:hAnsi="Times New Roman" w:cs="Times New Roman"/>
        </w:rPr>
        <w:t>The findings of this study highlight the contributions of corporate social responsibility (CSR) initiatives by Indonesian mining companies toward achieving Sustainable Development Goal 6 (SDG 6). The companies' CSR programs have positively impacted water accessibility, sanitation, water quality, and ecosystem restoration. Various projects, such as the provision of clean drinking water, sanitation infrastructure development, and water quality monitoring, demonstrate a commitment to improving water resource management. Furthermore, community engagement programs and efforts to protect water-related ecosystems align with SDG 6’s targets. These initiatives illustrate how businesses can play a crucial role in sustainable water and sanitation management, balancing industrial operations with environmental and social responsibilities. However, despite these positive contributions, several critical gaps remain in the effectiveness and sustainability of CSR practices.</w:t>
      </w:r>
    </w:p>
    <w:p w14:paraId="4C48B5D5" w14:textId="77777777" w:rsidR="00E45716" w:rsidRPr="00413BD1" w:rsidRDefault="001A232D" w:rsidP="00E45716">
      <w:pPr>
        <w:spacing w:line="480" w:lineRule="auto"/>
        <w:ind w:firstLine="709"/>
        <w:jc w:val="both"/>
        <w:rPr>
          <w:rFonts w:ascii="Times New Roman" w:hAnsi="Times New Roman" w:cs="Times New Roman"/>
        </w:rPr>
      </w:pPr>
      <w:r w:rsidRPr="00413BD1">
        <w:rPr>
          <w:rFonts w:ascii="Times New Roman" w:hAnsi="Times New Roman" w:cs="Times New Roman"/>
        </w:rPr>
        <w:t>One of the major challenges identified is the limited scope and coverage of CSR programs. Many initiatives focus on specific regions and communities, leaving out other vulnerable populations who may also be affected by mining operations. Additionally, the study found inadequate monitoring and evaluation mechanisms, making it difficult to assess the long-term impact and effectiveness of these initiatives. A lack of transparency in reporting and the absence of standardized metrics further hinder efforts to track progress and ensure accountability. Mining companies must establish more structured and systematic approaches to monitoring CSR efforts, including clear impact assessments and third-party evaluations. Addressing these limitations would help enhance the credibility and effectiveness of CSR programs in supporting sustainable water management.</w:t>
      </w:r>
    </w:p>
    <w:p w14:paraId="1EBBF9B8" w14:textId="77777777" w:rsidR="00E45716" w:rsidRPr="00413BD1" w:rsidRDefault="001A232D" w:rsidP="00E45716">
      <w:pPr>
        <w:spacing w:line="480" w:lineRule="auto"/>
        <w:ind w:firstLine="709"/>
        <w:jc w:val="both"/>
        <w:rPr>
          <w:rFonts w:ascii="Times New Roman" w:hAnsi="Times New Roman" w:cs="Times New Roman"/>
        </w:rPr>
      </w:pPr>
      <w:r w:rsidRPr="00413BD1">
        <w:rPr>
          <w:rFonts w:ascii="Times New Roman" w:hAnsi="Times New Roman" w:cs="Times New Roman"/>
        </w:rPr>
        <w:lastRenderedPageBreak/>
        <w:t>Another significant challenge is the reliance on external funding and partnerships, which may affect the continuity of CSR programs. While collaboration with government agencies and non-governmental organizations (NGOs) can enhance resource mobilization, overdependence on these external factors can create sustainability issues when funding is reduced or withdrawn. To ensure long-term impact, companies should strengthen their internal capabilities, allocate dedicated budgets for CSR activities, and develop independent frameworks for implementation. Moreover, the integration of advanced technologies such as artificial intelligence and real-time water monitoring could improve water-use efficiency, wastewater management, and ecosystem conservation. Establishing biodiversity conservation metrics and clear environmental restoration benchmarks would further strengthen CSR’s role in sustainable development.</w:t>
      </w:r>
    </w:p>
    <w:p w14:paraId="5DBF1726" w14:textId="0B859544" w:rsidR="0059332C" w:rsidRPr="00413BD1" w:rsidRDefault="001A232D" w:rsidP="00E45716">
      <w:pPr>
        <w:spacing w:line="480" w:lineRule="auto"/>
        <w:ind w:firstLine="709"/>
        <w:jc w:val="both"/>
        <w:rPr>
          <w:rFonts w:ascii="Times New Roman" w:hAnsi="Times New Roman" w:cs="Times New Roman"/>
        </w:rPr>
      </w:pPr>
      <w:r w:rsidRPr="00413BD1">
        <w:rPr>
          <w:rFonts w:ascii="Times New Roman" w:hAnsi="Times New Roman" w:cs="Times New Roman"/>
        </w:rPr>
        <w:t>To maximize CSR’s effectiveness in achieving SDG 6, mining companies must enhance their transparency, community involvement, and adherence to international standards. Strengthening community engagement through participatory decision-making and capacity-building programs can foster a sense of ownership and ensure that CSR initiatives address local needs effectively. Additionally, aligning CSR practices with global sustainability frameworks and fostering international collaboration would allow companies to implement best practices in water and sanitation management. By adopting these strategic improvements, Indonesian mining companies can make their CSR programs more impactful, ensuring that corporate activities contribute meaningfully to sustainable water resource management and long-term environmental and social well-being.</w:t>
      </w:r>
    </w:p>
    <w:p w14:paraId="06E803CB" w14:textId="47322125" w:rsidR="001A232D" w:rsidRPr="00413BD1" w:rsidRDefault="00311EBE" w:rsidP="000C3BC4">
      <w:pPr>
        <w:spacing w:line="480" w:lineRule="auto"/>
        <w:jc w:val="both"/>
        <w:rPr>
          <w:rFonts w:ascii="Times New Roman" w:hAnsi="Times New Roman" w:cs="Times New Roman"/>
          <w:b/>
        </w:rPr>
      </w:pPr>
      <w:r w:rsidRPr="00413BD1">
        <w:rPr>
          <w:rFonts w:ascii="Times New Roman" w:hAnsi="Times New Roman" w:cs="Times New Roman"/>
          <w:b/>
        </w:rPr>
        <w:t>Acknowledgments</w:t>
      </w:r>
    </w:p>
    <w:p w14:paraId="564A5CE4" w14:textId="2C57B55C" w:rsidR="001A232D" w:rsidRPr="00413BD1" w:rsidRDefault="00311EBE" w:rsidP="000C3BC4">
      <w:pPr>
        <w:spacing w:line="480" w:lineRule="auto"/>
        <w:jc w:val="both"/>
        <w:rPr>
          <w:rFonts w:ascii="Times New Roman" w:hAnsi="Times New Roman" w:cs="Times New Roman"/>
        </w:rPr>
      </w:pPr>
      <w:r w:rsidRPr="00413BD1">
        <w:rPr>
          <w:rFonts w:ascii="Times New Roman" w:hAnsi="Times New Roman" w:cs="Times New Roman"/>
        </w:rPr>
        <w:t xml:space="preserve">We sincerely appreciate the financial support provided by </w:t>
      </w:r>
      <w:proofErr w:type="spellStart"/>
      <w:r w:rsidRPr="00413BD1">
        <w:rPr>
          <w:rFonts w:ascii="Times New Roman" w:hAnsi="Times New Roman" w:cs="Times New Roman"/>
        </w:rPr>
        <w:t>Institut</w:t>
      </w:r>
      <w:proofErr w:type="spellEnd"/>
      <w:r w:rsidRPr="00413BD1">
        <w:rPr>
          <w:rFonts w:ascii="Times New Roman" w:hAnsi="Times New Roman" w:cs="Times New Roman"/>
        </w:rPr>
        <w:t xml:space="preserve"> </w:t>
      </w:r>
      <w:proofErr w:type="spellStart"/>
      <w:r w:rsidRPr="00413BD1">
        <w:rPr>
          <w:rFonts w:ascii="Times New Roman" w:hAnsi="Times New Roman" w:cs="Times New Roman"/>
        </w:rPr>
        <w:t>Teknologi</w:t>
      </w:r>
      <w:proofErr w:type="spellEnd"/>
      <w:r w:rsidRPr="00413BD1">
        <w:rPr>
          <w:rFonts w:ascii="Times New Roman" w:hAnsi="Times New Roman" w:cs="Times New Roman"/>
        </w:rPr>
        <w:t xml:space="preserve"> Nasional Yogyakarta for this research.</w:t>
      </w:r>
    </w:p>
    <w:p w14:paraId="7DDA83B2" w14:textId="77777777" w:rsidR="001B5022" w:rsidRPr="00413BD1" w:rsidRDefault="001A232D" w:rsidP="000C3BC4">
      <w:pPr>
        <w:spacing w:line="480" w:lineRule="auto"/>
        <w:jc w:val="both"/>
        <w:rPr>
          <w:rFonts w:ascii="Times New Roman" w:hAnsi="Times New Roman" w:cs="Times New Roman"/>
          <w:b/>
          <w:bCs/>
        </w:rPr>
      </w:pPr>
      <w:r w:rsidRPr="00413BD1">
        <w:rPr>
          <w:rFonts w:ascii="Times New Roman" w:hAnsi="Times New Roman" w:cs="Times New Roman"/>
          <w:b/>
          <w:bCs/>
        </w:rPr>
        <w:t>References</w:t>
      </w:r>
    </w:p>
    <w:p w14:paraId="7D3FD2F3"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lastRenderedPageBreak/>
        <w:t>Adelakun, A. A. (2023). Harnessing Sustainable Technologies for Promoting Inclusive Open Distance Learning in Nigeria. </w:t>
      </w:r>
      <w:r w:rsidRPr="00413BD1">
        <w:rPr>
          <w:rFonts w:ascii="Times New Roman" w:hAnsi="Times New Roman" w:cs="Times New Roman"/>
          <w:i/>
          <w:iCs/>
        </w:rPr>
        <w:t>Nigerian Open, Distance and e-Learning Journal (</w:t>
      </w:r>
      <w:proofErr w:type="spellStart"/>
      <w:r w:rsidRPr="00413BD1">
        <w:rPr>
          <w:rFonts w:ascii="Times New Roman" w:hAnsi="Times New Roman" w:cs="Times New Roman"/>
          <w:i/>
          <w:iCs/>
        </w:rPr>
        <w:t>NODeLJ</w:t>
      </w:r>
      <w:proofErr w:type="spellEnd"/>
      <w:r w:rsidRPr="00413BD1">
        <w:rPr>
          <w:rFonts w:ascii="Times New Roman" w:hAnsi="Times New Roman" w:cs="Times New Roman"/>
          <w:i/>
          <w:iCs/>
        </w:rPr>
        <w:t>)</w:t>
      </w:r>
      <w:r w:rsidRPr="00413BD1">
        <w:rPr>
          <w:rFonts w:ascii="Times New Roman" w:hAnsi="Times New Roman" w:cs="Times New Roman"/>
        </w:rPr>
        <w:t>, </w:t>
      </w:r>
      <w:r w:rsidRPr="00413BD1">
        <w:rPr>
          <w:rFonts w:ascii="Times New Roman" w:hAnsi="Times New Roman" w:cs="Times New Roman"/>
          <w:i/>
          <w:iCs/>
        </w:rPr>
        <w:t>1</w:t>
      </w:r>
      <w:r w:rsidRPr="00413BD1">
        <w:rPr>
          <w:rFonts w:ascii="Times New Roman" w:hAnsi="Times New Roman" w:cs="Times New Roman"/>
        </w:rPr>
        <w:t xml:space="preserve">, 96-105. </w:t>
      </w:r>
      <w:hyperlink r:id="rId11" w:history="1">
        <w:r w:rsidRPr="00413BD1">
          <w:rPr>
            <w:rStyle w:val="Hyperlink"/>
            <w:rFonts w:ascii="Times New Roman" w:hAnsi="Times New Roman" w:cs="Times New Roman"/>
            <w:color w:val="auto"/>
          </w:rPr>
          <w:t>https://doi.org/10.60787/nodelj.v1i1.9</w:t>
        </w:r>
      </w:hyperlink>
    </w:p>
    <w:p w14:paraId="148CBCF3"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Agus, A. (2020). Practicing of Corporate Social Responsibility for Community Empowerment: A Case of a Mining Company in Indonesia. </w:t>
      </w:r>
      <w:r w:rsidRPr="00413BD1">
        <w:rPr>
          <w:rFonts w:ascii="Times New Roman" w:hAnsi="Times New Roman" w:cs="Times New Roman"/>
          <w:i/>
          <w:iCs/>
        </w:rPr>
        <w:t>Randwick International of Social Science Journal</w:t>
      </w:r>
      <w:r w:rsidRPr="00413BD1">
        <w:rPr>
          <w:rFonts w:ascii="Times New Roman" w:hAnsi="Times New Roman" w:cs="Times New Roman"/>
        </w:rPr>
        <w:t>, </w:t>
      </w:r>
      <w:r w:rsidRPr="00413BD1">
        <w:rPr>
          <w:rFonts w:ascii="Times New Roman" w:hAnsi="Times New Roman" w:cs="Times New Roman"/>
          <w:i/>
          <w:iCs/>
        </w:rPr>
        <w:t>1</w:t>
      </w:r>
      <w:r w:rsidRPr="00413BD1">
        <w:rPr>
          <w:rFonts w:ascii="Times New Roman" w:hAnsi="Times New Roman" w:cs="Times New Roman"/>
        </w:rPr>
        <w:t xml:space="preserve">(3), 608-618. </w:t>
      </w:r>
      <w:hyperlink r:id="rId12" w:history="1">
        <w:r w:rsidRPr="00413BD1">
          <w:rPr>
            <w:rStyle w:val="Hyperlink"/>
            <w:rFonts w:ascii="Times New Roman" w:hAnsi="Times New Roman" w:cs="Times New Roman"/>
            <w:color w:val="auto"/>
          </w:rPr>
          <w:t>https://doi.org/10.47175/rissj.v1i3.115</w:t>
        </w:r>
      </w:hyperlink>
    </w:p>
    <w:p w14:paraId="6AC0FDEF" w14:textId="77777777" w:rsidR="00B772B8" w:rsidRPr="00413BD1" w:rsidRDefault="00B772B8"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Aimar, A. (2018). The contribution of CSR to water protection in the Maghreb region: Engineering a new approach to assure water security. In </w:t>
      </w:r>
      <w:r w:rsidRPr="00413BD1">
        <w:rPr>
          <w:rFonts w:ascii="Times New Roman" w:hAnsi="Times New Roman" w:cs="Times New Roman"/>
          <w:i/>
          <w:iCs/>
        </w:rPr>
        <w:t>Climate Change, Food Security and Natural Resource Management: Regional Case Studies from Three Continents</w:t>
      </w:r>
      <w:r w:rsidRPr="00413BD1">
        <w:rPr>
          <w:rFonts w:ascii="Times New Roman" w:hAnsi="Times New Roman" w:cs="Times New Roman"/>
        </w:rPr>
        <w:t xml:space="preserve"> (pp. 203-224). Cham: Springer International Publishing. </w:t>
      </w:r>
      <w:hyperlink r:id="rId13" w:history="1">
        <w:r w:rsidRPr="00413BD1">
          <w:rPr>
            <w:rStyle w:val="Hyperlink"/>
            <w:rFonts w:ascii="Times New Roman" w:hAnsi="Times New Roman" w:cs="Times New Roman"/>
            <w:color w:val="auto"/>
          </w:rPr>
          <w:t>https://doi.org/10.1007/978-3-319-97091-2_10</w:t>
        </w:r>
      </w:hyperlink>
    </w:p>
    <w:p w14:paraId="763975BD" w14:textId="03B25058"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Anggoro</w:t>
      </w:r>
      <w:proofErr w:type="spellEnd"/>
      <w:r w:rsidRPr="00413BD1">
        <w:rPr>
          <w:rFonts w:ascii="Times New Roman" w:hAnsi="Times New Roman" w:cs="Times New Roman"/>
        </w:rPr>
        <w:t xml:space="preserve">, Y., </w:t>
      </w:r>
      <w:proofErr w:type="spellStart"/>
      <w:r w:rsidRPr="00413BD1">
        <w:rPr>
          <w:rFonts w:ascii="Times New Roman" w:hAnsi="Times New Roman" w:cs="Times New Roman"/>
        </w:rPr>
        <w:t>Pritasari</w:t>
      </w:r>
      <w:proofErr w:type="spellEnd"/>
      <w:r w:rsidRPr="00413BD1">
        <w:rPr>
          <w:rFonts w:ascii="Times New Roman" w:hAnsi="Times New Roman" w:cs="Times New Roman"/>
        </w:rPr>
        <w:t xml:space="preserve">, A., </w:t>
      </w:r>
      <w:proofErr w:type="spellStart"/>
      <w:r w:rsidRPr="00413BD1">
        <w:rPr>
          <w:rFonts w:ascii="Times New Roman" w:hAnsi="Times New Roman" w:cs="Times New Roman"/>
        </w:rPr>
        <w:t>Mezaya</w:t>
      </w:r>
      <w:proofErr w:type="spellEnd"/>
      <w:r w:rsidRPr="00413BD1">
        <w:rPr>
          <w:rFonts w:ascii="Times New Roman" w:hAnsi="Times New Roman" w:cs="Times New Roman"/>
        </w:rPr>
        <w:t xml:space="preserve">, R., </w:t>
      </w:r>
      <w:proofErr w:type="spellStart"/>
      <w:r w:rsidRPr="00413BD1">
        <w:rPr>
          <w:rFonts w:ascii="Times New Roman" w:hAnsi="Times New Roman" w:cs="Times New Roman"/>
        </w:rPr>
        <w:t>Pringgabayu</w:t>
      </w:r>
      <w:proofErr w:type="spellEnd"/>
      <w:r w:rsidRPr="00413BD1">
        <w:rPr>
          <w:rFonts w:ascii="Times New Roman" w:hAnsi="Times New Roman" w:cs="Times New Roman"/>
        </w:rPr>
        <w:t xml:space="preserve">, D., &amp; </w:t>
      </w:r>
      <w:proofErr w:type="spellStart"/>
      <w:r w:rsidRPr="00413BD1">
        <w:rPr>
          <w:rFonts w:ascii="Times New Roman" w:hAnsi="Times New Roman" w:cs="Times New Roman"/>
        </w:rPr>
        <w:t>Ramdlany</w:t>
      </w:r>
      <w:proofErr w:type="spellEnd"/>
      <w:r w:rsidRPr="00413BD1">
        <w:rPr>
          <w:rFonts w:ascii="Times New Roman" w:hAnsi="Times New Roman" w:cs="Times New Roman"/>
        </w:rPr>
        <w:t>, D. M. A. (2021). Practice of corporate social responsibility (CSR) in extractives sector in Indonesia. </w:t>
      </w:r>
      <w:r w:rsidRPr="00413BD1">
        <w:rPr>
          <w:rFonts w:ascii="Times New Roman" w:hAnsi="Times New Roman" w:cs="Times New Roman"/>
          <w:i/>
          <w:iCs/>
        </w:rPr>
        <w:t>Sovereign Wealth Funds, Local Content Policies and CSR: Developments in the Extractives Sector</w:t>
      </w:r>
      <w:r w:rsidRPr="00413BD1">
        <w:rPr>
          <w:rFonts w:ascii="Times New Roman" w:hAnsi="Times New Roman" w:cs="Times New Roman"/>
        </w:rPr>
        <w:t>, 483-497.</w:t>
      </w:r>
      <w:r w:rsidRPr="00413BD1">
        <w:rPr>
          <w:rFonts w:ascii="Times New Roman" w:hAnsi="Times New Roman" w:cs="Times New Roman"/>
          <w:shd w:val="clear" w:color="auto" w:fill="FFFFFF"/>
        </w:rPr>
        <w:t xml:space="preserve"> </w:t>
      </w:r>
      <w:hyperlink r:id="rId14" w:history="1">
        <w:r w:rsidRPr="00413BD1">
          <w:rPr>
            <w:rStyle w:val="Hyperlink"/>
            <w:rFonts w:ascii="Times New Roman" w:hAnsi="Times New Roman" w:cs="Times New Roman"/>
            <w:color w:val="auto"/>
          </w:rPr>
          <w:t>https://doi.org/10.1007/978-3-030-56092-8_27</w:t>
        </w:r>
      </w:hyperlink>
    </w:p>
    <w:p w14:paraId="1566CE19"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shd w:val="clear" w:color="auto" w:fill="FFFFFF"/>
        </w:rPr>
        <w:t xml:space="preserve">Aniah, P., </w:t>
      </w:r>
      <w:proofErr w:type="spellStart"/>
      <w:r w:rsidRPr="00413BD1">
        <w:rPr>
          <w:rFonts w:ascii="Times New Roman" w:hAnsi="Times New Roman" w:cs="Times New Roman"/>
          <w:shd w:val="clear" w:color="auto" w:fill="FFFFFF"/>
        </w:rPr>
        <w:t>Kaunza</w:t>
      </w:r>
      <w:proofErr w:type="spellEnd"/>
      <w:r w:rsidRPr="00413BD1">
        <w:rPr>
          <w:rFonts w:ascii="Times New Roman" w:hAnsi="Times New Roman" w:cs="Times New Roman"/>
          <w:shd w:val="clear" w:color="auto" w:fill="FFFFFF"/>
        </w:rPr>
        <w:t xml:space="preserve">-Nu-Dem, M. K., &amp; </w:t>
      </w:r>
      <w:proofErr w:type="spellStart"/>
      <w:r w:rsidRPr="00413BD1">
        <w:rPr>
          <w:rFonts w:ascii="Times New Roman" w:hAnsi="Times New Roman" w:cs="Times New Roman"/>
          <w:shd w:val="clear" w:color="auto" w:fill="FFFFFF"/>
        </w:rPr>
        <w:t>Ayembilla</w:t>
      </w:r>
      <w:proofErr w:type="spellEnd"/>
      <w:r w:rsidRPr="00413BD1">
        <w:rPr>
          <w:rFonts w:ascii="Times New Roman" w:hAnsi="Times New Roman" w:cs="Times New Roman"/>
          <w:shd w:val="clear" w:color="auto" w:fill="FFFFFF"/>
        </w:rPr>
        <w:t xml:space="preserve">, J. A. (2019). Smallholder farmers' livelihood adaptation to climate variability and ecological changes in the savanna </w:t>
      </w:r>
      <w:proofErr w:type="spellStart"/>
      <w:r w:rsidRPr="00413BD1">
        <w:rPr>
          <w:rFonts w:ascii="Times New Roman" w:hAnsi="Times New Roman" w:cs="Times New Roman"/>
          <w:shd w:val="clear" w:color="auto" w:fill="FFFFFF"/>
        </w:rPr>
        <w:t>agro</w:t>
      </w:r>
      <w:proofErr w:type="spellEnd"/>
      <w:r w:rsidRPr="00413BD1">
        <w:rPr>
          <w:rFonts w:ascii="Times New Roman" w:hAnsi="Times New Roman" w:cs="Times New Roman"/>
          <w:shd w:val="clear" w:color="auto" w:fill="FFFFFF"/>
        </w:rPr>
        <w:t xml:space="preserve"> ecological zone of Ghana. </w:t>
      </w:r>
      <w:proofErr w:type="spellStart"/>
      <w:r w:rsidRPr="00413BD1">
        <w:rPr>
          <w:rFonts w:ascii="Times New Roman" w:hAnsi="Times New Roman" w:cs="Times New Roman"/>
          <w:i/>
          <w:iCs/>
          <w:shd w:val="clear" w:color="auto" w:fill="FFFFFF"/>
        </w:rPr>
        <w:t>Heliyon</w:t>
      </w:r>
      <w:proofErr w:type="spellEnd"/>
      <w:r w:rsidRPr="00413BD1">
        <w:rPr>
          <w:rFonts w:ascii="Times New Roman" w:hAnsi="Times New Roman" w:cs="Times New Roman"/>
          <w:shd w:val="clear" w:color="auto" w:fill="FFFFFF"/>
        </w:rPr>
        <w:t>, </w:t>
      </w:r>
      <w:r w:rsidRPr="00413BD1">
        <w:rPr>
          <w:rFonts w:ascii="Times New Roman" w:hAnsi="Times New Roman" w:cs="Times New Roman"/>
          <w:i/>
          <w:iCs/>
          <w:shd w:val="clear" w:color="auto" w:fill="FFFFFF"/>
        </w:rPr>
        <w:t>5</w:t>
      </w:r>
      <w:r w:rsidRPr="00413BD1">
        <w:rPr>
          <w:rFonts w:ascii="Times New Roman" w:hAnsi="Times New Roman" w:cs="Times New Roman"/>
          <w:shd w:val="clear" w:color="auto" w:fill="FFFFFF"/>
        </w:rPr>
        <w:t>(4), e01492</w:t>
      </w:r>
      <w:hyperlink r:id="rId15" w:tgtFrame="_blank" w:history="1">
        <w:r w:rsidRPr="00413BD1">
          <w:rPr>
            <w:rStyle w:val="Hyperlink"/>
            <w:rFonts w:ascii="Times New Roman" w:hAnsi="Times New Roman" w:cs="Times New Roman"/>
            <w:color w:val="auto"/>
            <w:shd w:val="clear" w:color="auto" w:fill="FFFFFF"/>
            <w:lang w:val="en-PH"/>
          </w:rPr>
          <w:t>.https://doi.org/0.1016/j.heliyon.2019.e01492</w:t>
        </w:r>
      </w:hyperlink>
    </w:p>
    <w:p w14:paraId="23FD4111" w14:textId="77777777"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Aravossis</w:t>
      </w:r>
      <w:proofErr w:type="spellEnd"/>
      <w:r w:rsidRPr="00413BD1">
        <w:rPr>
          <w:rFonts w:ascii="Times New Roman" w:hAnsi="Times New Roman" w:cs="Times New Roman"/>
        </w:rPr>
        <w:t xml:space="preserve">, K. G., Panayiotou, N., &amp; </w:t>
      </w:r>
      <w:proofErr w:type="spellStart"/>
      <w:r w:rsidRPr="00413BD1">
        <w:rPr>
          <w:rFonts w:ascii="Times New Roman" w:hAnsi="Times New Roman" w:cs="Times New Roman"/>
        </w:rPr>
        <w:t>Tsousi</w:t>
      </w:r>
      <w:proofErr w:type="spellEnd"/>
      <w:r w:rsidRPr="00413BD1">
        <w:rPr>
          <w:rFonts w:ascii="Times New Roman" w:hAnsi="Times New Roman" w:cs="Times New Roman"/>
        </w:rPr>
        <w:t>, K. (2006). A proposed methodological framework for the evaluation of corporate social responsibility. </w:t>
      </w:r>
      <w:r w:rsidRPr="00413BD1">
        <w:rPr>
          <w:rFonts w:ascii="Times New Roman" w:hAnsi="Times New Roman" w:cs="Times New Roman"/>
          <w:i/>
          <w:iCs/>
        </w:rPr>
        <w:t>Environmental economics and investment assessment</w:t>
      </w:r>
      <w:r w:rsidRPr="00413BD1">
        <w:rPr>
          <w:rFonts w:ascii="Times New Roman" w:hAnsi="Times New Roman" w:cs="Times New Roman"/>
        </w:rPr>
        <w:t>, </w:t>
      </w:r>
      <w:r w:rsidRPr="00413BD1">
        <w:rPr>
          <w:rFonts w:ascii="Times New Roman" w:hAnsi="Times New Roman" w:cs="Times New Roman"/>
          <w:i/>
          <w:iCs/>
        </w:rPr>
        <w:t>98</w:t>
      </w:r>
      <w:r w:rsidRPr="00413BD1">
        <w:rPr>
          <w:rFonts w:ascii="Times New Roman" w:hAnsi="Times New Roman" w:cs="Times New Roman"/>
        </w:rPr>
        <w:t>, 87-95.</w:t>
      </w:r>
    </w:p>
    <w:p w14:paraId="45B5F48E" w14:textId="77777777"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Atzmanstorfer</w:t>
      </w:r>
      <w:proofErr w:type="spellEnd"/>
      <w:r w:rsidRPr="00413BD1">
        <w:rPr>
          <w:rFonts w:ascii="Times New Roman" w:hAnsi="Times New Roman" w:cs="Times New Roman"/>
        </w:rPr>
        <w:t xml:space="preserve">, K., Bartling, M., Arthos, L. Z., Grubinger-Preiner, J., Feil, C., &amp; </w:t>
      </w:r>
      <w:proofErr w:type="spellStart"/>
      <w:r w:rsidRPr="00413BD1">
        <w:rPr>
          <w:rFonts w:ascii="Times New Roman" w:hAnsi="Times New Roman" w:cs="Times New Roman"/>
        </w:rPr>
        <w:t>Eitzinger</w:t>
      </w:r>
      <w:proofErr w:type="spellEnd"/>
      <w:r w:rsidRPr="00413BD1">
        <w:rPr>
          <w:rFonts w:ascii="Times New Roman" w:hAnsi="Times New Roman" w:cs="Times New Roman"/>
        </w:rPr>
        <w:t>, A. (2023). Making Corporate Social Responsibility (CSR) Participatory and Locally Visible–a Prototype Solution.</w:t>
      </w:r>
    </w:p>
    <w:p w14:paraId="7073BB15"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lastRenderedPageBreak/>
        <w:t>Barnett</w:t>
      </w:r>
      <w:r w:rsidRPr="00413BD1">
        <w:rPr>
          <w:rFonts w:ascii="Times New Roman" w:hAnsi="Times New Roman" w:cs="Times New Roman"/>
          <w:color w:val="000000" w:themeColor="text1"/>
        </w:rPr>
        <w:t xml:space="preserve">, M. L., Henriques, I., &amp; Husted, B. W. (2020). Beyond good intentions: Designing CSR initiatives for greater social impact. Journal of Management, 46(6), 937-964. </w:t>
      </w:r>
      <w:hyperlink r:id="rId16" w:history="1">
        <w:r w:rsidRPr="00413BD1">
          <w:rPr>
            <w:rStyle w:val="Hyperlink"/>
            <w:rFonts w:ascii="Times New Roman" w:hAnsi="Times New Roman" w:cs="Times New Roman"/>
            <w:color w:val="000000" w:themeColor="text1"/>
          </w:rPr>
          <w:t>https://doi.org/10.1177/0149206319900539</w:t>
        </w:r>
      </w:hyperlink>
      <w:r w:rsidRPr="00413BD1">
        <w:rPr>
          <w:rFonts w:ascii="Times New Roman" w:hAnsi="Times New Roman" w:cs="Times New Roman"/>
          <w:color w:val="000000" w:themeColor="text1"/>
        </w:rPr>
        <w:t xml:space="preserve"> </w:t>
      </w:r>
    </w:p>
    <w:p w14:paraId="22DD0A1E" w14:textId="77777777"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Bashtovaya</w:t>
      </w:r>
      <w:proofErr w:type="spellEnd"/>
      <w:r w:rsidRPr="00413BD1">
        <w:rPr>
          <w:rFonts w:ascii="Times New Roman" w:hAnsi="Times New Roman" w:cs="Times New Roman"/>
        </w:rPr>
        <w:t>, V. (2014). CSR reporting in the United States and Russia. </w:t>
      </w:r>
      <w:r w:rsidRPr="00413BD1">
        <w:rPr>
          <w:rFonts w:ascii="Times New Roman" w:hAnsi="Times New Roman" w:cs="Times New Roman"/>
          <w:i/>
          <w:iCs/>
        </w:rPr>
        <w:t>Social Responsibility Journal</w:t>
      </w:r>
      <w:r w:rsidRPr="00413BD1">
        <w:rPr>
          <w:rFonts w:ascii="Times New Roman" w:hAnsi="Times New Roman" w:cs="Times New Roman"/>
        </w:rPr>
        <w:t>, </w:t>
      </w:r>
      <w:r w:rsidRPr="00413BD1">
        <w:rPr>
          <w:rFonts w:ascii="Times New Roman" w:hAnsi="Times New Roman" w:cs="Times New Roman"/>
          <w:i/>
          <w:iCs/>
        </w:rPr>
        <w:t>10</w:t>
      </w:r>
      <w:r w:rsidRPr="00413BD1">
        <w:rPr>
          <w:rFonts w:ascii="Times New Roman" w:hAnsi="Times New Roman" w:cs="Times New Roman"/>
        </w:rPr>
        <w:t xml:space="preserve">(1), 68-84. </w:t>
      </w:r>
      <w:hyperlink r:id="rId17" w:tooltip="DOI: https://doi.org/10.1108/SRJ-11-2012-0150" w:history="1">
        <w:r w:rsidRPr="00413BD1">
          <w:rPr>
            <w:rStyle w:val="Hyperlink"/>
            <w:rFonts w:ascii="Times New Roman" w:hAnsi="Times New Roman" w:cs="Times New Roman"/>
            <w:color w:val="auto"/>
          </w:rPr>
          <w:t>https://doi.org/10.1108/SRJ-11-2012-0150</w:t>
        </w:r>
      </w:hyperlink>
    </w:p>
    <w:p w14:paraId="3CA84A34" w14:textId="1EE53FCB" w:rsidR="009B0C05" w:rsidRPr="00413BD1" w:rsidRDefault="009B0C05"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Bezuidenhout, L. (2018). </w:t>
      </w:r>
      <w:r w:rsidRPr="00413BD1">
        <w:rPr>
          <w:rFonts w:ascii="Times New Roman" w:hAnsi="Times New Roman" w:cs="Times New Roman"/>
          <w:i/>
          <w:iCs/>
        </w:rPr>
        <w:t>A CSR communication model for empowering business and society towards sustainability</w:t>
      </w:r>
      <w:r w:rsidRPr="00413BD1">
        <w:rPr>
          <w:rFonts w:ascii="Times New Roman" w:hAnsi="Times New Roman" w:cs="Times New Roman"/>
        </w:rPr>
        <w:t> (Doctoral dissertation, North-West University).</w:t>
      </w:r>
    </w:p>
    <w:p w14:paraId="14D9F38C"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 xml:space="preserve">Deloitte. (2024). Energy and Resources Regulations Update. </w:t>
      </w:r>
      <w:hyperlink r:id="rId18" w:history="1">
        <w:r w:rsidRPr="00413BD1">
          <w:rPr>
            <w:rStyle w:val="Hyperlink"/>
            <w:rFonts w:ascii="Times New Roman" w:hAnsi="Times New Roman" w:cs="Times New Roman"/>
            <w:color w:val="000000" w:themeColor="text1"/>
          </w:rPr>
          <w:t>https://www2.deloitte.com/content/dam/Deloitte/id/Documents/energy-resources/id-er-regulations-update-sept2024.pdf</w:t>
        </w:r>
      </w:hyperlink>
      <w:r w:rsidRPr="00413BD1">
        <w:rPr>
          <w:rFonts w:ascii="Times New Roman" w:hAnsi="Times New Roman" w:cs="Times New Roman"/>
          <w:color w:val="000000" w:themeColor="text1"/>
        </w:rPr>
        <w:t xml:space="preserve">   </w:t>
      </w:r>
    </w:p>
    <w:p w14:paraId="086102C0"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 xml:space="preserve">Diaz-Iglesias, S., </w:t>
      </w:r>
      <w:r w:rsidRPr="00413BD1">
        <w:rPr>
          <w:rFonts w:ascii="Times New Roman" w:hAnsi="Times New Roman" w:cs="Times New Roman"/>
          <w:color w:val="000000" w:themeColor="text1"/>
        </w:rPr>
        <w:t xml:space="preserve">Blanco-Gonzalez, A., &amp; Orden-Cruz, C. (2021). Theoretical framework for sustainability, corporate social responsibility and change management. J. Sustain. Sci. Manag, 16, 315-332. </w:t>
      </w:r>
      <w:hyperlink r:id="rId19" w:history="1">
        <w:r w:rsidRPr="00413BD1">
          <w:rPr>
            <w:rStyle w:val="Hyperlink"/>
            <w:rFonts w:ascii="Times New Roman" w:hAnsi="Times New Roman" w:cs="Times New Roman"/>
            <w:color w:val="000000" w:themeColor="text1"/>
          </w:rPr>
          <w:t>http://doi.org/10.46754/jssm.2021.08.025</w:t>
        </w:r>
      </w:hyperlink>
      <w:r w:rsidRPr="00413BD1">
        <w:rPr>
          <w:rFonts w:ascii="Times New Roman" w:hAnsi="Times New Roman" w:cs="Times New Roman"/>
          <w:color w:val="000000" w:themeColor="text1"/>
        </w:rPr>
        <w:t xml:space="preserve"> </w:t>
      </w:r>
    </w:p>
    <w:p w14:paraId="0CB33EC5"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Dixit, A., &amp; Mishra, H. (2022). A proposed framework for CSR implementation and impact assessment from organization and CSR beneficiary perspective. </w:t>
      </w:r>
      <w:r w:rsidRPr="00413BD1">
        <w:rPr>
          <w:rFonts w:ascii="Times New Roman" w:hAnsi="Times New Roman" w:cs="Times New Roman"/>
          <w:i/>
          <w:iCs/>
        </w:rPr>
        <w:t>Corp. Gov. Sustain. Rev</w:t>
      </w:r>
      <w:r w:rsidRPr="00413BD1">
        <w:rPr>
          <w:rFonts w:ascii="Times New Roman" w:hAnsi="Times New Roman" w:cs="Times New Roman"/>
        </w:rPr>
        <w:t>, </w:t>
      </w:r>
      <w:r w:rsidRPr="00413BD1">
        <w:rPr>
          <w:rFonts w:ascii="Times New Roman" w:hAnsi="Times New Roman" w:cs="Times New Roman"/>
          <w:i/>
          <w:iCs/>
        </w:rPr>
        <w:t>6</w:t>
      </w:r>
      <w:r w:rsidRPr="00413BD1">
        <w:rPr>
          <w:rFonts w:ascii="Times New Roman" w:hAnsi="Times New Roman" w:cs="Times New Roman"/>
        </w:rPr>
        <w:t xml:space="preserve">, 60-67. </w:t>
      </w:r>
      <w:hyperlink r:id="rId20" w:history="1">
        <w:r w:rsidRPr="00413BD1">
          <w:rPr>
            <w:rStyle w:val="Hyperlink"/>
            <w:rFonts w:ascii="Times New Roman" w:hAnsi="Times New Roman" w:cs="Times New Roman"/>
            <w:color w:val="auto"/>
          </w:rPr>
          <w:t>https://doi.org/10.22495/cgsrv6i3p5</w:t>
        </w:r>
      </w:hyperlink>
    </w:p>
    <w:p w14:paraId="537BB5D3" w14:textId="77777777"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Eduah</w:t>
      </w:r>
      <w:proofErr w:type="spellEnd"/>
      <w:r w:rsidRPr="00413BD1">
        <w:rPr>
          <w:rFonts w:ascii="Times New Roman" w:hAnsi="Times New Roman" w:cs="Times New Roman"/>
        </w:rPr>
        <w:t>, D. K. (2024). The Impact of Gender, Culture, and Other African Traits in Cooperating with Energy Regulators. In </w:t>
      </w:r>
      <w:r w:rsidRPr="00413BD1">
        <w:rPr>
          <w:rFonts w:ascii="Times New Roman" w:hAnsi="Times New Roman" w:cs="Times New Roman"/>
          <w:i/>
          <w:iCs/>
        </w:rPr>
        <w:t>Energy Regulation in Africa: Dynamics, Challenges, and Opportunities</w:t>
      </w:r>
      <w:r w:rsidRPr="00413BD1">
        <w:rPr>
          <w:rFonts w:ascii="Times New Roman" w:hAnsi="Times New Roman" w:cs="Times New Roman"/>
        </w:rPr>
        <w:t xml:space="preserve"> (pp. 579-592). Cham: Springer Nature Switzerland. </w:t>
      </w:r>
      <w:hyperlink r:id="rId21" w:history="1">
        <w:r w:rsidRPr="00413BD1">
          <w:rPr>
            <w:rStyle w:val="Hyperlink"/>
            <w:rFonts w:ascii="Times New Roman" w:hAnsi="Times New Roman" w:cs="Times New Roman"/>
            <w:color w:val="auto"/>
          </w:rPr>
          <w:t>https://doi.org/10.1007/978-3-031-52677-0_26</w:t>
        </w:r>
      </w:hyperlink>
    </w:p>
    <w:p w14:paraId="4BFB4A93"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proofErr w:type="spellStart"/>
      <w:r w:rsidRPr="00413BD1">
        <w:rPr>
          <w:rFonts w:ascii="Times New Roman" w:hAnsi="Times New Roman" w:cs="Times New Roman"/>
        </w:rPr>
        <w:t>Etikan</w:t>
      </w:r>
      <w:proofErr w:type="spellEnd"/>
      <w:r w:rsidRPr="00413BD1">
        <w:rPr>
          <w:rFonts w:ascii="Times New Roman" w:hAnsi="Times New Roman" w:cs="Times New Roman"/>
        </w:rPr>
        <w:t xml:space="preserve">, J. (2024). Corporate social </w:t>
      </w:r>
      <w:r w:rsidRPr="00413BD1">
        <w:rPr>
          <w:rFonts w:ascii="Times New Roman" w:hAnsi="Times New Roman" w:cs="Times New Roman"/>
          <w:color w:val="000000" w:themeColor="text1"/>
        </w:rPr>
        <w:t xml:space="preserve">responsibility (CSR) and its influence on organizational reputation. Journal of Public Relations, 2(1), 1-12. </w:t>
      </w:r>
      <w:hyperlink r:id="rId22" w:history="1">
        <w:r w:rsidRPr="00413BD1">
          <w:rPr>
            <w:rStyle w:val="Hyperlink"/>
            <w:rFonts w:ascii="Times New Roman" w:hAnsi="Times New Roman" w:cs="Times New Roman"/>
            <w:color w:val="000000" w:themeColor="text1"/>
          </w:rPr>
          <w:t>http://dx.doi.org/10.47941/jpr.1694</w:t>
        </w:r>
      </w:hyperlink>
      <w:r w:rsidRPr="00413BD1">
        <w:rPr>
          <w:rFonts w:ascii="Times New Roman" w:hAnsi="Times New Roman" w:cs="Times New Roman"/>
          <w:color w:val="000000" w:themeColor="text1"/>
        </w:rPr>
        <w:t xml:space="preserve"> </w:t>
      </w:r>
    </w:p>
    <w:p w14:paraId="0268CAF7"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color w:val="000000" w:themeColor="text1"/>
        </w:rPr>
        <w:t xml:space="preserve">Fulton IV, J. H., Armas, A., Crooks, H. R., Tshuma, G., Whitehead-Lye, K., Fung, W. F., ... &amp; </w:t>
      </w:r>
      <w:r w:rsidRPr="00413BD1">
        <w:rPr>
          <w:rFonts w:ascii="Times New Roman" w:hAnsi="Times New Roman" w:cs="Times New Roman"/>
        </w:rPr>
        <w:t xml:space="preserve">Nelson, M. L. (2023). Community Engagement from Theory to Practice: Co-design and </w:t>
      </w:r>
      <w:r w:rsidRPr="00413BD1">
        <w:rPr>
          <w:rFonts w:ascii="Times New Roman" w:hAnsi="Times New Roman" w:cs="Times New Roman"/>
        </w:rPr>
        <w:lastRenderedPageBreak/>
        <w:t xml:space="preserve">Implementation of Inclusive Language Principles in a Community-based Organization Serving People with Disabilities. </w:t>
      </w:r>
      <w:hyperlink r:id="rId23" w:tgtFrame="_blank" w:history="1">
        <w:r w:rsidRPr="00413BD1">
          <w:rPr>
            <w:rStyle w:val="Hyperlink"/>
            <w:rFonts w:ascii="Times New Roman" w:hAnsi="Times New Roman" w:cs="Times New Roman"/>
            <w:color w:val="auto"/>
          </w:rPr>
          <w:t>DOI: 10.5334/</w:t>
        </w:r>
        <w:proofErr w:type="gramStart"/>
        <w:r w:rsidRPr="00413BD1">
          <w:rPr>
            <w:rStyle w:val="Hyperlink"/>
            <w:rFonts w:ascii="Times New Roman" w:hAnsi="Times New Roman" w:cs="Times New Roman"/>
            <w:color w:val="auto"/>
          </w:rPr>
          <w:t>ijic.ICIC</w:t>
        </w:r>
        <w:proofErr w:type="gramEnd"/>
        <w:r w:rsidRPr="00413BD1">
          <w:rPr>
            <w:rStyle w:val="Hyperlink"/>
            <w:rFonts w:ascii="Times New Roman" w:hAnsi="Times New Roman" w:cs="Times New Roman"/>
            <w:color w:val="auto"/>
          </w:rPr>
          <w:t>23611</w:t>
        </w:r>
      </w:hyperlink>
    </w:p>
    <w:p w14:paraId="093F05E1"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Guppy, L., Mehta, P., &amp; Qadir, M. (2019). Sustainable development goal 6: Two gaps in the race for indicators. </w:t>
      </w:r>
      <w:r w:rsidRPr="00413BD1">
        <w:rPr>
          <w:rFonts w:ascii="Times New Roman" w:hAnsi="Times New Roman" w:cs="Times New Roman"/>
          <w:i/>
          <w:iCs/>
        </w:rPr>
        <w:t>Sustainability Science</w:t>
      </w:r>
      <w:r w:rsidRPr="00413BD1">
        <w:rPr>
          <w:rFonts w:ascii="Times New Roman" w:hAnsi="Times New Roman" w:cs="Times New Roman"/>
        </w:rPr>
        <w:t>, </w:t>
      </w:r>
      <w:r w:rsidRPr="00413BD1">
        <w:rPr>
          <w:rFonts w:ascii="Times New Roman" w:hAnsi="Times New Roman" w:cs="Times New Roman"/>
          <w:i/>
          <w:iCs/>
        </w:rPr>
        <w:t>14</w:t>
      </w:r>
      <w:r w:rsidRPr="00413BD1">
        <w:rPr>
          <w:rFonts w:ascii="Times New Roman" w:hAnsi="Times New Roman" w:cs="Times New Roman"/>
        </w:rPr>
        <w:t>(2), 501-513.</w:t>
      </w:r>
      <w:r w:rsidRPr="00413BD1">
        <w:rPr>
          <w:rFonts w:ascii="Times New Roman" w:hAnsi="Times New Roman" w:cs="Times New Roman"/>
          <w:shd w:val="clear" w:color="auto" w:fill="FFFFFF"/>
        </w:rPr>
        <w:t xml:space="preserve"> </w:t>
      </w:r>
      <w:hyperlink r:id="rId24" w:history="1">
        <w:r w:rsidRPr="00413BD1">
          <w:rPr>
            <w:rStyle w:val="Hyperlink"/>
            <w:rFonts w:ascii="Times New Roman" w:hAnsi="Times New Roman" w:cs="Times New Roman"/>
            <w:color w:val="auto"/>
          </w:rPr>
          <w:t>https://doi.org/10.1007/s11625-018-0649-z</w:t>
        </w:r>
      </w:hyperlink>
    </w:p>
    <w:p w14:paraId="51D1394B"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color w:val="000000" w:themeColor="text1"/>
        </w:rPr>
        <w:t xml:space="preserve">Hall, N. L. (2015). Community corporate engagement on water resource impacts: Opportunities for social licence to operate. Australasian Journal of Water Resources, 19(2), 109-115. </w:t>
      </w:r>
      <w:hyperlink r:id="rId25" w:history="1">
        <w:r w:rsidRPr="00413BD1">
          <w:rPr>
            <w:rStyle w:val="Hyperlink"/>
            <w:rFonts w:ascii="Times New Roman" w:hAnsi="Times New Roman" w:cs="Times New Roman"/>
            <w:color w:val="000000" w:themeColor="text1"/>
          </w:rPr>
          <w:t>http://dx.doi.org/10.1080/13241583.2016.1148869</w:t>
        </w:r>
      </w:hyperlink>
      <w:r w:rsidRPr="00413BD1">
        <w:rPr>
          <w:rFonts w:ascii="Times New Roman" w:hAnsi="Times New Roman" w:cs="Times New Roman"/>
          <w:color w:val="000000" w:themeColor="text1"/>
        </w:rPr>
        <w:t xml:space="preserve"> </w:t>
      </w:r>
    </w:p>
    <w:p w14:paraId="471A9E31" w14:textId="2A81536E" w:rsidR="00FE1BA4" w:rsidRPr="00413BD1" w:rsidRDefault="00FE1BA4"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Helfaya</w:t>
      </w:r>
      <w:proofErr w:type="spellEnd"/>
      <w:r w:rsidRPr="00413BD1">
        <w:rPr>
          <w:rFonts w:ascii="Times New Roman" w:hAnsi="Times New Roman" w:cs="Times New Roman"/>
        </w:rPr>
        <w:t>, A., &amp; Moussa, T. (2017). Do board's corporate social responsibility strategy and orientation influence environmental sustainability disclosure? UK evidence. </w:t>
      </w:r>
      <w:r w:rsidRPr="00413BD1">
        <w:rPr>
          <w:rFonts w:ascii="Times New Roman" w:hAnsi="Times New Roman" w:cs="Times New Roman"/>
          <w:i/>
          <w:iCs/>
        </w:rPr>
        <w:t>Business Strategy and the Environment</w:t>
      </w:r>
      <w:r w:rsidRPr="00413BD1">
        <w:rPr>
          <w:rFonts w:ascii="Times New Roman" w:hAnsi="Times New Roman" w:cs="Times New Roman"/>
        </w:rPr>
        <w:t>, </w:t>
      </w:r>
      <w:r w:rsidRPr="00413BD1">
        <w:rPr>
          <w:rFonts w:ascii="Times New Roman" w:hAnsi="Times New Roman" w:cs="Times New Roman"/>
          <w:i/>
          <w:iCs/>
        </w:rPr>
        <w:t>26</w:t>
      </w:r>
      <w:r w:rsidRPr="00413BD1">
        <w:rPr>
          <w:rFonts w:ascii="Times New Roman" w:hAnsi="Times New Roman" w:cs="Times New Roman"/>
        </w:rPr>
        <w:t xml:space="preserve">(8), 1061-1077.  </w:t>
      </w:r>
      <w:hyperlink r:id="rId26" w:history="1">
        <w:r w:rsidRPr="00413BD1">
          <w:rPr>
            <w:rStyle w:val="Hyperlink"/>
            <w:rFonts w:ascii="Times New Roman" w:hAnsi="Times New Roman" w:cs="Times New Roman"/>
            <w:color w:val="auto"/>
          </w:rPr>
          <w:t>https://doi.org/10.1002/bse.1960</w:t>
        </w:r>
      </w:hyperlink>
    </w:p>
    <w:p w14:paraId="06817032" w14:textId="120A2977" w:rsidR="00FE1BA4" w:rsidRPr="00413BD1" w:rsidRDefault="00FE1BA4"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Hilson, G. (2012). Corporate Social Responsibility in the extractive industries: Experiences from developing countries. </w:t>
      </w:r>
      <w:r w:rsidRPr="00413BD1">
        <w:rPr>
          <w:rFonts w:ascii="Times New Roman" w:hAnsi="Times New Roman" w:cs="Times New Roman"/>
          <w:i/>
          <w:iCs/>
        </w:rPr>
        <w:t>Resources policy</w:t>
      </w:r>
      <w:r w:rsidRPr="00413BD1">
        <w:rPr>
          <w:rFonts w:ascii="Times New Roman" w:hAnsi="Times New Roman" w:cs="Times New Roman"/>
        </w:rPr>
        <w:t>, </w:t>
      </w:r>
      <w:r w:rsidRPr="00413BD1">
        <w:rPr>
          <w:rFonts w:ascii="Times New Roman" w:hAnsi="Times New Roman" w:cs="Times New Roman"/>
          <w:i/>
          <w:iCs/>
        </w:rPr>
        <w:t>37</w:t>
      </w:r>
      <w:r w:rsidRPr="00413BD1">
        <w:rPr>
          <w:rFonts w:ascii="Times New Roman" w:hAnsi="Times New Roman" w:cs="Times New Roman"/>
        </w:rPr>
        <w:t xml:space="preserve">(2), 131-137. </w:t>
      </w:r>
      <w:hyperlink r:id="rId27" w:history="1">
        <w:r w:rsidRPr="00413BD1">
          <w:rPr>
            <w:rStyle w:val="Hyperlink"/>
            <w:rFonts w:ascii="Times New Roman" w:hAnsi="Times New Roman" w:cs="Times New Roman"/>
            <w:color w:val="auto"/>
          </w:rPr>
          <w:t>https://doi.org/10.1016/j.resourpol.2012.01.002</w:t>
        </w:r>
      </w:hyperlink>
    </w:p>
    <w:p w14:paraId="628FD7B0" w14:textId="7279D62E" w:rsidR="00A6671C" w:rsidRPr="00413BD1" w:rsidRDefault="00A6671C"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rPr>
        <w:t xml:space="preserve">Ho, L., Alonso, A., </w:t>
      </w:r>
      <w:proofErr w:type="spellStart"/>
      <w:r w:rsidRPr="00413BD1">
        <w:rPr>
          <w:rFonts w:ascii="Times New Roman" w:hAnsi="Times New Roman" w:cs="Times New Roman"/>
        </w:rPr>
        <w:t>Forio</w:t>
      </w:r>
      <w:proofErr w:type="spellEnd"/>
      <w:r w:rsidRPr="00413BD1">
        <w:rPr>
          <w:rFonts w:ascii="Times New Roman" w:hAnsi="Times New Roman" w:cs="Times New Roman"/>
        </w:rPr>
        <w:t xml:space="preserve">, M. A. E., </w:t>
      </w:r>
      <w:proofErr w:type="spellStart"/>
      <w:r w:rsidRPr="00413BD1">
        <w:rPr>
          <w:rFonts w:ascii="Times New Roman" w:hAnsi="Times New Roman" w:cs="Times New Roman"/>
        </w:rPr>
        <w:t>Vanclooster</w:t>
      </w:r>
      <w:proofErr w:type="spellEnd"/>
      <w:r w:rsidRPr="00413BD1">
        <w:rPr>
          <w:rFonts w:ascii="Times New Roman" w:hAnsi="Times New Roman" w:cs="Times New Roman"/>
        </w:rPr>
        <w:t>, M., &amp; Goethals, P. L. (2020). Water research in support of the Sustainable Development Goal 6: A case study in Belgium. </w:t>
      </w:r>
      <w:r w:rsidRPr="00413BD1">
        <w:rPr>
          <w:rFonts w:ascii="Times New Roman" w:hAnsi="Times New Roman" w:cs="Times New Roman"/>
          <w:i/>
          <w:iCs/>
        </w:rPr>
        <w:t>Journal of Cleaner Production</w:t>
      </w:r>
      <w:r w:rsidRPr="00413BD1">
        <w:rPr>
          <w:rFonts w:ascii="Times New Roman" w:hAnsi="Times New Roman" w:cs="Times New Roman"/>
        </w:rPr>
        <w:t>, </w:t>
      </w:r>
      <w:r w:rsidRPr="00413BD1">
        <w:rPr>
          <w:rFonts w:ascii="Times New Roman" w:hAnsi="Times New Roman" w:cs="Times New Roman"/>
          <w:i/>
          <w:iCs/>
        </w:rPr>
        <w:t>277</w:t>
      </w:r>
      <w:r w:rsidRPr="00413BD1">
        <w:rPr>
          <w:rFonts w:ascii="Times New Roman" w:hAnsi="Times New Roman" w:cs="Times New Roman"/>
        </w:rPr>
        <w:t xml:space="preserve">, 124082. </w:t>
      </w:r>
      <w:hyperlink r:id="rId28" w:tgtFrame="_blank" w:tooltip="Persistent link using digital object identifier" w:history="1">
        <w:r w:rsidRPr="00413BD1">
          <w:rPr>
            <w:rStyle w:val="Hyperlink"/>
            <w:rFonts w:ascii="Times New Roman" w:hAnsi="Times New Roman" w:cs="Times New Roman"/>
            <w:color w:val="auto"/>
          </w:rPr>
          <w:t>https://doi.org/10.1016/j.jclepro.2020.124082</w:t>
        </w:r>
      </w:hyperlink>
    </w:p>
    <w:p w14:paraId="4352699B"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Holt, Y. F. (2024). At the table or on the menu: Engaging the community in research. </w:t>
      </w:r>
      <w:r w:rsidRPr="00413BD1">
        <w:rPr>
          <w:rFonts w:ascii="Times New Roman" w:hAnsi="Times New Roman" w:cs="Times New Roman"/>
          <w:i/>
          <w:iCs/>
        </w:rPr>
        <w:t>The Journal of the Acoustical Society of America</w:t>
      </w:r>
      <w:r w:rsidRPr="00413BD1">
        <w:rPr>
          <w:rFonts w:ascii="Times New Roman" w:hAnsi="Times New Roman" w:cs="Times New Roman"/>
        </w:rPr>
        <w:t>, </w:t>
      </w:r>
      <w:r w:rsidRPr="00413BD1">
        <w:rPr>
          <w:rFonts w:ascii="Times New Roman" w:hAnsi="Times New Roman" w:cs="Times New Roman"/>
          <w:i/>
          <w:iCs/>
        </w:rPr>
        <w:t>155</w:t>
      </w:r>
      <w:r w:rsidRPr="00413BD1">
        <w:rPr>
          <w:rFonts w:ascii="Times New Roman" w:hAnsi="Times New Roman" w:cs="Times New Roman"/>
        </w:rPr>
        <w:t xml:space="preserve">(3_Supplement), A74-A74. </w:t>
      </w:r>
      <w:hyperlink r:id="rId29" w:tgtFrame="_blank" w:history="1">
        <w:r w:rsidRPr="00413BD1">
          <w:rPr>
            <w:rStyle w:val="Hyperlink"/>
            <w:rFonts w:ascii="Times New Roman" w:hAnsi="Times New Roman" w:cs="Times New Roman"/>
            <w:color w:val="auto"/>
          </w:rPr>
          <w:t>https://doi.org/10.1121/10.0026851</w:t>
        </w:r>
      </w:hyperlink>
    </w:p>
    <w:p w14:paraId="4BAA4403"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 xml:space="preserve">Hurst, B., &amp; Ihlen, Ø. (2018). Corporate social responsibility and engagement: Commitment, </w:t>
      </w:r>
      <w:r w:rsidRPr="00413BD1">
        <w:rPr>
          <w:rFonts w:ascii="Times New Roman" w:hAnsi="Times New Roman" w:cs="Times New Roman"/>
          <w:color w:val="000000" w:themeColor="text1"/>
        </w:rPr>
        <w:t xml:space="preserve">mapping of responsibilities, and closing the loop. The handbook of communication engagement, 133-147. </w:t>
      </w:r>
      <w:hyperlink r:id="rId30" w:history="1">
        <w:r w:rsidRPr="00413BD1">
          <w:rPr>
            <w:rStyle w:val="Hyperlink"/>
            <w:rFonts w:ascii="Times New Roman" w:hAnsi="Times New Roman" w:cs="Times New Roman"/>
            <w:color w:val="000000" w:themeColor="text1"/>
          </w:rPr>
          <w:t>http://dx.doi.org/10.1002/9781119167600.ch10</w:t>
        </w:r>
      </w:hyperlink>
      <w:r w:rsidRPr="00413BD1">
        <w:rPr>
          <w:rFonts w:ascii="Times New Roman" w:hAnsi="Times New Roman" w:cs="Times New Roman"/>
          <w:color w:val="000000" w:themeColor="text1"/>
        </w:rPr>
        <w:t xml:space="preserve"> </w:t>
      </w:r>
    </w:p>
    <w:p w14:paraId="5E0005B9"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 xml:space="preserve">Husnah, H., &amp; </w:t>
      </w:r>
      <w:proofErr w:type="spellStart"/>
      <w:r w:rsidRPr="00413BD1">
        <w:rPr>
          <w:rFonts w:ascii="Times New Roman" w:hAnsi="Times New Roman" w:cs="Times New Roman"/>
        </w:rPr>
        <w:t>Fahlevi</w:t>
      </w:r>
      <w:proofErr w:type="spellEnd"/>
      <w:r w:rsidRPr="00413BD1">
        <w:rPr>
          <w:rFonts w:ascii="Times New Roman" w:hAnsi="Times New Roman" w:cs="Times New Roman"/>
        </w:rPr>
        <w:t xml:space="preserve">, M. (2023). How do corporate social responsibility and sustainable development goals shape financial performance in Indonesia's mining </w:t>
      </w:r>
      <w:proofErr w:type="gramStart"/>
      <w:r w:rsidRPr="00413BD1">
        <w:rPr>
          <w:rFonts w:ascii="Times New Roman" w:hAnsi="Times New Roman" w:cs="Times New Roman"/>
        </w:rPr>
        <w:t>industry?.</w:t>
      </w:r>
      <w:proofErr w:type="gramEnd"/>
      <w:r w:rsidRPr="00413BD1">
        <w:rPr>
          <w:rFonts w:ascii="Times New Roman" w:hAnsi="Times New Roman" w:cs="Times New Roman"/>
        </w:rPr>
        <w:t> </w:t>
      </w:r>
      <w:r w:rsidRPr="00413BD1">
        <w:rPr>
          <w:rFonts w:ascii="Times New Roman" w:hAnsi="Times New Roman" w:cs="Times New Roman"/>
          <w:i/>
          <w:iCs/>
        </w:rPr>
        <w:t>Uncertain Supply Chain Management</w:t>
      </w:r>
      <w:r w:rsidRPr="00413BD1">
        <w:rPr>
          <w:rFonts w:ascii="Times New Roman" w:hAnsi="Times New Roman" w:cs="Times New Roman"/>
        </w:rPr>
        <w:t>, </w:t>
      </w:r>
      <w:r w:rsidRPr="00413BD1">
        <w:rPr>
          <w:rFonts w:ascii="Times New Roman" w:hAnsi="Times New Roman" w:cs="Times New Roman"/>
          <w:i/>
          <w:iCs/>
        </w:rPr>
        <w:t>11</w:t>
      </w:r>
      <w:r w:rsidRPr="00413BD1">
        <w:rPr>
          <w:rFonts w:ascii="Times New Roman" w:hAnsi="Times New Roman" w:cs="Times New Roman"/>
        </w:rPr>
        <w:t>(3), 1383-1394.</w:t>
      </w:r>
      <w:r w:rsidRPr="00413BD1">
        <w:rPr>
          <w:rFonts w:ascii="Times New Roman" w:hAnsi="Times New Roman" w:cs="Times New Roman"/>
          <w:i/>
          <w:iCs/>
          <w:shd w:val="clear" w:color="auto" w:fill="F9F9F4"/>
        </w:rPr>
        <w:t xml:space="preserve"> </w:t>
      </w:r>
      <w:hyperlink r:id="rId31" w:history="1">
        <w:r w:rsidRPr="00413BD1">
          <w:rPr>
            <w:rStyle w:val="Hyperlink"/>
            <w:rFonts w:ascii="Times New Roman" w:hAnsi="Times New Roman" w:cs="Times New Roman"/>
            <w:i/>
            <w:iCs/>
            <w:color w:val="auto"/>
          </w:rPr>
          <w:t>10.5267/j.uscm.2023.5.099</w:t>
        </w:r>
      </w:hyperlink>
    </w:p>
    <w:p w14:paraId="41E873DB"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lastRenderedPageBreak/>
        <w:t xml:space="preserve">Ivic, A., </w:t>
      </w:r>
      <w:proofErr w:type="spellStart"/>
      <w:r w:rsidRPr="00413BD1">
        <w:rPr>
          <w:rFonts w:ascii="Times New Roman" w:hAnsi="Times New Roman" w:cs="Times New Roman"/>
        </w:rPr>
        <w:t>Saviolidis</w:t>
      </w:r>
      <w:proofErr w:type="spellEnd"/>
      <w:r w:rsidRPr="00413BD1">
        <w:rPr>
          <w:rFonts w:ascii="Times New Roman" w:hAnsi="Times New Roman" w:cs="Times New Roman"/>
        </w:rPr>
        <w:t>, N. M., &amp; Johannsdottir, L. (2021). Drivers of sustainability practices and contributions to sustainable development evident in sustainability reports of European mining companies. </w:t>
      </w:r>
      <w:r w:rsidRPr="00413BD1">
        <w:rPr>
          <w:rFonts w:ascii="Times New Roman" w:hAnsi="Times New Roman" w:cs="Times New Roman"/>
          <w:i/>
          <w:iCs/>
        </w:rPr>
        <w:t>Discover Sustainability</w:t>
      </w:r>
      <w:r w:rsidRPr="00413BD1">
        <w:rPr>
          <w:rFonts w:ascii="Times New Roman" w:hAnsi="Times New Roman" w:cs="Times New Roman"/>
        </w:rPr>
        <w:t>, </w:t>
      </w:r>
      <w:r w:rsidRPr="00413BD1">
        <w:rPr>
          <w:rFonts w:ascii="Times New Roman" w:hAnsi="Times New Roman" w:cs="Times New Roman"/>
          <w:i/>
          <w:iCs/>
        </w:rPr>
        <w:t>2</w:t>
      </w:r>
      <w:r w:rsidRPr="00413BD1">
        <w:rPr>
          <w:rFonts w:ascii="Times New Roman" w:hAnsi="Times New Roman" w:cs="Times New Roman"/>
        </w:rPr>
        <w:t>, 1-20.</w:t>
      </w:r>
      <w:r w:rsidRPr="00413BD1">
        <w:rPr>
          <w:rFonts w:ascii="Times New Roman" w:hAnsi="Times New Roman" w:cs="Times New Roman"/>
          <w:shd w:val="clear" w:color="auto" w:fill="FFFFFF"/>
        </w:rPr>
        <w:t xml:space="preserve"> </w:t>
      </w:r>
      <w:hyperlink r:id="rId32" w:history="1">
        <w:r w:rsidRPr="00413BD1">
          <w:rPr>
            <w:rStyle w:val="Hyperlink"/>
            <w:rFonts w:ascii="Times New Roman" w:hAnsi="Times New Roman" w:cs="Times New Roman"/>
            <w:color w:val="auto"/>
          </w:rPr>
          <w:t>https://doi.org/10.1007/s43621-021-00025-y</w:t>
        </w:r>
      </w:hyperlink>
    </w:p>
    <w:p w14:paraId="0DB176BF"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color w:val="000000" w:themeColor="text1"/>
        </w:rPr>
        <w:t xml:space="preserve">Jan, F., Min-Allah, N., &amp; </w:t>
      </w:r>
      <w:proofErr w:type="spellStart"/>
      <w:r w:rsidRPr="00413BD1">
        <w:rPr>
          <w:rFonts w:ascii="Times New Roman" w:hAnsi="Times New Roman" w:cs="Times New Roman"/>
          <w:color w:val="000000" w:themeColor="text1"/>
        </w:rPr>
        <w:t>Düştegör</w:t>
      </w:r>
      <w:proofErr w:type="spellEnd"/>
      <w:r w:rsidRPr="00413BD1">
        <w:rPr>
          <w:rFonts w:ascii="Times New Roman" w:hAnsi="Times New Roman" w:cs="Times New Roman"/>
          <w:color w:val="000000" w:themeColor="text1"/>
        </w:rPr>
        <w:t xml:space="preserve">, D. (2021). </w:t>
      </w:r>
      <w:proofErr w:type="spellStart"/>
      <w:r w:rsidRPr="00413BD1">
        <w:rPr>
          <w:rFonts w:ascii="Times New Roman" w:hAnsi="Times New Roman" w:cs="Times New Roman"/>
          <w:color w:val="000000" w:themeColor="text1"/>
        </w:rPr>
        <w:t>Iot</w:t>
      </w:r>
      <w:proofErr w:type="spellEnd"/>
      <w:r w:rsidRPr="00413BD1">
        <w:rPr>
          <w:rFonts w:ascii="Times New Roman" w:hAnsi="Times New Roman" w:cs="Times New Roman"/>
          <w:color w:val="000000" w:themeColor="text1"/>
        </w:rPr>
        <w:t xml:space="preserve"> based smart water quality monitoring: Recent techniques, trends and challenges for domestic applications. Water, 13(13), 1729. </w:t>
      </w:r>
      <w:hyperlink r:id="rId33" w:history="1">
        <w:r w:rsidRPr="00413BD1">
          <w:rPr>
            <w:rStyle w:val="Hyperlink"/>
            <w:rFonts w:ascii="Times New Roman" w:hAnsi="Times New Roman" w:cs="Times New Roman"/>
            <w:color w:val="000000" w:themeColor="text1"/>
          </w:rPr>
          <w:t>https://doi.org/10.3390/w13131729</w:t>
        </w:r>
      </w:hyperlink>
      <w:r w:rsidRPr="00413BD1">
        <w:rPr>
          <w:rFonts w:ascii="Times New Roman" w:hAnsi="Times New Roman" w:cs="Times New Roman"/>
          <w:color w:val="000000" w:themeColor="text1"/>
        </w:rPr>
        <w:t xml:space="preserve"> </w:t>
      </w:r>
    </w:p>
    <w:p w14:paraId="6C253D39"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color w:val="000000" w:themeColor="text1"/>
        </w:rPr>
        <w:t>Kumar, R., &amp; Sinha, K. (2024). Impact of CSR Innovation Policy on Sustainable Development. </w:t>
      </w:r>
      <w:r w:rsidRPr="00413BD1">
        <w:rPr>
          <w:rFonts w:ascii="Times New Roman" w:hAnsi="Times New Roman" w:cs="Times New Roman"/>
          <w:i/>
          <w:iCs/>
          <w:color w:val="000000" w:themeColor="text1"/>
        </w:rPr>
        <w:t xml:space="preserve">Integrated Journal for Research </w:t>
      </w:r>
      <w:r w:rsidRPr="00413BD1">
        <w:rPr>
          <w:rFonts w:ascii="Times New Roman" w:hAnsi="Times New Roman" w:cs="Times New Roman"/>
          <w:i/>
          <w:iCs/>
        </w:rPr>
        <w:t>in Arts and Humanities</w:t>
      </w:r>
      <w:r w:rsidRPr="00413BD1">
        <w:rPr>
          <w:rFonts w:ascii="Times New Roman" w:hAnsi="Times New Roman" w:cs="Times New Roman"/>
        </w:rPr>
        <w:t>, </w:t>
      </w:r>
      <w:r w:rsidRPr="00413BD1">
        <w:rPr>
          <w:rFonts w:ascii="Times New Roman" w:hAnsi="Times New Roman" w:cs="Times New Roman"/>
          <w:i/>
          <w:iCs/>
        </w:rPr>
        <w:t>4</w:t>
      </w:r>
      <w:r w:rsidRPr="00413BD1">
        <w:rPr>
          <w:rFonts w:ascii="Times New Roman" w:hAnsi="Times New Roman" w:cs="Times New Roman"/>
        </w:rPr>
        <w:t>(2), 149-157.</w:t>
      </w:r>
    </w:p>
    <w:p w14:paraId="6BAAAA9E" w14:textId="77777777"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Kumaza</w:t>
      </w:r>
      <w:proofErr w:type="spellEnd"/>
      <w:r w:rsidRPr="00413BD1">
        <w:rPr>
          <w:rFonts w:ascii="Times New Roman" w:hAnsi="Times New Roman" w:cs="Times New Roman"/>
        </w:rPr>
        <w:t>, A., &amp; He, Y. (2018). The Role of a Policy in Strengthening Corporate Social Responsibility: An Empirical Study of the Mining Sector in Ghana. </w:t>
      </w:r>
      <w:r w:rsidRPr="00413BD1">
        <w:rPr>
          <w:rFonts w:ascii="Times New Roman" w:hAnsi="Times New Roman" w:cs="Times New Roman"/>
          <w:i/>
          <w:iCs/>
        </w:rPr>
        <w:t>Journal of Sustainable Development</w:t>
      </w:r>
      <w:r w:rsidRPr="00413BD1">
        <w:rPr>
          <w:rFonts w:ascii="Times New Roman" w:hAnsi="Times New Roman" w:cs="Times New Roman"/>
        </w:rPr>
        <w:t>, </w:t>
      </w:r>
      <w:r w:rsidRPr="00413BD1">
        <w:rPr>
          <w:rFonts w:ascii="Times New Roman" w:hAnsi="Times New Roman" w:cs="Times New Roman"/>
          <w:i/>
          <w:iCs/>
        </w:rPr>
        <w:t>11</w:t>
      </w:r>
      <w:r w:rsidRPr="00413BD1">
        <w:rPr>
          <w:rFonts w:ascii="Times New Roman" w:hAnsi="Times New Roman" w:cs="Times New Roman"/>
        </w:rPr>
        <w:t>(3).</w:t>
      </w:r>
    </w:p>
    <w:p w14:paraId="0D60536E" w14:textId="77777777"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Kurniati</w:t>
      </w:r>
      <w:proofErr w:type="spellEnd"/>
      <w:r w:rsidRPr="00413BD1">
        <w:rPr>
          <w:rFonts w:ascii="Times New Roman" w:hAnsi="Times New Roman" w:cs="Times New Roman"/>
        </w:rPr>
        <w:t xml:space="preserve">, A. C., Putri, W. E. C., Zamroni, A., Sagala, S. T., &amp; </w:t>
      </w:r>
      <w:proofErr w:type="spellStart"/>
      <w:r w:rsidRPr="00413BD1">
        <w:rPr>
          <w:rFonts w:ascii="Times New Roman" w:hAnsi="Times New Roman" w:cs="Times New Roman"/>
        </w:rPr>
        <w:t>Rachmawati</w:t>
      </w:r>
      <w:proofErr w:type="spellEnd"/>
      <w:r w:rsidRPr="00413BD1">
        <w:rPr>
          <w:rFonts w:ascii="Times New Roman" w:hAnsi="Times New Roman" w:cs="Times New Roman"/>
        </w:rPr>
        <w:t>, Y. (2023, June). How to educate children in the mining areas: A concept to implement environmental education for elementary students in Indonesia. In </w:t>
      </w:r>
      <w:r w:rsidRPr="00413BD1">
        <w:rPr>
          <w:rFonts w:ascii="Times New Roman" w:hAnsi="Times New Roman" w:cs="Times New Roman"/>
          <w:i/>
          <w:iCs/>
        </w:rPr>
        <w:t>AIP Conference Proceedings</w:t>
      </w:r>
      <w:r w:rsidRPr="00413BD1">
        <w:rPr>
          <w:rFonts w:ascii="Times New Roman" w:hAnsi="Times New Roman" w:cs="Times New Roman"/>
        </w:rPr>
        <w:t xml:space="preserve"> (Vol. 2598, No. 1). AIP Publishing. </w:t>
      </w:r>
      <w:hyperlink r:id="rId34" w:tgtFrame="_blank" w:history="1">
        <w:r w:rsidRPr="00413BD1">
          <w:rPr>
            <w:rStyle w:val="Hyperlink"/>
            <w:rFonts w:ascii="Times New Roman" w:hAnsi="Times New Roman" w:cs="Times New Roman"/>
            <w:color w:val="auto"/>
          </w:rPr>
          <w:t>https://doi.org/10.1063/5.0126124</w:t>
        </w:r>
      </w:hyperlink>
    </w:p>
    <w:p w14:paraId="436D6952"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 xml:space="preserve">Lee, V. V., van der Lubbe, S. C., Goh, L. H., &amp; Valderas, J. M. (2024). Harnessing ChatGPT for Thematic Analysis: Are We </w:t>
      </w:r>
      <w:proofErr w:type="gramStart"/>
      <w:r w:rsidRPr="00413BD1">
        <w:rPr>
          <w:rFonts w:ascii="Times New Roman" w:hAnsi="Times New Roman" w:cs="Times New Roman"/>
        </w:rPr>
        <w:t>Ready?.</w:t>
      </w:r>
      <w:proofErr w:type="gramEnd"/>
      <w:r w:rsidRPr="00413BD1">
        <w:rPr>
          <w:rFonts w:ascii="Times New Roman" w:hAnsi="Times New Roman" w:cs="Times New Roman"/>
        </w:rPr>
        <w:t> </w:t>
      </w:r>
      <w:r w:rsidRPr="00413BD1">
        <w:rPr>
          <w:rFonts w:ascii="Times New Roman" w:hAnsi="Times New Roman" w:cs="Times New Roman"/>
          <w:i/>
          <w:iCs/>
        </w:rPr>
        <w:t>Journal of Medical Internet Research</w:t>
      </w:r>
      <w:r w:rsidRPr="00413BD1">
        <w:rPr>
          <w:rFonts w:ascii="Times New Roman" w:hAnsi="Times New Roman" w:cs="Times New Roman"/>
        </w:rPr>
        <w:t>, </w:t>
      </w:r>
      <w:r w:rsidRPr="00413BD1">
        <w:rPr>
          <w:rFonts w:ascii="Times New Roman" w:hAnsi="Times New Roman" w:cs="Times New Roman"/>
          <w:i/>
          <w:iCs/>
        </w:rPr>
        <w:t>26</w:t>
      </w:r>
      <w:r w:rsidRPr="00413BD1">
        <w:rPr>
          <w:rFonts w:ascii="Times New Roman" w:hAnsi="Times New Roman" w:cs="Times New Roman"/>
        </w:rPr>
        <w:t xml:space="preserve">, e54974. </w:t>
      </w:r>
      <w:hyperlink r:id="rId35" w:tgtFrame="_blank" w:history="1">
        <w:r w:rsidRPr="00413BD1">
          <w:rPr>
            <w:rStyle w:val="Hyperlink"/>
            <w:rFonts w:ascii="Times New Roman" w:hAnsi="Times New Roman" w:cs="Times New Roman"/>
            <w:color w:val="auto"/>
          </w:rPr>
          <w:t>10.2196/54974</w:t>
        </w:r>
      </w:hyperlink>
    </w:p>
    <w:p w14:paraId="576E37C5"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Lele, S. (2017). Sustainable Development Goal 6: watering down justice concerns. </w:t>
      </w:r>
      <w:r w:rsidRPr="00413BD1">
        <w:rPr>
          <w:rFonts w:ascii="Times New Roman" w:hAnsi="Times New Roman" w:cs="Times New Roman"/>
          <w:i/>
          <w:iCs/>
        </w:rPr>
        <w:t>Wiley Interdisciplinary Reviews: Water</w:t>
      </w:r>
      <w:r w:rsidRPr="00413BD1">
        <w:rPr>
          <w:rFonts w:ascii="Times New Roman" w:hAnsi="Times New Roman" w:cs="Times New Roman"/>
        </w:rPr>
        <w:t>, </w:t>
      </w:r>
      <w:r w:rsidRPr="00413BD1">
        <w:rPr>
          <w:rFonts w:ascii="Times New Roman" w:hAnsi="Times New Roman" w:cs="Times New Roman"/>
          <w:i/>
          <w:iCs/>
        </w:rPr>
        <w:t>4</w:t>
      </w:r>
      <w:r w:rsidRPr="00413BD1">
        <w:rPr>
          <w:rFonts w:ascii="Times New Roman" w:hAnsi="Times New Roman" w:cs="Times New Roman"/>
        </w:rPr>
        <w:t xml:space="preserve">(4), e1224. </w:t>
      </w:r>
      <w:hyperlink r:id="rId36" w:history="1">
        <w:r w:rsidRPr="00413BD1">
          <w:rPr>
            <w:rStyle w:val="Hyperlink"/>
            <w:rFonts w:ascii="Times New Roman" w:hAnsi="Times New Roman" w:cs="Times New Roman"/>
            <w:color w:val="auto"/>
          </w:rPr>
          <w:t>https://doi.org/10.1002/wat2.1224</w:t>
        </w:r>
      </w:hyperlink>
    </w:p>
    <w:p w14:paraId="3A5E5742"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color w:val="000000" w:themeColor="text1"/>
        </w:rPr>
        <w:t xml:space="preserve">Liu, Y., Heinberg, M., Huang, X., &amp; Eisingerich, A. B. (2023). Building a competitive advantage based on transparency: when and why does transparency matter for corporate social </w:t>
      </w:r>
      <w:proofErr w:type="gramStart"/>
      <w:r w:rsidRPr="00413BD1">
        <w:rPr>
          <w:rFonts w:ascii="Times New Roman" w:hAnsi="Times New Roman" w:cs="Times New Roman"/>
          <w:color w:val="000000" w:themeColor="text1"/>
        </w:rPr>
        <w:t>responsibility?.</w:t>
      </w:r>
      <w:proofErr w:type="gramEnd"/>
      <w:r w:rsidRPr="00413BD1">
        <w:rPr>
          <w:rFonts w:ascii="Times New Roman" w:hAnsi="Times New Roman" w:cs="Times New Roman"/>
          <w:color w:val="000000" w:themeColor="text1"/>
        </w:rPr>
        <w:t xml:space="preserve"> Business horizons, 66(4), 517-527. </w:t>
      </w:r>
      <w:hyperlink r:id="rId37" w:history="1">
        <w:r w:rsidRPr="00413BD1">
          <w:rPr>
            <w:rStyle w:val="Hyperlink"/>
            <w:rFonts w:ascii="Times New Roman" w:hAnsi="Times New Roman" w:cs="Times New Roman"/>
            <w:color w:val="000000" w:themeColor="text1"/>
          </w:rPr>
          <w:t>https://doi.org/10.1016/j.bushor.2022.10.004</w:t>
        </w:r>
      </w:hyperlink>
      <w:r w:rsidRPr="00413BD1">
        <w:rPr>
          <w:rFonts w:ascii="Times New Roman" w:hAnsi="Times New Roman" w:cs="Times New Roman"/>
          <w:color w:val="000000" w:themeColor="text1"/>
        </w:rPr>
        <w:t xml:space="preserve"> </w:t>
      </w:r>
    </w:p>
    <w:p w14:paraId="50465EE2"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lastRenderedPageBreak/>
        <w:t xml:space="preserve">Lu, J., Liang, M., Zhang, C., Rong, D., Guan, H., </w:t>
      </w:r>
      <w:proofErr w:type="spellStart"/>
      <w:r w:rsidRPr="00413BD1">
        <w:rPr>
          <w:rFonts w:ascii="Times New Roman" w:hAnsi="Times New Roman" w:cs="Times New Roman"/>
        </w:rPr>
        <w:t>Mazeikaite</w:t>
      </w:r>
      <w:proofErr w:type="spellEnd"/>
      <w:r w:rsidRPr="00413BD1">
        <w:rPr>
          <w:rFonts w:ascii="Times New Roman" w:hAnsi="Times New Roman" w:cs="Times New Roman"/>
        </w:rPr>
        <w:t xml:space="preserve">, K., &amp; </w:t>
      </w:r>
      <w:proofErr w:type="spellStart"/>
      <w:r w:rsidRPr="00413BD1">
        <w:rPr>
          <w:rFonts w:ascii="Times New Roman" w:hAnsi="Times New Roman" w:cs="Times New Roman"/>
        </w:rPr>
        <w:t>Streimikis</w:t>
      </w:r>
      <w:proofErr w:type="spellEnd"/>
      <w:r w:rsidRPr="00413BD1">
        <w:rPr>
          <w:rFonts w:ascii="Times New Roman" w:hAnsi="Times New Roman" w:cs="Times New Roman"/>
        </w:rPr>
        <w:t>, J. (2021a). Assessment of corporate social responsibility by addressing sustainable development goals. </w:t>
      </w:r>
      <w:r w:rsidRPr="00413BD1">
        <w:rPr>
          <w:rFonts w:ascii="Times New Roman" w:hAnsi="Times New Roman" w:cs="Times New Roman"/>
          <w:i/>
          <w:iCs/>
        </w:rPr>
        <w:t>Corporate Social Responsibility and Environmental Management</w:t>
      </w:r>
      <w:r w:rsidRPr="00413BD1">
        <w:rPr>
          <w:rFonts w:ascii="Times New Roman" w:hAnsi="Times New Roman" w:cs="Times New Roman"/>
        </w:rPr>
        <w:t>, </w:t>
      </w:r>
      <w:r w:rsidRPr="00413BD1">
        <w:rPr>
          <w:rFonts w:ascii="Times New Roman" w:hAnsi="Times New Roman" w:cs="Times New Roman"/>
          <w:i/>
          <w:iCs/>
        </w:rPr>
        <w:t>28</w:t>
      </w:r>
      <w:r w:rsidRPr="00413BD1">
        <w:rPr>
          <w:rFonts w:ascii="Times New Roman" w:hAnsi="Times New Roman" w:cs="Times New Roman"/>
        </w:rPr>
        <w:t xml:space="preserve">(2), 686-703. </w:t>
      </w:r>
      <w:hyperlink r:id="rId38" w:history="1">
        <w:r w:rsidRPr="00413BD1">
          <w:rPr>
            <w:rStyle w:val="Hyperlink"/>
            <w:rFonts w:ascii="Times New Roman" w:hAnsi="Times New Roman" w:cs="Times New Roman"/>
            <w:color w:val="auto"/>
          </w:rPr>
          <w:t>https://doi.org/10.1002/csr.2081</w:t>
        </w:r>
      </w:hyperlink>
    </w:p>
    <w:p w14:paraId="36B2F120"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 xml:space="preserve">Lu, S., Jia, </w:t>
      </w:r>
      <w:r w:rsidRPr="00413BD1">
        <w:rPr>
          <w:rFonts w:ascii="Times New Roman" w:hAnsi="Times New Roman" w:cs="Times New Roman"/>
          <w:color w:val="000000" w:themeColor="text1"/>
        </w:rPr>
        <w:t>L., Jiang, Y., Wang, Z., Duan, H., Shen, M., ... &amp; Lu, J. (2021b). Progress and prospect on monitoring and evaluation of United Nations SDG 6 (Clean Water and Sanitation) Target. </w:t>
      </w:r>
      <w:r w:rsidRPr="00413BD1">
        <w:rPr>
          <w:rFonts w:ascii="Times New Roman" w:hAnsi="Times New Roman" w:cs="Times New Roman"/>
          <w:i/>
          <w:iCs/>
          <w:color w:val="000000" w:themeColor="text1"/>
        </w:rPr>
        <w:t>Bulletin of Chinese Academy of Sciences (Chinese Version)</w:t>
      </w:r>
      <w:r w:rsidRPr="00413BD1">
        <w:rPr>
          <w:rFonts w:ascii="Times New Roman" w:hAnsi="Times New Roman" w:cs="Times New Roman"/>
          <w:color w:val="000000" w:themeColor="text1"/>
        </w:rPr>
        <w:t>, </w:t>
      </w:r>
      <w:r w:rsidRPr="00413BD1">
        <w:rPr>
          <w:rFonts w:ascii="Times New Roman" w:hAnsi="Times New Roman" w:cs="Times New Roman"/>
          <w:i/>
          <w:iCs/>
          <w:color w:val="000000" w:themeColor="text1"/>
        </w:rPr>
        <w:t>36</w:t>
      </w:r>
      <w:r w:rsidRPr="00413BD1">
        <w:rPr>
          <w:rFonts w:ascii="Times New Roman" w:hAnsi="Times New Roman" w:cs="Times New Roman"/>
          <w:color w:val="000000" w:themeColor="text1"/>
        </w:rPr>
        <w:t xml:space="preserve">(8), 904-913. </w:t>
      </w:r>
      <w:hyperlink r:id="rId39" w:history="1">
        <w:r w:rsidRPr="00413BD1">
          <w:rPr>
            <w:rStyle w:val="Hyperlink"/>
            <w:rFonts w:ascii="Times New Roman" w:hAnsi="Times New Roman" w:cs="Times New Roman"/>
            <w:color w:val="000000" w:themeColor="text1"/>
          </w:rPr>
          <w:t>https://doi.org/10.16418/j.issn.1000-3045.20210705007</w:t>
        </w:r>
      </w:hyperlink>
      <w:r w:rsidRPr="00413BD1">
        <w:rPr>
          <w:rFonts w:ascii="Times New Roman" w:hAnsi="Times New Roman" w:cs="Times New Roman"/>
          <w:color w:val="000000" w:themeColor="text1"/>
        </w:rPr>
        <w:t xml:space="preserve"> </w:t>
      </w:r>
    </w:p>
    <w:p w14:paraId="09D9171E"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rPr>
        <w:t xml:space="preserve">Mackieson, P., Shlonsky, A., &amp; Connolly, M. (2019). Increasing rigor and reducing bias in qualitative research: A document analysis of parliamentary debates using applied </w:t>
      </w:r>
      <w:r w:rsidRPr="00413BD1">
        <w:rPr>
          <w:rFonts w:ascii="Times New Roman" w:hAnsi="Times New Roman" w:cs="Times New Roman"/>
          <w:color w:val="000000" w:themeColor="text1"/>
        </w:rPr>
        <w:t>thematic analysis. </w:t>
      </w:r>
      <w:r w:rsidRPr="00413BD1">
        <w:rPr>
          <w:rFonts w:ascii="Times New Roman" w:hAnsi="Times New Roman" w:cs="Times New Roman"/>
          <w:i/>
          <w:iCs/>
          <w:color w:val="000000" w:themeColor="text1"/>
        </w:rPr>
        <w:t>Qualitative social work</w:t>
      </w:r>
      <w:r w:rsidRPr="00413BD1">
        <w:rPr>
          <w:rFonts w:ascii="Times New Roman" w:hAnsi="Times New Roman" w:cs="Times New Roman"/>
          <w:color w:val="000000" w:themeColor="text1"/>
        </w:rPr>
        <w:t>, </w:t>
      </w:r>
      <w:r w:rsidRPr="00413BD1">
        <w:rPr>
          <w:rFonts w:ascii="Times New Roman" w:hAnsi="Times New Roman" w:cs="Times New Roman"/>
          <w:i/>
          <w:iCs/>
          <w:color w:val="000000" w:themeColor="text1"/>
        </w:rPr>
        <w:t>18</w:t>
      </w:r>
      <w:r w:rsidRPr="00413BD1">
        <w:rPr>
          <w:rFonts w:ascii="Times New Roman" w:hAnsi="Times New Roman" w:cs="Times New Roman"/>
          <w:color w:val="000000" w:themeColor="text1"/>
        </w:rPr>
        <w:t xml:space="preserve">(6), 965-980. </w:t>
      </w:r>
      <w:hyperlink r:id="rId40" w:history="1">
        <w:r w:rsidRPr="00413BD1">
          <w:rPr>
            <w:rStyle w:val="Hyperlink"/>
            <w:rFonts w:ascii="Times New Roman" w:hAnsi="Times New Roman" w:cs="Times New Roman"/>
            <w:color w:val="000000" w:themeColor="text1"/>
          </w:rPr>
          <w:t>https://doi.org/10.1177/1473325018786996</w:t>
        </w:r>
      </w:hyperlink>
      <w:r w:rsidRPr="00413BD1">
        <w:rPr>
          <w:rFonts w:ascii="Times New Roman" w:hAnsi="Times New Roman" w:cs="Times New Roman"/>
          <w:color w:val="000000" w:themeColor="text1"/>
        </w:rPr>
        <w:t xml:space="preserve"> </w:t>
      </w:r>
    </w:p>
    <w:p w14:paraId="6858A01B"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color w:val="000000" w:themeColor="text1"/>
        </w:rPr>
        <w:t xml:space="preserve">Michelon, G., </w:t>
      </w:r>
      <w:proofErr w:type="spellStart"/>
      <w:r w:rsidRPr="00413BD1">
        <w:rPr>
          <w:rFonts w:ascii="Times New Roman" w:hAnsi="Times New Roman" w:cs="Times New Roman"/>
          <w:color w:val="000000" w:themeColor="text1"/>
        </w:rPr>
        <w:t>Pilonato</w:t>
      </w:r>
      <w:proofErr w:type="spellEnd"/>
      <w:r w:rsidRPr="00413BD1">
        <w:rPr>
          <w:rFonts w:ascii="Times New Roman" w:hAnsi="Times New Roman" w:cs="Times New Roman"/>
          <w:color w:val="000000" w:themeColor="text1"/>
        </w:rPr>
        <w:t xml:space="preserve">, S., &amp; </w:t>
      </w:r>
      <w:proofErr w:type="spellStart"/>
      <w:r w:rsidRPr="00413BD1">
        <w:rPr>
          <w:rFonts w:ascii="Times New Roman" w:hAnsi="Times New Roman" w:cs="Times New Roman"/>
          <w:color w:val="000000" w:themeColor="text1"/>
        </w:rPr>
        <w:t>Ricceri</w:t>
      </w:r>
      <w:proofErr w:type="spellEnd"/>
      <w:r w:rsidRPr="00413BD1">
        <w:rPr>
          <w:rFonts w:ascii="Times New Roman" w:hAnsi="Times New Roman" w:cs="Times New Roman"/>
          <w:color w:val="000000" w:themeColor="text1"/>
        </w:rPr>
        <w:t xml:space="preserve">, F. (2015). CSR reporting practices and the quality of disclosure: An empirical analysis. Critical perspectives on accounting, 33, 59-78. </w:t>
      </w:r>
      <w:hyperlink r:id="rId41" w:history="1">
        <w:r w:rsidRPr="00413BD1">
          <w:rPr>
            <w:rStyle w:val="Hyperlink"/>
            <w:rFonts w:ascii="Times New Roman" w:hAnsi="Times New Roman" w:cs="Times New Roman"/>
            <w:color w:val="000000" w:themeColor="text1"/>
          </w:rPr>
          <w:t>https://doi.org/10.1016/j.cpa.2014.10.003</w:t>
        </w:r>
      </w:hyperlink>
      <w:r w:rsidRPr="00413BD1">
        <w:rPr>
          <w:rFonts w:ascii="Times New Roman" w:hAnsi="Times New Roman" w:cs="Times New Roman"/>
          <w:color w:val="000000" w:themeColor="text1"/>
        </w:rPr>
        <w:t xml:space="preserve"> </w:t>
      </w:r>
    </w:p>
    <w:p w14:paraId="2B030D38"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proofErr w:type="spellStart"/>
      <w:r w:rsidRPr="00413BD1">
        <w:rPr>
          <w:rFonts w:ascii="Times New Roman" w:hAnsi="Times New Roman" w:cs="Times New Roman"/>
          <w:color w:val="000000" w:themeColor="text1"/>
        </w:rPr>
        <w:t>Moratis</w:t>
      </w:r>
      <w:proofErr w:type="spellEnd"/>
      <w:r w:rsidRPr="00413BD1">
        <w:rPr>
          <w:rFonts w:ascii="Times New Roman" w:hAnsi="Times New Roman" w:cs="Times New Roman"/>
          <w:color w:val="000000" w:themeColor="text1"/>
        </w:rPr>
        <w:t xml:space="preserve">, L. (2015). The credibility of corporate CSR claims: a taxonomy based on ISO 26000 and a research agenda. Total Quality Management &amp; Business Excellence, 28(1–2), 147–158. </w:t>
      </w:r>
      <w:hyperlink r:id="rId42" w:history="1">
        <w:r w:rsidRPr="00413BD1">
          <w:rPr>
            <w:rStyle w:val="Hyperlink"/>
            <w:rFonts w:ascii="Times New Roman" w:hAnsi="Times New Roman" w:cs="Times New Roman"/>
            <w:color w:val="000000" w:themeColor="text1"/>
          </w:rPr>
          <w:t>https://doi.org/10.1080/14783363.2015.1050179</w:t>
        </w:r>
      </w:hyperlink>
      <w:r w:rsidRPr="00413BD1">
        <w:rPr>
          <w:rFonts w:ascii="Times New Roman" w:hAnsi="Times New Roman" w:cs="Times New Roman"/>
          <w:color w:val="000000" w:themeColor="text1"/>
        </w:rPr>
        <w:t xml:space="preserve"> </w:t>
      </w:r>
    </w:p>
    <w:p w14:paraId="2F1ED5EA"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shd w:val="clear" w:color="auto" w:fill="FFFFFF"/>
        </w:rPr>
      </w:pPr>
      <w:r w:rsidRPr="00413BD1">
        <w:rPr>
          <w:rFonts w:ascii="Times New Roman" w:hAnsi="Times New Roman" w:cs="Times New Roman"/>
          <w:shd w:val="clear" w:color="auto" w:fill="FFFFFF"/>
        </w:rPr>
        <w:t xml:space="preserve">Neethling, E., Petitjean, T., </w:t>
      </w:r>
      <w:proofErr w:type="spellStart"/>
      <w:r w:rsidRPr="00413BD1">
        <w:rPr>
          <w:rFonts w:ascii="Times New Roman" w:hAnsi="Times New Roman" w:cs="Times New Roman"/>
          <w:shd w:val="clear" w:color="auto" w:fill="FFFFFF"/>
        </w:rPr>
        <w:t>Quénol</w:t>
      </w:r>
      <w:proofErr w:type="spellEnd"/>
      <w:r w:rsidRPr="00413BD1">
        <w:rPr>
          <w:rFonts w:ascii="Times New Roman" w:hAnsi="Times New Roman" w:cs="Times New Roman"/>
          <w:shd w:val="clear" w:color="auto" w:fill="FFFFFF"/>
        </w:rPr>
        <w:t>, H., &amp; Barbeau, G. (2017). Assessing local climate vulnerability and winegrowers’ adaptive processes in the context of climate change. </w:t>
      </w:r>
      <w:r w:rsidRPr="00413BD1">
        <w:rPr>
          <w:rFonts w:ascii="Times New Roman" w:hAnsi="Times New Roman" w:cs="Times New Roman"/>
          <w:i/>
          <w:iCs/>
          <w:shd w:val="clear" w:color="auto" w:fill="FFFFFF"/>
        </w:rPr>
        <w:t>Mitigation and Adaptation Strategies for Global Change</w:t>
      </w:r>
      <w:r w:rsidRPr="00413BD1">
        <w:rPr>
          <w:rFonts w:ascii="Times New Roman" w:hAnsi="Times New Roman" w:cs="Times New Roman"/>
          <w:shd w:val="clear" w:color="auto" w:fill="FFFFFF"/>
        </w:rPr>
        <w:t>, </w:t>
      </w:r>
      <w:r w:rsidRPr="00413BD1">
        <w:rPr>
          <w:rFonts w:ascii="Times New Roman" w:hAnsi="Times New Roman" w:cs="Times New Roman"/>
          <w:i/>
          <w:iCs/>
          <w:shd w:val="clear" w:color="auto" w:fill="FFFFFF"/>
        </w:rPr>
        <w:t>22</w:t>
      </w:r>
      <w:r w:rsidRPr="00413BD1">
        <w:rPr>
          <w:rFonts w:ascii="Times New Roman" w:hAnsi="Times New Roman" w:cs="Times New Roman"/>
          <w:shd w:val="clear" w:color="auto" w:fill="FFFFFF"/>
        </w:rPr>
        <w:t>, 777-803.</w:t>
      </w:r>
      <w:r w:rsidRPr="00413BD1">
        <w:rPr>
          <w:rFonts w:ascii="Times New Roman" w:hAnsi="Times New Roman" w:cs="Times New Roman"/>
        </w:rPr>
        <w:t xml:space="preserve"> </w:t>
      </w:r>
      <w:hyperlink r:id="rId43" w:history="1">
        <w:r w:rsidRPr="00413BD1">
          <w:rPr>
            <w:rStyle w:val="Hyperlink"/>
            <w:rFonts w:ascii="Times New Roman" w:hAnsi="Times New Roman" w:cs="Times New Roman"/>
            <w:color w:val="000000" w:themeColor="text1"/>
            <w:shd w:val="clear" w:color="auto" w:fill="FFFFFF"/>
          </w:rPr>
          <w:t>https://doi.org/10.1007/s11027-015-9698-0</w:t>
        </w:r>
      </w:hyperlink>
      <w:r w:rsidRPr="00413BD1">
        <w:rPr>
          <w:rFonts w:ascii="Times New Roman" w:hAnsi="Times New Roman" w:cs="Times New Roman"/>
          <w:color w:val="000000" w:themeColor="text1"/>
          <w:shd w:val="clear" w:color="auto" w:fill="FFFFFF"/>
        </w:rPr>
        <w:t xml:space="preserve">  </w:t>
      </w:r>
    </w:p>
    <w:p w14:paraId="4D01512B"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shd w:val="clear" w:color="auto" w:fill="FFFFFF"/>
        </w:rPr>
      </w:pPr>
      <w:r w:rsidRPr="00413BD1">
        <w:rPr>
          <w:rFonts w:ascii="Times New Roman" w:hAnsi="Times New Roman" w:cs="Times New Roman"/>
          <w:color w:val="000000" w:themeColor="text1"/>
          <w:shd w:val="clear" w:color="auto" w:fill="FFFFFF"/>
        </w:rPr>
        <w:t>Nolos, R. C., Sevilla-</w:t>
      </w:r>
      <w:proofErr w:type="spellStart"/>
      <w:r w:rsidRPr="00413BD1">
        <w:rPr>
          <w:rFonts w:ascii="Times New Roman" w:hAnsi="Times New Roman" w:cs="Times New Roman"/>
          <w:color w:val="000000" w:themeColor="text1"/>
          <w:shd w:val="clear" w:color="auto" w:fill="FFFFFF"/>
        </w:rPr>
        <w:t>Nastor</w:t>
      </w:r>
      <w:proofErr w:type="spellEnd"/>
      <w:r w:rsidRPr="00413BD1">
        <w:rPr>
          <w:rFonts w:ascii="Times New Roman" w:hAnsi="Times New Roman" w:cs="Times New Roman"/>
          <w:color w:val="000000" w:themeColor="text1"/>
          <w:shd w:val="clear" w:color="auto" w:fill="FFFFFF"/>
        </w:rPr>
        <w:t>, J. B., Villanueva-</w:t>
      </w:r>
      <w:proofErr w:type="spellStart"/>
      <w:r w:rsidRPr="00413BD1">
        <w:rPr>
          <w:rFonts w:ascii="Times New Roman" w:hAnsi="Times New Roman" w:cs="Times New Roman"/>
          <w:color w:val="000000" w:themeColor="text1"/>
          <w:shd w:val="clear" w:color="auto" w:fill="FFFFFF"/>
        </w:rPr>
        <w:t>Peyraube</w:t>
      </w:r>
      <w:proofErr w:type="spellEnd"/>
      <w:r w:rsidRPr="00413BD1">
        <w:rPr>
          <w:rFonts w:ascii="Times New Roman" w:hAnsi="Times New Roman" w:cs="Times New Roman"/>
          <w:color w:val="000000" w:themeColor="text1"/>
          <w:shd w:val="clear" w:color="auto" w:fill="FFFFFF"/>
        </w:rPr>
        <w:t xml:space="preserve">, J. D., &amp; </w:t>
      </w:r>
      <w:proofErr w:type="spellStart"/>
      <w:r w:rsidRPr="00413BD1">
        <w:rPr>
          <w:rFonts w:ascii="Times New Roman" w:hAnsi="Times New Roman" w:cs="Times New Roman"/>
          <w:color w:val="000000" w:themeColor="text1"/>
          <w:shd w:val="clear" w:color="auto" w:fill="FFFFFF"/>
        </w:rPr>
        <w:t>Sobremisana</w:t>
      </w:r>
      <w:proofErr w:type="spellEnd"/>
      <w:r w:rsidRPr="00413BD1">
        <w:rPr>
          <w:rFonts w:ascii="Times New Roman" w:hAnsi="Times New Roman" w:cs="Times New Roman"/>
          <w:color w:val="000000" w:themeColor="text1"/>
          <w:shd w:val="clear" w:color="auto" w:fill="FFFFFF"/>
        </w:rPr>
        <w:t xml:space="preserve">, M. J. (2024). Understanding the knowledge of </w:t>
      </w:r>
      <w:proofErr w:type="spellStart"/>
      <w:r w:rsidRPr="00413BD1">
        <w:rPr>
          <w:rFonts w:ascii="Times New Roman" w:hAnsi="Times New Roman" w:cs="Times New Roman"/>
          <w:color w:val="000000" w:themeColor="text1"/>
          <w:shd w:val="clear" w:color="auto" w:fill="FFFFFF"/>
        </w:rPr>
        <w:t>Mogpog</w:t>
      </w:r>
      <w:proofErr w:type="spellEnd"/>
      <w:r w:rsidRPr="00413BD1">
        <w:rPr>
          <w:rFonts w:ascii="Times New Roman" w:hAnsi="Times New Roman" w:cs="Times New Roman"/>
          <w:color w:val="000000" w:themeColor="text1"/>
          <w:shd w:val="clear" w:color="auto" w:fill="FFFFFF"/>
        </w:rPr>
        <w:t xml:space="preserve"> residents about heavy metal pollution due to mining and its associated health risk. Journal of Degraded &amp; Mining Lands Management, 11(4). </w:t>
      </w:r>
      <w:hyperlink r:id="rId44" w:history="1">
        <w:r w:rsidRPr="00413BD1">
          <w:rPr>
            <w:rStyle w:val="Hyperlink"/>
            <w:rFonts w:ascii="Times New Roman" w:hAnsi="Times New Roman" w:cs="Times New Roman"/>
            <w:color w:val="000000" w:themeColor="text1"/>
            <w:shd w:val="clear" w:color="auto" w:fill="FFFFFF"/>
          </w:rPr>
          <w:t>http://dx.doi.org/10.15243/jdmlm.2024.114.6453</w:t>
        </w:r>
      </w:hyperlink>
      <w:r w:rsidRPr="00413BD1">
        <w:rPr>
          <w:rFonts w:ascii="Times New Roman" w:hAnsi="Times New Roman" w:cs="Times New Roman"/>
          <w:color w:val="000000" w:themeColor="text1"/>
          <w:shd w:val="clear" w:color="auto" w:fill="FFFFFF"/>
        </w:rPr>
        <w:t xml:space="preserve"> </w:t>
      </w:r>
    </w:p>
    <w:p w14:paraId="4693AC52"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shd w:val="clear" w:color="auto" w:fill="FFFFFF"/>
        </w:rPr>
      </w:pPr>
      <w:r w:rsidRPr="00413BD1">
        <w:rPr>
          <w:rFonts w:ascii="Times New Roman" w:hAnsi="Times New Roman" w:cs="Times New Roman"/>
          <w:color w:val="000000" w:themeColor="text1"/>
          <w:shd w:val="clear" w:color="auto" w:fill="FFFFFF"/>
        </w:rPr>
        <w:lastRenderedPageBreak/>
        <w:t>Nolos, R. C., Zamroni, A., &amp; Evina, K. F. P. (2023). Drivers of deforestation and forest degradation in Palawan, Philippines: an analysis using social-ecological systems (SES) and institutional analysis and development (IAD) approaches. </w:t>
      </w:r>
      <w:r w:rsidRPr="00413BD1">
        <w:rPr>
          <w:rFonts w:ascii="Times New Roman" w:hAnsi="Times New Roman" w:cs="Times New Roman"/>
          <w:i/>
          <w:iCs/>
          <w:color w:val="000000" w:themeColor="text1"/>
          <w:shd w:val="clear" w:color="auto" w:fill="FFFFFF"/>
        </w:rPr>
        <w:t>Geography, Environment, Sustainability</w:t>
      </w:r>
      <w:r w:rsidRPr="00413BD1">
        <w:rPr>
          <w:rFonts w:ascii="Times New Roman" w:hAnsi="Times New Roman" w:cs="Times New Roman"/>
          <w:color w:val="000000" w:themeColor="text1"/>
          <w:shd w:val="clear" w:color="auto" w:fill="FFFFFF"/>
        </w:rPr>
        <w:t>, </w:t>
      </w:r>
      <w:r w:rsidRPr="00413BD1">
        <w:rPr>
          <w:rFonts w:ascii="Times New Roman" w:hAnsi="Times New Roman" w:cs="Times New Roman"/>
          <w:i/>
          <w:iCs/>
          <w:color w:val="000000" w:themeColor="text1"/>
          <w:shd w:val="clear" w:color="auto" w:fill="FFFFFF"/>
        </w:rPr>
        <w:t>15</w:t>
      </w:r>
      <w:r w:rsidRPr="00413BD1">
        <w:rPr>
          <w:rFonts w:ascii="Times New Roman" w:hAnsi="Times New Roman" w:cs="Times New Roman"/>
          <w:color w:val="000000" w:themeColor="text1"/>
          <w:shd w:val="clear" w:color="auto" w:fill="FFFFFF"/>
        </w:rPr>
        <w:t>(4), 44-56.</w:t>
      </w:r>
      <w:r w:rsidRPr="00413BD1">
        <w:rPr>
          <w:rFonts w:ascii="Times New Roman" w:hAnsi="Times New Roman" w:cs="Times New Roman"/>
          <w:color w:val="000000" w:themeColor="text1"/>
        </w:rPr>
        <w:t xml:space="preserve"> </w:t>
      </w:r>
      <w:hyperlink r:id="rId45" w:history="1">
        <w:r w:rsidRPr="00413BD1">
          <w:rPr>
            <w:rStyle w:val="Hyperlink"/>
            <w:rFonts w:ascii="Times New Roman" w:hAnsi="Times New Roman" w:cs="Times New Roman"/>
            <w:color w:val="000000" w:themeColor="text1"/>
            <w:shd w:val="clear" w:color="auto" w:fill="FFFFFF"/>
          </w:rPr>
          <w:t>https://doi.org/10.24057/2071-9388-2022-081</w:t>
        </w:r>
      </w:hyperlink>
      <w:r w:rsidRPr="00413BD1">
        <w:rPr>
          <w:rFonts w:ascii="Times New Roman" w:hAnsi="Times New Roman" w:cs="Times New Roman"/>
          <w:color w:val="000000" w:themeColor="text1"/>
          <w:shd w:val="clear" w:color="auto" w:fill="FFFFFF"/>
        </w:rPr>
        <w:t xml:space="preserve"> </w:t>
      </w:r>
    </w:p>
    <w:p w14:paraId="2A46AD7E"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 xml:space="preserve">Nosirov, I., </w:t>
      </w:r>
      <w:proofErr w:type="spellStart"/>
      <w:r w:rsidRPr="00413BD1">
        <w:rPr>
          <w:rFonts w:ascii="Times New Roman" w:hAnsi="Times New Roman" w:cs="Times New Roman"/>
        </w:rPr>
        <w:t>Yormatov</w:t>
      </w:r>
      <w:proofErr w:type="spellEnd"/>
      <w:r w:rsidRPr="00413BD1">
        <w:rPr>
          <w:rFonts w:ascii="Times New Roman" w:hAnsi="Times New Roman" w:cs="Times New Roman"/>
        </w:rPr>
        <w:t xml:space="preserve">, I., </w:t>
      </w:r>
      <w:proofErr w:type="spellStart"/>
      <w:r w:rsidRPr="00413BD1">
        <w:rPr>
          <w:rFonts w:ascii="Times New Roman" w:hAnsi="Times New Roman" w:cs="Times New Roman"/>
        </w:rPr>
        <w:t>Yuldasheva</w:t>
      </w:r>
      <w:proofErr w:type="spellEnd"/>
      <w:r w:rsidRPr="00413BD1">
        <w:rPr>
          <w:rFonts w:ascii="Times New Roman" w:hAnsi="Times New Roman" w:cs="Times New Roman"/>
        </w:rPr>
        <w:t xml:space="preserve">, N., &amp; </w:t>
      </w:r>
      <w:proofErr w:type="spellStart"/>
      <w:r w:rsidRPr="00413BD1">
        <w:rPr>
          <w:rFonts w:ascii="Times New Roman" w:hAnsi="Times New Roman" w:cs="Times New Roman"/>
        </w:rPr>
        <w:t>Avulchayeva</w:t>
      </w:r>
      <w:proofErr w:type="spellEnd"/>
      <w:r w:rsidRPr="00413BD1">
        <w:rPr>
          <w:rFonts w:ascii="Times New Roman" w:hAnsi="Times New Roman" w:cs="Times New Roman"/>
        </w:rPr>
        <w:t>, F. (2024, April). AI and Corporate Sustainability: Exploring the Environmental and Social Impacts of AI Integration. In </w:t>
      </w:r>
      <w:r w:rsidRPr="00413BD1">
        <w:rPr>
          <w:rFonts w:ascii="Times New Roman" w:hAnsi="Times New Roman" w:cs="Times New Roman"/>
          <w:i/>
          <w:iCs/>
        </w:rPr>
        <w:t>2024 International Conference on Knowledge Engineering and Communication Systems (ICKECS)</w:t>
      </w:r>
      <w:r w:rsidRPr="00413BD1">
        <w:rPr>
          <w:rFonts w:ascii="Times New Roman" w:hAnsi="Times New Roman" w:cs="Times New Roman"/>
        </w:rPr>
        <w:t> (Vol. 1, pp. 1-7). IEEE.</w:t>
      </w:r>
    </w:p>
    <w:p w14:paraId="747A7D3B"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proofErr w:type="spellStart"/>
      <w:r w:rsidRPr="00413BD1">
        <w:rPr>
          <w:rFonts w:ascii="Times New Roman" w:hAnsi="Times New Roman" w:cs="Times New Roman"/>
        </w:rPr>
        <w:t>Nuswantara</w:t>
      </w:r>
      <w:proofErr w:type="spellEnd"/>
      <w:r w:rsidRPr="00413BD1">
        <w:rPr>
          <w:rFonts w:ascii="Times New Roman" w:hAnsi="Times New Roman" w:cs="Times New Roman"/>
        </w:rPr>
        <w:t xml:space="preserve">, D. A., &amp; </w:t>
      </w:r>
      <w:proofErr w:type="spellStart"/>
      <w:r w:rsidRPr="00413BD1">
        <w:rPr>
          <w:rFonts w:ascii="Times New Roman" w:hAnsi="Times New Roman" w:cs="Times New Roman"/>
        </w:rPr>
        <w:t>Pramesti</w:t>
      </w:r>
      <w:proofErr w:type="spellEnd"/>
      <w:r w:rsidRPr="00413BD1">
        <w:rPr>
          <w:rFonts w:ascii="Times New Roman" w:hAnsi="Times New Roman" w:cs="Times New Roman"/>
        </w:rPr>
        <w:t xml:space="preserve">, D. A. (2020). Corporate social responsibility regulation in the Indonesian </w:t>
      </w:r>
      <w:r w:rsidRPr="00413BD1">
        <w:rPr>
          <w:rFonts w:ascii="Times New Roman" w:hAnsi="Times New Roman" w:cs="Times New Roman"/>
          <w:color w:val="000000" w:themeColor="text1"/>
        </w:rPr>
        <w:t>mining companies. </w:t>
      </w:r>
      <w:r w:rsidRPr="00413BD1">
        <w:rPr>
          <w:rFonts w:ascii="Times New Roman" w:hAnsi="Times New Roman" w:cs="Times New Roman"/>
          <w:i/>
          <w:iCs/>
          <w:color w:val="000000" w:themeColor="text1"/>
        </w:rPr>
        <w:t>The Journal of Asian Finance, Economics and Business</w:t>
      </w:r>
      <w:r w:rsidRPr="00413BD1">
        <w:rPr>
          <w:rFonts w:ascii="Times New Roman" w:hAnsi="Times New Roman" w:cs="Times New Roman"/>
          <w:color w:val="000000" w:themeColor="text1"/>
        </w:rPr>
        <w:t>, </w:t>
      </w:r>
      <w:r w:rsidRPr="00413BD1">
        <w:rPr>
          <w:rFonts w:ascii="Times New Roman" w:hAnsi="Times New Roman" w:cs="Times New Roman"/>
          <w:i/>
          <w:iCs/>
          <w:color w:val="000000" w:themeColor="text1"/>
        </w:rPr>
        <w:t>7</w:t>
      </w:r>
      <w:r w:rsidRPr="00413BD1">
        <w:rPr>
          <w:rFonts w:ascii="Times New Roman" w:hAnsi="Times New Roman" w:cs="Times New Roman"/>
          <w:color w:val="000000" w:themeColor="text1"/>
        </w:rPr>
        <w:t xml:space="preserve">(10), 161-169. </w:t>
      </w:r>
      <w:hyperlink r:id="rId46" w:history="1">
        <w:r w:rsidRPr="00413BD1">
          <w:rPr>
            <w:rStyle w:val="Hyperlink"/>
            <w:rFonts w:ascii="Times New Roman" w:hAnsi="Times New Roman" w:cs="Times New Roman"/>
            <w:color w:val="000000" w:themeColor="text1"/>
          </w:rPr>
          <w:t>https://doi.org/10.13106/jafeb.2020.vol7.no10.161</w:t>
        </w:r>
      </w:hyperlink>
      <w:r w:rsidRPr="00413BD1">
        <w:rPr>
          <w:rFonts w:ascii="Times New Roman" w:hAnsi="Times New Roman" w:cs="Times New Roman"/>
          <w:color w:val="000000" w:themeColor="text1"/>
        </w:rPr>
        <w:t xml:space="preserve"> </w:t>
      </w:r>
    </w:p>
    <w:p w14:paraId="1A23450F"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proofErr w:type="spellStart"/>
      <w:r w:rsidRPr="00413BD1">
        <w:rPr>
          <w:rFonts w:ascii="Times New Roman" w:hAnsi="Times New Roman" w:cs="Times New Roman"/>
          <w:color w:val="000000" w:themeColor="text1"/>
        </w:rPr>
        <w:t>Nyakuwanika</w:t>
      </w:r>
      <w:proofErr w:type="spellEnd"/>
      <w:r w:rsidRPr="00413BD1">
        <w:rPr>
          <w:rFonts w:ascii="Times New Roman" w:hAnsi="Times New Roman" w:cs="Times New Roman"/>
          <w:color w:val="000000" w:themeColor="text1"/>
        </w:rPr>
        <w:t xml:space="preserve">, M., Van Der Poll, H. M., &amp; Van Der Poll, J. A. (2023). Validating An Environmental Management Accounting Practices Framework </w:t>
      </w:r>
      <w:proofErr w:type="gramStart"/>
      <w:r w:rsidRPr="00413BD1">
        <w:rPr>
          <w:rFonts w:ascii="Times New Roman" w:hAnsi="Times New Roman" w:cs="Times New Roman"/>
          <w:color w:val="000000" w:themeColor="text1"/>
        </w:rPr>
        <w:t>For</w:t>
      </w:r>
      <w:proofErr w:type="gramEnd"/>
      <w:r w:rsidRPr="00413BD1">
        <w:rPr>
          <w:rFonts w:ascii="Times New Roman" w:hAnsi="Times New Roman" w:cs="Times New Roman"/>
          <w:color w:val="000000" w:themeColor="text1"/>
        </w:rPr>
        <w:t xml:space="preserve"> </w:t>
      </w:r>
      <w:proofErr w:type="gramStart"/>
      <w:r w:rsidRPr="00413BD1">
        <w:rPr>
          <w:rFonts w:ascii="Times New Roman" w:hAnsi="Times New Roman" w:cs="Times New Roman"/>
          <w:color w:val="000000" w:themeColor="text1"/>
        </w:rPr>
        <w:t>The</w:t>
      </w:r>
      <w:proofErr w:type="gramEnd"/>
      <w:r w:rsidRPr="00413BD1">
        <w:rPr>
          <w:rFonts w:ascii="Times New Roman" w:hAnsi="Times New Roman" w:cs="Times New Roman"/>
          <w:color w:val="000000" w:themeColor="text1"/>
        </w:rPr>
        <w:t xml:space="preserve"> Greening </w:t>
      </w:r>
      <w:proofErr w:type="gramStart"/>
      <w:r w:rsidRPr="00413BD1">
        <w:rPr>
          <w:rFonts w:ascii="Times New Roman" w:hAnsi="Times New Roman" w:cs="Times New Roman"/>
          <w:color w:val="000000" w:themeColor="text1"/>
        </w:rPr>
        <w:t>Of</w:t>
      </w:r>
      <w:proofErr w:type="gramEnd"/>
      <w:r w:rsidRPr="00413BD1">
        <w:rPr>
          <w:rFonts w:ascii="Times New Roman" w:hAnsi="Times New Roman" w:cs="Times New Roman"/>
          <w:color w:val="000000" w:themeColor="text1"/>
        </w:rPr>
        <w:t xml:space="preserve"> Zimbabwean Goldmining. </w:t>
      </w:r>
      <w:r w:rsidRPr="00413BD1">
        <w:rPr>
          <w:rFonts w:ascii="Times New Roman" w:hAnsi="Times New Roman" w:cs="Times New Roman"/>
          <w:i/>
          <w:iCs/>
          <w:color w:val="000000" w:themeColor="text1"/>
        </w:rPr>
        <w:t>Journal of Sustainability Science and Management</w:t>
      </w:r>
      <w:r w:rsidRPr="00413BD1">
        <w:rPr>
          <w:rFonts w:ascii="Times New Roman" w:hAnsi="Times New Roman" w:cs="Times New Roman"/>
          <w:color w:val="000000" w:themeColor="text1"/>
        </w:rPr>
        <w:t>, </w:t>
      </w:r>
      <w:r w:rsidRPr="00413BD1">
        <w:rPr>
          <w:rFonts w:ascii="Times New Roman" w:hAnsi="Times New Roman" w:cs="Times New Roman"/>
          <w:i/>
          <w:iCs/>
          <w:color w:val="000000" w:themeColor="text1"/>
        </w:rPr>
        <w:t>18</w:t>
      </w:r>
      <w:r w:rsidRPr="00413BD1">
        <w:rPr>
          <w:rFonts w:ascii="Times New Roman" w:hAnsi="Times New Roman" w:cs="Times New Roman"/>
          <w:color w:val="000000" w:themeColor="text1"/>
        </w:rPr>
        <w:t xml:space="preserve">(10), 98-125. </w:t>
      </w:r>
      <w:hyperlink r:id="rId47" w:history="1">
        <w:r w:rsidRPr="00413BD1">
          <w:rPr>
            <w:rStyle w:val="Hyperlink"/>
            <w:rFonts w:ascii="Times New Roman" w:hAnsi="Times New Roman" w:cs="Times New Roman"/>
            <w:color w:val="000000" w:themeColor="text1"/>
          </w:rPr>
          <w:t>http://doi.org/10.46754/jssm.2023.10.007</w:t>
        </w:r>
      </w:hyperlink>
      <w:r w:rsidRPr="00413BD1">
        <w:rPr>
          <w:rFonts w:ascii="Times New Roman" w:hAnsi="Times New Roman" w:cs="Times New Roman"/>
          <w:color w:val="000000" w:themeColor="text1"/>
        </w:rPr>
        <w:t xml:space="preserve"> </w:t>
      </w:r>
    </w:p>
    <w:p w14:paraId="561D1768"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proofErr w:type="spellStart"/>
      <w:r w:rsidRPr="00413BD1">
        <w:rPr>
          <w:rFonts w:ascii="Times New Roman" w:hAnsi="Times New Roman" w:cs="Times New Roman"/>
          <w:color w:val="000000" w:themeColor="text1"/>
        </w:rPr>
        <w:t>Pfajfar</w:t>
      </w:r>
      <w:proofErr w:type="spellEnd"/>
      <w:r w:rsidRPr="00413BD1">
        <w:rPr>
          <w:rFonts w:ascii="Times New Roman" w:hAnsi="Times New Roman" w:cs="Times New Roman"/>
          <w:color w:val="000000" w:themeColor="text1"/>
        </w:rPr>
        <w:t xml:space="preserve">, G., Shoham, A., </w:t>
      </w:r>
      <w:proofErr w:type="spellStart"/>
      <w:r w:rsidRPr="00413BD1">
        <w:rPr>
          <w:rFonts w:ascii="Times New Roman" w:hAnsi="Times New Roman" w:cs="Times New Roman"/>
          <w:color w:val="000000" w:themeColor="text1"/>
        </w:rPr>
        <w:t>Małecka</w:t>
      </w:r>
      <w:proofErr w:type="spellEnd"/>
      <w:r w:rsidRPr="00413BD1">
        <w:rPr>
          <w:rFonts w:ascii="Times New Roman" w:hAnsi="Times New Roman" w:cs="Times New Roman"/>
          <w:color w:val="000000" w:themeColor="text1"/>
        </w:rPr>
        <w:t xml:space="preserve">, A., &amp; Zalaznik, M. (2022). Value of corporate social responsibility for multiple stakeholders and social impact–Relationship marketing perspective. Journal of business research, 143, 46-61. </w:t>
      </w:r>
      <w:hyperlink r:id="rId48" w:history="1">
        <w:r w:rsidRPr="00413BD1">
          <w:rPr>
            <w:rStyle w:val="Hyperlink"/>
            <w:rFonts w:ascii="Times New Roman" w:hAnsi="Times New Roman" w:cs="Times New Roman"/>
            <w:color w:val="000000" w:themeColor="text1"/>
          </w:rPr>
          <w:t>https://doi.org/10.1016/j.jbusres.2022.01.051</w:t>
        </w:r>
      </w:hyperlink>
      <w:r w:rsidRPr="00413BD1">
        <w:rPr>
          <w:rFonts w:ascii="Times New Roman" w:hAnsi="Times New Roman" w:cs="Times New Roman"/>
          <w:color w:val="000000" w:themeColor="text1"/>
        </w:rPr>
        <w:t xml:space="preserve"> </w:t>
      </w:r>
    </w:p>
    <w:p w14:paraId="3517CB25"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color w:val="000000" w:themeColor="text1"/>
        </w:rPr>
        <w:t>Poplawska, J. (2014). </w:t>
      </w:r>
      <w:r w:rsidRPr="00413BD1">
        <w:rPr>
          <w:rFonts w:ascii="Times New Roman" w:hAnsi="Times New Roman" w:cs="Times New Roman"/>
          <w:i/>
          <w:iCs/>
          <w:color w:val="000000" w:themeColor="text1"/>
        </w:rPr>
        <w:t xml:space="preserve">Decision support framework </w:t>
      </w:r>
      <w:r w:rsidRPr="00413BD1">
        <w:rPr>
          <w:rFonts w:ascii="Times New Roman" w:hAnsi="Times New Roman" w:cs="Times New Roman"/>
          <w:i/>
          <w:iCs/>
        </w:rPr>
        <w:t>for resources allocation to corporate social responsibility (CSR) programmes</w:t>
      </w:r>
      <w:r w:rsidRPr="00413BD1">
        <w:rPr>
          <w:rFonts w:ascii="Times New Roman" w:hAnsi="Times New Roman" w:cs="Times New Roman"/>
        </w:rPr>
        <w:t> (Doctoral dissertation, University of Portsmouth).</w:t>
      </w:r>
    </w:p>
    <w:p w14:paraId="6CD92687" w14:textId="77777777"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Pradnyani</w:t>
      </w:r>
      <w:proofErr w:type="spellEnd"/>
      <w:r w:rsidRPr="00413BD1">
        <w:rPr>
          <w:rFonts w:ascii="Times New Roman" w:hAnsi="Times New Roman" w:cs="Times New Roman"/>
        </w:rPr>
        <w:t xml:space="preserve">, N., </w:t>
      </w:r>
      <w:proofErr w:type="spellStart"/>
      <w:r w:rsidRPr="00413BD1">
        <w:rPr>
          <w:rFonts w:ascii="Times New Roman" w:hAnsi="Times New Roman" w:cs="Times New Roman"/>
        </w:rPr>
        <w:t>Suartana</w:t>
      </w:r>
      <w:proofErr w:type="spellEnd"/>
      <w:r w:rsidRPr="00413BD1">
        <w:rPr>
          <w:rFonts w:ascii="Times New Roman" w:hAnsi="Times New Roman" w:cs="Times New Roman"/>
        </w:rPr>
        <w:t xml:space="preserve">, I. W., Mediatrix, M., Sari, R., &amp; </w:t>
      </w:r>
      <w:proofErr w:type="spellStart"/>
      <w:r w:rsidRPr="00413BD1">
        <w:rPr>
          <w:rFonts w:ascii="Times New Roman" w:hAnsi="Times New Roman" w:cs="Times New Roman"/>
        </w:rPr>
        <w:t>Budiasih</w:t>
      </w:r>
      <w:proofErr w:type="spellEnd"/>
      <w:r w:rsidRPr="00413BD1">
        <w:rPr>
          <w:rFonts w:ascii="Times New Roman" w:hAnsi="Times New Roman" w:cs="Times New Roman"/>
        </w:rPr>
        <w:t xml:space="preserve">, I. G. A. N. (2024). Achieving Financial Performance Through </w:t>
      </w:r>
      <w:proofErr w:type="gramStart"/>
      <w:r w:rsidRPr="00413BD1">
        <w:rPr>
          <w:rFonts w:ascii="Times New Roman" w:hAnsi="Times New Roman" w:cs="Times New Roman"/>
        </w:rPr>
        <w:t>The</w:t>
      </w:r>
      <w:proofErr w:type="gramEnd"/>
      <w:r w:rsidRPr="00413BD1">
        <w:rPr>
          <w:rFonts w:ascii="Times New Roman" w:hAnsi="Times New Roman" w:cs="Times New Roman"/>
        </w:rPr>
        <w:t xml:space="preserve"> Implementation </w:t>
      </w:r>
      <w:proofErr w:type="gramStart"/>
      <w:r w:rsidRPr="00413BD1">
        <w:rPr>
          <w:rFonts w:ascii="Times New Roman" w:hAnsi="Times New Roman" w:cs="Times New Roman"/>
        </w:rPr>
        <w:t>Of</w:t>
      </w:r>
      <w:proofErr w:type="gramEnd"/>
      <w:r w:rsidRPr="00413BD1">
        <w:rPr>
          <w:rFonts w:ascii="Times New Roman" w:hAnsi="Times New Roman" w:cs="Times New Roman"/>
        </w:rPr>
        <w:t xml:space="preserve"> Sustainable Banking </w:t>
      </w:r>
      <w:proofErr w:type="gramStart"/>
      <w:r w:rsidRPr="00413BD1">
        <w:rPr>
          <w:rFonts w:ascii="Times New Roman" w:hAnsi="Times New Roman" w:cs="Times New Roman"/>
        </w:rPr>
        <w:t>And</w:t>
      </w:r>
      <w:proofErr w:type="gramEnd"/>
      <w:r w:rsidRPr="00413BD1">
        <w:rPr>
          <w:rFonts w:ascii="Times New Roman" w:hAnsi="Times New Roman" w:cs="Times New Roman"/>
        </w:rPr>
        <w:t xml:space="preserve"> Credit Risk: Analysis Based </w:t>
      </w:r>
      <w:proofErr w:type="gramStart"/>
      <w:r w:rsidRPr="00413BD1">
        <w:rPr>
          <w:rFonts w:ascii="Times New Roman" w:hAnsi="Times New Roman" w:cs="Times New Roman"/>
        </w:rPr>
        <w:t>On</w:t>
      </w:r>
      <w:proofErr w:type="gramEnd"/>
      <w:r w:rsidRPr="00413BD1">
        <w:rPr>
          <w:rFonts w:ascii="Times New Roman" w:hAnsi="Times New Roman" w:cs="Times New Roman"/>
        </w:rPr>
        <w:t xml:space="preserve"> Natural Environmental Sustainability. </w:t>
      </w:r>
      <w:r w:rsidRPr="00413BD1">
        <w:rPr>
          <w:rFonts w:ascii="Times New Roman" w:hAnsi="Times New Roman" w:cs="Times New Roman"/>
          <w:i/>
          <w:iCs/>
        </w:rPr>
        <w:t>Journal of Sustainability Science and Management</w:t>
      </w:r>
      <w:r w:rsidRPr="00413BD1">
        <w:rPr>
          <w:rFonts w:ascii="Times New Roman" w:hAnsi="Times New Roman" w:cs="Times New Roman"/>
        </w:rPr>
        <w:t>, </w:t>
      </w:r>
      <w:r w:rsidRPr="00413BD1">
        <w:rPr>
          <w:rFonts w:ascii="Times New Roman" w:hAnsi="Times New Roman" w:cs="Times New Roman"/>
          <w:i/>
          <w:iCs/>
        </w:rPr>
        <w:t>19</w:t>
      </w:r>
      <w:r w:rsidRPr="00413BD1">
        <w:rPr>
          <w:rFonts w:ascii="Times New Roman" w:hAnsi="Times New Roman" w:cs="Times New Roman"/>
        </w:rPr>
        <w:t>(8), 70-88.</w:t>
      </w:r>
    </w:p>
    <w:p w14:paraId="61A7EBF2"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rPr>
        <w:lastRenderedPageBreak/>
        <w:t xml:space="preserve">Raihan, A., Paul, A., Rahman, M. S., Islam, S., Paul, P., &amp; Karmakar, S. (2024). Artificial intelligence </w:t>
      </w:r>
      <w:r w:rsidRPr="00413BD1">
        <w:rPr>
          <w:rFonts w:ascii="Times New Roman" w:hAnsi="Times New Roman" w:cs="Times New Roman"/>
          <w:color w:val="000000" w:themeColor="text1"/>
        </w:rPr>
        <w:t>(AI) for environmental sustainability: A concise review of technology innovations in energy, transportation, biodiversity, and water management. </w:t>
      </w:r>
      <w:r w:rsidRPr="00413BD1">
        <w:rPr>
          <w:rFonts w:ascii="Times New Roman" w:hAnsi="Times New Roman" w:cs="Times New Roman"/>
          <w:i/>
          <w:iCs/>
          <w:color w:val="000000" w:themeColor="text1"/>
        </w:rPr>
        <w:t>Journal of Technology Innovations and Energy</w:t>
      </w:r>
      <w:r w:rsidRPr="00413BD1">
        <w:rPr>
          <w:rFonts w:ascii="Times New Roman" w:hAnsi="Times New Roman" w:cs="Times New Roman"/>
          <w:color w:val="000000" w:themeColor="text1"/>
        </w:rPr>
        <w:t>, </w:t>
      </w:r>
      <w:r w:rsidRPr="00413BD1">
        <w:rPr>
          <w:rFonts w:ascii="Times New Roman" w:hAnsi="Times New Roman" w:cs="Times New Roman"/>
          <w:i/>
          <w:iCs/>
          <w:color w:val="000000" w:themeColor="text1"/>
        </w:rPr>
        <w:t>3</w:t>
      </w:r>
      <w:r w:rsidRPr="00413BD1">
        <w:rPr>
          <w:rFonts w:ascii="Times New Roman" w:hAnsi="Times New Roman" w:cs="Times New Roman"/>
          <w:color w:val="000000" w:themeColor="text1"/>
        </w:rPr>
        <w:t xml:space="preserve">(2), 64-73. </w:t>
      </w:r>
      <w:hyperlink r:id="rId49" w:history="1">
        <w:r w:rsidRPr="00413BD1">
          <w:rPr>
            <w:rStyle w:val="Hyperlink"/>
            <w:rFonts w:ascii="Times New Roman" w:hAnsi="Times New Roman" w:cs="Times New Roman"/>
            <w:color w:val="000000" w:themeColor="text1"/>
          </w:rPr>
          <w:t>https://doi.org/10.56556/jtie.v3i2.953</w:t>
        </w:r>
      </w:hyperlink>
      <w:r w:rsidRPr="00413BD1">
        <w:rPr>
          <w:rFonts w:ascii="Times New Roman" w:hAnsi="Times New Roman" w:cs="Times New Roman"/>
          <w:color w:val="000000" w:themeColor="text1"/>
        </w:rPr>
        <w:t xml:space="preserve"> </w:t>
      </w:r>
    </w:p>
    <w:p w14:paraId="02139A21"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color w:val="000000" w:themeColor="text1"/>
        </w:rPr>
        <w:t>Rama, D., Milano, B. J., Salas, S., &amp; Liu, C. H. (2009). CSR implementation: Developing the capacity for collective action. </w:t>
      </w:r>
      <w:r w:rsidRPr="00413BD1">
        <w:rPr>
          <w:rFonts w:ascii="Times New Roman" w:hAnsi="Times New Roman" w:cs="Times New Roman"/>
          <w:i/>
          <w:iCs/>
          <w:color w:val="000000" w:themeColor="text1"/>
        </w:rPr>
        <w:t>Journal of Business Ethics</w:t>
      </w:r>
      <w:r w:rsidRPr="00413BD1">
        <w:rPr>
          <w:rFonts w:ascii="Times New Roman" w:hAnsi="Times New Roman" w:cs="Times New Roman"/>
          <w:color w:val="000000" w:themeColor="text1"/>
        </w:rPr>
        <w:t>, </w:t>
      </w:r>
      <w:r w:rsidRPr="00413BD1">
        <w:rPr>
          <w:rFonts w:ascii="Times New Roman" w:hAnsi="Times New Roman" w:cs="Times New Roman"/>
          <w:i/>
          <w:iCs/>
          <w:color w:val="000000" w:themeColor="text1"/>
        </w:rPr>
        <w:t>85</w:t>
      </w:r>
      <w:r w:rsidRPr="00413BD1">
        <w:rPr>
          <w:rFonts w:ascii="Times New Roman" w:hAnsi="Times New Roman" w:cs="Times New Roman"/>
          <w:color w:val="000000" w:themeColor="text1"/>
        </w:rPr>
        <w:t>, 463-477.</w:t>
      </w:r>
      <w:r w:rsidRPr="00413BD1">
        <w:rPr>
          <w:rFonts w:ascii="Times New Roman" w:hAnsi="Times New Roman" w:cs="Times New Roman"/>
          <w:color w:val="000000" w:themeColor="text1"/>
          <w:shd w:val="clear" w:color="auto" w:fill="FFFFFF"/>
        </w:rPr>
        <w:t xml:space="preserve"> </w:t>
      </w:r>
      <w:hyperlink r:id="rId50" w:history="1">
        <w:r w:rsidRPr="00413BD1">
          <w:rPr>
            <w:rStyle w:val="Hyperlink"/>
            <w:rFonts w:ascii="Times New Roman" w:hAnsi="Times New Roman" w:cs="Times New Roman"/>
            <w:color w:val="000000" w:themeColor="text1"/>
          </w:rPr>
          <w:t>https://doi.org/10.1007/s10551-008-9737-9</w:t>
        </w:r>
      </w:hyperlink>
      <w:r w:rsidRPr="00413BD1">
        <w:rPr>
          <w:rFonts w:ascii="Times New Roman" w:hAnsi="Times New Roman" w:cs="Times New Roman"/>
          <w:color w:val="000000" w:themeColor="text1"/>
        </w:rPr>
        <w:t xml:space="preserve"> </w:t>
      </w:r>
    </w:p>
    <w:p w14:paraId="450C9717"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color w:val="000000" w:themeColor="text1"/>
        </w:rPr>
        <w:t>Risi, D., &amp; Wickert, C. (2019). Exploring the internal dynamics of corporate social responsibility implementation: The role of resource endowments and functional departments. In </w:t>
      </w:r>
      <w:r w:rsidRPr="00413BD1">
        <w:rPr>
          <w:rFonts w:ascii="Times New Roman" w:hAnsi="Times New Roman" w:cs="Times New Roman"/>
          <w:i/>
          <w:iCs/>
          <w:color w:val="000000" w:themeColor="text1"/>
        </w:rPr>
        <w:t>79th Annual Meeting of the Academy of Management, Boston, USA, 9-13 August 2019</w:t>
      </w:r>
      <w:r w:rsidRPr="00413BD1">
        <w:rPr>
          <w:rFonts w:ascii="Times New Roman" w:hAnsi="Times New Roman" w:cs="Times New Roman"/>
          <w:color w:val="000000" w:themeColor="text1"/>
        </w:rPr>
        <w:t xml:space="preserve">. ZHAW </w:t>
      </w:r>
      <w:proofErr w:type="spellStart"/>
      <w:r w:rsidRPr="00413BD1">
        <w:rPr>
          <w:rFonts w:ascii="Times New Roman" w:hAnsi="Times New Roman" w:cs="Times New Roman"/>
          <w:color w:val="000000" w:themeColor="text1"/>
        </w:rPr>
        <w:t>Zürcher</w:t>
      </w:r>
      <w:proofErr w:type="spellEnd"/>
      <w:r w:rsidRPr="00413BD1">
        <w:rPr>
          <w:rFonts w:ascii="Times New Roman" w:hAnsi="Times New Roman" w:cs="Times New Roman"/>
          <w:color w:val="000000" w:themeColor="text1"/>
        </w:rPr>
        <w:t xml:space="preserve"> Hochschule für </w:t>
      </w:r>
      <w:proofErr w:type="spellStart"/>
      <w:r w:rsidRPr="00413BD1">
        <w:rPr>
          <w:rFonts w:ascii="Times New Roman" w:hAnsi="Times New Roman" w:cs="Times New Roman"/>
          <w:color w:val="000000" w:themeColor="text1"/>
        </w:rPr>
        <w:t>Angewandte</w:t>
      </w:r>
      <w:proofErr w:type="spellEnd"/>
      <w:r w:rsidRPr="00413BD1">
        <w:rPr>
          <w:rFonts w:ascii="Times New Roman" w:hAnsi="Times New Roman" w:cs="Times New Roman"/>
          <w:color w:val="000000" w:themeColor="text1"/>
        </w:rPr>
        <w:t xml:space="preserve"> </w:t>
      </w:r>
      <w:proofErr w:type="spellStart"/>
      <w:r w:rsidRPr="00413BD1">
        <w:rPr>
          <w:rFonts w:ascii="Times New Roman" w:hAnsi="Times New Roman" w:cs="Times New Roman"/>
          <w:color w:val="000000" w:themeColor="text1"/>
        </w:rPr>
        <w:t>Wissenschaften</w:t>
      </w:r>
      <w:proofErr w:type="spellEnd"/>
      <w:r w:rsidRPr="00413BD1">
        <w:rPr>
          <w:rFonts w:ascii="Times New Roman" w:hAnsi="Times New Roman" w:cs="Times New Roman"/>
          <w:color w:val="000000" w:themeColor="text1"/>
        </w:rPr>
        <w:t>.</w:t>
      </w:r>
    </w:p>
    <w:p w14:paraId="1200C613" w14:textId="77777777" w:rsidR="00B772B8" w:rsidRPr="00413BD1" w:rsidRDefault="00B772B8"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color w:val="000000" w:themeColor="text1"/>
        </w:rPr>
        <w:t xml:space="preserve">Rudito, B., </w:t>
      </w:r>
      <w:proofErr w:type="spellStart"/>
      <w:r w:rsidRPr="00413BD1">
        <w:rPr>
          <w:rFonts w:ascii="Times New Roman" w:hAnsi="Times New Roman" w:cs="Times New Roman"/>
          <w:color w:val="000000" w:themeColor="text1"/>
        </w:rPr>
        <w:t>Famiola</w:t>
      </w:r>
      <w:proofErr w:type="spellEnd"/>
      <w:r w:rsidRPr="00413BD1">
        <w:rPr>
          <w:rFonts w:ascii="Times New Roman" w:hAnsi="Times New Roman" w:cs="Times New Roman"/>
          <w:color w:val="000000" w:themeColor="text1"/>
        </w:rPr>
        <w:t xml:space="preserve">, M., &amp; </w:t>
      </w:r>
      <w:proofErr w:type="spellStart"/>
      <w:r w:rsidRPr="00413BD1">
        <w:rPr>
          <w:rFonts w:ascii="Times New Roman" w:hAnsi="Times New Roman" w:cs="Times New Roman"/>
          <w:color w:val="000000" w:themeColor="text1"/>
        </w:rPr>
        <w:t>Anggahegari</w:t>
      </w:r>
      <w:proofErr w:type="spellEnd"/>
      <w:r w:rsidRPr="00413BD1">
        <w:rPr>
          <w:rFonts w:ascii="Times New Roman" w:hAnsi="Times New Roman" w:cs="Times New Roman"/>
          <w:color w:val="000000" w:themeColor="text1"/>
        </w:rPr>
        <w:t>, P. (2022). Corporate social responsibility and social capital: journey of community engagement toward community empowerment progra</w:t>
      </w:r>
      <w:r w:rsidRPr="00413BD1">
        <w:rPr>
          <w:rFonts w:ascii="Times New Roman" w:hAnsi="Times New Roman" w:cs="Times New Roman"/>
        </w:rPr>
        <w:t>m in developing country. </w:t>
      </w:r>
      <w:r w:rsidRPr="00413BD1">
        <w:rPr>
          <w:rFonts w:ascii="Times New Roman" w:hAnsi="Times New Roman" w:cs="Times New Roman"/>
          <w:i/>
          <w:iCs/>
        </w:rPr>
        <w:t>Sustainability</w:t>
      </w:r>
      <w:r w:rsidRPr="00413BD1">
        <w:rPr>
          <w:rFonts w:ascii="Times New Roman" w:hAnsi="Times New Roman" w:cs="Times New Roman"/>
        </w:rPr>
        <w:t>, </w:t>
      </w:r>
      <w:r w:rsidRPr="00413BD1">
        <w:rPr>
          <w:rFonts w:ascii="Times New Roman" w:hAnsi="Times New Roman" w:cs="Times New Roman"/>
          <w:i/>
          <w:iCs/>
        </w:rPr>
        <w:t>15</w:t>
      </w:r>
      <w:r w:rsidRPr="00413BD1">
        <w:rPr>
          <w:rFonts w:ascii="Times New Roman" w:hAnsi="Times New Roman" w:cs="Times New Roman"/>
        </w:rPr>
        <w:t xml:space="preserve">(1), 466. </w:t>
      </w:r>
      <w:hyperlink r:id="rId51" w:history="1">
        <w:r w:rsidRPr="00413BD1">
          <w:rPr>
            <w:rStyle w:val="Hyperlink"/>
            <w:rFonts w:ascii="Times New Roman" w:hAnsi="Times New Roman" w:cs="Times New Roman"/>
            <w:color w:val="auto"/>
          </w:rPr>
          <w:t>https://doi.org/10.3390/su15010466</w:t>
        </w:r>
      </w:hyperlink>
    </w:p>
    <w:p w14:paraId="0F0D228E" w14:textId="7F343C78" w:rsidR="00A6671C" w:rsidRPr="00413BD1" w:rsidRDefault="00A6671C"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color w:val="000000" w:themeColor="text1"/>
        </w:rPr>
        <w:t xml:space="preserve">Sallam, S. A. K., &amp; </w:t>
      </w:r>
      <w:proofErr w:type="spellStart"/>
      <w:r w:rsidRPr="00413BD1">
        <w:rPr>
          <w:rFonts w:ascii="Times New Roman" w:hAnsi="Times New Roman" w:cs="Times New Roman"/>
          <w:color w:val="000000" w:themeColor="text1"/>
        </w:rPr>
        <w:t>ALSohybe</w:t>
      </w:r>
      <w:proofErr w:type="spellEnd"/>
      <w:r w:rsidRPr="00413BD1">
        <w:rPr>
          <w:rFonts w:ascii="Times New Roman" w:hAnsi="Times New Roman" w:cs="Times New Roman"/>
          <w:color w:val="000000" w:themeColor="text1"/>
        </w:rPr>
        <w:t xml:space="preserve">, N. (2023). A descriptive study survey on: Importance of monitoring and evaluation system at NGOs. </w:t>
      </w:r>
      <w:r w:rsidRPr="00413BD1">
        <w:rPr>
          <w:rFonts w:ascii="Times New Roman" w:hAnsi="Times New Roman" w:cs="Times New Roman"/>
          <w:i/>
          <w:iCs/>
          <w:color w:val="000000" w:themeColor="text1"/>
        </w:rPr>
        <w:t>International Journal of Computer Science and Mobile Computing</w:t>
      </w:r>
      <w:r w:rsidRPr="00413BD1">
        <w:rPr>
          <w:rFonts w:ascii="Times New Roman" w:hAnsi="Times New Roman" w:cs="Times New Roman"/>
          <w:color w:val="000000" w:themeColor="text1"/>
        </w:rPr>
        <w:t xml:space="preserve">, </w:t>
      </w:r>
      <w:r w:rsidRPr="00413BD1">
        <w:rPr>
          <w:rFonts w:ascii="Times New Roman" w:hAnsi="Times New Roman" w:cs="Times New Roman"/>
          <w:i/>
          <w:iCs/>
          <w:color w:val="000000" w:themeColor="text1"/>
        </w:rPr>
        <w:t>12</w:t>
      </w:r>
      <w:r w:rsidRPr="00413BD1">
        <w:rPr>
          <w:rFonts w:ascii="Times New Roman" w:hAnsi="Times New Roman" w:cs="Times New Roman"/>
          <w:color w:val="000000" w:themeColor="text1"/>
        </w:rPr>
        <w:t>(12), 13–21.</w:t>
      </w:r>
    </w:p>
    <w:p w14:paraId="05F359DC"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color w:val="000000" w:themeColor="text1"/>
        </w:rPr>
        <w:t>Sánchez-Hernández, M. I., Vázquez-</w:t>
      </w:r>
      <w:proofErr w:type="spellStart"/>
      <w:r w:rsidRPr="00413BD1">
        <w:rPr>
          <w:rFonts w:ascii="Times New Roman" w:hAnsi="Times New Roman" w:cs="Times New Roman"/>
          <w:color w:val="000000" w:themeColor="text1"/>
        </w:rPr>
        <w:t>Burguete</w:t>
      </w:r>
      <w:proofErr w:type="spellEnd"/>
      <w:r w:rsidRPr="00413BD1">
        <w:rPr>
          <w:rFonts w:ascii="Times New Roman" w:hAnsi="Times New Roman" w:cs="Times New Roman"/>
          <w:color w:val="000000" w:themeColor="text1"/>
        </w:rPr>
        <w:t xml:space="preserve">, J. L., García-Miguélez, M. P., &amp; </w:t>
      </w:r>
      <w:proofErr w:type="spellStart"/>
      <w:r w:rsidRPr="00413BD1">
        <w:rPr>
          <w:rFonts w:ascii="Times New Roman" w:hAnsi="Times New Roman" w:cs="Times New Roman"/>
          <w:color w:val="000000" w:themeColor="text1"/>
        </w:rPr>
        <w:t>Lanero</w:t>
      </w:r>
      <w:proofErr w:type="spellEnd"/>
      <w:r w:rsidRPr="00413BD1">
        <w:rPr>
          <w:rFonts w:ascii="Times New Roman" w:hAnsi="Times New Roman" w:cs="Times New Roman"/>
          <w:color w:val="000000" w:themeColor="text1"/>
        </w:rPr>
        <w:t>-Carrizo, A. (2021). Internal corporate social responsibility for sustainability. </w:t>
      </w:r>
      <w:r w:rsidRPr="00413BD1">
        <w:rPr>
          <w:rFonts w:ascii="Times New Roman" w:hAnsi="Times New Roman" w:cs="Times New Roman"/>
          <w:i/>
          <w:iCs/>
          <w:color w:val="000000" w:themeColor="text1"/>
        </w:rPr>
        <w:t>Sustainability</w:t>
      </w:r>
      <w:r w:rsidRPr="00413BD1">
        <w:rPr>
          <w:rFonts w:ascii="Times New Roman" w:hAnsi="Times New Roman" w:cs="Times New Roman"/>
          <w:color w:val="000000" w:themeColor="text1"/>
        </w:rPr>
        <w:t>, </w:t>
      </w:r>
      <w:r w:rsidRPr="00413BD1">
        <w:rPr>
          <w:rFonts w:ascii="Times New Roman" w:hAnsi="Times New Roman" w:cs="Times New Roman"/>
          <w:i/>
          <w:iCs/>
          <w:color w:val="000000" w:themeColor="text1"/>
        </w:rPr>
        <w:t>13</w:t>
      </w:r>
      <w:r w:rsidRPr="00413BD1">
        <w:rPr>
          <w:rFonts w:ascii="Times New Roman" w:hAnsi="Times New Roman" w:cs="Times New Roman"/>
          <w:color w:val="000000" w:themeColor="text1"/>
        </w:rPr>
        <w:t xml:space="preserve">(14), 7920. </w:t>
      </w:r>
      <w:hyperlink r:id="rId52" w:history="1">
        <w:r w:rsidRPr="00413BD1">
          <w:rPr>
            <w:rStyle w:val="Hyperlink"/>
            <w:rFonts w:ascii="Times New Roman" w:hAnsi="Times New Roman" w:cs="Times New Roman"/>
            <w:color w:val="000000" w:themeColor="text1"/>
          </w:rPr>
          <w:t>https://doi.org/10.3390/su13147920</w:t>
        </w:r>
      </w:hyperlink>
    </w:p>
    <w:p w14:paraId="63CB1035"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 xml:space="preserve">SDG Resource Centre (2025). Community engagement. </w:t>
      </w:r>
      <w:hyperlink r:id="rId53" w:history="1">
        <w:r w:rsidRPr="00413BD1">
          <w:rPr>
            <w:rStyle w:val="Hyperlink"/>
            <w:rFonts w:ascii="Times New Roman" w:hAnsi="Times New Roman" w:cs="Times New Roman"/>
            <w:color w:val="000000" w:themeColor="text1"/>
          </w:rPr>
          <w:t>https://sdgresources.relx.com/community-engagement</w:t>
        </w:r>
      </w:hyperlink>
      <w:r w:rsidRPr="00413BD1">
        <w:rPr>
          <w:rFonts w:ascii="Times New Roman" w:hAnsi="Times New Roman" w:cs="Times New Roman"/>
          <w:color w:val="000000" w:themeColor="text1"/>
        </w:rPr>
        <w:t xml:space="preserve">   </w:t>
      </w:r>
    </w:p>
    <w:p w14:paraId="00399F71" w14:textId="77777777"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Senoro</w:t>
      </w:r>
      <w:proofErr w:type="spellEnd"/>
      <w:r w:rsidRPr="00413BD1">
        <w:rPr>
          <w:rFonts w:ascii="Times New Roman" w:hAnsi="Times New Roman" w:cs="Times New Roman"/>
        </w:rPr>
        <w:t xml:space="preserve">, D. B., de Jesus, K. L. M., Nolos, R. C., </w:t>
      </w:r>
      <w:proofErr w:type="spellStart"/>
      <w:r w:rsidRPr="00413BD1">
        <w:rPr>
          <w:rFonts w:ascii="Times New Roman" w:hAnsi="Times New Roman" w:cs="Times New Roman"/>
        </w:rPr>
        <w:t>Lamac</w:t>
      </w:r>
      <w:proofErr w:type="spellEnd"/>
      <w:r w:rsidRPr="00413BD1">
        <w:rPr>
          <w:rFonts w:ascii="Times New Roman" w:hAnsi="Times New Roman" w:cs="Times New Roman"/>
        </w:rPr>
        <w:t xml:space="preserve">, M. R. L., Deseo, K. M., &amp; </w:t>
      </w:r>
      <w:proofErr w:type="spellStart"/>
      <w:r w:rsidRPr="00413BD1">
        <w:rPr>
          <w:rFonts w:ascii="Times New Roman" w:hAnsi="Times New Roman" w:cs="Times New Roman"/>
        </w:rPr>
        <w:t>Tabelin</w:t>
      </w:r>
      <w:proofErr w:type="spellEnd"/>
      <w:r w:rsidRPr="00413BD1">
        <w:rPr>
          <w:rFonts w:ascii="Times New Roman" w:hAnsi="Times New Roman" w:cs="Times New Roman"/>
        </w:rPr>
        <w:t xml:space="preserve">, C. B. (2022). In situ measurements of domestic water quality and health risks by elevated </w:t>
      </w:r>
      <w:r w:rsidRPr="00413BD1">
        <w:rPr>
          <w:rFonts w:ascii="Times New Roman" w:hAnsi="Times New Roman" w:cs="Times New Roman"/>
          <w:color w:val="000000" w:themeColor="text1"/>
        </w:rPr>
        <w:lastRenderedPageBreak/>
        <w:t xml:space="preserve">concentration of heavy metals and metalloids using Monte Carlo and MLGI methods. Toxics, 10(7), 342. </w:t>
      </w:r>
      <w:hyperlink r:id="rId54" w:history="1">
        <w:r w:rsidRPr="00413BD1">
          <w:rPr>
            <w:rStyle w:val="Hyperlink"/>
            <w:rFonts w:ascii="Times New Roman" w:hAnsi="Times New Roman" w:cs="Times New Roman"/>
            <w:color w:val="000000" w:themeColor="text1"/>
          </w:rPr>
          <w:t>https://doi.org/10.3390/toxics10070342</w:t>
        </w:r>
      </w:hyperlink>
      <w:r w:rsidRPr="00413BD1">
        <w:rPr>
          <w:rFonts w:ascii="Times New Roman" w:hAnsi="Times New Roman" w:cs="Times New Roman"/>
          <w:color w:val="000000" w:themeColor="text1"/>
        </w:rPr>
        <w:t xml:space="preserve"> </w:t>
      </w:r>
    </w:p>
    <w:p w14:paraId="3DA671E4" w14:textId="77777777" w:rsidR="00A6671C" w:rsidRPr="00413BD1" w:rsidRDefault="00A6671C" w:rsidP="000C3BC4">
      <w:pPr>
        <w:spacing w:after="0" w:line="480" w:lineRule="auto"/>
        <w:ind w:left="567" w:hanging="567"/>
        <w:jc w:val="both"/>
        <w:rPr>
          <w:rFonts w:ascii="Times New Roman" w:hAnsi="Times New Roman" w:cs="Times New Roman"/>
          <w:color w:val="000000" w:themeColor="text1"/>
        </w:rPr>
      </w:pPr>
      <w:r w:rsidRPr="00413BD1">
        <w:rPr>
          <w:rFonts w:ascii="Times New Roman" w:hAnsi="Times New Roman" w:cs="Times New Roman"/>
        </w:rPr>
        <w:t>Sethi</w:t>
      </w:r>
      <w:r w:rsidRPr="00413BD1">
        <w:rPr>
          <w:rFonts w:ascii="Times New Roman" w:hAnsi="Times New Roman" w:cs="Times New Roman"/>
          <w:color w:val="000000" w:themeColor="text1"/>
        </w:rPr>
        <w:t xml:space="preserve">, S. P., Martell, T. F., &amp; Demir, M. (2017). Enhancing the role and effectiveness of corporate social responsibility (CSR) reports: The missing element of content verification and integrity assurance. Journal of business ethics, 144, 59-82. </w:t>
      </w:r>
      <w:hyperlink r:id="rId55" w:history="1">
        <w:r w:rsidRPr="00413BD1">
          <w:rPr>
            <w:rStyle w:val="Hyperlink"/>
            <w:rFonts w:ascii="Times New Roman" w:hAnsi="Times New Roman" w:cs="Times New Roman"/>
            <w:color w:val="000000" w:themeColor="text1"/>
          </w:rPr>
          <w:t>https://doi.org/10.1007/s10551-015-2862-3</w:t>
        </w:r>
      </w:hyperlink>
      <w:r w:rsidRPr="00413BD1">
        <w:rPr>
          <w:rFonts w:ascii="Times New Roman" w:hAnsi="Times New Roman" w:cs="Times New Roman"/>
          <w:color w:val="000000" w:themeColor="text1"/>
        </w:rPr>
        <w:t xml:space="preserve"> </w:t>
      </w:r>
    </w:p>
    <w:p w14:paraId="356C0861" w14:textId="198030F5"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color w:val="000000" w:themeColor="text1"/>
        </w:rPr>
        <w:t xml:space="preserve">Sroufe, R., &amp; Ramos, D. P. (2015). Leveraging collaborative, </w:t>
      </w:r>
      <w:r w:rsidRPr="00413BD1">
        <w:rPr>
          <w:rFonts w:ascii="Times New Roman" w:hAnsi="Times New Roman" w:cs="Times New Roman"/>
        </w:rPr>
        <w:t>thematic problem‐based learning to integrate curricula. </w:t>
      </w:r>
      <w:r w:rsidRPr="00413BD1">
        <w:rPr>
          <w:rFonts w:ascii="Times New Roman" w:hAnsi="Times New Roman" w:cs="Times New Roman"/>
          <w:i/>
          <w:iCs/>
        </w:rPr>
        <w:t>Decision Sciences Journal of Innovative Education</w:t>
      </w:r>
      <w:r w:rsidRPr="00413BD1">
        <w:rPr>
          <w:rFonts w:ascii="Times New Roman" w:hAnsi="Times New Roman" w:cs="Times New Roman"/>
        </w:rPr>
        <w:t>, </w:t>
      </w:r>
      <w:r w:rsidRPr="00413BD1">
        <w:rPr>
          <w:rFonts w:ascii="Times New Roman" w:hAnsi="Times New Roman" w:cs="Times New Roman"/>
          <w:i/>
          <w:iCs/>
        </w:rPr>
        <w:t>13</w:t>
      </w:r>
      <w:r w:rsidRPr="00413BD1">
        <w:rPr>
          <w:rFonts w:ascii="Times New Roman" w:hAnsi="Times New Roman" w:cs="Times New Roman"/>
        </w:rPr>
        <w:t xml:space="preserve">(2), 151-176. </w:t>
      </w:r>
      <w:hyperlink r:id="rId56" w:history="1">
        <w:r w:rsidR="00B772B8" w:rsidRPr="00413BD1">
          <w:rPr>
            <w:rStyle w:val="Hyperlink"/>
            <w:rFonts w:ascii="Times New Roman" w:hAnsi="Times New Roman" w:cs="Times New Roman"/>
            <w:color w:val="auto"/>
          </w:rPr>
          <w:t>https://doi.org/10.1111/dsji.12063</w:t>
        </w:r>
      </w:hyperlink>
    </w:p>
    <w:p w14:paraId="26A94921" w14:textId="686CD092" w:rsidR="00B772B8" w:rsidRPr="00413BD1" w:rsidRDefault="00B772B8"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 xml:space="preserve">Sun, J. (2024). Sustainable Development in Green Mining and Geotechnical Engineering—An Overview. Sustainability, 16(22), 9883.  </w:t>
      </w:r>
      <w:hyperlink r:id="rId57" w:history="1">
        <w:r w:rsidRPr="00413BD1">
          <w:rPr>
            <w:rStyle w:val="Hyperlink"/>
            <w:rFonts w:ascii="Times New Roman" w:hAnsi="Times New Roman" w:cs="Times New Roman"/>
            <w:color w:val="auto"/>
          </w:rPr>
          <w:t>https://doi.org/10.3390/su16229883</w:t>
        </w:r>
      </w:hyperlink>
    </w:p>
    <w:p w14:paraId="0C8A3D38" w14:textId="77777777"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Suryaputra</w:t>
      </w:r>
      <w:proofErr w:type="spellEnd"/>
      <w:r w:rsidRPr="00413BD1">
        <w:rPr>
          <w:rFonts w:ascii="Times New Roman" w:hAnsi="Times New Roman" w:cs="Times New Roman"/>
        </w:rPr>
        <w:t xml:space="preserve">, V., Djajadikerta, H., &amp; </w:t>
      </w:r>
      <w:proofErr w:type="spellStart"/>
      <w:r w:rsidRPr="00413BD1">
        <w:rPr>
          <w:rFonts w:ascii="Times New Roman" w:hAnsi="Times New Roman" w:cs="Times New Roman"/>
        </w:rPr>
        <w:t>Permatasari</w:t>
      </w:r>
      <w:proofErr w:type="spellEnd"/>
      <w:r w:rsidRPr="00413BD1">
        <w:rPr>
          <w:rFonts w:ascii="Times New Roman" w:hAnsi="Times New Roman" w:cs="Times New Roman"/>
        </w:rPr>
        <w:t xml:space="preserve">, P. (2024). Do Indonesian Investors Value Sustainability: The Relationship Between Sustainability Performance </w:t>
      </w:r>
      <w:proofErr w:type="gramStart"/>
      <w:r w:rsidRPr="00413BD1">
        <w:rPr>
          <w:rFonts w:ascii="Times New Roman" w:hAnsi="Times New Roman" w:cs="Times New Roman"/>
        </w:rPr>
        <w:t>And</w:t>
      </w:r>
      <w:proofErr w:type="gramEnd"/>
      <w:r w:rsidRPr="00413BD1">
        <w:rPr>
          <w:rFonts w:ascii="Times New Roman" w:hAnsi="Times New Roman" w:cs="Times New Roman"/>
        </w:rPr>
        <w:t xml:space="preserve"> Firm Value Related </w:t>
      </w:r>
      <w:proofErr w:type="gramStart"/>
      <w:r w:rsidRPr="00413BD1">
        <w:rPr>
          <w:rFonts w:ascii="Times New Roman" w:hAnsi="Times New Roman" w:cs="Times New Roman"/>
        </w:rPr>
        <w:t>To</w:t>
      </w:r>
      <w:proofErr w:type="gramEnd"/>
      <w:r w:rsidRPr="00413BD1">
        <w:rPr>
          <w:rFonts w:ascii="Times New Roman" w:hAnsi="Times New Roman" w:cs="Times New Roman"/>
        </w:rPr>
        <w:t xml:space="preserve"> Natural Environment Issues. </w:t>
      </w:r>
      <w:r w:rsidRPr="00413BD1">
        <w:rPr>
          <w:rFonts w:ascii="Times New Roman" w:hAnsi="Times New Roman" w:cs="Times New Roman"/>
          <w:i/>
          <w:iCs/>
        </w:rPr>
        <w:t>Journal of Sustainability Science and Management</w:t>
      </w:r>
      <w:r w:rsidRPr="00413BD1">
        <w:rPr>
          <w:rFonts w:ascii="Times New Roman" w:hAnsi="Times New Roman" w:cs="Times New Roman"/>
        </w:rPr>
        <w:t>, </w:t>
      </w:r>
      <w:r w:rsidRPr="00413BD1">
        <w:rPr>
          <w:rFonts w:ascii="Times New Roman" w:hAnsi="Times New Roman" w:cs="Times New Roman"/>
          <w:i/>
          <w:iCs/>
        </w:rPr>
        <w:t>19</w:t>
      </w:r>
      <w:r w:rsidRPr="00413BD1">
        <w:rPr>
          <w:rFonts w:ascii="Times New Roman" w:hAnsi="Times New Roman" w:cs="Times New Roman"/>
        </w:rPr>
        <w:t>(6), 111-126. http://doi.org/10.46754/jssm.2024.06.009</w:t>
      </w:r>
    </w:p>
    <w:p w14:paraId="2E5B47DD"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Tarasenko, V. (2024). Innovations, Investments, and Sustainable Development of Ecological Technologies. </w:t>
      </w:r>
      <w:r w:rsidRPr="00413BD1">
        <w:rPr>
          <w:rFonts w:ascii="Times New Roman" w:hAnsi="Times New Roman" w:cs="Times New Roman"/>
          <w:i/>
          <w:iCs/>
        </w:rPr>
        <w:t>Education Reform and Development</w:t>
      </w:r>
      <w:r w:rsidRPr="00413BD1">
        <w:rPr>
          <w:rFonts w:ascii="Times New Roman" w:hAnsi="Times New Roman" w:cs="Times New Roman"/>
        </w:rPr>
        <w:t>, </w:t>
      </w:r>
      <w:r w:rsidRPr="00413BD1">
        <w:rPr>
          <w:rFonts w:ascii="Times New Roman" w:hAnsi="Times New Roman" w:cs="Times New Roman"/>
          <w:i/>
          <w:iCs/>
        </w:rPr>
        <w:t>6</w:t>
      </w:r>
      <w:r w:rsidRPr="00413BD1">
        <w:rPr>
          <w:rFonts w:ascii="Times New Roman" w:hAnsi="Times New Roman" w:cs="Times New Roman"/>
        </w:rPr>
        <w:t xml:space="preserve">(3), 197-202. </w:t>
      </w:r>
      <w:hyperlink r:id="rId58" w:history="1">
        <w:r w:rsidRPr="00413BD1">
          <w:rPr>
            <w:rStyle w:val="Hyperlink"/>
            <w:rFonts w:ascii="Times New Roman" w:hAnsi="Times New Roman" w:cs="Times New Roman"/>
            <w:color w:val="auto"/>
          </w:rPr>
          <w:t>10.26689/</w:t>
        </w:r>
        <w:proofErr w:type="gramStart"/>
        <w:r w:rsidRPr="00413BD1">
          <w:rPr>
            <w:rStyle w:val="Hyperlink"/>
            <w:rFonts w:ascii="Times New Roman" w:hAnsi="Times New Roman" w:cs="Times New Roman"/>
            <w:color w:val="auto"/>
          </w:rPr>
          <w:t>erd.v</w:t>
        </w:r>
        <w:proofErr w:type="gramEnd"/>
        <w:r w:rsidRPr="00413BD1">
          <w:rPr>
            <w:rStyle w:val="Hyperlink"/>
            <w:rFonts w:ascii="Times New Roman" w:hAnsi="Times New Roman" w:cs="Times New Roman"/>
            <w:color w:val="auto"/>
          </w:rPr>
          <w:t>6i3.6640</w:t>
        </w:r>
      </w:hyperlink>
    </w:p>
    <w:p w14:paraId="7EE0BDCD"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Thakur, A., &amp; Devi, P. (2024). A comprehensive review on water quality monitoring devices: materials advances</w:t>
      </w:r>
      <w:r w:rsidRPr="00413BD1">
        <w:rPr>
          <w:rFonts w:ascii="Times New Roman" w:hAnsi="Times New Roman" w:cs="Times New Roman"/>
          <w:color w:val="000000" w:themeColor="text1"/>
        </w:rPr>
        <w:t xml:space="preserve">, current status, and future perspective. Critical reviews in analytical chemistry, 54(2), 193-218. </w:t>
      </w:r>
      <w:hyperlink r:id="rId59" w:history="1">
        <w:r w:rsidRPr="00413BD1">
          <w:rPr>
            <w:rStyle w:val="Hyperlink"/>
            <w:rFonts w:ascii="Times New Roman" w:hAnsi="Times New Roman" w:cs="Times New Roman"/>
            <w:color w:val="000000" w:themeColor="text1"/>
          </w:rPr>
          <w:t>https://doi.org/10.1080/10408347.2022.2070838</w:t>
        </w:r>
      </w:hyperlink>
      <w:r w:rsidRPr="00413BD1">
        <w:rPr>
          <w:rFonts w:ascii="Times New Roman" w:hAnsi="Times New Roman" w:cs="Times New Roman"/>
          <w:color w:val="000000" w:themeColor="text1"/>
        </w:rPr>
        <w:t xml:space="preserve"> </w:t>
      </w:r>
    </w:p>
    <w:p w14:paraId="0EDE5D7B" w14:textId="77777777"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Trisnaning</w:t>
      </w:r>
      <w:proofErr w:type="spellEnd"/>
      <w:r w:rsidRPr="00413BD1">
        <w:rPr>
          <w:rFonts w:ascii="Times New Roman" w:hAnsi="Times New Roman" w:cs="Times New Roman"/>
        </w:rPr>
        <w:t xml:space="preserve">, P. T., Zamroni, A., </w:t>
      </w:r>
      <w:proofErr w:type="spellStart"/>
      <w:r w:rsidRPr="00413BD1">
        <w:rPr>
          <w:rFonts w:ascii="Times New Roman" w:hAnsi="Times New Roman" w:cs="Times New Roman"/>
        </w:rPr>
        <w:t>Sugarbo</w:t>
      </w:r>
      <w:proofErr w:type="spellEnd"/>
      <w:r w:rsidRPr="00413BD1">
        <w:rPr>
          <w:rFonts w:ascii="Times New Roman" w:hAnsi="Times New Roman" w:cs="Times New Roman"/>
        </w:rPr>
        <w:t xml:space="preserve">, O., Prasetya, H. N. E., Sagala, S. T., &amp; </w:t>
      </w:r>
      <w:proofErr w:type="spellStart"/>
      <w:r w:rsidRPr="00413BD1">
        <w:rPr>
          <w:rFonts w:ascii="Times New Roman" w:hAnsi="Times New Roman" w:cs="Times New Roman"/>
        </w:rPr>
        <w:t>Hardiansyah</w:t>
      </w:r>
      <w:proofErr w:type="spellEnd"/>
      <w:r w:rsidRPr="00413BD1">
        <w:rPr>
          <w:rFonts w:ascii="Times New Roman" w:hAnsi="Times New Roman" w:cs="Times New Roman"/>
        </w:rPr>
        <w:t xml:space="preserve">, M. Y. (2022, October). Quality of surface water due to sand mining activity: a case study from the </w:t>
      </w:r>
      <w:proofErr w:type="spellStart"/>
      <w:r w:rsidRPr="00413BD1">
        <w:rPr>
          <w:rFonts w:ascii="Times New Roman" w:hAnsi="Times New Roman" w:cs="Times New Roman"/>
        </w:rPr>
        <w:t>Progo</w:t>
      </w:r>
      <w:proofErr w:type="spellEnd"/>
      <w:r w:rsidRPr="00413BD1">
        <w:rPr>
          <w:rFonts w:ascii="Times New Roman" w:hAnsi="Times New Roman" w:cs="Times New Roman"/>
        </w:rPr>
        <w:t xml:space="preserve"> River, Daerah Istimewa Yogyakarta Province, Indonesia. In </w:t>
      </w:r>
      <w:r w:rsidRPr="00413BD1">
        <w:rPr>
          <w:rFonts w:ascii="Times New Roman" w:hAnsi="Times New Roman" w:cs="Times New Roman"/>
          <w:i/>
          <w:iCs/>
        </w:rPr>
        <w:t>IOP conference series: earth and environmental science</w:t>
      </w:r>
      <w:r w:rsidRPr="00413BD1">
        <w:rPr>
          <w:rFonts w:ascii="Times New Roman" w:hAnsi="Times New Roman" w:cs="Times New Roman"/>
        </w:rPr>
        <w:t> (Vol. 1098, No. 1, p. 012031). IOP Publishing. DOI: 10.1088/1755-1315/1098/1/012031</w:t>
      </w:r>
    </w:p>
    <w:p w14:paraId="03B502D7"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lastRenderedPageBreak/>
        <w:t>Turobov, A., Coyle, D., &amp; Harding, V. (2024). Using ChatGPT for thematic analysis. </w:t>
      </w:r>
      <w:proofErr w:type="spellStart"/>
      <w:r w:rsidRPr="00413BD1">
        <w:rPr>
          <w:rFonts w:ascii="Times New Roman" w:hAnsi="Times New Roman" w:cs="Times New Roman"/>
          <w:i/>
          <w:iCs/>
        </w:rPr>
        <w:t>arXiv</w:t>
      </w:r>
      <w:proofErr w:type="spellEnd"/>
      <w:r w:rsidRPr="00413BD1">
        <w:rPr>
          <w:rFonts w:ascii="Times New Roman" w:hAnsi="Times New Roman" w:cs="Times New Roman"/>
          <w:i/>
          <w:iCs/>
        </w:rPr>
        <w:t xml:space="preserve"> preprint arXiv:2405.08828</w:t>
      </w:r>
      <w:r w:rsidRPr="00413BD1">
        <w:rPr>
          <w:rFonts w:ascii="Times New Roman" w:hAnsi="Times New Roman" w:cs="Times New Roman"/>
        </w:rPr>
        <w:t>.</w:t>
      </w:r>
    </w:p>
    <w:p w14:paraId="6F2E981E" w14:textId="6E842421" w:rsidR="00FE1BA4" w:rsidRPr="00413BD1" w:rsidRDefault="00FE1BA4"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Wahyuningrum</w:t>
      </w:r>
      <w:proofErr w:type="spellEnd"/>
      <w:r w:rsidRPr="00413BD1">
        <w:rPr>
          <w:rFonts w:ascii="Times New Roman" w:hAnsi="Times New Roman" w:cs="Times New Roman"/>
        </w:rPr>
        <w:t xml:space="preserve">, I. F. S., </w:t>
      </w:r>
      <w:proofErr w:type="spellStart"/>
      <w:r w:rsidRPr="00413BD1">
        <w:rPr>
          <w:rFonts w:ascii="Times New Roman" w:hAnsi="Times New Roman" w:cs="Times New Roman"/>
        </w:rPr>
        <w:t>Chegenizadeh</w:t>
      </w:r>
      <w:proofErr w:type="spellEnd"/>
      <w:r w:rsidRPr="00413BD1">
        <w:rPr>
          <w:rFonts w:ascii="Times New Roman" w:hAnsi="Times New Roman" w:cs="Times New Roman"/>
        </w:rPr>
        <w:t xml:space="preserve">, A., </w:t>
      </w:r>
      <w:proofErr w:type="spellStart"/>
      <w:r w:rsidRPr="00413BD1">
        <w:rPr>
          <w:rFonts w:ascii="Times New Roman" w:hAnsi="Times New Roman" w:cs="Times New Roman"/>
        </w:rPr>
        <w:t>Hajawiyah</w:t>
      </w:r>
      <w:proofErr w:type="spellEnd"/>
      <w:r w:rsidRPr="00413BD1">
        <w:rPr>
          <w:rFonts w:ascii="Times New Roman" w:hAnsi="Times New Roman" w:cs="Times New Roman"/>
        </w:rPr>
        <w:t xml:space="preserve">, A., </w:t>
      </w:r>
      <w:proofErr w:type="spellStart"/>
      <w:r w:rsidRPr="00413BD1">
        <w:rPr>
          <w:rFonts w:ascii="Times New Roman" w:hAnsi="Times New Roman" w:cs="Times New Roman"/>
        </w:rPr>
        <w:t>Sriningsih</w:t>
      </w:r>
      <w:proofErr w:type="spellEnd"/>
      <w:r w:rsidRPr="00413BD1">
        <w:rPr>
          <w:rFonts w:ascii="Times New Roman" w:hAnsi="Times New Roman" w:cs="Times New Roman"/>
        </w:rPr>
        <w:t xml:space="preserve">, S., Utami, S., Budihardjo, M. A., &amp; </w:t>
      </w:r>
      <w:proofErr w:type="spellStart"/>
      <w:r w:rsidRPr="00413BD1">
        <w:rPr>
          <w:rFonts w:ascii="Times New Roman" w:hAnsi="Times New Roman" w:cs="Times New Roman"/>
        </w:rPr>
        <w:t>Nikraz</w:t>
      </w:r>
      <w:proofErr w:type="spellEnd"/>
      <w:r w:rsidRPr="00413BD1">
        <w:rPr>
          <w:rFonts w:ascii="Times New Roman" w:hAnsi="Times New Roman" w:cs="Times New Roman"/>
        </w:rPr>
        <w:t>, H. (2023). Determinants of corporate water disclosure in Indonesia. </w:t>
      </w:r>
      <w:r w:rsidRPr="00413BD1">
        <w:rPr>
          <w:rFonts w:ascii="Times New Roman" w:hAnsi="Times New Roman" w:cs="Times New Roman"/>
          <w:i/>
          <w:iCs/>
        </w:rPr>
        <w:t>Sustainability</w:t>
      </w:r>
      <w:r w:rsidRPr="00413BD1">
        <w:rPr>
          <w:rFonts w:ascii="Times New Roman" w:hAnsi="Times New Roman" w:cs="Times New Roman"/>
        </w:rPr>
        <w:t>, </w:t>
      </w:r>
      <w:r w:rsidRPr="00413BD1">
        <w:rPr>
          <w:rFonts w:ascii="Times New Roman" w:hAnsi="Times New Roman" w:cs="Times New Roman"/>
          <w:i/>
          <w:iCs/>
        </w:rPr>
        <w:t>15</w:t>
      </w:r>
      <w:r w:rsidRPr="00413BD1">
        <w:rPr>
          <w:rFonts w:ascii="Times New Roman" w:hAnsi="Times New Roman" w:cs="Times New Roman"/>
        </w:rPr>
        <w:t xml:space="preserve">(14), 11107. </w:t>
      </w:r>
      <w:hyperlink r:id="rId60" w:history="1">
        <w:r w:rsidRPr="00413BD1">
          <w:rPr>
            <w:rStyle w:val="Hyperlink"/>
            <w:rFonts w:ascii="Times New Roman" w:hAnsi="Times New Roman" w:cs="Times New Roman"/>
            <w:color w:val="auto"/>
          </w:rPr>
          <w:t>https://doi.org/10.3390/su151411107</w:t>
        </w:r>
      </w:hyperlink>
    </w:p>
    <w:p w14:paraId="523AACB3" w14:textId="4BA76084" w:rsidR="00A6671C" w:rsidRPr="00413BD1" w:rsidRDefault="00A6671C" w:rsidP="000C3BC4">
      <w:pPr>
        <w:spacing w:after="0" w:line="480" w:lineRule="auto"/>
        <w:ind w:left="567" w:hanging="567"/>
        <w:jc w:val="both"/>
        <w:rPr>
          <w:rFonts w:ascii="Times New Roman" w:hAnsi="Times New Roman" w:cs="Times New Roman"/>
        </w:rPr>
      </w:pPr>
      <w:proofErr w:type="spellStart"/>
      <w:r w:rsidRPr="00413BD1">
        <w:rPr>
          <w:rFonts w:ascii="Times New Roman" w:hAnsi="Times New Roman" w:cs="Times New Roman"/>
        </w:rPr>
        <w:t>Wilasittha</w:t>
      </w:r>
      <w:proofErr w:type="spellEnd"/>
      <w:r w:rsidRPr="00413BD1">
        <w:rPr>
          <w:rFonts w:ascii="Times New Roman" w:hAnsi="Times New Roman" w:cs="Times New Roman"/>
        </w:rPr>
        <w:t xml:space="preserve">, A. A., Putri, S. Y., &amp; </w:t>
      </w:r>
      <w:proofErr w:type="spellStart"/>
      <w:r w:rsidRPr="00413BD1">
        <w:rPr>
          <w:rFonts w:ascii="Times New Roman" w:hAnsi="Times New Roman" w:cs="Times New Roman"/>
        </w:rPr>
        <w:t>Azmiyanti</w:t>
      </w:r>
      <w:proofErr w:type="spellEnd"/>
      <w:r w:rsidRPr="00413BD1">
        <w:rPr>
          <w:rFonts w:ascii="Times New Roman" w:hAnsi="Times New Roman" w:cs="Times New Roman"/>
        </w:rPr>
        <w:t>, R. (2022). Implementation of Sustainable Development Goals in Mining Companies Listed on The Indonesia Stock Exchange in 2018-2020. </w:t>
      </w:r>
      <w:r w:rsidRPr="00413BD1">
        <w:rPr>
          <w:rFonts w:ascii="Times New Roman" w:hAnsi="Times New Roman" w:cs="Times New Roman"/>
          <w:i/>
          <w:iCs/>
        </w:rPr>
        <w:t>Nusantara Science and Technology Proceedings</w:t>
      </w:r>
      <w:r w:rsidRPr="00413BD1">
        <w:rPr>
          <w:rFonts w:ascii="Times New Roman" w:hAnsi="Times New Roman" w:cs="Times New Roman"/>
        </w:rPr>
        <w:t xml:space="preserve">, 35-42. </w:t>
      </w:r>
      <w:hyperlink r:id="rId61" w:history="1">
        <w:r w:rsidRPr="00413BD1">
          <w:rPr>
            <w:rStyle w:val="Hyperlink"/>
            <w:rFonts w:ascii="Times New Roman" w:hAnsi="Times New Roman" w:cs="Times New Roman"/>
            <w:color w:val="auto"/>
          </w:rPr>
          <w:t>https://doi.org/10.11594/nstp.2022.2306</w:t>
        </w:r>
      </w:hyperlink>
    </w:p>
    <w:p w14:paraId="30002A84"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Zamroni, A., Putri, W. E. C., &amp; Sagala, S. T. (2022a). Evaluation of Corporate Social Responsibility programs for local communities around mining companies in Kalimantan, Indonesia: environmental, economic, and social perspectives. </w:t>
      </w:r>
      <w:proofErr w:type="spellStart"/>
      <w:r w:rsidRPr="00413BD1">
        <w:rPr>
          <w:rFonts w:ascii="Times New Roman" w:hAnsi="Times New Roman" w:cs="Times New Roman"/>
          <w:i/>
          <w:iCs/>
        </w:rPr>
        <w:t>Sustinere</w:t>
      </w:r>
      <w:proofErr w:type="spellEnd"/>
      <w:r w:rsidRPr="00413BD1">
        <w:rPr>
          <w:rFonts w:ascii="Times New Roman" w:hAnsi="Times New Roman" w:cs="Times New Roman"/>
          <w:i/>
          <w:iCs/>
        </w:rPr>
        <w:t>: Journal of Environment and Sustainability</w:t>
      </w:r>
      <w:r w:rsidRPr="00413BD1">
        <w:rPr>
          <w:rFonts w:ascii="Times New Roman" w:hAnsi="Times New Roman" w:cs="Times New Roman"/>
        </w:rPr>
        <w:t>, </w:t>
      </w:r>
      <w:r w:rsidRPr="00413BD1">
        <w:rPr>
          <w:rFonts w:ascii="Times New Roman" w:hAnsi="Times New Roman" w:cs="Times New Roman"/>
          <w:i/>
          <w:iCs/>
        </w:rPr>
        <w:t>6</w:t>
      </w:r>
      <w:r w:rsidRPr="00413BD1">
        <w:rPr>
          <w:rFonts w:ascii="Times New Roman" w:hAnsi="Times New Roman" w:cs="Times New Roman"/>
        </w:rPr>
        <w:t xml:space="preserve">(1), 66-78. </w:t>
      </w:r>
      <w:hyperlink r:id="rId62" w:tgtFrame="_blank" w:history="1">
        <w:r w:rsidRPr="00413BD1">
          <w:rPr>
            <w:rStyle w:val="Hyperlink"/>
            <w:rFonts w:ascii="Times New Roman" w:hAnsi="Times New Roman" w:cs="Times New Roman"/>
            <w:color w:val="auto"/>
          </w:rPr>
          <w:t>http://orcid.org/0000-0003-1423-9963</w:t>
        </w:r>
      </w:hyperlink>
    </w:p>
    <w:p w14:paraId="116BDB7A" w14:textId="77777777" w:rsidR="00A6671C" w:rsidRPr="00413BD1" w:rsidRDefault="00A6671C" w:rsidP="000C3BC4">
      <w:pPr>
        <w:spacing w:after="0" w:line="480" w:lineRule="auto"/>
        <w:ind w:left="567" w:hanging="567"/>
        <w:jc w:val="both"/>
        <w:rPr>
          <w:rFonts w:ascii="Times New Roman" w:hAnsi="Times New Roman" w:cs="Times New Roman"/>
        </w:rPr>
      </w:pPr>
      <w:r w:rsidRPr="00413BD1">
        <w:rPr>
          <w:rFonts w:ascii="Times New Roman" w:hAnsi="Times New Roman" w:cs="Times New Roman"/>
        </w:rPr>
        <w:t xml:space="preserve">Zamroni, A., </w:t>
      </w:r>
      <w:proofErr w:type="spellStart"/>
      <w:r w:rsidRPr="00413BD1">
        <w:rPr>
          <w:rFonts w:ascii="Times New Roman" w:hAnsi="Times New Roman" w:cs="Times New Roman"/>
        </w:rPr>
        <w:t>Trisnaning</w:t>
      </w:r>
      <w:proofErr w:type="spellEnd"/>
      <w:r w:rsidRPr="00413BD1">
        <w:rPr>
          <w:rFonts w:ascii="Times New Roman" w:hAnsi="Times New Roman" w:cs="Times New Roman"/>
        </w:rPr>
        <w:t xml:space="preserve">, P. T., </w:t>
      </w:r>
      <w:proofErr w:type="spellStart"/>
      <w:r w:rsidRPr="00413BD1">
        <w:rPr>
          <w:rFonts w:ascii="Times New Roman" w:hAnsi="Times New Roman" w:cs="Times New Roman"/>
        </w:rPr>
        <w:t>Prasetya</w:t>
      </w:r>
      <w:proofErr w:type="spellEnd"/>
      <w:r w:rsidRPr="00413BD1">
        <w:rPr>
          <w:rFonts w:ascii="Times New Roman" w:hAnsi="Times New Roman" w:cs="Times New Roman"/>
        </w:rPr>
        <w:t xml:space="preserve">, H. N. E., Sagala, S. T., &amp; Putra, A. S. (2022b). geochemical characteristics and evaluation of the groundwater and surface water in limestone mining area around </w:t>
      </w:r>
      <w:proofErr w:type="spellStart"/>
      <w:r w:rsidRPr="00413BD1">
        <w:rPr>
          <w:rFonts w:ascii="Times New Roman" w:hAnsi="Times New Roman" w:cs="Times New Roman"/>
        </w:rPr>
        <w:t>Gunungkidul</w:t>
      </w:r>
      <w:proofErr w:type="spellEnd"/>
      <w:r w:rsidRPr="00413BD1">
        <w:rPr>
          <w:rFonts w:ascii="Times New Roman" w:hAnsi="Times New Roman" w:cs="Times New Roman"/>
        </w:rPr>
        <w:t xml:space="preserve"> Regency, Indonesia. </w:t>
      </w:r>
      <w:r w:rsidRPr="00413BD1">
        <w:rPr>
          <w:rFonts w:ascii="Times New Roman" w:hAnsi="Times New Roman" w:cs="Times New Roman"/>
          <w:i/>
          <w:iCs/>
        </w:rPr>
        <w:t>The Iraqi Geological Journal</w:t>
      </w:r>
      <w:r w:rsidRPr="00413BD1">
        <w:rPr>
          <w:rFonts w:ascii="Times New Roman" w:hAnsi="Times New Roman" w:cs="Times New Roman"/>
        </w:rPr>
        <w:t xml:space="preserve">, 189-198. </w:t>
      </w:r>
      <w:hyperlink r:id="rId63" w:tgtFrame="_blank" w:history="1">
        <w:r w:rsidRPr="00413BD1">
          <w:rPr>
            <w:rStyle w:val="Hyperlink"/>
            <w:rFonts w:ascii="Times New Roman" w:hAnsi="Times New Roman" w:cs="Times New Roman"/>
            <w:color w:val="auto"/>
          </w:rPr>
          <w:t>https://orcid.org/0000-0001-6058-2071</w:t>
        </w:r>
      </w:hyperlink>
    </w:p>
    <w:p w14:paraId="7E4B796B" w14:textId="388EA73B" w:rsidR="003673DA" w:rsidRPr="00413BD1" w:rsidRDefault="003673DA" w:rsidP="000C3BC4">
      <w:pPr>
        <w:spacing w:after="0" w:line="480" w:lineRule="auto"/>
        <w:ind w:left="567" w:hanging="567"/>
        <w:jc w:val="both"/>
        <w:rPr>
          <w:rFonts w:ascii="Times New Roman" w:hAnsi="Times New Roman" w:cs="Times New Roman"/>
        </w:rPr>
      </w:pPr>
    </w:p>
    <w:sectPr w:rsidR="003673DA" w:rsidRPr="00413BD1" w:rsidSect="000C3BC4">
      <w:pgSz w:w="12240" w:h="15840" w:code="1"/>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5217"/>
    <w:multiLevelType w:val="hybridMultilevel"/>
    <w:tmpl w:val="A7841F12"/>
    <w:lvl w:ilvl="0" w:tplc="F04C2378">
      <w:start w:val="1"/>
      <w:numFmt w:val="decimal"/>
      <w:lvlText w:val="%1."/>
      <w:lvlJc w:val="left"/>
      <w:pPr>
        <w:ind w:left="927" w:hanging="360"/>
      </w:pPr>
      <w:rPr>
        <w:rFonts w:hint="default"/>
      </w:rPr>
    </w:lvl>
    <w:lvl w:ilvl="1" w:tplc="034A71CA" w:tentative="1">
      <w:start w:val="1"/>
      <w:numFmt w:val="lowerLetter"/>
      <w:lvlText w:val="%2."/>
      <w:lvlJc w:val="left"/>
      <w:pPr>
        <w:ind w:left="1647" w:hanging="360"/>
      </w:pPr>
    </w:lvl>
    <w:lvl w:ilvl="2" w:tplc="D6483D24" w:tentative="1">
      <w:start w:val="1"/>
      <w:numFmt w:val="lowerRoman"/>
      <w:lvlText w:val="%3."/>
      <w:lvlJc w:val="right"/>
      <w:pPr>
        <w:ind w:left="2367" w:hanging="180"/>
      </w:pPr>
    </w:lvl>
    <w:lvl w:ilvl="3" w:tplc="17F2288C" w:tentative="1">
      <w:start w:val="1"/>
      <w:numFmt w:val="decimal"/>
      <w:lvlText w:val="%4."/>
      <w:lvlJc w:val="left"/>
      <w:pPr>
        <w:ind w:left="3087" w:hanging="360"/>
      </w:pPr>
    </w:lvl>
    <w:lvl w:ilvl="4" w:tplc="D4BA6804" w:tentative="1">
      <w:start w:val="1"/>
      <w:numFmt w:val="lowerLetter"/>
      <w:lvlText w:val="%5."/>
      <w:lvlJc w:val="left"/>
      <w:pPr>
        <w:ind w:left="3807" w:hanging="360"/>
      </w:pPr>
    </w:lvl>
    <w:lvl w:ilvl="5" w:tplc="F0C6813E" w:tentative="1">
      <w:start w:val="1"/>
      <w:numFmt w:val="lowerRoman"/>
      <w:lvlText w:val="%6."/>
      <w:lvlJc w:val="right"/>
      <w:pPr>
        <w:ind w:left="4527" w:hanging="180"/>
      </w:pPr>
    </w:lvl>
    <w:lvl w:ilvl="6" w:tplc="D046AC46" w:tentative="1">
      <w:start w:val="1"/>
      <w:numFmt w:val="decimal"/>
      <w:lvlText w:val="%7."/>
      <w:lvlJc w:val="left"/>
      <w:pPr>
        <w:ind w:left="5247" w:hanging="360"/>
      </w:pPr>
    </w:lvl>
    <w:lvl w:ilvl="7" w:tplc="915E28A4" w:tentative="1">
      <w:start w:val="1"/>
      <w:numFmt w:val="lowerLetter"/>
      <w:lvlText w:val="%8."/>
      <w:lvlJc w:val="left"/>
      <w:pPr>
        <w:ind w:left="5967" w:hanging="360"/>
      </w:pPr>
    </w:lvl>
    <w:lvl w:ilvl="8" w:tplc="841CA65C" w:tentative="1">
      <w:start w:val="1"/>
      <w:numFmt w:val="lowerRoman"/>
      <w:lvlText w:val="%9."/>
      <w:lvlJc w:val="right"/>
      <w:pPr>
        <w:ind w:left="6687" w:hanging="180"/>
      </w:pPr>
    </w:lvl>
  </w:abstractNum>
  <w:abstractNum w:abstractNumId="1" w15:restartNumberingAfterBreak="0">
    <w:nsid w:val="1041473C"/>
    <w:multiLevelType w:val="hybridMultilevel"/>
    <w:tmpl w:val="186433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212B20"/>
    <w:multiLevelType w:val="hybridMultilevel"/>
    <w:tmpl w:val="0EA40DDA"/>
    <w:lvl w:ilvl="0" w:tplc="B75CC540">
      <w:start w:val="1"/>
      <w:numFmt w:val="lowerLetter"/>
      <w:lvlText w:val="%1."/>
      <w:lvlJc w:val="left"/>
      <w:pPr>
        <w:ind w:left="720" w:hanging="360"/>
      </w:pPr>
      <w:rPr>
        <w:rFonts w:hint="default"/>
      </w:rPr>
    </w:lvl>
    <w:lvl w:ilvl="1" w:tplc="9FB80864" w:tentative="1">
      <w:start w:val="1"/>
      <w:numFmt w:val="lowerLetter"/>
      <w:lvlText w:val="%2."/>
      <w:lvlJc w:val="left"/>
      <w:pPr>
        <w:ind w:left="1440" w:hanging="360"/>
      </w:pPr>
    </w:lvl>
    <w:lvl w:ilvl="2" w:tplc="26C0E342" w:tentative="1">
      <w:start w:val="1"/>
      <w:numFmt w:val="lowerRoman"/>
      <w:lvlText w:val="%3."/>
      <w:lvlJc w:val="right"/>
      <w:pPr>
        <w:ind w:left="2160" w:hanging="180"/>
      </w:pPr>
    </w:lvl>
    <w:lvl w:ilvl="3" w:tplc="0F663BC2" w:tentative="1">
      <w:start w:val="1"/>
      <w:numFmt w:val="decimal"/>
      <w:lvlText w:val="%4."/>
      <w:lvlJc w:val="left"/>
      <w:pPr>
        <w:ind w:left="2880" w:hanging="360"/>
      </w:pPr>
    </w:lvl>
    <w:lvl w:ilvl="4" w:tplc="E4C4EF1E" w:tentative="1">
      <w:start w:val="1"/>
      <w:numFmt w:val="lowerLetter"/>
      <w:lvlText w:val="%5."/>
      <w:lvlJc w:val="left"/>
      <w:pPr>
        <w:ind w:left="3600" w:hanging="360"/>
      </w:pPr>
    </w:lvl>
    <w:lvl w:ilvl="5" w:tplc="13AE39C4" w:tentative="1">
      <w:start w:val="1"/>
      <w:numFmt w:val="lowerRoman"/>
      <w:lvlText w:val="%6."/>
      <w:lvlJc w:val="right"/>
      <w:pPr>
        <w:ind w:left="4320" w:hanging="180"/>
      </w:pPr>
    </w:lvl>
    <w:lvl w:ilvl="6" w:tplc="63A2C778" w:tentative="1">
      <w:start w:val="1"/>
      <w:numFmt w:val="decimal"/>
      <w:lvlText w:val="%7."/>
      <w:lvlJc w:val="left"/>
      <w:pPr>
        <w:ind w:left="5040" w:hanging="360"/>
      </w:pPr>
    </w:lvl>
    <w:lvl w:ilvl="7" w:tplc="D76494FA" w:tentative="1">
      <w:start w:val="1"/>
      <w:numFmt w:val="lowerLetter"/>
      <w:lvlText w:val="%8."/>
      <w:lvlJc w:val="left"/>
      <w:pPr>
        <w:ind w:left="5760" w:hanging="360"/>
      </w:pPr>
    </w:lvl>
    <w:lvl w:ilvl="8" w:tplc="AE3015F8" w:tentative="1">
      <w:start w:val="1"/>
      <w:numFmt w:val="lowerRoman"/>
      <w:lvlText w:val="%9."/>
      <w:lvlJc w:val="right"/>
      <w:pPr>
        <w:ind w:left="6480" w:hanging="180"/>
      </w:pPr>
    </w:lvl>
  </w:abstractNum>
  <w:abstractNum w:abstractNumId="3" w15:restartNumberingAfterBreak="0">
    <w:nsid w:val="2F440037"/>
    <w:multiLevelType w:val="hybridMultilevel"/>
    <w:tmpl w:val="9D56839E"/>
    <w:lvl w:ilvl="0" w:tplc="E0A6F0D2">
      <w:start w:val="4"/>
      <w:numFmt w:val="upperLetter"/>
      <w:lvlText w:val="%1."/>
      <w:lvlJc w:val="left"/>
      <w:pPr>
        <w:ind w:left="720" w:hanging="360"/>
      </w:pPr>
      <w:rPr>
        <w:rFonts w:hint="default"/>
      </w:rPr>
    </w:lvl>
    <w:lvl w:ilvl="1" w:tplc="5184B9EA" w:tentative="1">
      <w:start w:val="1"/>
      <w:numFmt w:val="lowerLetter"/>
      <w:lvlText w:val="%2."/>
      <w:lvlJc w:val="left"/>
      <w:pPr>
        <w:ind w:left="1440" w:hanging="360"/>
      </w:pPr>
    </w:lvl>
    <w:lvl w:ilvl="2" w:tplc="CE5A00EE" w:tentative="1">
      <w:start w:val="1"/>
      <w:numFmt w:val="lowerRoman"/>
      <w:lvlText w:val="%3."/>
      <w:lvlJc w:val="right"/>
      <w:pPr>
        <w:ind w:left="2160" w:hanging="180"/>
      </w:pPr>
    </w:lvl>
    <w:lvl w:ilvl="3" w:tplc="2BF26892" w:tentative="1">
      <w:start w:val="1"/>
      <w:numFmt w:val="decimal"/>
      <w:lvlText w:val="%4."/>
      <w:lvlJc w:val="left"/>
      <w:pPr>
        <w:ind w:left="2880" w:hanging="360"/>
      </w:pPr>
    </w:lvl>
    <w:lvl w:ilvl="4" w:tplc="312E0E52" w:tentative="1">
      <w:start w:val="1"/>
      <w:numFmt w:val="lowerLetter"/>
      <w:lvlText w:val="%5."/>
      <w:lvlJc w:val="left"/>
      <w:pPr>
        <w:ind w:left="3600" w:hanging="360"/>
      </w:pPr>
    </w:lvl>
    <w:lvl w:ilvl="5" w:tplc="BCCC906C" w:tentative="1">
      <w:start w:val="1"/>
      <w:numFmt w:val="lowerRoman"/>
      <w:lvlText w:val="%6."/>
      <w:lvlJc w:val="right"/>
      <w:pPr>
        <w:ind w:left="4320" w:hanging="180"/>
      </w:pPr>
    </w:lvl>
    <w:lvl w:ilvl="6" w:tplc="05D8A03E" w:tentative="1">
      <w:start w:val="1"/>
      <w:numFmt w:val="decimal"/>
      <w:lvlText w:val="%7."/>
      <w:lvlJc w:val="left"/>
      <w:pPr>
        <w:ind w:left="5040" w:hanging="360"/>
      </w:pPr>
    </w:lvl>
    <w:lvl w:ilvl="7" w:tplc="034CE3FA" w:tentative="1">
      <w:start w:val="1"/>
      <w:numFmt w:val="lowerLetter"/>
      <w:lvlText w:val="%8."/>
      <w:lvlJc w:val="left"/>
      <w:pPr>
        <w:ind w:left="5760" w:hanging="360"/>
      </w:pPr>
    </w:lvl>
    <w:lvl w:ilvl="8" w:tplc="8BC22164" w:tentative="1">
      <w:start w:val="1"/>
      <w:numFmt w:val="lowerRoman"/>
      <w:lvlText w:val="%9."/>
      <w:lvlJc w:val="right"/>
      <w:pPr>
        <w:ind w:left="6480" w:hanging="180"/>
      </w:pPr>
    </w:lvl>
  </w:abstractNum>
  <w:abstractNum w:abstractNumId="4" w15:restartNumberingAfterBreak="0">
    <w:nsid w:val="342E79A6"/>
    <w:multiLevelType w:val="hybridMultilevel"/>
    <w:tmpl w:val="3744A0DA"/>
    <w:lvl w:ilvl="0" w:tplc="7172B418">
      <w:start w:val="1"/>
      <w:numFmt w:val="decimal"/>
      <w:lvlText w:val="%1."/>
      <w:lvlJc w:val="left"/>
      <w:pPr>
        <w:ind w:left="720" w:hanging="360"/>
      </w:pPr>
      <w:rPr>
        <w:rFonts w:hint="default"/>
      </w:rPr>
    </w:lvl>
    <w:lvl w:ilvl="1" w:tplc="8A4AD106" w:tentative="1">
      <w:start w:val="1"/>
      <w:numFmt w:val="lowerLetter"/>
      <w:lvlText w:val="%2."/>
      <w:lvlJc w:val="left"/>
      <w:pPr>
        <w:ind w:left="1440" w:hanging="360"/>
      </w:pPr>
    </w:lvl>
    <w:lvl w:ilvl="2" w:tplc="7F5437E4" w:tentative="1">
      <w:start w:val="1"/>
      <w:numFmt w:val="lowerRoman"/>
      <w:lvlText w:val="%3."/>
      <w:lvlJc w:val="right"/>
      <w:pPr>
        <w:ind w:left="2160" w:hanging="180"/>
      </w:pPr>
    </w:lvl>
    <w:lvl w:ilvl="3" w:tplc="74B01034" w:tentative="1">
      <w:start w:val="1"/>
      <w:numFmt w:val="decimal"/>
      <w:lvlText w:val="%4."/>
      <w:lvlJc w:val="left"/>
      <w:pPr>
        <w:ind w:left="2880" w:hanging="360"/>
      </w:pPr>
    </w:lvl>
    <w:lvl w:ilvl="4" w:tplc="13C4849E" w:tentative="1">
      <w:start w:val="1"/>
      <w:numFmt w:val="lowerLetter"/>
      <w:lvlText w:val="%5."/>
      <w:lvlJc w:val="left"/>
      <w:pPr>
        <w:ind w:left="3600" w:hanging="360"/>
      </w:pPr>
    </w:lvl>
    <w:lvl w:ilvl="5" w:tplc="21D409E6" w:tentative="1">
      <w:start w:val="1"/>
      <w:numFmt w:val="lowerRoman"/>
      <w:lvlText w:val="%6."/>
      <w:lvlJc w:val="right"/>
      <w:pPr>
        <w:ind w:left="4320" w:hanging="180"/>
      </w:pPr>
    </w:lvl>
    <w:lvl w:ilvl="6" w:tplc="1696F6A4" w:tentative="1">
      <w:start w:val="1"/>
      <w:numFmt w:val="decimal"/>
      <w:lvlText w:val="%7."/>
      <w:lvlJc w:val="left"/>
      <w:pPr>
        <w:ind w:left="5040" w:hanging="360"/>
      </w:pPr>
    </w:lvl>
    <w:lvl w:ilvl="7" w:tplc="88B27514" w:tentative="1">
      <w:start w:val="1"/>
      <w:numFmt w:val="lowerLetter"/>
      <w:lvlText w:val="%8."/>
      <w:lvlJc w:val="left"/>
      <w:pPr>
        <w:ind w:left="5760" w:hanging="360"/>
      </w:pPr>
    </w:lvl>
    <w:lvl w:ilvl="8" w:tplc="0CC2D8A6" w:tentative="1">
      <w:start w:val="1"/>
      <w:numFmt w:val="lowerRoman"/>
      <w:lvlText w:val="%9."/>
      <w:lvlJc w:val="right"/>
      <w:pPr>
        <w:ind w:left="6480" w:hanging="180"/>
      </w:pPr>
    </w:lvl>
  </w:abstractNum>
  <w:abstractNum w:abstractNumId="5" w15:restartNumberingAfterBreak="0">
    <w:nsid w:val="36115ED4"/>
    <w:multiLevelType w:val="hybridMultilevel"/>
    <w:tmpl w:val="C504AA3E"/>
    <w:lvl w:ilvl="0" w:tplc="BB22BB5C">
      <w:start w:val="1"/>
      <w:numFmt w:val="upperLetter"/>
      <w:lvlText w:val="%1."/>
      <w:lvlJc w:val="left"/>
      <w:pPr>
        <w:ind w:left="720" w:hanging="360"/>
      </w:pPr>
      <w:rPr>
        <w:rFonts w:hint="default"/>
      </w:rPr>
    </w:lvl>
    <w:lvl w:ilvl="1" w:tplc="3DCE5604" w:tentative="1">
      <w:start w:val="1"/>
      <w:numFmt w:val="lowerLetter"/>
      <w:lvlText w:val="%2."/>
      <w:lvlJc w:val="left"/>
      <w:pPr>
        <w:ind w:left="1440" w:hanging="360"/>
      </w:pPr>
    </w:lvl>
    <w:lvl w:ilvl="2" w:tplc="2DD48D36" w:tentative="1">
      <w:start w:val="1"/>
      <w:numFmt w:val="lowerRoman"/>
      <w:lvlText w:val="%3."/>
      <w:lvlJc w:val="right"/>
      <w:pPr>
        <w:ind w:left="2160" w:hanging="180"/>
      </w:pPr>
    </w:lvl>
    <w:lvl w:ilvl="3" w:tplc="BFA0D708" w:tentative="1">
      <w:start w:val="1"/>
      <w:numFmt w:val="decimal"/>
      <w:lvlText w:val="%4."/>
      <w:lvlJc w:val="left"/>
      <w:pPr>
        <w:ind w:left="2880" w:hanging="360"/>
      </w:pPr>
    </w:lvl>
    <w:lvl w:ilvl="4" w:tplc="DF1CE044" w:tentative="1">
      <w:start w:val="1"/>
      <w:numFmt w:val="lowerLetter"/>
      <w:lvlText w:val="%5."/>
      <w:lvlJc w:val="left"/>
      <w:pPr>
        <w:ind w:left="3600" w:hanging="360"/>
      </w:pPr>
    </w:lvl>
    <w:lvl w:ilvl="5" w:tplc="1F067A08" w:tentative="1">
      <w:start w:val="1"/>
      <w:numFmt w:val="lowerRoman"/>
      <w:lvlText w:val="%6."/>
      <w:lvlJc w:val="right"/>
      <w:pPr>
        <w:ind w:left="4320" w:hanging="180"/>
      </w:pPr>
    </w:lvl>
    <w:lvl w:ilvl="6" w:tplc="0D4442AA" w:tentative="1">
      <w:start w:val="1"/>
      <w:numFmt w:val="decimal"/>
      <w:lvlText w:val="%7."/>
      <w:lvlJc w:val="left"/>
      <w:pPr>
        <w:ind w:left="5040" w:hanging="360"/>
      </w:pPr>
    </w:lvl>
    <w:lvl w:ilvl="7" w:tplc="F2A68D1E" w:tentative="1">
      <w:start w:val="1"/>
      <w:numFmt w:val="lowerLetter"/>
      <w:lvlText w:val="%8."/>
      <w:lvlJc w:val="left"/>
      <w:pPr>
        <w:ind w:left="5760" w:hanging="360"/>
      </w:pPr>
    </w:lvl>
    <w:lvl w:ilvl="8" w:tplc="4BE86756" w:tentative="1">
      <w:start w:val="1"/>
      <w:numFmt w:val="lowerRoman"/>
      <w:lvlText w:val="%9."/>
      <w:lvlJc w:val="right"/>
      <w:pPr>
        <w:ind w:left="6480" w:hanging="180"/>
      </w:pPr>
    </w:lvl>
  </w:abstractNum>
  <w:abstractNum w:abstractNumId="6" w15:restartNumberingAfterBreak="0">
    <w:nsid w:val="365C133E"/>
    <w:multiLevelType w:val="hybridMultilevel"/>
    <w:tmpl w:val="953A7804"/>
    <w:lvl w:ilvl="0" w:tplc="9A482A0E">
      <w:start w:val="4"/>
      <w:numFmt w:val="upperLetter"/>
      <w:lvlText w:val="%1."/>
      <w:lvlJc w:val="left"/>
      <w:pPr>
        <w:ind w:left="720" w:hanging="360"/>
      </w:pPr>
      <w:rPr>
        <w:rFonts w:hint="default"/>
      </w:rPr>
    </w:lvl>
    <w:lvl w:ilvl="1" w:tplc="D988E38E" w:tentative="1">
      <w:start w:val="1"/>
      <w:numFmt w:val="lowerLetter"/>
      <w:lvlText w:val="%2."/>
      <w:lvlJc w:val="left"/>
      <w:pPr>
        <w:ind w:left="1440" w:hanging="360"/>
      </w:pPr>
    </w:lvl>
    <w:lvl w:ilvl="2" w:tplc="3EF6C786" w:tentative="1">
      <w:start w:val="1"/>
      <w:numFmt w:val="lowerRoman"/>
      <w:lvlText w:val="%3."/>
      <w:lvlJc w:val="right"/>
      <w:pPr>
        <w:ind w:left="2160" w:hanging="180"/>
      </w:pPr>
    </w:lvl>
    <w:lvl w:ilvl="3" w:tplc="E5881B16" w:tentative="1">
      <w:start w:val="1"/>
      <w:numFmt w:val="decimal"/>
      <w:lvlText w:val="%4."/>
      <w:lvlJc w:val="left"/>
      <w:pPr>
        <w:ind w:left="2880" w:hanging="360"/>
      </w:pPr>
    </w:lvl>
    <w:lvl w:ilvl="4" w:tplc="715082BC" w:tentative="1">
      <w:start w:val="1"/>
      <w:numFmt w:val="lowerLetter"/>
      <w:lvlText w:val="%5."/>
      <w:lvlJc w:val="left"/>
      <w:pPr>
        <w:ind w:left="3600" w:hanging="360"/>
      </w:pPr>
    </w:lvl>
    <w:lvl w:ilvl="5" w:tplc="04C69DAA" w:tentative="1">
      <w:start w:val="1"/>
      <w:numFmt w:val="lowerRoman"/>
      <w:lvlText w:val="%6."/>
      <w:lvlJc w:val="right"/>
      <w:pPr>
        <w:ind w:left="4320" w:hanging="180"/>
      </w:pPr>
    </w:lvl>
    <w:lvl w:ilvl="6" w:tplc="EEDC0D46" w:tentative="1">
      <w:start w:val="1"/>
      <w:numFmt w:val="decimal"/>
      <w:lvlText w:val="%7."/>
      <w:lvlJc w:val="left"/>
      <w:pPr>
        <w:ind w:left="5040" w:hanging="360"/>
      </w:pPr>
    </w:lvl>
    <w:lvl w:ilvl="7" w:tplc="B9A8F97E" w:tentative="1">
      <w:start w:val="1"/>
      <w:numFmt w:val="lowerLetter"/>
      <w:lvlText w:val="%8."/>
      <w:lvlJc w:val="left"/>
      <w:pPr>
        <w:ind w:left="5760" w:hanging="360"/>
      </w:pPr>
    </w:lvl>
    <w:lvl w:ilvl="8" w:tplc="1E646DA4" w:tentative="1">
      <w:start w:val="1"/>
      <w:numFmt w:val="lowerRoman"/>
      <w:lvlText w:val="%9."/>
      <w:lvlJc w:val="right"/>
      <w:pPr>
        <w:ind w:left="6480" w:hanging="180"/>
      </w:pPr>
    </w:lvl>
  </w:abstractNum>
  <w:abstractNum w:abstractNumId="7" w15:restartNumberingAfterBreak="0">
    <w:nsid w:val="447341B2"/>
    <w:multiLevelType w:val="hybridMultilevel"/>
    <w:tmpl w:val="5FE6944C"/>
    <w:lvl w:ilvl="0" w:tplc="7A60536A">
      <w:start w:val="5"/>
      <w:numFmt w:val="lowerLetter"/>
      <w:lvlText w:val="%1."/>
      <w:lvlJc w:val="left"/>
      <w:pPr>
        <w:ind w:left="720" w:hanging="360"/>
      </w:pPr>
      <w:rPr>
        <w:rFonts w:hint="default"/>
      </w:rPr>
    </w:lvl>
    <w:lvl w:ilvl="1" w:tplc="629EC7E6" w:tentative="1">
      <w:start w:val="1"/>
      <w:numFmt w:val="lowerLetter"/>
      <w:lvlText w:val="%2."/>
      <w:lvlJc w:val="left"/>
      <w:pPr>
        <w:ind w:left="1440" w:hanging="360"/>
      </w:pPr>
    </w:lvl>
    <w:lvl w:ilvl="2" w:tplc="75A25606" w:tentative="1">
      <w:start w:val="1"/>
      <w:numFmt w:val="lowerRoman"/>
      <w:lvlText w:val="%3."/>
      <w:lvlJc w:val="right"/>
      <w:pPr>
        <w:ind w:left="2160" w:hanging="180"/>
      </w:pPr>
    </w:lvl>
    <w:lvl w:ilvl="3" w:tplc="815E8FEA" w:tentative="1">
      <w:start w:val="1"/>
      <w:numFmt w:val="decimal"/>
      <w:lvlText w:val="%4."/>
      <w:lvlJc w:val="left"/>
      <w:pPr>
        <w:ind w:left="2880" w:hanging="360"/>
      </w:pPr>
    </w:lvl>
    <w:lvl w:ilvl="4" w:tplc="AF00238A" w:tentative="1">
      <w:start w:val="1"/>
      <w:numFmt w:val="lowerLetter"/>
      <w:lvlText w:val="%5."/>
      <w:lvlJc w:val="left"/>
      <w:pPr>
        <w:ind w:left="3600" w:hanging="360"/>
      </w:pPr>
    </w:lvl>
    <w:lvl w:ilvl="5" w:tplc="B6F6872E" w:tentative="1">
      <w:start w:val="1"/>
      <w:numFmt w:val="lowerRoman"/>
      <w:lvlText w:val="%6."/>
      <w:lvlJc w:val="right"/>
      <w:pPr>
        <w:ind w:left="4320" w:hanging="180"/>
      </w:pPr>
    </w:lvl>
    <w:lvl w:ilvl="6" w:tplc="72B4E552" w:tentative="1">
      <w:start w:val="1"/>
      <w:numFmt w:val="decimal"/>
      <w:lvlText w:val="%7."/>
      <w:lvlJc w:val="left"/>
      <w:pPr>
        <w:ind w:left="5040" w:hanging="360"/>
      </w:pPr>
    </w:lvl>
    <w:lvl w:ilvl="7" w:tplc="138E953A" w:tentative="1">
      <w:start w:val="1"/>
      <w:numFmt w:val="lowerLetter"/>
      <w:lvlText w:val="%8."/>
      <w:lvlJc w:val="left"/>
      <w:pPr>
        <w:ind w:left="5760" w:hanging="360"/>
      </w:pPr>
    </w:lvl>
    <w:lvl w:ilvl="8" w:tplc="6BFAEC7C" w:tentative="1">
      <w:start w:val="1"/>
      <w:numFmt w:val="lowerRoman"/>
      <w:lvlText w:val="%9."/>
      <w:lvlJc w:val="right"/>
      <w:pPr>
        <w:ind w:left="6480" w:hanging="180"/>
      </w:pPr>
    </w:lvl>
  </w:abstractNum>
  <w:abstractNum w:abstractNumId="8" w15:restartNumberingAfterBreak="0">
    <w:nsid w:val="47EB4160"/>
    <w:multiLevelType w:val="hybridMultilevel"/>
    <w:tmpl w:val="26DC4546"/>
    <w:lvl w:ilvl="0" w:tplc="9ADA0DDC">
      <w:start w:val="6"/>
      <w:numFmt w:val="lowerLetter"/>
      <w:lvlText w:val="%1."/>
      <w:lvlJc w:val="left"/>
      <w:pPr>
        <w:ind w:left="720" w:hanging="360"/>
      </w:pPr>
      <w:rPr>
        <w:rFonts w:hint="default"/>
      </w:rPr>
    </w:lvl>
    <w:lvl w:ilvl="1" w:tplc="09EE3A06" w:tentative="1">
      <w:start w:val="1"/>
      <w:numFmt w:val="lowerLetter"/>
      <w:lvlText w:val="%2."/>
      <w:lvlJc w:val="left"/>
      <w:pPr>
        <w:ind w:left="1440" w:hanging="360"/>
      </w:pPr>
    </w:lvl>
    <w:lvl w:ilvl="2" w:tplc="56FA1650" w:tentative="1">
      <w:start w:val="1"/>
      <w:numFmt w:val="lowerRoman"/>
      <w:lvlText w:val="%3."/>
      <w:lvlJc w:val="right"/>
      <w:pPr>
        <w:ind w:left="2160" w:hanging="180"/>
      </w:pPr>
    </w:lvl>
    <w:lvl w:ilvl="3" w:tplc="6EB2295E" w:tentative="1">
      <w:start w:val="1"/>
      <w:numFmt w:val="decimal"/>
      <w:lvlText w:val="%4."/>
      <w:lvlJc w:val="left"/>
      <w:pPr>
        <w:ind w:left="2880" w:hanging="360"/>
      </w:pPr>
    </w:lvl>
    <w:lvl w:ilvl="4" w:tplc="5680C3AC" w:tentative="1">
      <w:start w:val="1"/>
      <w:numFmt w:val="lowerLetter"/>
      <w:lvlText w:val="%5."/>
      <w:lvlJc w:val="left"/>
      <w:pPr>
        <w:ind w:left="3600" w:hanging="360"/>
      </w:pPr>
    </w:lvl>
    <w:lvl w:ilvl="5" w:tplc="55DC5F1E" w:tentative="1">
      <w:start w:val="1"/>
      <w:numFmt w:val="lowerRoman"/>
      <w:lvlText w:val="%6."/>
      <w:lvlJc w:val="right"/>
      <w:pPr>
        <w:ind w:left="4320" w:hanging="180"/>
      </w:pPr>
    </w:lvl>
    <w:lvl w:ilvl="6" w:tplc="81F653D0" w:tentative="1">
      <w:start w:val="1"/>
      <w:numFmt w:val="decimal"/>
      <w:lvlText w:val="%7."/>
      <w:lvlJc w:val="left"/>
      <w:pPr>
        <w:ind w:left="5040" w:hanging="360"/>
      </w:pPr>
    </w:lvl>
    <w:lvl w:ilvl="7" w:tplc="E8F6DD1E" w:tentative="1">
      <w:start w:val="1"/>
      <w:numFmt w:val="lowerLetter"/>
      <w:lvlText w:val="%8."/>
      <w:lvlJc w:val="left"/>
      <w:pPr>
        <w:ind w:left="5760" w:hanging="360"/>
      </w:pPr>
    </w:lvl>
    <w:lvl w:ilvl="8" w:tplc="80A6BF34" w:tentative="1">
      <w:start w:val="1"/>
      <w:numFmt w:val="lowerRoman"/>
      <w:lvlText w:val="%9."/>
      <w:lvlJc w:val="right"/>
      <w:pPr>
        <w:ind w:left="6480" w:hanging="180"/>
      </w:pPr>
    </w:lvl>
  </w:abstractNum>
  <w:abstractNum w:abstractNumId="9" w15:restartNumberingAfterBreak="0">
    <w:nsid w:val="48151AFB"/>
    <w:multiLevelType w:val="hybridMultilevel"/>
    <w:tmpl w:val="E5AEE966"/>
    <w:lvl w:ilvl="0" w:tplc="ED3A4C60">
      <w:start w:val="6"/>
      <w:numFmt w:val="lowerLetter"/>
      <w:lvlText w:val="%1."/>
      <w:lvlJc w:val="left"/>
      <w:pPr>
        <w:ind w:left="720" w:hanging="360"/>
      </w:pPr>
      <w:rPr>
        <w:rFonts w:hint="default"/>
      </w:rPr>
    </w:lvl>
    <w:lvl w:ilvl="1" w:tplc="4E521D98" w:tentative="1">
      <w:start w:val="1"/>
      <w:numFmt w:val="lowerLetter"/>
      <w:lvlText w:val="%2."/>
      <w:lvlJc w:val="left"/>
      <w:pPr>
        <w:ind w:left="1440" w:hanging="360"/>
      </w:pPr>
    </w:lvl>
    <w:lvl w:ilvl="2" w:tplc="B5F60C8E" w:tentative="1">
      <w:start w:val="1"/>
      <w:numFmt w:val="lowerRoman"/>
      <w:lvlText w:val="%3."/>
      <w:lvlJc w:val="right"/>
      <w:pPr>
        <w:ind w:left="2160" w:hanging="180"/>
      </w:pPr>
    </w:lvl>
    <w:lvl w:ilvl="3" w:tplc="11D205F2" w:tentative="1">
      <w:start w:val="1"/>
      <w:numFmt w:val="decimal"/>
      <w:lvlText w:val="%4."/>
      <w:lvlJc w:val="left"/>
      <w:pPr>
        <w:ind w:left="2880" w:hanging="360"/>
      </w:pPr>
    </w:lvl>
    <w:lvl w:ilvl="4" w:tplc="7B48F4B8" w:tentative="1">
      <w:start w:val="1"/>
      <w:numFmt w:val="lowerLetter"/>
      <w:lvlText w:val="%5."/>
      <w:lvlJc w:val="left"/>
      <w:pPr>
        <w:ind w:left="3600" w:hanging="360"/>
      </w:pPr>
    </w:lvl>
    <w:lvl w:ilvl="5" w:tplc="FAF4FD24" w:tentative="1">
      <w:start w:val="1"/>
      <w:numFmt w:val="lowerRoman"/>
      <w:lvlText w:val="%6."/>
      <w:lvlJc w:val="right"/>
      <w:pPr>
        <w:ind w:left="4320" w:hanging="180"/>
      </w:pPr>
    </w:lvl>
    <w:lvl w:ilvl="6" w:tplc="E8DCC910" w:tentative="1">
      <w:start w:val="1"/>
      <w:numFmt w:val="decimal"/>
      <w:lvlText w:val="%7."/>
      <w:lvlJc w:val="left"/>
      <w:pPr>
        <w:ind w:left="5040" w:hanging="360"/>
      </w:pPr>
    </w:lvl>
    <w:lvl w:ilvl="7" w:tplc="E19EF14E" w:tentative="1">
      <w:start w:val="1"/>
      <w:numFmt w:val="lowerLetter"/>
      <w:lvlText w:val="%8."/>
      <w:lvlJc w:val="left"/>
      <w:pPr>
        <w:ind w:left="5760" w:hanging="360"/>
      </w:pPr>
    </w:lvl>
    <w:lvl w:ilvl="8" w:tplc="C7F6C75E" w:tentative="1">
      <w:start w:val="1"/>
      <w:numFmt w:val="lowerRoman"/>
      <w:lvlText w:val="%9."/>
      <w:lvlJc w:val="right"/>
      <w:pPr>
        <w:ind w:left="6480" w:hanging="180"/>
      </w:pPr>
    </w:lvl>
  </w:abstractNum>
  <w:abstractNum w:abstractNumId="10" w15:restartNumberingAfterBreak="0">
    <w:nsid w:val="4E5F47A7"/>
    <w:multiLevelType w:val="multilevel"/>
    <w:tmpl w:val="4BA6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4716DF"/>
    <w:multiLevelType w:val="hybridMultilevel"/>
    <w:tmpl w:val="E0C0A25C"/>
    <w:lvl w:ilvl="0" w:tplc="8FA2C8F4">
      <w:start w:val="1"/>
      <w:numFmt w:val="decimal"/>
      <w:lvlText w:val="%1."/>
      <w:lvlJc w:val="left"/>
      <w:pPr>
        <w:ind w:left="720" w:hanging="360"/>
      </w:pPr>
      <w:rPr>
        <w:rFonts w:hint="default"/>
      </w:rPr>
    </w:lvl>
    <w:lvl w:ilvl="1" w:tplc="BA223700" w:tentative="1">
      <w:start w:val="1"/>
      <w:numFmt w:val="lowerLetter"/>
      <w:lvlText w:val="%2."/>
      <w:lvlJc w:val="left"/>
      <w:pPr>
        <w:ind w:left="1440" w:hanging="360"/>
      </w:pPr>
    </w:lvl>
    <w:lvl w:ilvl="2" w:tplc="8C16D064" w:tentative="1">
      <w:start w:val="1"/>
      <w:numFmt w:val="lowerRoman"/>
      <w:lvlText w:val="%3."/>
      <w:lvlJc w:val="right"/>
      <w:pPr>
        <w:ind w:left="2160" w:hanging="180"/>
      </w:pPr>
    </w:lvl>
    <w:lvl w:ilvl="3" w:tplc="206C26DC" w:tentative="1">
      <w:start w:val="1"/>
      <w:numFmt w:val="decimal"/>
      <w:lvlText w:val="%4."/>
      <w:lvlJc w:val="left"/>
      <w:pPr>
        <w:ind w:left="2880" w:hanging="360"/>
      </w:pPr>
    </w:lvl>
    <w:lvl w:ilvl="4" w:tplc="11D0D1EC" w:tentative="1">
      <w:start w:val="1"/>
      <w:numFmt w:val="lowerLetter"/>
      <w:lvlText w:val="%5."/>
      <w:lvlJc w:val="left"/>
      <w:pPr>
        <w:ind w:left="3600" w:hanging="360"/>
      </w:pPr>
    </w:lvl>
    <w:lvl w:ilvl="5" w:tplc="C7B4FAFA" w:tentative="1">
      <w:start w:val="1"/>
      <w:numFmt w:val="lowerRoman"/>
      <w:lvlText w:val="%6."/>
      <w:lvlJc w:val="right"/>
      <w:pPr>
        <w:ind w:left="4320" w:hanging="180"/>
      </w:pPr>
    </w:lvl>
    <w:lvl w:ilvl="6" w:tplc="F932A752" w:tentative="1">
      <w:start w:val="1"/>
      <w:numFmt w:val="decimal"/>
      <w:lvlText w:val="%7."/>
      <w:lvlJc w:val="left"/>
      <w:pPr>
        <w:ind w:left="5040" w:hanging="360"/>
      </w:pPr>
    </w:lvl>
    <w:lvl w:ilvl="7" w:tplc="927409BA" w:tentative="1">
      <w:start w:val="1"/>
      <w:numFmt w:val="lowerLetter"/>
      <w:lvlText w:val="%8."/>
      <w:lvlJc w:val="left"/>
      <w:pPr>
        <w:ind w:left="5760" w:hanging="360"/>
      </w:pPr>
    </w:lvl>
    <w:lvl w:ilvl="8" w:tplc="A6B056A4" w:tentative="1">
      <w:start w:val="1"/>
      <w:numFmt w:val="lowerRoman"/>
      <w:lvlText w:val="%9."/>
      <w:lvlJc w:val="right"/>
      <w:pPr>
        <w:ind w:left="6480" w:hanging="180"/>
      </w:pPr>
    </w:lvl>
  </w:abstractNum>
  <w:abstractNum w:abstractNumId="12" w15:restartNumberingAfterBreak="0">
    <w:nsid w:val="790A55BC"/>
    <w:multiLevelType w:val="hybridMultilevel"/>
    <w:tmpl w:val="40DEE8DC"/>
    <w:lvl w:ilvl="0" w:tplc="0DA4CE60">
      <w:start w:val="1"/>
      <w:numFmt w:val="lowerLetter"/>
      <w:lvlText w:val="%1."/>
      <w:lvlJc w:val="left"/>
      <w:pPr>
        <w:ind w:left="720" w:hanging="360"/>
      </w:pPr>
      <w:rPr>
        <w:rFonts w:hint="default"/>
      </w:rPr>
    </w:lvl>
    <w:lvl w:ilvl="1" w:tplc="B2DAEE6E" w:tentative="1">
      <w:start w:val="1"/>
      <w:numFmt w:val="lowerLetter"/>
      <w:lvlText w:val="%2."/>
      <w:lvlJc w:val="left"/>
      <w:pPr>
        <w:ind w:left="1440" w:hanging="360"/>
      </w:pPr>
    </w:lvl>
    <w:lvl w:ilvl="2" w:tplc="962EEDAA" w:tentative="1">
      <w:start w:val="1"/>
      <w:numFmt w:val="lowerRoman"/>
      <w:lvlText w:val="%3."/>
      <w:lvlJc w:val="right"/>
      <w:pPr>
        <w:ind w:left="2160" w:hanging="180"/>
      </w:pPr>
    </w:lvl>
    <w:lvl w:ilvl="3" w:tplc="19703B4C" w:tentative="1">
      <w:start w:val="1"/>
      <w:numFmt w:val="decimal"/>
      <w:lvlText w:val="%4."/>
      <w:lvlJc w:val="left"/>
      <w:pPr>
        <w:ind w:left="2880" w:hanging="360"/>
      </w:pPr>
    </w:lvl>
    <w:lvl w:ilvl="4" w:tplc="637E4586" w:tentative="1">
      <w:start w:val="1"/>
      <w:numFmt w:val="lowerLetter"/>
      <w:lvlText w:val="%5."/>
      <w:lvlJc w:val="left"/>
      <w:pPr>
        <w:ind w:left="3600" w:hanging="360"/>
      </w:pPr>
    </w:lvl>
    <w:lvl w:ilvl="5" w:tplc="7DC2EBF8" w:tentative="1">
      <w:start w:val="1"/>
      <w:numFmt w:val="lowerRoman"/>
      <w:lvlText w:val="%6."/>
      <w:lvlJc w:val="right"/>
      <w:pPr>
        <w:ind w:left="4320" w:hanging="180"/>
      </w:pPr>
    </w:lvl>
    <w:lvl w:ilvl="6" w:tplc="4ADE7A0A" w:tentative="1">
      <w:start w:val="1"/>
      <w:numFmt w:val="decimal"/>
      <w:lvlText w:val="%7."/>
      <w:lvlJc w:val="left"/>
      <w:pPr>
        <w:ind w:left="5040" w:hanging="360"/>
      </w:pPr>
    </w:lvl>
    <w:lvl w:ilvl="7" w:tplc="667E83D4" w:tentative="1">
      <w:start w:val="1"/>
      <w:numFmt w:val="lowerLetter"/>
      <w:lvlText w:val="%8."/>
      <w:lvlJc w:val="left"/>
      <w:pPr>
        <w:ind w:left="5760" w:hanging="360"/>
      </w:pPr>
    </w:lvl>
    <w:lvl w:ilvl="8" w:tplc="E0E8BBDC" w:tentative="1">
      <w:start w:val="1"/>
      <w:numFmt w:val="lowerRoman"/>
      <w:lvlText w:val="%9."/>
      <w:lvlJc w:val="right"/>
      <w:pPr>
        <w:ind w:left="6480" w:hanging="180"/>
      </w:pPr>
    </w:lvl>
  </w:abstractNum>
  <w:abstractNum w:abstractNumId="13" w15:restartNumberingAfterBreak="0">
    <w:nsid w:val="79ED536A"/>
    <w:multiLevelType w:val="hybridMultilevel"/>
    <w:tmpl w:val="9E8E2D26"/>
    <w:lvl w:ilvl="0" w:tplc="6ACA595C">
      <w:start w:val="1"/>
      <w:numFmt w:val="decimal"/>
      <w:lvlText w:val="%1."/>
      <w:lvlJc w:val="left"/>
      <w:pPr>
        <w:ind w:left="720" w:hanging="360"/>
      </w:pPr>
      <w:rPr>
        <w:rFonts w:hint="default"/>
      </w:rPr>
    </w:lvl>
    <w:lvl w:ilvl="1" w:tplc="83C216D6" w:tentative="1">
      <w:start w:val="1"/>
      <w:numFmt w:val="lowerLetter"/>
      <w:lvlText w:val="%2."/>
      <w:lvlJc w:val="left"/>
      <w:pPr>
        <w:ind w:left="1440" w:hanging="360"/>
      </w:pPr>
    </w:lvl>
    <w:lvl w:ilvl="2" w:tplc="92B6FCA4" w:tentative="1">
      <w:start w:val="1"/>
      <w:numFmt w:val="lowerRoman"/>
      <w:lvlText w:val="%3."/>
      <w:lvlJc w:val="right"/>
      <w:pPr>
        <w:ind w:left="2160" w:hanging="180"/>
      </w:pPr>
    </w:lvl>
    <w:lvl w:ilvl="3" w:tplc="D2CA3B5A" w:tentative="1">
      <w:start w:val="1"/>
      <w:numFmt w:val="decimal"/>
      <w:lvlText w:val="%4."/>
      <w:lvlJc w:val="left"/>
      <w:pPr>
        <w:ind w:left="2880" w:hanging="360"/>
      </w:pPr>
    </w:lvl>
    <w:lvl w:ilvl="4" w:tplc="3E62AF16" w:tentative="1">
      <w:start w:val="1"/>
      <w:numFmt w:val="lowerLetter"/>
      <w:lvlText w:val="%5."/>
      <w:lvlJc w:val="left"/>
      <w:pPr>
        <w:ind w:left="3600" w:hanging="360"/>
      </w:pPr>
    </w:lvl>
    <w:lvl w:ilvl="5" w:tplc="7936AE32" w:tentative="1">
      <w:start w:val="1"/>
      <w:numFmt w:val="lowerRoman"/>
      <w:lvlText w:val="%6."/>
      <w:lvlJc w:val="right"/>
      <w:pPr>
        <w:ind w:left="4320" w:hanging="180"/>
      </w:pPr>
    </w:lvl>
    <w:lvl w:ilvl="6" w:tplc="32625A58" w:tentative="1">
      <w:start w:val="1"/>
      <w:numFmt w:val="decimal"/>
      <w:lvlText w:val="%7."/>
      <w:lvlJc w:val="left"/>
      <w:pPr>
        <w:ind w:left="5040" w:hanging="360"/>
      </w:pPr>
    </w:lvl>
    <w:lvl w:ilvl="7" w:tplc="367237C8" w:tentative="1">
      <w:start w:val="1"/>
      <w:numFmt w:val="lowerLetter"/>
      <w:lvlText w:val="%8."/>
      <w:lvlJc w:val="left"/>
      <w:pPr>
        <w:ind w:left="5760" w:hanging="360"/>
      </w:pPr>
    </w:lvl>
    <w:lvl w:ilvl="8" w:tplc="7AE05450" w:tentative="1">
      <w:start w:val="1"/>
      <w:numFmt w:val="lowerRoman"/>
      <w:lvlText w:val="%9."/>
      <w:lvlJc w:val="right"/>
      <w:pPr>
        <w:ind w:left="6480" w:hanging="180"/>
      </w:pPr>
    </w:lvl>
  </w:abstractNum>
  <w:num w:numId="1" w16cid:durableId="1637249011">
    <w:abstractNumId w:val="13"/>
  </w:num>
  <w:num w:numId="2" w16cid:durableId="1848788574">
    <w:abstractNumId w:val="4"/>
  </w:num>
  <w:num w:numId="3" w16cid:durableId="1504736101">
    <w:abstractNumId w:val="11"/>
  </w:num>
  <w:num w:numId="4" w16cid:durableId="1342122242">
    <w:abstractNumId w:val="2"/>
  </w:num>
  <w:num w:numId="5" w16cid:durableId="1899828052">
    <w:abstractNumId w:val="5"/>
  </w:num>
  <w:num w:numId="6" w16cid:durableId="175267820">
    <w:abstractNumId w:val="9"/>
  </w:num>
  <w:num w:numId="7" w16cid:durableId="47385756">
    <w:abstractNumId w:val="12"/>
  </w:num>
  <w:num w:numId="8" w16cid:durableId="704864463">
    <w:abstractNumId w:val="3"/>
  </w:num>
  <w:num w:numId="9" w16cid:durableId="1254973027">
    <w:abstractNumId w:val="6"/>
  </w:num>
  <w:num w:numId="10" w16cid:durableId="1150250417">
    <w:abstractNumId w:val="7"/>
  </w:num>
  <w:num w:numId="11" w16cid:durableId="749078804">
    <w:abstractNumId w:val="8"/>
  </w:num>
  <w:num w:numId="12" w16cid:durableId="1975863661">
    <w:abstractNumId w:val="10"/>
  </w:num>
  <w:num w:numId="13" w16cid:durableId="808477854">
    <w:abstractNumId w:val="0"/>
  </w:num>
  <w:num w:numId="14" w16cid:durableId="894270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24"/>
    <w:rsid w:val="00036E12"/>
    <w:rsid w:val="00040BA5"/>
    <w:rsid w:val="000566FA"/>
    <w:rsid w:val="0007657D"/>
    <w:rsid w:val="00085648"/>
    <w:rsid w:val="00097105"/>
    <w:rsid w:val="000C3BC4"/>
    <w:rsid w:val="000D343F"/>
    <w:rsid w:val="000E026F"/>
    <w:rsid w:val="000F1B97"/>
    <w:rsid w:val="00107618"/>
    <w:rsid w:val="001166B8"/>
    <w:rsid w:val="00123322"/>
    <w:rsid w:val="0014365F"/>
    <w:rsid w:val="00162580"/>
    <w:rsid w:val="00173687"/>
    <w:rsid w:val="00181D44"/>
    <w:rsid w:val="001A232D"/>
    <w:rsid w:val="001B11B8"/>
    <w:rsid w:val="001B5022"/>
    <w:rsid w:val="001B5F1C"/>
    <w:rsid w:val="001C0EF4"/>
    <w:rsid w:val="001C6EEE"/>
    <w:rsid w:val="001E3CB2"/>
    <w:rsid w:val="001E44D5"/>
    <w:rsid w:val="001F3D95"/>
    <w:rsid w:val="00211D4D"/>
    <w:rsid w:val="00215459"/>
    <w:rsid w:val="00215E3C"/>
    <w:rsid w:val="00227C0E"/>
    <w:rsid w:val="00232404"/>
    <w:rsid w:val="0025495F"/>
    <w:rsid w:val="002553CF"/>
    <w:rsid w:val="002563DB"/>
    <w:rsid w:val="00272FD0"/>
    <w:rsid w:val="00285A2F"/>
    <w:rsid w:val="002861D6"/>
    <w:rsid w:val="00295503"/>
    <w:rsid w:val="002A043E"/>
    <w:rsid w:val="002E756E"/>
    <w:rsid w:val="002F7658"/>
    <w:rsid w:val="002F779A"/>
    <w:rsid w:val="00306434"/>
    <w:rsid w:val="00307E82"/>
    <w:rsid w:val="00311EBE"/>
    <w:rsid w:val="0031329E"/>
    <w:rsid w:val="0033005F"/>
    <w:rsid w:val="003304D5"/>
    <w:rsid w:val="003354AF"/>
    <w:rsid w:val="003369FB"/>
    <w:rsid w:val="00351B24"/>
    <w:rsid w:val="00360D0D"/>
    <w:rsid w:val="00364406"/>
    <w:rsid w:val="00366ABD"/>
    <w:rsid w:val="003673DA"/>
    <w:rsid w:val="0038002C"/>
    <w:rsid w:val="00390EC4"/>
    <w:rsid w:val="003C5862"/>
    <w:rsid w:val="003D2230"/>
    <w:rsid w:val="003D5128"/>
    <w:rsid w:val="003D6577"/>
    <w:rsid w:val="0040116E"/>
    <w:rsid w:val="00401924"/>
    <w:rsid w:val="00402764"/>
    <w:rsid w:val="00403EBD"/>
    <w:rsid w:val="0041097E"/>
    <w:rsid w:val="00411DC8"/>
    <w:rsid w:val="00413207"/>
    <w:rsid w:val="00413BD1"/>
    <w:rsid w:val="004157A2"/>
    <w:rsid w:val="00431447"/>
    <w:rsid w:val="004422A1"/>
    <w:rsid w:val="00451EBC"/>
    <w:rsid w:val="00452EAD"/>
    <w:rsid w:val="00474D3B"/>
    <w:rsid w:val="004831AC"/>
    <w:rsid w:val="00484A3B"/>
    <w:rsid w:val="0049050C"/>
    <w:rsid w:val="004A2AF8"/>
    <w:rsid w:val="004B7ACB"/>
    <w:rsid w:val="004C4B92"/>
    <w:rsid w:val="004D0B29"/>
    <w:rsid w:val="004D0E30"/>
    <w:rsid w:val="004D6FB6"/>
    <w:rsid w:val="004E370D"/>
    <w:rsid w:val="00501A14"/>
    <w:rsid w:val="005054C6"/>
    <w:rsid w:val="00517DFA"/>
    <w:rsid w:val="00520341"/>
    <w:rsid w:val="0052634C"/>
    <w:rsid w:val="005273D7"/>
    <w:rsid w:val="005522CE"/>
    <w:rsid w:val="00561AD3"/>
    <w:rsid w:val="005655A0"/>
    <w:rsid w:val="00574D71"/>
    <w:rsid w:val="0059332C"/>
    <w:rsid w:val="005A0730"/>
    <w:rsid w:val="005B77C2"/>
    <w:rsid w:val="005E3368"/>
    <w:rsid w:val="0061393D"/>
    <w:rsid w:val="00615834"/>
    <w:rsid w:val="006325DF"/>
    <w:rsid w:val="00637400"/>
    <w:rsid w:val="006420B3"/>
    <w:rsid w:val="00682439"/>
    <w:rsid w:val="006927F0"/>
    <w:rsid w:val="00692B8B"/>
    <w:rsid w:val="006D184D"/>
    <w:rsid w:val="006D7473"/>
    <w:rsid w:val="006F1B1A"/>
    <w:rsid w:val="006F7A4B"/>
    <w:rsid w:val="0070422F"/>
    <w:rsid w:val="00734D13"/>
    <w:rsid w:val="00737380"/>
    <w:rsid w:val="00757468"/>
    <w:rsid w:val="00772806"/>
    <w:rsid w:val="00781224"/>
    <w:rsid w:val="00786A18"/>
    <w:rsid w:val="00790AB4"/>
    <w:rsid w:val="007A2C5B"/>
    <w:rsid w:val="007A624E"/>
    <w:rsid w:val="007A6A6F"/>
    <w:rsid w:val="007B2621"/>
    <w:rsid w:val="007C0B19"/>
    <w:rsid w:val="007D1320"/>
    <w:rsid w:val="007E0381"/>
    <w:rsid w:val="007E1FF9"/>
    <w:rsid w:val="00814EF6"/>
    <w:rsid w:val="008257AC"/>
    <w:rsid w:val="00834A30"/>
    <w:rsid w:val="00834F47"/>
    <w:rsid w:val="00840ED7"/>
    <w:rsid w:val="008506D4"/>
    <w:rsid w:val="00852433"/>
    <w:rsid w:val="008912CC"/>
    <w:rsid w:val="00891FAF"/>
    <w:rsid w:val="00896F8D"/>
    <w:rsid w:val="008A1CD7"/>
    <w:rsid w:val="008B6F3C"/>
    <w:rsid w:val="008E2698"/>
    <w:rsid w:val="008F644F"/>
    <w:rsid w:val="00901D39"/>
    <w:rsid w:val="009120E2"/>
    <w:rsid w:val="00912446"/>
    <w:rsid w:val="009447E2"/>
    <w:rsid w:val="00945C0B"/>
    <w:rsid w:val="00946AC7"/>
    <w:rsid w:val="009474E2"/>
    <w:rsid w:val="00951530"/>
    <w:rsid w:val="00962C6F"/>
    <w:rsid w:val="00992974"/>
    <w:rsid w:val="00993383"/>
    <w:rsid w:val="009B0C05"/>
    <w:rsid w:val="009B4AF8"/>
    <w:rsid w:val="009B682C"/>
    <w:rsid w:val="009D2A3B"/>
    <w:rsid w:val="00A020D2"/>
    <w:rsid w:val="00A26619"/>
    <w:rsid w:val="00A523BF"/>
    <w:rsid w:val="00A53134"/>
    <w:rsid w:val="00A6077C"/>
    <w:rsid w:val="00A632D6"/>
    <w:rsid w:val="00A6671C"/>
    <w:rsid w:val="00A712DB"/>
    <w:rsid w:val="00A72037"/>
    <w:rsid w:val="00A840EB"/>
    <w:rsid w:val="00AE1B59"/>
    <w:rsid w:val="00AE1C17"/>
    <w:rsid w:val="00AE31B7"/>
    <w:rsid w:val="00AF0D59"/>
    <w:rsid w:val="00AF79EF"/>
    <w:rsid w:val="00B01D24"/>
    <w:rsid w:val="00B12052"/>
    <w:rsid w:val="00B23F30"/>
    <w:rsid w:val="00B577C1"/>
    <w:rsid w:val="00B624B3"/>
    <w:rsid w:val="00B67373"/>
    <w:rsid w:val="00B772B8"/>
    <w:rsid w:val="00B91F0E"/>
    <w:rsid w:val="00B9595E"/>
    <w:rsid w:val="00BA1E67"/>
    <w:rsid w:val="00BD0F87"/>
    <w:rsid w:val="00BD7510"/>
    <w:rsid w:val="00BF3E82"/>
    <w:rsid w:val="00BF5239"/>
    <w:rsid w:val="00C0781C"/>
    <w:rsid w:val="00C13C90"/>
    <w:rsid w:val="00C34EE2"/>
    <w:rsid w:val="00C35982"/>
    <w:rsid w:val="00C372BE"/>
    <w:rsid w:val="00C9209E"/>
    <w:rsid w:val="00C94316"/>
    <w:rsid w:val="00CA242B"/>
    <w:rsid w:val="00CA2C1E"/>
    <w:rsid w:val="00CB39C4"/>
    <w:rsid w:val="00CE7E38"/>
    <w:rsid w:val="00D02837"/>
    <w:rsid w:val="00D1012E"/>
    <w:rsid w:val="00D10D38"/>
    <w:rsid w:val="00D41D4F"/>
    <w:rsid w:val="00D4267D"/>
    <w:rsid w:val="00D42EC7"/>
    <w:rsid w:val="00D47225"/>
    <w:rsid w:val="00D63C95"/>
    <w:rsid w:val="00D74EB7"/>
    <w:rsid w:val="00DB4D2F"/>
    <w:rsid w:val="00DF1333"/>
    <w:rsid w:val="00DF4205"/>
    <w:rsid w:val="00DF520F"/>
    <w:rsid w:val="00DF6065"/>
    <w:rsid w:val="00E12637"/>
    <w:rsid w:val="00E22C74"/>
    <w:rsid w:val="00E26C95"/>
    <w:rsid w:val="00E30F10"/>
    <w:rsid w:val="00E317CA"/>
    <w:rsid w:val="00E45716"/>
    <w:rsid w:val="00E50496"/>
    <w:rsid w:val="00EC2078"/>
    <w:rsid w:val="00EE3CC5"/>
    <w:rsid w:val="00EF3D17"/>
    <w:rsid w:val="00EF58B9"/>
    <w:rsid w:val="00F12561"/>
    <w:rsid w:val="00F219A4"/>
    <w:rsid w:val="00F75C32"/>
    <w:rsid w:val="00F916E0"/>
    <w:rsid w:val="00FC7694"/>
    <w:rsid w:val="00FE1BA4"/>
    <w:rsid w:val="00FE67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4E528"/>
  <w15:chartTrackingRefBased/>
  <w15:docId w15:val="{380D50B8-FA9B-4840-8993-F1FCE20E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45C0B"/>
    <w:pPr>
      <w:ind w:left="720"/>
      <w:contextualSpacing/>
    </w:pPr>
  </w:style>
  <w:style w:type="character" w:styleId="Hyperlink">
    <w:name w:val="Hyperlink"/>
    <w:basedOn w:val="DefaultParagraphFont"/>
    <w:uiPriority w:val="99"/>
    <w:unhideWhenUsed/>
    <w:rsid w:val="00B91F0E"/>
    <w:rPr>
      <w:color w:val="0563C1" w:themeColor="hyperlink"/>
      <w:u w:val="single"/>
    </w:rPr>
  </w:style>
  <w:style w:type="character" w:styleId="UnresolvedMention">
    <w:name w:val="Unresolved Mention"/>
    <w:basedOn w:val="DefaultParagraphFont"/>
    <w:uiPriority w:val="99"/>
    <w:semiHidden/>
    <w:unhideWhenUsed/>
    <w:rsid w:val="00B91F0E"/>
    <w:rPr>
      <w:color w:val="605E5C"/>
      <w:shd w:val="clear" w:color="auto" w:fill="E1DFDD"/>
    </w:rPr>
  </w:style>
  <w:style w:type="character" w:styleId="CommentReference">
    <w:name w:val="annotation reference"/>
    <w:basedOn w:val="DefaultParagraphFont"/>
    <w:uiPriority w:val="99"/>
    <w:semiHidden/>
    <w:unhideWhenUsed/>
    <w:rsid w:val="00EF3D17"/>
    <w:rPr>
      <w:sz w:val="16"/>
      <w:szCs w:val="16"/>
    </w:rPr>
  </w:style>
  <w:style w:type="paragraph" w:styleId="CommentText">
    <w:name w:val="annotation text"/>
    <w:basedOn w:val="Normal"/>
    <w:link w:val="CommentTextChar"/>
    <w:uiPriority w:val="99"/>
    <w:semiHidden/>
    <w:unhideWhenUsed/>
    <w:rsid w:val="00EF3D17"/>
    <w:pPr>
      <w:spacing w:line="240" w:lineRule="auto"/>
    </w:pPr>
    <w:rPr>
      <w:sz w:val="20"/>
      <w:szCs w:val="20"/>
    </w:rPr>
  </w:style>
  <w:style w:type="character" w:customStyle="1" w:styleId="CommentTextChar">
    <w:name w:val="Comment Text Char"/>
    <w:basedOn w:val="DefaultParagraphFont"/>
    <w:link w:val="CommentText"/>
    <w:uiPriority w:val="99"/>
    <w:semiHidden/>
    <w:rsid w:val="00EF3D17"/>
    <w:rPr>
      <w:sz w:val="20"/>
      <w:szCs w:val="20"/>
    </w:rPr>
  </w:style>
  <w:style w:type="paragraph" w:styleId="CommentSubject">
    <w:name w:val="annotation subject"/>
    <w:basedOn w:val="CommentText"/>
    <w:next w:val="CommentText"/>
    <w:link w:val="CommentSubjectChar"/>
    <w:uiPriority w:val="99"/>
    <w:semiHidden/>
    <w:unhideWhenUsed/>
    <w:rsid w:val="00EF3D17"/>
    <w:rPr>
      <w:b/>
      <w:bCs/>
    </w:rPr>
  </w:style>
  <w:style w:type="character" w:customStyle="1" w:styleId="CommentSubjectChar">
    <w:name w:val="Comment Subject Char"/>
    <w:basedOn w:val="CommentTextChar"/>
    <w:link w:val="CommentSubject"/>
    <w:uiPriority w:val="99"/>
    <w:semiHidden/>
    <w:rsid w:val="00EF3D17"/>
    <w:rPr>
      <w:b/>
      <w:bCs/>
      <w:sz w:val="20"/>
      <w:szCs w:val="20"/>
    </w:rPr>
  </w:style>
  <w:style w:type="paragraph" w:styleId="Revision">
    <w:name w:val="Revision"/>
    <w:hidden/>
    <w:uiPriority w:val="99"/>
    <w:semiHidden/>
    <w:rsid w:val="001B5F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2/bse.1960" TargetMode="External"/><Relationship Id="rId21" Type="http://schemas.openxmlformats.org/officeDocument/2006/relationships/hyperlink" Target="https://doi.org/10.1007/978-3-031-52677-0_26" TargetMode="External"/><Relationship Id="rId34" Type="http://schemas.openxmlformats.org/officeDocument/2006/relationships/hyperlink" Target="https://doi.org/10.1063/5.0126124" TargetMode="External"/><Relationship Id="rId42" Type="http://schemas.openxmlformats.org/officeDocument/2006/relationships/hyperlink" Target="https://doi.org/10.1080/14783363.2015.1050179" TargetMode="External"/><Relationship Id="rId47" Type="http://schemas.openxmlformats.org/officeDocument/2006/relationships/hyperlink" Target="http://doi.org/10.46754/jssm.2023.10.007" TargetMode="External"/><Relationship Id="rId50" Type="http://schemas.openxmlformats.org/officeDocument/2006/relationships/hyperlink" Target="https://doi.org/10.1007/s10551-008-9737-9" TargetMode="External"/><Relationship Id="rId55" Type="http://schemas.openxmlformats.org/officeDocument/2006/relationships/hyperlink" Target="https://doi.org/10.1007/s10551-015-2862-3" TargetMode="External"/><Relationship Id="rId63" Type="http://schemas.openxmlformats.org/officeDocument/2006/relationships/hyperlink" Target="https://orcid.org/0000-0001-6058-2071" TargetMode="External"/><Relationship Id="rId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hyperlink" Target="https://doi.org/10.1177/0149206319900539" TargetMode="External"/><Relationship Id="rId29" Type="http://schemas.openxmlformats.org/officeDocument/2006/relationships/hyperlink" Target="https://doi.org/10.1121/10.0026851" TargetMode="External"/><Relationship Id="rId11" Type="http://schemas.openxmlformats.org/officeDocument/2006/relationships/hyperlink" Target="https://doi.org/10.60787/nodelj.v1i1.9" TargetMode="External"/><Relationship Id="rId24" Type="http://schemas.openxmlformats.org/officeDocument/2006/relationships/hyperlink" Target="https://doi.org/10.1007/s11625-018-0649-z" TargetMode="External"/><Relationship Id="rId32" Type="http://schemas.openxmlformats.org/officeDocument/2006/relationships/hyperlink" Target="https://doi.org/10.1007/s43621-021-00025-y" TargetMode="External"/><Relationship Id="rId37" Type="http://schemas.openxmlformats.org/officeDocument/2006/relationships/hyperlink" Target="https://doi.org/10.1016/j.bushor.2022.10.004" TargetMode="External"/><Relationship Id="rId40" Type="http://schemas.openxmlformats.org/officeDocument/2006/relationships/hyperlink" Target="https://doi.org/10.1177/1473325018786996" TargetMode="External"/><Relationship Id="rId45" Type="http://schemas.openxmlformats.org/officeDocument/2006/relationships/hyperlink" Target="https://doi.org/10.24057/2071-9388-2022-081" TargetMode="External"/><Relationship Id="rId53" Type="http://schemas.openxmlformats.org/officeDocument/2006/relationships/hyperlink" Target="https://sdgresources.relx.com/community-engagement" TargetMode="External"/><Relationship Id="rId58" Type="http://schemas.openxmlformats.org/officeDocument/2006/relationships/hyperlink" Target="https://doi.org/10.26689/erd.v6i3.6640" TargetMode="External"/><Relationship Id="rId5" Type="http://schemas.openxmlformats.org/officeDocument/2006/relationships/webSettings" Target="webSettings.xml"/><Relationship Id="rId61" Type="http://schemas.openxmlformats.org/officeDocument/2006/relationships/hyperlink" Target="https://doi.org/10.11594/nstp.2022.2306" TargetMode="External"/><Relationship Id="rId19" Type="http://schemas.openxmlformats.org/officeDocument/2006/relationships/hyperlink" Target="http://doi.org/10.46754/jssm.2021.08.025" TargetMode="External"/><Relationship Id="rId14" Type="http://schemas.openxmlformats.org/officeDocument/2006/relationships/hyperlink" Target="https://doi.org/10.1007/978-3-030-56092-8_27" TargetMode="External"/><Relationship Id="rId22" Type="http://schemas.openxmlformats.org/officeDocument/2006/relationships/hyperlink" Target="http://dx.doi.org/10.47941/jpr.1694" TargetMode="External"/><Relationship Id="rId27" Type="http://schemas.openxmlformats.org/officeDocument/2006/relationships/hyperlink" Target="https://doi.org/10.1016/j.resourpol.2012.01.002" TargetMode="External"/><Relationship Id="rId30" Type="http://schemas.openxmlformats.org/officeDocument/2006/relationships/hyperlink" Target="http://dx.doi.org/10.1002/9781119167600.ch10" TargetMode="External"/><Relationship Id="rId35" Type="http://schemas.openxmlformats.org/officeDocument/2006/relationships/hyperlink" Target="https://doi.org/10.2196/54974" TargetMode="External"/><Relationship Id="rId43" Type="http://schemas.openxmlformats.org/officeDocument/2006/relationships/hyperlink" Target="https://doi.org/10.1007/s11027-015-9698-0" TargetMode="External"/><Relationship Id="rId48" Type="http://schemas.openxmlformats.org/officeDocument/2006/relationships/hyperlink" Target="https://doi.org/10.1016/j.jbusres.2022.01.051" TargetMode="External"/><Relationship Id="rId56" Type="http://schemas.openxmlformats.org/officeDocument/2006/relationships/hyperlink" Target="https://doi.org/10.1111/dsji.12063" TargetMode="External"/><Relationship Id="rId64" Type="http://schemas.openxmlformats.org/officeDocument/2006/relationships/fontTable" Target="fontTable.xml"/><Relationship Id="rId8" Type="http://schemas.openxmlformats.org/officeDocument/2006/relationships/diagramQuickStyle" Target="diagrams/quickStyle1.xml"/><Relationship Id="rId51" Type="http://schemas.openxmlformats.org/officeDocument/2006/relationships/hyperlink" Target="https://doi.org/10.3390/su15010466" TargetMode="External"/><Relationship Id="rId3" Type="http://schemas.openxmlformats.org/officeDocument/2006/relationships/styles" Target="styles.xml"/><Relationship Id="rId12" Type="http://schemas.openxmlformats.org/officeDocument/2006/relationships/hyperlink" Target="https://doi.org/10.47175/rissj.v1i3.115" TargetMode="External"/><Relationship Id="rId17" Type="http://schemas.openxmlformats.org/officeDocument/2006/relationships/hyperlink" Target="https://doi.org/10.1108/SRJ-11-2012-0150" TargetMode="External"/><Relationship Id="rId25" Type="http://schemas.openxmlformats.org/officeDocument/2006/relationships/hyperlink" Target="http://dx.doi.org/10.1080/13241583.2016.1148869" TargetMode="External"/><Relationship Id="rId33" Type="http://schemas.openxmlformats.org/officeDocument/2006/relationships/hyperlink" Target="https://doi.org/10.3390/w13131729" TargetMode="External"/><Relationship Id="rId38" Type="http://schemas.openxmlformats.org/officeDocument/2006/relationships/hyperlink" Target="https://doi.org/10.1002/csr.2081" TargetMode="External"/><Relationship Id="rId46" Type="http://schemas.openxmlformats.org/officeDocument/2006/relationships/hyperlink" Target="https://doi.org/10.13106/jafeb.2020.vol7.no10.161" TargetMode="External"/><Relationship Id="rId59" Type="http://schemas.openxmlformats.org/officeDocument/2006/relationships/hyperlink" Target="https://doi.org/10.1080/10408347.2022.2070838" TargetMode="External"/><Relationship Id="rId20" Type="http://schemas.openxmlformats.org/officeDocument/2006/relationships/hyperlink" Target="https://doi.org/10.22495/cgsrv6i3p5" TargetMode="External"/><Relationship Id="rId41" Type="http://schemas.openxmlformats.org/officeDocument/2006/relationships/hyperlink" Target="https://doi.org/10.1016/j.cpa.2014.10.003" TargetMode="External"/><Relationship Id="rId54" Type="http://schemas.openxmlformats.org/officeDocument/2006/relationships/hyperlink" Target="https://doi.org/10.3390/toxics10070342" TargetMode="External"/><Relationship Id="rId62" Type="http://schemas.openxmlformats.org/officeDocument/2006/relationships/hyperlink" Target="http://orcid.org/0000-0003-1423-9963" TargetMode="External"/><Relationship Id="rId1" Type="http://schemas.openxmlformats.org/officeDocument/2006/relationships/customXml" Target="../customXml/item1.xml"/><Relationship Id="rId6" Type="http://schemas.openxmlformats.org/officeDocument/2006/relationships/diagramData" Target="diagrams/data1.xml"/><Relationship Id="rId15" Type="http://schemas.openxmlformats.org/officeDocument/2006/relationships/hyperlink" Target="https://doi.org/10.1016/j.heliyon.2019.e01492" TargetMode="External"/><Relationship Id="rId23" Type="http://schemas.openxmlformats.org/officeDocument/2006/relationships/hyperlink" Target="https://doi.org/10.5334/ijic.ICIC23611" TargetMode="External"/><Relationship Id="rId28" Type="http://schemas.openxmlformats.org/officeDocument/2006/relationships/hyperlink" Target="https://doi.org/10.1016/j.jclepro.2020.124082" TargetMode="External"/><Relationship Id="rId36" Type="http://schemas.openxmlformats.org/officeDocument/2006/relationships/hyperlink" Target="https://doi.org/10.1002/wat2.1224" TargetMode="External"/><Relationship Id="rId49" Type="http://schemas.openxmlformats.org/officeDocument/2006/relationships/hyperlink" Target="https://doi.org/10.56556/jtie.v3i2.953" TargetMode="External"/><Relationship Id="rId57" Type="http://schemas.openxmlformats.org/officeDocument/2006/relationships/hyperlink" Target="https://doi.org/10.3390/su16229883" TargetMode="External"/><Relationship Id="rId10" Type="http://schemas.microsoft.com/office/2007/relationships/diagramDrawing" Target="diagrams/drawing1.xml"/><Relationship Id="rId31" Type="http://schemas.openxmlformats.org/officeDocument/2006/relationships/hyperlink" Target="http://dx.doi.org/10.5267/j.uscm.2023.5.099" TargetMode="External"/><Relationship Id="rId44" Type="http://schemas.openxmlformats.org/officeDocument/2006/relationships/hyperlink" Target="http://dx.doi.org/10.15243/jdmlm.2024.114.6453" TargetMode="External"/><Relationship Id="rId52" Type="http://schemas.openxmlformats.org/officeDocument/2006/relationships/hyperlink" Target="https://doi.org/10.3390/su13147920" TargetMode="External"/><Relationship Id="rId60" Type="http://schemas.openxmlformats.org/officeDocument/2006/relationships/hyperlink" Target="https://doi.org/10.3390/su151411107"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Colors" Target="diagrams/colors1.xml"/><Relationship Id="rId13" Type="http://schemas.openxmlformats.org/officeDocument/2006/relationships/hyperlink" Target="https://doi.org/10.1007/978-3-319-97091-2_10" TargetMode="External"/><Relationship Id="rId18" Type="http://schemas.openxmlformats.org/officeDocument/2006/relationships/hyperlink" Target="https://www2.deloitte.com/content/dam/Deloitte/id/Documents/energy-resources/id-er-regulations-update-sept2024.pdf" TargetMode="External"/><Relationship Id="rId39" Type="http://schemas.openxmlformats.org/officeDocument/2006/relationships/hyperlink" Target="https://doi.org/10.16418/j.issn.1000-3045.20210705007" TargetMode="Externa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6F3B4E0-1741-419F-8326-C8FDBC0C0A20}" type="doc">
      <dgm:prSet loTypeId="urn:microsoft.com/office/officeart/2005/8/layout/cycle3#1" loCatId="cycle" qsTypeId="urn:microsoft.com/office/officeart/2005/8/quickstyle/simple1" qsCatId="simple" csTypeId="urn:microsoft.com/office/officeart/2005/8/colors/accent2_2" csCatId="accent2" phldr="1"/>
      <dgm:spPr/>
      <dgm:t>
        <a:bodyPr/>
        <a:lstStyle/>
        <a:p>
          <a:endParaRPr lang="en-PH"/>
        </a:p>
      </dgm:t>
    </dgm:pt>
    <dgm:pt modelId="{69761B65-54D9-41CA-A8E9-CEA1C4D11A16}">
      <dgm:prSet phldrT="[Text]" custT="1"/>
      <dgm:spPr/>
      <dgm:t>
        <a:bodyPr/>
        <a:lstStyle/>
        <a:p>
          <a:r>
            <a:rPr lang="en-PH" sz="1200" b="1">
              <a:latin typeface="Arial Rounded MT Bold" panose="020F0704030504030204" pitchFamily="34" charset="0"/>
            </a:rPr>
            <a:t>INPUT</a:t>
          </a:r>
        </a:p>
        <a:p>
          <a:r>
            <a:rPr lang="en-PH" sz="900"/>
            <a:t>Corporate Resources, Policies, Stakeholder Engagement</a:t>
          </a:r>
        </a:p>
      </dgm:t>
    </dgm:pt>
    <dgm:pt modelId="{023625B8-3F40-4ADF-8420-B78CFF9CEEE3}" type="parTrans" cxnId="{12C61479-3AA7-4380-B640-D960BA8377BB}">
      <dgm:prSet/>
      <dgm:spPr/>
      <dgm:t>
        <a:bodyPr/>
        <a:lstStyle/>
        <a:p>
          <a:endParaRPr lang="en-PH"/>
        </a:p>
      </dgm:t>
    </dgm:pt>
    <dgm:pt modelId="{3B824FA2-7B86-43A3-8BBA-AFC4319F0E60}" type="sibTrans" cxnId="{12C61479-3AA7-4380-B640-D960BA8377BB}">
      <dgm:prSet/>
      <dgm:spPr/>
      <dgm:t>
        <a:bodyPr/>
        <a:lstStyle/>
        <a:p>
          <a:endParaRPr lang="en-PH"/>
        </a:p>
      </dgm:t>
    </dgm:pt>
    <dgm:pt modelId="{0FF0A514-9AC4-42F0-93B6-F5723041531A}">
      <dgm:prSet phldrT="[Text]" custT="1"/>
      <dgm:spPr/>
      <dgm:t>
        <a:bodyPr/>
        <a:lstStyle/>
        <a:p>
          <a:r>
            <a:rPr lang="en-PH" sz="1200" b="1">
              <a:latin typeface="Arial Rounded MT Bold" panose="020F0704030504030204" pitchFamily="34" charset="0"/>
            </a:rPr>
            <a:t>PROCESS</a:t>
          </a:r>
          <a:endParaRPr lang="en-PH" sz="900" b="1">
            <a:latin typeface="Arial Rounded MT Bold" panose="020F0704030504030204" pitchFamily="34" charset="0"/>
          </a:endParaRPr>
        </a:p>
        <a:p>
          <a:r>
            <a:rPr lang="en-PH" sz="900"/>
            <a:t>CSR Initiatives: Water Access, Sanitation, Ecosystem Restoration, Innovation</a:t>
          </a:r>
          <a:endParaRPr lang="en-PH" sz="900" b="1"/>
        </a:p>
      </dgm:t>
    </dgm:pt>
    <dgm:pt modelId="{7FDD8DC7-C15C-4D01-A149-C7FD5550DCCD}" type="parTrans" cxnId="{2D6EC639-4EE5-4DB7-8F69-8C2A738AF6EF}">
      <dgm:prSet/>
      <dgm:spPr/>
      <dgm:t>
        <a:bodyPr/>
        <a:lstStyle/>
        <a:p>
          <a:endParaRPr lang="en-PH"/>
        </a:p>
      </dgm:t>
    </dgm:pt>
    <dgm:pt modelId="{B0C865F9-4382-4E2E-994E-29630A8157EE}" type="sibTrans" cxnId="{2D6EC639-4EE5-4DB7-8F69-8C2A738AF6EF}">
      <dgm:prSet/>
      <dgm:spPr/>
      <dgm:t>
        <a:bodyPr/>
        <a:lstStyle/>
        <a:p>
          <a:endParaRPr lang="en-PH"/>
        </a:p>
      </dgm:t>
    </dgm:pt>
    <dgm:pt modelId="{15F97D52-7CC0-4BC7-BA2B-244D50A17A88}">
      <dgm:prSet phldrT="[Text]" custT="1"/>
      <dgm:spPr/>
      <dgm:t>
        <a:bodyPr/>
        <a:lstStyle/>
        <a:p>
          <a:r>
            <a:rPr lang="en-PH" sz="1200" b="1">
              <a:latin typeface="Arial Rounded MT Bold" panose="020F0704030504030204" pitchFamily="34" charset="0"/>
            </a:rPr>
            <a:t>OUTPUT</a:t>
          </a:r>
          <a:endParaRPr lang="en-PH" sz="800" b="1">
            <a:latin typeface="Arial Rounded MT Bold" panose="020F0704030504030204" pitchFamily="34" charset="0"/>
          </a:endParaRPr>
        </a:p>
        <a:p>
          <a:r>
            <a:rPr lang="en-PH" sz="900"/>
            <a:t>Enhanced Water and Sanitation Services, Biodiversity Conservation</a:t>
          </a:r>
          <a:endParaRPr lang="en-PH" sz="800"/>
        </a:p>
      </dgm:t>
    </dgm:pt>
    <dgm:pt modelId="{C685909B-6D9A-4A0E-8D55-5CC73D47A9CA}" type="parTrans" cxnId="{3EDA98CD-6C9C-43C3-AFC1-FAD260BBDE81}">
      <dgm:prSet/>
      <dgm:spPr/>
      <dgm:t>
        <a:bodyPr/>
        <a:lstStyle/>
        <a:p>
          <a:endParaRPr lang="en-PH"/>
        </a:p>
      </dgm:t>
    </dgm:pt>
    <dgm:pt modelId="{C628FE70-A043-4EFF-8354-CCFB2D961348}" type="sibTrans" cxnId="{3EDA98CD-6C9C-43C3-AFC1-FAD260BBDE81}">
      <dgm:prSet/>
      <dgm:spPr/>
      <dgm:t>
        <a:bodyPr/>
        <a:lstStyle/>
        <a:p>
          <a:endParaRPr lang="en-PH"/>
        </a:p>
      </dgm:t>
    </dgm:pt>
    <dgm:pt modelId="{8ED011C5-B662-462C-9B3F-5C9A7C9C36ED}">
      <dgm:prSet phldrT="[Text]" custT="1"/>
      <dgm:spPr/>
      <dgm:t>
        <a:bodyPr/>
        <a:lstStyle/>
        <a:p>
          <a:r>
            <a:rPr lang="en-PH" sz="1200" b="1">
              <a:latin typeface="Arial Rounded MT Bold" panose="020F0704030504030204" pitchFamily="34" charset="0"/>
            </a:rPr>
            <a:t>OUTCOME</a:t>
          </a:r>
        </a:p>
        <a:p>
          <a:r>
            <a:rPr lang="en-PH" sz="900"/>
            <a:t>Sustainable Development, Community Empowerment</a:t>
          </a:r>
        </a:p>
      </dgm:t>
    </dgm:pt>
    <dgm:pt modelId="{9BDD8CB3-D689-438E-9145-F1C02B76D4A6}" type="parTrans" cxnId="{70E71ED6-2C34-46EB-85C9-F40955F486B0}">
      <dgm:prSet/>
      <dgm:spPr/>
      <dgm:t>
        <a:bodyPr/>
        <a:lstStyle/>
        <a:p>
          <a:endParaRPr lang="en-PH"/>
        </a:p>
      </dgm:t>
    </dgm:pt>
    <dgm:pt modelId="{4FCB6042-AADB-466B-9BC1-BEC92F14392F}" type="sibTrans" cxnId="{70E71ED6-2C34-46EB-85C9-F40955F486B0}">
      <dgm:prSet/>
      <dgm:spPr/>
      <dgm:t>
        <a:bodyPr/>
        <a:lstStyle/>
        <a:p>
          <a:endParaRPr lang="en-PH"/>
        </a:p>
      </dgm:t>
    </dgm:pt>
    <dgm:pt modelId="{7FCA40EF-16B7-4472-96C7-B2BBCE5C29AD}">
      <dgm:prSet phldrT="[Text]" custT="1"/>
      <dgm:spPr/>
      <dgm:t>
        <a:bodyPr/>
        <a:lstStyle/>
        <a:p>
          <a:r>
            <a:rPr lang="en-PH" sz="1200" b="1">
              <a:latin typeface="Arial Rounded MT Bold" panose="020F0704030504030204" pitchFamily="34" charset="0"/>
            </a:rPr>
            <a:t>FEEDBACK LOOP</a:t>
          </a:r>
          <a:endParaRPr lang="en-PH" sz="900" b="1">
            <a:latin typeface="Arial Rounded MT Bold" panose="020F0704030504030204" pitchFamily="34" charset="0"/>
          </a:endParaRPr>
        </a:p>
        <a:p>
          <a:r>
            <a:rPr lang="en-PH" sz="1000"/>
            <a:t>Evaluation and Refinement</a:t>
          </a:r>
        </a:p>
      </dgm:t>
    </dgm:pt>
    <dgm:pt modelId="{B9A9BA98-DEE0-4EC4-8277-B066E0A7F572}" type="parTrans" cxnId="{A640D48B-C035-456F-A2E4-D099FEA45878}">
      <dgm:prSet/>
      <dgm:spPr/>
      <dgm:t>
        <a:bodyPr/>
        <a:lstStyle/>
        <a:p>
          <a:endParaRPr lang="en-PH"/>
        </a:p>
      </dgm:t>
    </dgm:pt>
    <dgm:pt modelId="{DDD5CA93-E6A0-4F8A-8538-5FC959BF06B3}" type="sibTrans" cxnId="{A640D48B-C035-456F-A2E4-D099FEA45878}">
      <dgm:prSet/>
      <dgm:spPr/>
      <dgm:t>
        <a:bodyPr/>
        <a:lstStyle/>
        <a:p>
          <a:endParaRPr lang="en-PH"/>
        </a:p>
      </dgm:t>
    </dgm:pt>
    <dgm:pt modelId="{E8F681B2-DD66-456B-B30B-674BBBCB4559}" type="pres">
      <dgm:prSet presAssocID="{D6F3B4E0-1741-419F-8326-C8FDBC0C0A20}" presName="Name0" presStyleCnt="0">
        <dgm:presLayoutVars>
          <dgm:dir/>
          <dgm:resizeHandles val="exact"/>
        </dgm:presLayoutVars>
      </dgm:prSet>
      <dgm:spPr/>
    </dgm:pt>
    <dgm:pt modelId="{4663FF44-F5D9-4AF5-A24F-F357AFA994CD}" type="pres">
      <dgm:prSet presAssocID="{D6F3B4E0-1741-419F-8326-C8FDBC0C0A20}" presName="cycle" presStyleCnt="0"/>
      <dgm:spPr/>
    </dgm:pt>
    <dgm:pt modelId="{E43743BB-0394-403D-AEED-A4240ACB41F9}" type="pres">
      <dgm:prSet presAssocID="{69761B65-54D9-41CA-A8E9-CEA1C4D11A16}" presName="nodeFirstNode" presStyleLbl="node1" presStyleIdx="0" presStyleCnt="5" custRadScaleRad="100073" custRadScaleInc="1998">
        <dgm:presLayoutVars>
          <dgm:bulletEnabled val="1"/>
        </dgm:presLayoutVars>
      </dgm:prSet>
      <dgm:spPr/>
    </dgm:pt>
    <dgm:pt modelId="{B59167F9-73DC-425F-B514-C7B89DDDAB70}" type="pres">
      <dgm:prSet presAssocID="{3B824FA2-7B86-43A3-8BBA-AFC4319F0E60}" presName="sibTransFirstNode" presStyleLbl="bgShp" presStyleIdx="0" presStyleCnt="1"/>
      <dgm:spPr/>
    </dgm:pt>
    <dgm:pt modelId="{55FDD486-CBBA-45FA-B874-5F9923627BC1}" type="pres">
      <dgm:prSet presAssocID="{0FF0A514-9AC4-42F0-93B6-F5723041531A}" presName="nodeFollowingNodes" presStyleLbl="node1" presStyleIdx="1" presStyleCnt="5" custScaleX="104883">
        <dgm:presLayoutVars>
          <dgm:bulletEnabled val="1"/>
        </dgm:presLayoutVars>
      </dgm:prSet>
      <dgm:spPr/>
    </dgm:pt>
    <dgm:pt modelId="{1B0500CC-30FA-42F1-8AB6-CF636E6431BB}" type="pres">
      <dgm:prSet presAssocID="{15F97D52-7CC0-4BC7-BA2B-244D50A17A88}" presName="nodeFollowingNodes" presStyleLbl="node1" presStyleIdx="2" presStyleCnt="5" custRadScaleRad="109431" custRadScaleInc="-26390">
        <dgm:presLayoutVars>
          <dgm:bulletEnabled val="1"/>
        </dgm:presLayoutVars>
      </dgm:prSet>
      <dgm:spPr/>
    </dgm:pt>
    <dgm:pt modelId="{50C7DD0D-1F16-4119-AAFB-FAF4475A5CBE}" type="pres">
      <dgm:prSet presAssocID="{8ED011C5-B662-462C-9B3F-5C9A7C9C36ED}" presName="nodeFollowingNodes" presStyleLbl="node1" presStyleIdx="3" presStyleCnt="5" custRadScaleRad="109565" custRadScaleInc="23344">
        <dgm:presLayoutVars>
          <dgm:bulletEnabled val="1"/>
        </dgm:presLayoutVars>
      </dgm:prSet>
      <dgm:spPr/>
    </dgm:pt>
    <dgm:pt modelId="{9773C6E8-3991-4B22-AE29-9BFDB1EBC8E5}" type="pres">
      <dgm:prSet presAssocID="{7FCA40EF-16B7-4472-96C7-B2BBCE5C29AD}" presName="nodeFollowingNodes" presStyleLbl="node1" presStyleIdx="4" presStyleCnt="5" custScaleX="110206" custRadScaleRad="101996" custRadScaleInc="-607">
        <dgm:presLayoutVars>
          <dgm:bulletEnabled val="1"/>
        </dgm:presLayoutVars>
      </dgm:prSet>
      <dgm:spPr/>
    </dgm:pt>
  </dgm:ptLst>
  <dgm:cxnLst>
    <dgm:cxn modelId="{B14E171B-BCDF-4A16-A35E-8AD3389F05E6}" type="presOf" srcId="{15F97D52-7CC0-4BC7-BA2B-244D50A17A88}" destId="{1B0500CC-30FA-42F1-8AB6-CF636E6431BB}" srcOrd="0" destOrd="0" presId="urn:microsoft.com/office/officeart/2005/8/layout/cycle3#1"/>
    <dgm:cxn modelId="{2D6EC639-4EE5-4DB7-8F69-8C2A738AF6EF}" srcId="{D6F3B4E0-1741-419F-8326-C8FDBC0C0A20}" destId="{0FF0A514-9AC4-42F0-93B6-F5723041531A}" srcOrd="1" destOrd="0" parTransId="{7FDD8DC7-C15C-4D01-A149-C7FD5550DCCD}" sibTransId="{B0C865F9-4382-4E2E-994E-29630A8157EE}"/>
    <dgm:cxn modelId="{ABA47574-30EA-4BD7-807D-7DF6B336B2F6}" type="presOf" srcId="{3B824FA2-7B86-43A3-8BBA-AFC4319F0E60}" destId="{B59167F9-73DC-425F-B514-C7B89DDDAB70}" srcOrd="0" destOrd="0" presId="urn:microsoft.com/office/officeart/2005/8/layout/cycle3#1"/>
    <dgm:cxn modelId="{08784D58-8C17-45DE-8F1C-AA598D0A801C}" type="presOf" srcId="{0FF0A514-9AC4-42F0-93B6-F5723041531A}" destId="{55FDD486-CBBA-45FA-B874-5F9923627BC1}" srcOrd="0" destOrd="0" presId="urn:microsoft.com/office/officeart/2005/8/layout/cycle3#1"/>
    <dgm:cxn modelId="{12C61479-3AA7-4380-B640-D960BA8377BB}" srcId="{D6F3B4E0-1741-419F-8326-C8FDBC0C0A20}" destId="{69761B65-54D9-41CA-A8E9-CEA1C4D11A16}" srcOrd="0" destOrd="0" parTransId="{023625B8-3F40-4ADF-8420-B78CFF9CEEE3}" sibTransId="{3B824FA2-7B86-43A3-8BBA-AFC4319F0E60}"/>
    <dgm:cxn modelId="{A640D48B-C035-456F-A2E4-D099FEA45878}" srcId="{D6F3B4E0-1741-419F-8326-C8FDBC0C0A20}" destId="{7FCA40EF-16B7-4472-96C7-B2BBCE5C29AD}" srcOrd="4" destOrd="0" parTransId="{B9A9BA98-DEE0-4EC4-8277-B066E0A7F572}" sibTransId="{DDD5CA93-E6A0-4F8A-8538-5FC959BF06B3}"/>
    <dgm:cxn modelId="{2AD2FA9E-4F3D-41A3-B1EA-2B3F80005094}" type="presOf" srcId="{8ED011C5-B662-462C-9B3F-5C9A7C9C36ED}" destId="{50C7DD0D-1F16-4119-AAFB-FAF4475A5CBE}" srcOrd="0" destOrd="0" presId="urn:microsoft.com/office/officeart/2005/8/layout/cycle3#1"/>
    <dgm:cxn modelId="{1A32A8AD-DD6E-4DF2-9B12-4F68D5EE43BE}" type="presOf" srcId="{D6F3B4E0-1741-419F-8326-C8FDBC0C0A20}" destId="{E8F681B2-DD66-456B-B30B-674BBBCB4559}" srcOrd="0" destOrd="0" presId="urn:microsoft.com/office/officeart/2005/8/layout/cycle3#1"/>
    <dgm:cxn modelId="{C5A460CC-F2D5-466B-936A-272ABB05FC4A}" type="presOf" srcId="{7FCA40EF-16B7-4472-96C7-B2BBCE5C29AD}" destId="{9773C6E8-3991-4B22-AE29-9BFDB1EBC8E5}" srcOrd="0" destOrd="0" presId="urn:microsoft.com/office/officeart/2005/8/layout/cycle3#1"/>
    <dgm:cxn modelId="{3EDA98CD-6C9C-43C3-AFC1-FAD260BBDE81}" srcId="{D6F3B4E0-1741-419F-8326-C8FDBC0C0A20}" destId="{15F97D52-7CC0-4BC7-BA2B-244D50A17A88}" srcOrd="2" destOrd="0" parTransId="{C685909B-6D9A-4A0E-8D55-5CC73D47A9CA}" sibTransId="{C628FE70-A043-4EFF-8354-CCFB2D961348}"/>
    <dgm:cxn modelId="{70E71ED6-2C34-46EB-85C9-F40955F486B0}" srcId="{D6F3B4E0-1741-419F-8326-C8FDBC0C0A20}" destId="{8ED011C5-B662-462C-9B3F-5C9A7C9C36ED}" srcOrd="3" destOrd="0" parTransId="{9BDD8CB3-D689-438E-9145-F1C02B76D4A6}" sibTransId="{4FCB6042-AADB-466B-9BC1-BEC92F14392F}"/>
    <dgm:cxn modelId="{FDE82BF8-56DA-46AA-9082-6F418815AE66}" type="presOf" srcId="{69761B65-54D9-41CA-A8E9-CEA1C4D11A16}" destId="{E43743BB-0394-403D-AEED-A4240ACB41F9}" srcOrd="0" destOrd="0" presId="urn:microsoft.com/office/officeart/2005/8/layout/cycle3#1"/>
    <dgm:cxn modelId="{0E7E8C68-E15D-442A-A00D-AC1440566AA5}" type="presParOf" srcId="{E8F681B2-DD66-456B-B30B-674BBBCB4559}" destId="{4663FF44-F5D9-4AF5-A24F-F357AFA994CD}" srcOrd="0" destOrd="0" presId="urn:microsoft.com/office/officeart/2005/8/layout/cycle3#1"/>
    <dgm:cxn modelId="{19D75E1F-571E-40F1-B546-C54BED4BC300}" type="presParOf" srcId="{4663FF44-F5D9-4AF5-A24F-F357AFA994CD}" destId="{E43743BB-0394-403D-AEED-A4240ACB41F9}" srcOrd="0" destOrd="0" presId="urn:microsoft.com/office/officeart/2005/8/layout/cycle3#1"/>
    <dgm:cxn modelId="{3B24867C-DD74-44FF-B658-5D9E177E5857}" type="presParOf" srcId="{4663FF44-F5D9-4AF5-A24F-F357AFA994CD}" destId="{B59167F9-73DC-425F-B514-C7B89DDDAB70}" srcOrd="1" destOrd="0" presId="urn:microsoft.com/office/officeart/2005/8/layout/cycle3#1"/>
    <dgm:cxn modelId="{662C3822-A245-4616-9648-F47CFE84767F}" type="presParOf" srcId="{4663FF44-F5D9-4AF5-A24F-F357AFA994CD}" destId="{55FDD486-CBBA-45FA-B874-5F9923627BC1}" srcOrd="2" destOrd="0" presId="urn:microsoft.com/office/officeart/2005/8/layout/cycle3#1"/>
    <dgm:cxn modelId="{06D03425-E3D4-41A0-85B6-8FD6744A3752}" type="presParOf" srcId="{4663FF44-F5D9-4AF5-A24F-F357AFA994CD}" destId="{1B0500CC-30FA-42F1-8AB6-CF636E6431BB}" srcOrd="3" destOrd="0" presId="urn:microsoft.com/office/officeart/2005/8/layout/cycle3#1"/>
    <dgm:cxn modelId="{E4DE0A12-574D-46FF-A115-6BF664EBA126}" type="presParOf" srcId="{4663FF44-F5D9-4AF5-A24F-F357AFA994CD}" destId="{50C7DD0D-1F16-4119-AAFB-FAF4475A5CBE}" srcOrd="4" destOrd="0" presId="urn:microsoft.com/office/officeart/2005/8/layout/cycle3#1"/>
    <dgm:cxn modelId="{05805D81-16A0-41FD-98DB-679A0ACA3E4A}" type="presParOf" srcId="{4663FF44-F5D9-4AF5-A24F-F357AFA994CD}" destId="{9773C6E8-3991-4B22-AE29-9BFDB1EBC8E5}" srcOrd="5" destOrd="0" presId="urn:microsoft.com/office/officeart/2005/8/layout/cycle3#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9167F9-73DC-425F-B514-C7B89DDDAB70}">
      <dsp:nvSpPr>
        <dsp:cNvPr id="0" name=""/>
        <dsp:cNvSpPr/>
      </dsp:nvSpPr>
      <dsp:spPr>
        <a:xfrm>
          <a:off x="1422015" y="-18466"/>
          <a:ext cx="3195716" cy="3195716"/>
        </a:xfrm>
        <a:prstGeom prst="circularArrow">
          <a:avLst>
            <a:gd name="adj1" fmla="val 5544"/>
            <a:gd name="adj2" fmla="val 330680"/>
            <a:gd name="adj3" fmla="val 13819084"/>
            <a:gd name="adj4" fmla="val 17359753"/>
            <a:gd name="adj5" fmla="val 5757"/>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43743BB-0394-403D-AEED-A4240ACB41F9}">
      <dsp:nvSpPr>
        <dsp:cNvPr id="0" name=""/>
        <dsp:cNvSpPr/>
      </dsp:nvSpPr>
      <dsp:spPr>
        <a:xfrm>
          <a:off x="2285630" y="0"/>
          <a:ext cx="1468487" cy="73424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PH" sz="1200" b="1" kern="1200">
              <a:latin typeface="Arial Rounded MT Bold" panose="020F0704030504030204" pitchFamily="34" charset="0"/>
            </a:rPr>
            <a:t>INPUT</a:t>
          </a:r>
        </a:p>
        <a:p>
          <a:pPr marL="0" lvl="0" indent="0" algn="ctr" defTabSz="533400">
            <a:lnSpc>
              <a:spcPct val="90000"/>
            </a:lnSpc>
            <a:spcBef>
              <a:spcPct val="0"/>
            </a:spcBef>
            <a:spcAft>
              <a:spcPct val="35000"/>
            </a:spcAft>
            <a:buNone/>
          </a:pPr>
          <a:r>
            <a:rPr lang="en-PH" sz="900" kern="1200"/>
            <a:t>Corporate Resources, Policies, Stakeholder Engagement</a:t>
          </a:r>
        </a:p>
      </dsp:txBody>
      <dsp:txXfrm>
        <a:off x="2321473" y="35843"/>
        <a:ext cx="1396801" cy="662557"/>
      </dsp:txXfrm>
    </dsp:sp>
    <dsp:sp modelId="{55FDD486-CBBA-45FA-B874-5F9923627BC1}">
      <dsp:nvSpPr>
        <dsp:cNvPr id="0" name=""/>
        <dsp:cNvSpPr/>
      </dsp:nvSpPr>
      <dsp:spPr>
        <a:xfrm>
          <a:off x="3517324" y="942090"/>
          <a:ext cx="1540193" cy="73424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PH" sz="1200" b="1" kern="1200">
              <a:latin typeface="Arial Rounded MT Bold" panose="020F0704030504030204" pitchFamily="34" charset="0"/>
            </a:rPr>
            <a:t>PROCESS</a:t>
          </a:r>
          <a:endParaRPr lang="en-PH" sz="900" b="1" kern="1200">
            <a:latin typeface="Arial Rounded MT Bold" panose="020F0704030504030204" pitchFamily="34" charset="0"/>
          </a:endParaRPr>
        </a:p>
        <a:p>
          <a:pPr marL="0" lvl="0" indent="0" algn="ctr" defTabSz="533400">
            <a:lnSpc>
              <a:spcPct val="90000"/>
            </a:lnSpc>
            <a:spcBef>
              <a:spcPct val="0"/>
            </a:spcBef>
            <a:spcAft>
              <a:spcPct val="35000"/>
            </a:spcAft>
            <a:buNone/>
          </a:pPr>
          <a:r>
            <a:rPr lang="en-PH" sz="900" kern="1200"/>
            <a:t>CSR Initiatives: Water Access, Sanitation, Ecosystem Restoration, Innovation</a:t>
          </a:r>
          <a:endParaRPr lang="en-PH" sz="900" b="1" kern="1200"/>
        </a:p>
      </dsp:txBody>
      <dsp:txXfrm>
        <a:off x="3553167" y="977933"/>
        <a:ext cx="1468507" cy="662557"/>
      </dsp:txXfrm>
    </dsp:sp>
    <dsp:sp modelId="{1B0500CC-30FA-42F1-8AB6-CF636E6431BB}">
      <dsp:nvSpPr>
        <dsp:cNvPr id="0" name=""/>
        <dsp:cNvSpPr/>
      </dsp:nvSpPr>
      <dsp:spPr>
        <a:xfrm>
          <a:off x="3429595" y="2284750"/>
          <a:ext cx="1468487" cy="73424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PH" sz="1200" b="1" kern="1200">
              <a:latin typeface="Arial Rounded MT Bold" panose="020F0704030504030204" pitchFamily="34" charset="0"/>
            </a:rPr>
            <a:t>OUTPUT</a:t>
          </a:r>
          <a:endParaRPr lang="en-PH" sz="800" b="1" kern="1200">
            <a:latin typeface="Arial Rounded MT Bold" panose="020F0704030504030204" pitchFamily="34" charset="0"/>
          </a:endParaRPr>
        </a:p>
        <a:p>
          <a:pPr marL="0" lvl="0" indent="0" algn="ctr" defTabSz="533400">
            <a:lnSpc>
              <a:spcPct val="90000"/>
            </a:lnSpc>
            <a:spcBef>
              <a:spcPct val="0"/>
            </a:spcBef>
            <a:spcAft>
              <a:spcPct val="35000"/>
            </a:spcAft>
            <a:buNone/>
          </a:pPr>
          <a:r>
            <a:rPr lang="en-PH" sz="900" kern="1200"/>
            <a:t>Enhanced Water and Sanitation Services, Biodiversity Conservation</a:t>
          </a:r>
          <a:endParaRPr lang="en-PH" sz="800" kern="1200"/>
        </a:p>
      </dsp:txBody>
      <dsp:txXfrm>
        <a:off x="3465438" y="2320593"/>
        <a:ext cx="1396801" cy="662557"/>
      </dsp:txXfrm>
    </dsp:sp>
    <dsp:sp modelId="{50C7DD0D-1F16-4119-AAFB-FAF4475A5CBE}">
      <dsp:nvSpPr>
        <dsp:cNvPr id="0" name=""/>
        <dsp:cNvSpPr/>
      </dsp:nvSpPr>
      <dsp:spPr>
        <a:xfrm>
          <a:off x="1113188" y="2322848"/>
          <a:ext cx="1468487" cy="73424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PH" sz="1200" b="1" kern="1200">
              <a:latin typeface="Arial Rounded MT Bold" panose="020F0704030504030204" pitchFamily="34" charset="0"/>
            </a:rPr>
            <a:t>OUTCOME</a:t>
          </a:r>
        </a:p>
        <a:p>
          <a:pPr marL="0" lvl="0" indent="0" algn="ctr" defTabSz="533400">
            <a:lnSpc>
              <a:spcPct val="90000"/>
            </a:lnSpc>
            <a:spcBef>
              <a:spcPct val="0"/>
            </a:spcBef>
            <a:spcAft>
              <a:spcPct val="35000"/>
            </a:spcAft>
            <a:buNone/>
          </a:pPr>
          <a:r>
            <a:rPr lang="en-PH" sz="900" kern="1200"/>
            <a:t>Sustainable Development, Community Empowerment</a:t>
          </a:r>
        </a:p>
      </dsp:txBody>
      <dsp:txXfrm>
        <a:off x="1149031" y="2358691"/>
        <a:ext cx="1396801" cy="662557"/>
      </dsp:txXfrm>
    </dsp:sp>
    <dsp:sp modelId="{9773C6E8-3991-4B22-AE29-9BFDB1EBC8E5}">
      <dsp:nvSpPr>
        <dsp:cNvPr id="0" name=""/>
        <dsp:cNvSpPr/>
      </dsp:nvSpPr>
      <dsp:spPr>
        <a:xfrm>
          <a:off x="857508" y="942096"/>
          <a:ext cx="1618360" cy="734243"/>
        </a:xfrm>
        <a:prstGeom prst="round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PH" sz="1200" b="1" kern="1200">
              <a:latin typeface="Arial Rounded MT Bold" panose="020F0704030504030204" pitchFamily="34" charset="0"/>
            </a:rPr>
            <a:t>FEEDBACK LOOP</a:t>
          </a:r>
          <a:endParaRPr lang="en-PH" sz="900" b="1" kern="1200">
            <a:latin typeface="Arial Rounded MT Bold" panose="020F0704030504030204" pitchFamily="34" charset="0"/>
          </a:endParaRPr>
        </a:p>
        <a:p>
          <a:pPr marL="0" lvl="0" indent="0" algn="ctr" defTabSz="533400">
            <a:lnSpc>
              <a:spcPct val="90000"/>
            </a:lnSpc>
            <a:spcBef>
              <a:spcPct val="0"/>
            </a:spcBef>
            <a:spcAft>
              <a:spcPct val="35000"/>
            </a:spcAft>
            <a:buNone/>
          </a:pPr>
          <a:r>
            <a:rPr lang="en-PH" sz="1000" kern="1200"/>
            <a:t>Evaluation and Refinement</a:t>
          </a:r>
        </a:p>
      </dsp:txBody>
      <dsp:txXfrm>
        <a:off x="893351" y="977939"/>
        <a:ext cx="1546674" cy="662557"/>
      </dsp:txXfrm>
    </dsp:sp>
  </dsp:spTree>
</dsp:drawing>
</file>

<file path=word/diagrams/layout1.xml><?xml version="1.0" encoding="utf-8"?>
<dgm:layoutDef xmlns:dgm="http://schemas.openxmlformats.org/drawingml/2006/diagram" xmlns:a="http://schemas.openxmlformats.org/drawingml/2006/main" uniqueId="urn:microsoft.com/office/officeart/2005/8/layout/cycle3#1">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begPts" val="midR"/>
                <dgm:param type="connRout" val="longCurve"/>
                <dgm:param type="dstNode" val="node1"/>
                <dgm:param type="endPts" val="midL"/>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begPts" val="midL"/>
                <dgm:param type="connRout" val="longCurve"/>
                <dgm:param type="dstNode" val="node1"/>
                <dgm:param type="endPts" val="midR"/>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panAng" val="360"/>
                <dgm:param type="stAng" val="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panAng" val="-360"/>
                <dgm:param type="stAng" val="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begPts" val="midR"/>
                      <dgm:param type="connRout" val="longCurve"/>
                      <dgm:param type="dstNode" val="nodeFirstNode"/>
                      <dgm:param type="endPts" val="midL"/>
                    </dgm:alg>
                  </dgm:if>
                  <dgm:else name="Name15">
                    <dgm:alg type="conn">
                      <dgm:param type="begPts" val="midL"/>
                      <dgm:param type="connRout" val="longCurve"/>
                      <dgm:param type="dstNode" val="nodeFirstNode"/>
                      <dgm:param type="endPts" val="midR"/>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3ED5C-0058-4CC2-96F6-953733E6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8573</Words>
  <Characters>57097</Characters>
  <Application>Microsoft Office Word</Application>
  <DocSecurity>0</DocSecurity>
  <Lines>822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Akhmad Zamroni</dc:creator>
  <cp:lastModifiedBy>Akhmad Zamroni</cp:lastModifiedBy>
  <cp:revision>4</cp:revision>
  <cp:lastPrinted>2024-12-31T08:24:00Z</cp:lastPrinted>
  <dcterms:created xsi:type="dcterms:W3CDTF">2025-11-26T05:05:00Z</dcterms:created>
  <dcterms:modified xsi:type="dcterms:W3CDTF">2025-11-26T05:09:00Z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685d34f5-e3ca-4b26-8593-1488b7493aed</vt:lpwstr>
  </property>
</Properties>
</file>