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D51BD" w14:textId="77777777" w:rsidR="00977B81" w:rsidRPr="007B238D" w:rsidRDefault="00417442" w:rsidP="00E350BD">
      <w:pPr>
        <w:spacing w:after="0" w:line="240" w:lineRule="auto"/>
        <w:jc w:val="center"/>
        <w:rPr>
          <w:rFonts w:ascii="Times New Roman" w:hAnsi="Times New Roman" w:cs="Times New Roman"/>
          <w:b/>
          <w:bCs/>
          <w:sz w:val="28"/>
          <w:szCs w:val="28"/>
        </w:rPr>
      </w:pPr>
      <w:r w:rsidRPr="007B238D">
        <w:rPr>
          <w:rFonts w:ascii="Times New Roman" w:hAnsi="Times New Roman" w:cs="Times New Roman"/>
          <w:b/>
          <w:bCs/>
          <w:sz w:val="28"/>
          <w:szCs w:val="28"/>
        </w:rPr>
        <w:t>Uncovering the Direction and Dynamics of Mandarin Language Learning Research through</w:t>
      </w:r>
      <w:r w:rsidR="00802531" w:rsidRPr="007B238D">
        <w:rPr>
          <w:rFonts w:ascii="Times New Roman" w:hAnsi="Times New Roman" w:cs="Times New Roman"/>
          <w:b/>
          <w:bCs/>
          <w:sz w:val="28"/>
          <w:szCs w:val="28"/>
        </w:rPr>
        <w:t xml:space="preserve"> </w:t>
      </w:r>
      <w:r w:rsidRPr="007B238D">
        <w:rPr>
          <w:rFonts w:ascii="Times New Roman" w:hAnsi="Times New Roman" w:cs="Times New Roman"/>
          <w:b/>
          <w:bCs/>
          <w:sz w:val="28"/>
          <w:szCs w:val="28"/>
        </w:rPr>
        <w:t>Bibliometric Analysis</w:t>
      </w:r>
    </w:p>
    <w:p w14:paraId="32E59A06" w14:textId="77777777" w:rsidR="00802531"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 xml:space="preserve"> </w:t>
      </w:r>
    </w:p>
    <w:p w14:paraId="2D52B445" w14:textId="7E0AB345" w:rsidR="003B3D02" w:rsidRPr="007B238D" w:rsidRDefault="00693EE6" w:rsidP="00E350BD">
      <w:pPr>
        <w:spacing w:after="0" w:line="240" w:lineRule="auto"/>
        <w:jc w:val="center"/>
        <w:rPr>
          <w:rFonts w:ascii="Times New Roman" w:hAnsi="Times New Roman" w:cs="Times New Roman"/>
          <w:b/>
          <w:bCs/>
          <w:sz w:val="24"/>
          <w:szCs w:val="24"/>
        </w:rPr>
      </w:pPr>
      <w:r w:rsidRPr="007B238D">
        <w:rPr>
          <w:rFonts w:ascii="Times New Roman" w:hAnsi="Times New Roman" w:cs="Times New Roman"/>
          <w:sz w:val="24"/>
          <w:szCs w:val="24"/>
        </w:rPr>
        <w:t>David Darwin</w:t>
      </w:r>
      <w:r w:rsidR="00417442" w:rsidRPr="007B238D">
        <w:rPr>
          <w:rFonts w:ascii="Times New Roman" w:hAnsi="Times New Roman" w:cs="Times New Roman"/>
          <w:sz w:val="24"/>
          <w:szCs w:val="24"/>
        </w:rPr>
        <w:t xml:space="preserve">¹, </w:t>
      </w:r>
      <w:r w:rsidRPr="007B238D">
        <w:rPr>
          <w:rFonts w:ascii="Times New Roman" w:hAnsi="Times New Roman" w:cs="Times New Roman"/>
          <w:sz w:val="24"/>
          <w:szCs w:val="24"/>
        </w:rPr>
        <w:t>Alya Khairunnisa</w:t>
      </w:r>
      <w:r w:rsidR="00417442" w:rsidRPr="007B238D">
        <w:rPr>
          <w:rFonts w:ascii="Times New Roman" w:hAnsi="Times New Roman" w:cs="Times New Roman"/>
          <w:sz w:val="24"/>
          <w:szCs w:val="24"/>
        </w:rPr>
        <w:t>²</w:t>
      </w:r>
      <w:r w:rsidRPr="007B238D">
        <w:rPr>
          <w:rFonts w:ascii="Times New Roman" w:hAnsi="Times New Roman" w:cs="Times New Roman"/>
          <w:sz w:val="24"/>
          <w:szCs w:val="24"/>
        </w:rPr>
        <w:t xml:space="preserve">, Ratu </w:t>
      </w:r>
      <w:proofErr w:type="spellStart"/>
      <w:r w:rsidRPr="007B238D">
        <w:rPr>
          <w:rFonts w:ascii="Times New Roman" w:hAnsi="Times New Roman" w:cs="Times New Roman"/>
          <w:sz w:val="24"/>
          <w:szCs w:val="24"/>
        </w:rPr>
        <w:t>Aulia</w:t>
      </w:r>
      <w:proofErr w:type="spellEnd"/>
      <w:r w:rsidRPr="007B238D">
        <w:rPr>
          <w:rFonts w:ascii="Times New Roman" w:hAnsi="Times New Roman" w:cs="Times New Roman"/>
          <w:sz w:val="24"/>
          <w:szCs w:val="24"/>
        </w:rPr>
        <w:t xml:space="preserve"> Azzahra</w:t>
      </w:r>
      <w:r w:rsidR="001E40F2" w:rsidRPr="007B238D">
        <w:rPr>
          <w:rFonts w:ascii="Times New Roman" w:hAnsi="Times New Roman" w:cs="Times New Roman"/>
          <w:sz w:val="24"/>
          <w:szCs w:val="24"/>
          <w:vertAlign w:val="superscript"/>
        </w:rPr>
        <w:t>3</w:t>
      </w:r>
    </w:p>
    <w:p w14:paraId="58DA779B" w14:textId="53255356" w:rsidR="003B3D02"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¹Univer</w:t>
      </w:r>
      <w:r w:rsidR="006541F1" w:rsidRPr="007B238D">
        <w:rPr>
          <w:rFonts w:ascii="Times New Roman" w:hAnsi="Times New Roman" w:cs="Times New Roman"/>
          <w:sz w:val="24"/>
          <w:szCs w:val="24"/>
        </w:rPr>
        <w:t xml:space="preserve">sitas Darma </w:t>
      </w:r>
      <w:proofErr w:type="spellStart"/>
      <w:r w:rsidR="006541F1" w:rsidRPr="007B238D">
        <w:rPr>
          <w:rFonts w:ascii="Times New Roman" w:hAnsi="Times New Roman" w:cs="Times New Roman"/>
          <w:sz w:val="24"/>
          <w:szCs w:val="24"/>
        </w:rPr>
        <w:t>Persada</w:t>
      </w:r>
      <w:proofErr w:type="spellEnd"/>
      <w:r w:rsidRPr="007B238D">
        <w:rPr>
          <w:rFonts w:ascii="Times New Roman" w:hAnsi="Times New Roman" w:cs="Times New Roman"/>
          <w:sz w:val="24"/>
          <w:szCs w:val="24"/>
        </w:rPr>
        <w:t xml:space="preserve">, </w:t>
      </w:r>
      <w:r w:rsidR="006541F1" w:rsidRPr="007B238D">
        <w:rPr>
          <w:rFonts w:ascii="Times New Roman" w:hAnsi="Times New Roman" w:cs="Times New Roman"/>
          <w:sz w:val="24"/>
          <w:szCs w:val="24"/>
        </w:rPr>
        <w:t>Indonesia</w:t>
      </w:r>
    </w:p>
    <w:p w14:paraId="502B6C85" w14:textId="43B2EA62" w:rsidR="003B3D02"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²</w:t>
      </w:r>
      <w:r w:rsidR="00705777" w:rsidRPr="007B238D">
        <w:rPr>
          <w:rFonts w:ascii="Times New Roman" w:hAnsi="Times New Roman" w:cs="Times New Roman"/>
          <w:sz w:val="24"/>
          <w:szCs w:val="24"/>
        </w:rPr>
        <w:t xml:space="preserve">Universitas Darma </w:t>
      </w:r>
      <w:proofErr w:type="spellStart"/>
      <w:r w:rsidR="00705777" w:rsidRPr="007B238D">
        <w:rPr>
          <w:rFonts w:ascii="Times New Roman" w:hAnsi="Times New Roman" w:cs="Times New Roman"/>
          <w:sz w:val="24"/>
          <w:szCs w:val="24"/>
        </w:rPr>
        <w:t>Persada</w:t>
      </w:r>
      <w:proofErr w:type="spellEnd"/>
      <w:r w:rsidR="00705777" w:rsidRPr="007B238D">
        <w:rPr>
          <w:rFonts w:ascii="Times New Roman" w:hAnsi="Times New Roman" w:cs="Times New Roman"/>
          <w:sz w:val="24"/>
          <w:szCs w:val="24"/>
        </w:rPr>
        <w:t>, Indonesia</w:t>
      </w:r>
    </w:p>
    <w:p w14:paraId="5CF593A3" w14:textId="1723C7C6" w:rsidR="00705777" w:rsidRPr="007B238D" w:rsidRDefault="00705777"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vertAlign w:val="superscript"/>
        </w:rPr>
        <w:t>3</w:t>
      </w:r>
      <w:r w:rsidRPr="007B238D">
        <w:rPr>
          <w:rFonts w:ascii="Times New Roman" w:hAnsi="Times New Roman" w:cs="Times New Roman"/>
          <w:sz w:val="24"/>
          <w:szCs w:val="24"/>
        </w:rPr>
        <w:t xml:space="preserve">Universitas Darma </w:t>
      </w:r>
      <w:proofErr w:type="spellStart"/>
      <w:r w:rsidRPr="007B238D">
        <w:rPr>
          <w:rFonts w:ascii="Times New Roman" w:hAnsi="Times New Roman" w:cs="Times New Roman"/>
          <w:sz w:val="24"/>
          <w:szCs w:val="24"/>
        </w:rPr>
        <w:t>Persada</w:t>
      </w:r>
      <w:proofErr w:type="spellEnd"/>
      <w:r w:rsidRPr="007B238D">
        <w:rPr>
          <w:rFonts w:ascii="Times New Roman" w:hAnsi="Times New Roman" w:cs="Times New Roman"/>
          <w:sz w:val="24"/>
          <w:szCs w:val="24"/>
        </w:rPr>
        <w:t>, Indonesia</w:t>
      </w:r>
    </w:p>
    <w:p w14:paraId="2CEF03C8" w14:textId="3F445D30" w:rsidR="003B3D02"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 xml:space="preserve">Corresponding author email: </w:t>
      </w:r>
      <w:hyperlink r:id="rId5" w:history="1">
        <w:r w:rsidR="00547117" w:rsidRPr="007B238D">
          <w:rPr>
            <w:rStyle w:val="Hyperlink"/>
            <w:rFonts w:ascii="Times New Roman" w:hAnsi="Times New Roman" w:cs="Times New Roman"/>
            <w:sz w:val="24"/>
            <w:szCs w:val="24"/>
          </w:rPr>
          <w:t>daviddarwin8299@gmail.com</w:t>
        </w:r>
      </w:hyperlink>
      <w:r w:rsidR="002D32E6">
        <w:rPr>
          <w:rStyle w:val="Hyperlink"/>
          <w:rFonts w:ascii="Times New Roman" w:hAnsi="Times New Roman" w:cs="Times New Roman"/>
          <w:sz w:val="24"/>
          <w:szCs w:val="24"/>
        </w:rPr>
        <w:t xml:space="preserve"> </w:t>
      </w:r>
      <w:hyperlink r:id="rId6" w:history="1">
        <w:r w:rsidR="002D32E6" w:rsidRPr="00572DB4">
          <w:rPr>
            <w:rStyle w:val="Hyperlink"/>
            <w:rFonts w:ascii="Times New Roman" w:hAnsi="Times New Roman" w:cs="Times New Roman"/>
            <w:sz w:val="24"/>
            <w:szCs w:val="24"/>
          </w:rPr>
          <w:t>daviddarwin.unsada@gmail.com</w:t>
        </w:r>
      </w:hyperlink>
      <w:r w:rsidR="002D32E6">
        <w:rPr>
          <w:rStyle w:val="Hyperlink"/>
          <w:rFonts w:ascii="Times New Roman" w:hAnsi="Times New Roman" w:cs="Times New Roman"/>
          <w:sz w:val="24"/>
          <w:szCs w:val="24"/>
        </w:rPr>
        <w:t xml:space="preserve"> </w:t>
      </w:r>
    </w:p>
    <w:p w14:paraId="6870E4D9" w14:textId="77777777" w:rsidR="003B3D02" w:rsidRPr="007B238D" w:rsidRDefault="003B3D02" w:rsidP="00E350BD">
      <w:pPr>
        <w:spacing w:after="0" w:line="240" w:lineRule="auto"/>
        <w:jc w:val="both"/>
        <w:rPr>
          <w:rFonts w:ascii="Times New Roman" w:hAnsi="Times New Roman" w:cs="Times New Roman"/>
          <w:b/>
          <w:bCs/>
          <w:sz w:val="24"/>
          <w:szCs w:val="24"/>
        </w:rPr>
      </w:pPr>
    </w:p>
    <w:p w14:paraId="4E0846D4" w14:textId="77777777" w:rsidR="003B3D02" w:rsidRPr="007B238D" w:rsidRDefault="00417442" w:rsidP="00E350BD">
      <w:pPr>
        <w:spacing w:after="0" w:line="240" w:lineRule="auto"/>
        <w:jc w:val="center"/>
        <w:rPr>
          <w:rFonts w:ascii="Times New Roman" w:hAnsi="Times New Roman" w:cs="Times New Roman"/>
          <w:b/>
          <w:bCs/>
          <w:sz w:val="24"/>
          <w:szCs w:val="24"/>
        </w:rPr>
      </w:pPr>
      <w:r w:rsidRPr="007B238D">
        <w:rPr>
          <w:rFonts w:ascii="Times New Roman" w:hAnsi="Times New Roman" w:cs="Times New Roman"/>
          <w:b/>
          <w:bCs/>
          <w:sz w:val="24"/>
          <w:szCs w:val="24"/>
        </w:rPr>
        <w:t>Abstract</w:t>
      </w:r>
    </w:p>
    <w:p w14:paraId="2E91FF5E" w14:textId="68869565" w:rsidR="003B3D02" w:rsidRPr="00A416EA" w:rsidRDefault="00417442" w:rsidP="00E350BD">
      <w:pPr>
        <w:spacing w:after="0" w:line="240" w:lineRule="auto"/>
        <w:ind w:left="567" w:right="701"/>
        <w:jc w:val="both"/>
        <w:rPr>
          <w:rFonts w:ascii="Times New Roman" w:hAnsi="Times New Roman" w:cs="Times New Roman"/>
          <w:sz w:val="20"/>
          <w:szCs w:val="20"/>
        </w:rPr>
      </w:pPr>
      <w:r w:rsidRPr="00A416EA">
        <w:rPr>
          <w:rFonts w:ascii="Times New Roman" w:hAnsi="Times New Roman" w:cs="Times New Roman"/>
          <w:sz w:val="20"/>
          <w:szCs w:val="20"/>
        </w:rPr>
        <w:t xml:space="preserve">Mandarin Chinese has emerged as a strategic foreign language worldwide, driven by China’s expanding influence in global economics, politics, and education. This study aims to map the direction and dynamics of Mandarin language learning research through a comprehensive bibliometric analysis of publications indexed in the Scopus database from 2023 to 2025. The analysis examines publication growth trends, dominant themes, author productivity, institutional contributions, and collaboration networks. Using bibliometric tools such as </w:t>
      </w:r>
      <w:proofErr w:type="spellStart"/>
      <w:r w:rsidRPr="00A416EA">
        <w:rPr>
          <w:rFonts w:ascii="Times New Roman" w:hAnsi="Times New Roman" w:cs="Times New Roman"/>
          <w:sz w:val="20"/>
          <w:szCs w:val="20"/>
        </w:rPr>
        <w:t>VOSviewer</w:t>
      </w:r>
      <w:proofErr w:type="spellEnd"/>
      <w:r w:rsidRPr="00A416EA">
        <w:rPr>
          <w:rFonts w:ascii="Times New Roman" w:hAnsi="Times New Roman" w:cs="Times New Roman"/>
          <w:sz w:val="20"/>
          <w:szCs w:val="20"/>
        </w:rPr>
        <w:t xml:space="preserve">, data from 2,069 documents across 897 publication sources were </w:t>
      </w:r>
      <w:proofErr w:type="spellStart"/>
      <w:r w:rsidRPr="00A416EA">
        <w:rPr>
          <w:rFonts w:ascii="Times New Roman" w:hAnsi="Times New Roman" w:cs="Times New Roman"/>
          <w:sz w:val="20"/>
          <w:szCs w:val="20"/>
        </w:rPr>
        <w:t>analyzed</w:t>
      </w:r>
      <w:proofErr w:type="spellEnd"/>
      <w:r w:rsidRPr="00A416EA">
        <w:rPr>
          <w:rFonts w:ascii="Times New Roman" w:hAnsi="Times New Roman" w:cs="Times New Roman"/>
          <w:sz w:val="20"/>
          <w:szCs w:val="20"/>
        </w:rPr>
        <w:t>, revealing 8,499 Keywords Plus and contributions from 7,471 authors. Results indicate that research in this field is increasingly multidisciplinary, technology-driven, and globally oriented. Dominant themes include online learning, digital literacy, innovative pedagogy, and cross-cultural approaches, reflecting a shift from traditional teaching models toward adaptive, collaborative, and technology-enhanced formats. Geographical analysis shows that China remains the primary hub of research activity, followed by the United States, Australia, Singapore, and several European countries, highlighting the internationalization of Mandarin education studies. Author collaboration networks reveal both strong intra-group ties and inter-cluster linkages, facilitated by key bridging scholars. These patterns suggest a balance between established expertise and emerging contributions, fostering both continuity and innovation. The findings underscore the importance of enhancing international collaboration, diversifying publication platforms, and investing in digital infrastructure for Mandarin instruction. This study provides an integrated overview of the intellectual landscape of Mandarin language learning, offering valuable insights for researchers, educators, and policymakers to guide future developments in research and practice.</w:t>
      </w:r>
    </w:p>
    <w:p w14:paraId="31FE9683" w14:textId="77777777" w:rsidR="00E045D6" w:rsidRPr="00A416EA" w:rsidRDefault="00E045D6" w:rsidP="00E350BD">
      <w:pPr>
        <w:spacing w:after="0" w:line="240" w:lineRule="auto"/>
        <w:ind w:left="567" w:right="701"/>
        <w:jc w:val="both"/>
        <w:rPr>
          <w:rFonts w:ascii="Times New Roman" w:hAnsi="Times New Roman" w:cs="Times New Roman"/>
          <w:sz w:val="20"/>
          <w:szCs w:val="20"/>
        </w:rPr>
      </w:pPr>
    </w:p>
    <w:p w14:paraId="0EE0DF82" w14:textId="77777777" w:rsidR="003B3D02" w:rsidRPr="00A416EA" w:rsidRDefault="00417442" w:rsidP="00E350BD">
      <w:pPr>
        <w:spacing w:after="0" w:line="240" w:lineRule="auto"/>
        <w:ind w:left="567" w:right="701"/>
        <w:jc w:val="both"/>
        <w:rPr>
          <w:rFonts w:ascii="Times New Roman" w:hAnsi="Times New Roman" w:cs="Times New Roman"/>
          <w:sz w:val="20"/>
          <w:szCs w:val="20"/>
        </w:rPr>
      </w:pPr>
      <w:r w:rsidRPr="00A416EA">
        <w:rPr>
          <w:rFonts w:ascii="Times New Roman" w:hAnsi="Times New Roman" w:cs="Times New Roman"/>
          <w:b/>
          <w:bCs/>
          <w:sz w:val="20"/>
          <w:szCs w:val="20"/>
        </w:rPr>
        <w:t>Keywords:</w:t>
      </w:r>
      <w:r w:rsidRPr="00A416EA">
        <w:rPr>
          <w:rFonts w:ascii="Times New Roman" w:hAnsi="Times New Roman" w:cs="Times New Roman"/>
          <w:sz w:val="20"/>
          <w:szCs w:val="20"/>
        </w:rPr>
        <w:t xml:space="preserve"> Bibliometric analysis, Mandarin language learning, </w:t>
      </w:r>
      <w:proofErr w:type="spellStart"/>
      <w:r w:rsidRPr="00A416EA">
        <w:rPr>
          <w:rFonts w:ascii="Times New Roman" w:hAnsi="Times New Roman" w:cs="Times New Roman"/>
          <w:sz w:val="20"/>
          <w:szCs w:val="20"/>
        </w:rPr>
        <w:t>VOSviewer</w:t>
      </w:r>
      <w:proofErr w:type="spellEnd"/>
      <w:r w:rsidRPr="00A416EA">
        <w:rPr>
          <w:rFonts w:ascii="Times New Roman" w:hAnsi="Times New Roman" w:cs="Times New Roman"/>
          <w:sz w:val="20"/>
          <w:szCs w:val="20"/>
        </w:rPr>
        <w:t>, educational research, knowledge mapping</w:t>
      </w:r>
    </w:p>
    <w:p w14:paraId="63EB2F61" w14:textId="77777777" w:rsidR="003B3D02" w:rsidRPr="00A416EA" w:rsidRDefault="003B3D02" w:rsidP="00E350BD">
      <w:pPr>
        <w:spacing w:after="0" w:line="240" w:lineRule="auto"/>
        <w:ind w:left="567" w:right="701"/>
        <w:jc w:val="both"/>
        <w:rPr>
          <w:rFonts w:ascii="Times New Roman" w:hAnsi="Times New Roman" w:cs="Times New Roman"/>
          <w:sz w:val="20"/>
          <w:szCs w:val="20"/>
        </w:rPr>
      </w:pPr>
    </w:p>
    <w:p w14:paraId="50857C12"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1. Introduction</w:t>
      </w:r>
    </w:p>
    <w:p w14:paraId="2BF5A498" w14:textId="77777777" w:rsidR="00977B81"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Mandarin Chinese has emerged as a strategic foreign language in the global landscape, reflecting China's growing influence in international economics, politics, and education. Many countries have integrated Mandarin into formal education, extracurricular language programs, and professional development initiatives</w:t>
      </w:r>
      <w:r w:rsidR="00501C62" w:rsidRPr="007B238D">
        <w:rPr>
          <w:rFonts w:ascii="Times New Roman" w:hAnsi="Times New Roman" w:cs="Times New Roman"/>
          <w:sz w:val="24"/>
          <w:szCs w:val="24"/>
        </w:rPr>
        <w:t xml:space="preserve"> </w:t>
      </w:r>
      <w:r w:rsidR="00501C62" w:rsidRPr="007B238D">
        <w:rPr>
          <w:rFonts w:ascii="Times New Roman" w:hAnsi="Times New Roman" w:cs="Times New Roman"/>
          <w:sz w:val="24"/>
          <w:szCs w:val="24"/>
        </w:rPr>
        <w:fldChar w:fldCharType="begin" w:fldLock="1"/>
      </w:r>
      <w:r w:rsidR="00501C62" w:rsidRPr="007B238D">
        <w:rPr>
          <w:rFonts w:ascii="Times New Roman" w:hAnsi="Times New Roman" w:cs="Times New Roman"/>
          <w:sz w:val="24"/>
          <w:szCs w:val="24"/>
        </w:rPr>
        <w:instrText>ADDIN CSL_CITATION {"citationItems":[{"id":"ITEM-1","itemData":{"DOI":"10.1080/1554480X.2022.2139261","ISSN":"1554480X (ISSN); 15544818 (ISSN)","abstract":"Translanguaging (TL) theory underscores individuals’ agentive deployment of all semiotic resources to construct meaning, highlighting language as part of an integrated repertoire for communication. To explore the potential of pedagogical TL in Chinese vocabulary instruction, this paper focused on one Chinese Language Arts lesson from a larger study on TL pedagogies in a multiethnic Grade 3 Mandarin-English dual language bilingual education classroom in a U.S. public school. The teacher in this lesson provided an explicit instruction on word origins andknowledge and then students were encouraged to use their imagination to create visual narratives of different Chinese characters based on their orthography and semantics. We performed a fine-grained analysis of the teacher’s instructional practice and a multimodal analysis of children’s Chinese character art as a visual narrative. We found that the teacher engaged in TL practices, mobilizing a range of multimodal, multilingual and multisensory resources to facilitate the co-construction of meaning with students. We also saw that the students’ word art design–the crossing between linguistic and visual signs–index their funds of knowledge and sociocultural values, which could potentially open up spaces for more critical discussions on the complex intersections of language, culture and beliefs. © 2022 Elsevier B.V., All rights reserved.","author":[{"dropping-particle":"","family":"Tian","given":"Z","non-dropping-particle":"","parse-names":false,"suffix":""},{"dropping-particle":"","family":"Lau","given":"S M C","non-dropping-particle":"","parse-names":false,"suffix":""}],"container-title":"Pedagogies","id":"ITEM-1","issue":"4","issued":{"date-parts":[["2022"]]},"language":"English","note":"Export Date: 06 August 2025; Cited By: 8","page":"282-302","publisher":"Routledge","publisher-place":"The University of Texas at San Antonio, San Antonio, United States","title":"Translanguaging flows in Chinese word instruction: Potential critical sociolinguistic engagement with children’s artistic representations of Chinese characters","type":"article-journal","volume":"17"},"uris":["http://www.mendeley.com/documents/?uuid=98b37372-4812-40aa-98e4-5a24a8e54243"]}],"mendeley":{"formattedCitation":"[1]","plainTextFormattedCitation":"[1]","previouslyFormattedCitation":"[1]"},"properties":{"noteIndex":0},"schema":"https://github.com/citation-style-language/schema/raw/master/csl-citation.json"}</w:instrText>
      </w:r>
      <w:r w:rsidR="00501C62"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[1]</w:t>
      </w:r>
      <w:r w:rsidR="00501C62" w:rsidRPr="007B238D">
        <w:rPr>
          <w:rFonts w:ascii="Times New Roman" w:hAnsi="Times New Roman" w:cs="Times New Roman"/>
          <w:sz w:val="24"/>
          <w:szCs w:val="24"/>
        </w:rPr>
        <w:fldChar w:fldCharType="end"/>
      </w:r>
      <w:r w:rsidRPr="007B238D">
        <w:rPr>
          <w:rFonts w:ascii="Times New Roman" w:hAnsi="Times New Roman" w:cs="Times New Roman"/>
          <w:sz w:val="24"/>
          <w:szCs w:val="24"/>
        </w:rPr>
        <w:t xml:space="preserve">. This widespread attention has </w:t>
      </w:r>
      <w:proofErr w:type="spellStart"/>
      <w:r w:rsidRPr="007B238D">
        <w:rPr>
          <w:rFonts w:ascii="Times New Roman" w:hAnsi="Times New Roman" w:cs="Times New Roman"/>
          <w:sz w:val="24"/>
          <w:szCs w:val="24"/>
        </w:rPr>
        <w:t>fueled</w:t>
      </w:r>
      <w:proofErr w:type="spellEnd"/>
      <w:r w:rsidRPr="007B238D">
        <w:rPr>
          <w:rFonts w:ascii="Times New Roman" w:hAnsi="Times New Roman" w:cs="Times New Roman"/>
          <w:sz w:val="24"/>
          <w:szCs w:val="24"/>
        </w:rPr>
        <w:t xml:space="preserve"> a surge in academic research related to Mandarin language learning, covering diverse areas such as pedagogy, learner motivation, educational technology, and cross-cultural communication</w:t>
      </w:r>
      <w:r w:rsidR="00501C62" w:rsidRPr="007B238D">
        <w:rPr>
          <w:rFonts w:ascii="Times New Roman" w:hAnsi="Times New Roman" w:cs="Times New Roman"/>
          <w:sz w:val="24"/>
          <w:szCs w:val="24"/>
        </w:rPr>
        <w:t xml:space="preserve"> </w:t>
      </w:r>
      <w:r w:rsidR="00501C62" w:rsidRPr="007B238D">
        <w:rPr>
          <w:rFonts w:ascii="Times New Roman" w:hAnsi="Times New Roman" w:cs="Times New Roman"/>
          <w:sz w:val="24"/>
          <w:szCs w:val="24"/>
        </w:rPr>
        <w:fldChar w:fldCharType="begin" w:fldLock="1"/>
      </w:r>
      <w:r w:rsidR="00501C62" w:rsidRPr="007B238D">
        <w:rPr>
          <w:rFonts w:ascii="Times New Roman" w:hAnsi="Times New Roman" w:cs="Times New Roman"/>
          <w:sz w:val="24"/>
          <w:szCs w:val="24"/>
        </w:rPr>
        <w:instrText>ADDIN CSL_CITATION {"citationItems":[{"id":"ITEM-1","itemData":{"DOI":"10.1088/1742-6596/1477/4/042014","ISBN":"17426588 (ISSN); 17426596 (ISSN); 9788394593742 (ISBN); 9781628905861 (ISBN)","abstract":"The digital and internet era have made technology integrated with education, which has encouraged the renewal of learning models, including the availability of learning platforms that can be accessed free or paid. The availability of the Mandarin language platform as the largest foreign language after English has also become more diverse, starting with free modules available on the web/blog, as well as online course learning models. This paper collects various kinds of Mandarin language learning platforms in Indonesia, researchers qualify their types into several sections: web content based, mobile app based, video streaming based and e-learning courses-based learning platforms. This paper compares the characteristics, advantages and disadvantages of each type of Chinese e-learning platform. The results of this study indicate that the challenges of the Mandarin language learning platform in Indonesia will have to prioritize functional, structural, varied and content management aspects, with the expectation of creating a massive, open and integrated learning management ecosystem. © 2020 Elsevier B.V., All rights reserved.","author":[{"dropping-particle":"","family":"Ying","given":"Y","non-dropping-particle":"","parse-names":false,"suffix":""}],"container-title":"Journal of Physics: Conference Series","editor":[{"dropping-particle":"","family":"Vaidyanathan","given":"S","non-dropping-particle":"","parse-names":false,"suffix":""},{"dropping-particle":"","family":"Mamat","given":"M B","non-dropping-particle":"","parse-names":false,"suffix":""},{"dropping-particle":"","family":"Lien","given":"C.-H.","non-dropping-particle":"","parse-names":false,"suffix":""},{"dropping-particle":"","family":"Ginta","given":"T L","non-dropping-particle":"","parse-names":false,"suffix":""},{"dropping-particle":"","family":"Mujiarto","given":"","non-dropping-particle":"","parse-names":false,"suffix":""},{"dropping-particle":"","family":"Sambas","given":"A","non-dropping-particle":"","parse-names":false,"suffix":""}],"id":"ITEM-1","issue":"4","issued":{"date-parts":[["2020"]]},"language":"English","note":"Export Date: 06 August 2025; Cited By: 6","publisher":"Institute of Physics Publishing helen.craven@iop.org","publisher-place":"Bina Nusantara University, Faculty of Humanities, Jakarta, Indonesia","title":"Characteristics and Challenges of Chinese E-Learning Platforms in Indonesia","type":"paper-conference","volume":"1477"},"uris":["http://www.mendeley.com/documents/?uuid=497b8dea-2b43-4b32-9ef8-482b12fe12f7"]}],"mendeley":{"formattedCitation":"[2]","plainTextFormattedCitation":"[2]","previouslyFormattedCitation":"[2]"},"properties":{"noteIndex":0},"schema":"https://github.com/citation-style-language/schema/raw/master/csl-citation.json"}</w:instrText>
      </w:r>
      <w:r w:rsidR="00501C62"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[2]</w:t>
      </w:r>
      <w:r w:rsidR="00501C62" w:rsidRPr="007B238D">
        <w:rPr>
          <w:rFonts w:ascii="Times New Roman" w:hAnsi="Times New Roman" w:cs="Times New Roman"/>
          <w:sz w:val="24"/>
          <w:szCs w:val="24"/>
        </w:rPr>
        <w:fldChar w:fldCharType="end"/>
      </w:r>
      <w:r w:rsidRPr="007B238D">
        <w:rPr>
          <w:rFonts w:ascii="Times New Roman" w:hAnsi="Times New Roman" w:cs="Times New Roman"/>
          <w:sz w:val="24"/>
          <w:szCs w:val="24"/>
        </w:rPr>
        <w:t>. Despite the increasing volume of publications, there remains a lack of comprehensive scientific mapping that systematically captures the direction and evolution of research in this domain.</w:t>
      </w:r>
    </w:p>
    <w:p w14:paraId="09B81DD5" w14:textId="77777777" w:rsidR="00977B81"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The fragmented nature of existing studies presents a significant challenge in understanding Mandarin language education's intellectual structure and thematic development. To address this, bibliometric analysis offers a quantitative and structured approach to explore publication patterns, citation networks, author collaborations, and </w:t>
      </w:r>
      <w:r w:rsidRPr="007B238D">
        <w:rPr>
          <w:rFonts w:ascii="Times New Roman" w:hAnsi="Times New Roman" w:cs="Times New Roman"/>
          <w:sz w:val="24"/>
          <w:szCs w:val="24"/>
        </w:rPr>
        <w:lastRenderedPageBreak/>
        <w:t xml:space="preserve">thematic clusters within a body of literature. While bibliometric methods have been widely applied in various academic fields, their use in Mandarin language learning research remains underexplored. For example, a recent study by Xu (2024) applied bibliometric tools such as </w:t>
      </w:r>
      <w:proofErr w:type="spellStart"/>
      <w:r w:rsidRPr="007B238D">
        <w:rPr>
          <w:rFonts w:ascii="Times New Roman" w:hAnsi="Times New Roman" w:cs="Times New Roman"/>
          <w:sz w:val="24"/>
          <w:szCs w:val="24"/>
        </w:rPr>
        <w:t>VOSviewer</w:t>
      </w:r>
      <w:proofErr w:type="spellEnd"/>
      <w:r w:rsidRPr="007B238D">
        <w:rPr>
          <w:rFonts w:ascii="Times New Roman" w:hAnsi="Times New Roman" w:cs="Times New Roman"/>
          <w:sz w:val="24"/>
          <w:szCs w:val="24"/>
        </w:rPr>
        <w:t xml:space="preserve"> and </w:t>
      </w:r>
      <w:proofErr w:type="spellStart"/>
      <w:r w:rsidRPr="007B238D">
        <w:rPr>
          <w:rFonts w:ascii="Times New Roman" w:hAnsi="Times New Roman" w:cs="Times New Roman"/>
          <w:sz w:val="24"/>
          <w:szCs w:val="24"/>
        </w:rPr>
        <w:t>CitNetExplorer</w:t>
      </w:r>
      <w:proofErr w:type="spellEnd"/>
      <w:r w:rsidRPr="007B238D">
        <w:rPr>
          <w:rFonts w:ascii="Times New Roman" w:hAnsi="Times New Roman" w:cs="Times New Roman"/>
          <w:sz w:val="24"/>
          <w:szCs w:val="24"/>
        </w:rPr>
        <w:t xml:space="preserve"> to </w:t>
      </w:r>
      <w:proofErr w:type="spellStart"/>
      <w:r w:rsidRPr="007B238D">
        <w:rPr>
          <w:rFonts w:ascii="Times New Roman" w:hAnsi="Times New Roman" w:cs="Times New Roman"/>
          <w:sz w:val="24"/>
          <w:szCs w:val="24"/>
        </w:rPr>
        <w:t>analyze</w:t>
      </w:r>
      <w:proofErr w:type="spellEnd"/>
      <w:r w:rsidRPr="007B238D">
        <w:rPr>
          <w:rFonts w:ascii="Times New Roman" w:hAnsi="Times New Roman" w:cs="Times New Roman"/>
          <w:sz w:val="24"/>
          <w:szCs w:val="24"/>
        </w:rPr>
        <w:t xml:space="preserve"> research on technology-assisted Mandarin instruction. The study revealed dominant themes such as mobile learning, TPACK frameworks, learner self-efficacy, and collaborative strategies in digital environments </w:t>
      </w:r>
      <w:r w:rsidR="00763A26" w:rsidRPr="007B238D">
        <w:rPr>
          <w:rFonts w:ascii="Times New Roman" w:hAnsi="Times New Roman" w:cs="Times New Roman"/>
          <w:sz w:val="24"/>
          <w:szCs w:val="24"/>
        </w:rPr>
        <w:fldChar w:fldCharType="begin" w:fldLock="1"/>
      </w:r>
      <w:r w:rsidR="00501C62" w:rsidRPr="007B238D">
        <w:rPr>
          <w:rFonts w:ascii="Times New Roman" w:hAnsi="Times New Roman" w:cs="Times New Roman"/>
          <w:sz w:val="24"/>
          <w:szCs w:val="24"/>
        </w:rPr>
        <w:instrText>ADDIN CSL_CITATION {"citationItems":[{"id":"ITEM-1","itemData":{"DOI":"10.1177/13621688241277911","ISSN":"1362-1688","abstract":"As Chinese as a Foreign Language (CFL) becomes increasingly popular worldwide, it is also influenced by modern educational technology. This article seeks to comprehensively review the current research status of technology integration into CFL learning in higher education. Using the Web of Science as the primary database and employing VOSviewer and CitNetExplorer to visualize literature, we conducted bibliometric analysis and systematically reviewed 64 included articles published between 2000 and 2024. Visualization analysis shows popular issues, such as technology acceptance, technology-supported collaborative learning, Technological, Pedagogical, and Content Knowledge (TPACK), self-efficacy, and gender stereotypes. Educational technologies possess characteristics highly adaptable to CFL classrooms in higher education, with mobile- and computer-assisted language learning dominating the field. Regarding CFL skills, most studies focused on technology?s role in enhancing students? speaking and communication skills. Overall, our research contributes valuable insights by summarizing the effectiveness of technology application in CFL higher education, paving the way for future studies and practices to further explore how technology can be maximally integrated into classrooms to enhance CFL students? proficiency and learning experiences.","author":[{"dropping-particle":"","family":"Xu","given":" Binze","non-dropping-particle":"","parse-names":false,"suffix":""}],"container-title":"Language Teaching Research","id":"ITEM-1","issued":{"date-parts":[["2024","9","20"]]},"note":"doi: 10.1177/13621688241277911","page":"13621688241277911","publisher":"SAGE Publications","title":"Technology integration into Chinese as a foreign language learning in higher education: An integrated bibliometric analysis and systematic review (2000–2024)","type":"article-journal"},"uris":["http://www.mendeley.com/documents/?uuid=525f9375-a7fa-43e4-b345-c387a540d967"]}],"mendeley":{"formattedCitation":"[3]","plainTextFormattedCitation":"[3]","previouslyFormattedCitation":"[3]"},"properties":{"noteIndex":0},"schema":"https://github.com/citation-style-language/schema/raw/master/csl-citation.json"}</w:instrText>
      </w:r>
      <w:r w:rsidR="00763A26"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[3]</w:t>
      </w:r>
      <w:r w:rsidR="00763A26" w:rsidRPr="007B238D">
        <w:rPr>
          <w:rFonts w:ascii="Times New Roman" w:hAnsi="Times New Roman" w:cs="Times New Roman"/>
          <w:sz w:val="24"/>
          <w:szCs w:val="24"/>
        </w:rPr>
        <w:fldChar w:fldCharType="end"/>
      </w:r>
      <w:r w:rsidRPr="007B238D">
        <w:rPr>
          <w:rFonts w:ascii="Times New Roman" w:hAnsi="Times New Roman" w:cs="Times New Roman"/>
          <w:sz w:val="24"/>
          <w:szCs w:val="24"/>
        </w:rPr>
        <w:t>, highlighting the utility of bibliometric approaches in revealing intellectual trends and knowledge networks.</w:t>
      </w:r>
    </w:p>
    <w:p w14:paraId="775D3A36" w14:textId="77777777" w:rsidR="00977B81"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Nonetheless, no existing research has comprehensively mapped global publications on Mandarin language learning using a full-scale bibliometric framework. This gap urgently requires a study that systematically investigates publication trends, identifies influential contributors, and visualizes collaborative dynamics in the field. Such a study is particularly timely as the academic output on Mandarin education continues to expand across interdisciplinary domains</w:t>
      </w:r>
      <w:r w:rsidR="00501C62" w:rsidRPr="007B238D">
        <w:rPr>
          <w:rFonts w:ascii="Times New Roman" w:hAnsi="Times New Roman" w:cs="Times New Roman"/>
          <w:sz w:val="24"/>
          <w:szCs w:val="24"/>
        </w:rPr>
        <w:t xml:space="preserve"> </w:t>
      </w:r>
      <w:r w:rsidR="00501C62"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{"citationItems":[{"id":"ITEM-1","itemData":{"DOI":"10.1080/01434632.2022.2126846","ISSN":"01434632 (ISSN)","abstract":"As a linguistically and ethnically diverse region in China, Xinjiang has received much scholarly attention in multilingual and multicultural education research. Given that minority Uyghur students need to learn three languages (i.e. Uyghur, Mandarin Chinese, and English), and that they generally have limited access to educational resources, some of these students often feel inferior to their majority Han counterparts when admitted to university where they are expected to compete on an equal footing. Adopting a poststructuralist conceptualisation of identity, we traced the multilingual learning experiences of one underprivileged Uyghur student in this two-year-long case study. Our semi-structured interview, reflective journal, and social media data revealed that drawing upon multiple affordances and her repertoire of communicative resources, our participant felt empowered to reshape her understandings of her future possibilities and to effect a more powerful identity in the host community. This study deepens our understanding of ethnic minority learners’ identity construction and multilingual practices in the process of internal migration. Additionally, this study attempts to advance our knowledge of ethnic multilingual learners’ identity construction by linking individual learner’s investment in multilingual learning (micro-level) to the institutional practices (meso-level) and the national language education policy (macro-level). © 2022 Elsevier B.V., All rights reserved.","author":[{"dropping-particle":"","family":"Cui","given":"Y","non-dropping-particle":"","parse-names":false,"suffix":""},{"dropping-particle":"","family":"Costa","given":"P","non-dropping-particle":"de","parse-names":false,"suffix":""}],"container-title":"Journal of Multilingual and Multicultural Development","id":"ITEM-1","issued":{"date-parts":[["2022"]]},"language":"English","note":"Export Date: 06 August 2025; Cited By: 6","publisher":"Routledge","publisher-place":"University of Chinese Academy of Sciences, Department of Foreign Languages, Beijing, China","title":"‘I never knew I could have so many future possibilities’: a case study of an ethnic minority student in mainstream higher education in China","type":"article-journal"},"uris":["http://www.mendeley.com/documents/?uuid=5c4da587-2356-423d-a96b-1ebb9e6d87b9"]}],"mendeley":{"formattedCitation":"[4]","plainTextFormattedCitation":"[4]","previouslyFormattedCitation":"[4]"},"properties":{"noteIndex":0},"schema":"https://github.com/citation-style-language/schema/raw/master/csl-citation.json"}</w:instrText>
      </w:r>
      <w:r w:rsidR="00501C62"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[4]</w:t>
      </w:r>
      <w:r w:rsidR="00501C62" w:rsidRPr="007B238D">
        <w:rPr>
          <w:rFonts w:ascii="Times New Roman" w:hAnsi="Times New Roman" w:cs="Times New Roman"/>
          <w:sz w:val="24"/>
          <w:szCs w:val="24"/>
        </w:rPr>
        <w:fldChar w:fldCharType="end"/>
      </w:r>
      <w:r w:rsidRPr="007B238D">
        <w:rPr>
          <w:rFonts w:ascii="Times New Roman" w:hAnsi="Times New Roman" w:cs="Times New Roman"/>
          <w:sz w:val="24"/>
          <w:szCs w:val="24"/>
        </w:rPr>
        <w:t>.</w:t>
      </w:r>
    </w:p>
    <w:p w14:paraId="4E8F0E8C" w14:textId="77777777" w:rsidR="00977B81"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This research, therefore, aims to uncover the direction and dynamics of Mandarin language learning studies through bibliometric analysis of scholarly publications indexed in major academic databases. The main objectives are to: (1) identify publication growth trends over a defined period, (2) explore dominant themes and keyword co-occurrence patterns, (3) identify the most productive and influential authors and institutions, and (4) map collaborative and citation networks within the research community. Ultimately, the findings are expected to provide a comprehensive overview of the Mandarin language learning research landscape, offering valuable insights for scholars, educators, and policymakers involved in language education.</w:t>
      </w:r>
    </w:p>
    <w:p w14:paraId="612DDE1C" w14:textId="77777777" w:rsidR="00977B81" w:rsidRPr="007B238D" w:rsidRDefault="00977B81" w:rsidP="00E350BD">
      <w:pPr>
        <w:spacing w:after="0" w:line="240" w:lineRule="auto"/>
        <w:ind w:firstLine="720"/>
        <w:jc w:val="both"/>
        <w:rPr>
          <w:rFonts w:ascii="Times New Roman" w:hAnsi="Times New Roman" w:cs="Times New Roman"/>
          <w:sz w:val="24"/>
          <w:szCs w:val="24"/>
        </w:rPr>
      </w:pPr>
    </w:p>
    <w:p w14:paraId="37AEBC6D"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2. Literature Review</w:t>
      </w:r>
    </w:p>
    <w:p w14:paraId="457F7CC9"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In recent years, bibliometric analysis has been widely employed to map scholarly trends and thematic evolution across diverse areas of language education. For instance, Hajara &amp; Karakus (2024) performed a bibliometric review of language learning strategy (LLS) research over five decades using data from the Web of Science. Their analysis identified dominant contributors and intellectual hotspots, showing that countries like China, the UK, and the USA are leading in producing knowledge in this area </w:t>
      </w:r>
      <w:r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10.1080/09571736.2024.2361145","ISSN":"0957-1736","author":[{"dropping-particle":"","family":"Hajar","given":"Anas","non-dropping-particle":"","parse-names":false,"suffix":""},{"dropping-particle":"","family":"Karakus","given":"Mehmet","non-dropping-particle":"","parse-names":false,"suffix":""}],"container-title":"The Language Learning Journal","id":"ITEM-1","issue":"2","issued":{"date-parts":[["2025","3","4"]]},"note":"doi: 10.1080/09571736.2024.2361145","page":"220-249","publisher":"Routledge","title":"Five decades of language learning strategy research: a bibliometric review and research agenda","type":"article-journal","volume":"53"},"uris":["http://www.mendeley.com/documents/?uuid=728320bb-17b5-4a9e-a3bd-03a71b3ff19f"]}],"mendeley":{"formattedCitation":"[5]","plainTextFormattedCitation":"[5]","previouslyFormattedCitation":"[5]"},"properties":{"noteIndex":0},"schema":"https://github.com/citation-style-language/schema/raw/master/csl-citation.json"}</w:instrText>
      </w:r>
      <w:r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[5]</w:t>
      </w:r>
      <w:r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This work underscores the power of bibliometric science mapping in revealing long-term trajectories in second language research.</w:t>
      </w:r>
    </w:p>
    <w:p w14:paraId="46E30708"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Similarly, Wang &amp; Hasim (2024) conducted a bibliometric analysis of self‑regulated language learning (SRLL) in mobile-assisted contexts, </w:t>
      </w:r>
      <w:proofErr w:type="spellStart"/>
      <w:r w:rsidRPr="007B238D">
        <w:rPr>
          <w:rFonts w:ascii="Times New Roman" w:hAnsi="Times New Roman" w:cs="Times New Roman"/>
          <w:sz w:val="24"/>
          <w:szCs w:val="24"/>
        </w:rPr>
        <w:t>analyzing</w:t>
      </w:r>
      <w:proofErr w:type="spellEnd"/>
      <w:r w:rsidRPr="007B238D">
        <w:rPr>
          <w:rFonts w:ascii="Times New Roman" w:hAnsi="Times New Roman" w:cs="Times New Roman"/>
          <w:sz w:val="24"/>
          <w:szCs w:val="24"/>
        </w:rPr>
        <w:t xml:space="preserve"> nearly 500 articles from 2005 to 2023. Their study revealed that China is the most influential contributor, and themes such as mobile learning, learner strategies, and higher education contexts emerged prominently </w:t>
      </w:r>
      <w:r w:rsidR="00901ACB"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{"citationItems":[{"id":"ITEM-1","itemData":{"DOI":"10.4018/IJCALLT.345401","ISSN":"21557101","abstract":"This study analysed 498 articles published between 2005 and 2023 on Self-regulated Language Learning (SRLL) indexed in the core collection of the Web of Science database, using a bibliometric methodology based on scientific mapping, co-occurrence and burstness analysis. Results show China is the most influential contributor to SRLL research, with the largest number of total publications and citations. According to the keyword co-occurrence and burstness analysis, mobile-learning, higher education, learning context, learner strategies stand out in this field. It is also shown that listening as a significant linguistic skill is less explored in the SRLL field. It is proven that learners’ language skills could be improved through mobile-assisted collaborative learning in informal settings. By identifying the developmental patterns in SRLL research, this paper can guide future researchers to explore in-depth the significant issues in this field and bring insight for further SRLL studies in terms of themes, pedagogy and methodologies.","author":[{"dropping-particle":"","family":"Wang","given":"Xing","non-dropping-particle":"","parse-names":false,"suffix":""},{"dropping-particle":"","family":"Hasim","given":"Zuwati","non-dropping-particle":"","parse-names":false,"suffix":""}],"container-title":"International Journal of Computer-Assisted Language Learning and Teaching","id":"ITEM-1","issue":"1","issued":{"date-parts":[["2024"]]},"page":"1-18","title":"A Bibliometric Analysis on Trends and Patterns in Self-Regulated Language Learning in Mobile-Assisted Learning Environments","type":"article-journal","volume":"14"},"uris":["http://www.mendeley.com/documents/?uuid=467b9b02-bdad-4778-8880-fdd60cf2bb4b"]}],"mendeley":{"formattedCitation":"[6]","plainTextFormattedCitation":"[6]","previouslyFormattedCitation":"[6]"},"properties":{"noteIndex":0},"schema":"https://github.com/citation-style-language/schema/raw/master/csl-citation.json"}</w:instrText>
      </w:r>
      <w:r w:rsidR="00901ACB"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[6]</w:t>
      </w:r>
      <w:r w:rsidR="00901ACB"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This confirms the relevance of digital-mediated learning environments in language learning research and highlights China’s central role in producing SRLL knowledge.</w:t>
      </w:r>
    </w:p>
    <w:p w14:paraId="0E9199D9"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However, while these studies illustrate the application of bibliometric analysis in general language learning research, they do not specifically address the domain of Mandarin language learning. Despite the growth of studies focused on Mandarin pedagogy, motivational factors, technology acceptance, and cultural dimensions, there remains a notable absence of a holistic bibliometric mapping of this field. Prior literature tends to be issue-specific or localized, lacking a global perspective integrating author networks, citation dynamics, and theme co-occurrence.</w:t>
      </w:r>
    </w:p>
    <w:p w14:paraId="02C7C871"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lastRenderedPageBreak/>
        <w:t xml:space="preserve">Moreover, bibliometric practice has been examined critically, with researchers pointing out potential biases. For example, </w:t>
      </w:r>
      <w:proofErr w:type="spellStart"/>
      <w:r w:rsidRPr="007B238D">
        <w:rPr>
          <w:rFonts w:ascii="Times New Roman" w:hAnsi="Times New Roman" w:cs="Times New Roman"/>
          <w:sz w:val="24"/>
          <w:szCs w:val="24"/>
        </w:rPr>
        <w:t>Thelwall</w:t>
      </w:r>
      <w:proofErr w:type="spellEnd"/>
      <w:r w:rsidRPr="007B238D">
        <w:rPr>
          <w:rFonts w:ascii="Times New Roman" w:hAnsi="Times New Roman" w:cs="Times New Roman"/>
          <w:sz w:val="24"/>
          <w:szCs w:val="24"/>
        </w:rPr>
        <w:t xml:space="preserve"> et al. (2022) demonstrated that bibliometric scoring can sometimes disadvantage high-performing departments or introduce institutional bias, and that interdisciplinary work may benefit inconsistently depending on the framework used </w:t>
      </w:r>
      <w:r w:rsidR="0066019A"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{"citationItems":[{"id":"ITEM-1","itemData":{"DOI":"10.1016/j.respol.2023.104829","ISSN":"00487333","abstract":"Systematic evaluations of publicly funded research sometimes use bibliometrics alone or bibliometric-informed peer review, but it is not known whether bibliometrics introduce biases when supporting or replacing peer review. This article assesses this by comparing three alternative mechanisms for scoring 73,612 UK Research Excellence Framework (REF) journal articles from all 34 field-based Units of Assessment (UoAs) 2014–17: REF peer review scores, field normalised citations, and journal average field normalised citation impact. The results suggest that in almost all academic fields, bibliometric scoring can disadvantage departments publishing high quality research, as judged by peer review, with the main exception of article citation rates in chemistry. Thus, introducing journal or article level citation information into peer review exercises may have a regression to the mean effect. Bibliometric scoring slightly advantaged women compared to men, but this varied between UoAs and was most evident in the physical sciences, engineering, and social sciences. In contrast, interdisciplinary research gained from bibliometric scoring in about half of the UoAs, but relatively substantially in two. In conclusion, out of the three potential sources of bibliometric bias examined, the most serious seems to be the tendency for bibliometric scores to work against high quality departments, assuming that the peer review scores are correct. This is almost a paradox: although high quality departments tend to get the highest bibliometric scores, bibliometrics conceal the full extent of departmental quality advantages, as judged by peer review. This should be considered when using bibliometrics or bibliometric informed peer review.","author":[{"dropping-particle":"","family":"Thelwall","given":"Mike","non-dropping-particle":"","parse-names":false,"suffix":""},{"dropping-particle":"","family":"Kousha","given":"Kayvan","non-dropping-particle":"","parse-names":false,"suffix":""},{"dropping-particle":"","family":"Stuart","given":"Emma","non-dropping-particle":"","parse-names":false,"suffix":""},{"dropping-particle":"","family":"Makita","given":"Meiko","non-dropping-particle":"","parse-names":false,"suffix":""},{"dropping-particle":"","family":"Abdoli","given":"Mahshid","non-dropping-particle":"","parse-names":false,"suffix":""},{"dropping-particle":"","family":"Wilson","given":"Paul","non-dropping-particle":"","parse-names":false,"suffix":""},{"dropping-particle":"","family":"Levitt","given":"Jonathan","non-dropping-particle":"","parse-names":false,"suffix":""}],"container-title":"Research Policy","id":"ITEM-1","issue":"8","issued":{"date-parts":[["2023"]]},"title":"Do bibliometrics introduce gender, institutional or interdisciplinary biases into research evaluations?","type":"article-journal","volume":"52"},"uris":["http://www.mendeley.com/documents/?uuid=c908da7b-8e93-4224-805d-a7fc7ee0a0b1"]}],"mendeley":{"formattedCitation":"[7]","plainTextFormattedCitation":"[7]","previouslyFormattedCitation":"[7]"},"properties":{"noteIndex":0},"schema":"https://github.com/citation-style-language/schema/raw/master/csl-citation.json"}</w:instrText>
      </w:r>
      <w:r w:rsidR="0066019A"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[7]</w:t>
      </w:r>
      <w:r w:rsidR="0066019A" w:rsidRPr="007B238D">
        <w:rPr>
          <w:rFonts w:ascii="Times New Roman" w:hAnsi="Times New Roman" w:cs="Times New Roman"/>
          <w:sz w:val="24"/>
          <w:szCs w:val="24"/>
        </w:rPr>
        <w:fldChar w:fldCharType="end"/>
      </w:r>
      <w:r w:rsidRPr="007B238D">
        <w:rPr>
          <w:rFonts w:ascii="Times New Roman" w:hAnsi="Times New Roman" w:cs="Times New Roman"/>
          <w:sz w:val="24"/>
          <w:szCs w:val="24"/>
        </w:rPr>
        <w:t>. Such methodological scrutiny is important when applying bibliometric approaches to sensitive fields like language education, where language dominance and regional disparities may shape visibility.</w:t>
      </w:r>
    </w:p>
    <w:p w14:paraId="456149C7"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In applied linguistics contexts, bibliometric studies have also mapped research on AI in language learning and second language teaching. For instance, a comprehensive analysis of AI applications in language learning between 2017 and 2023 revealed thematic clusters around computing, chatbots, NLP, and e-learning frameworks using </w:t>
      </w:r>
      <w:proofErr w:type="spellStart"/>
      <w:r w:rsidRPr="007B238D">
        <w:rPr>
          <w:rFonts w:ascii="Times New Roman" w:hAnsi="Times New Roman" w:cs="Times New Roman"/>
          <w:sz w:val="24"/>
          <w:szCs w:val="24"/>
        </w:rPr>
        <w:t>VOSviewer</w:t>
      </w:r>
      <w:proofErr w:type="spellEnd"/>
      <w:r w:rsidRPr="007B238D">
        <w:rPr>
          <w:rFonts w:ascii="Times New Roman" w:hAnsi="Times New Roman" w:cs="Times New Roman"/>
          <w:sz w:val="24"/>
          <w:szCs w:val="24"/>
        </w:rPr>
        <w:t xml:space="preserve"> visualizations </w:t>
      </w:r>
      <w:r w:rsidR="0066019A"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{"citationItems":[{"id":"ITEM-1","itemData":{"DOI":"10.1007/s10462-023-10643-9","ISSN":"1573-7462","abstract":"The rising pervasiveness of Artificial Intelligence (AI) has led applied linguists to combine it with language teaching and learning processes. In many cases, such implementation has significantly contributed to the field. The retrospective amount of literature dedicated on the use of AI in language learning (LL) is overwhelming. Thus, the objective of this paper is to map the existing literature on Artificial Intelligence in language learning through bibliometric and content analysis. From the Scopus database, we systematically explored, after keyword refinement, the prevailing literature of AI in LL. After excluding irrelevant articles, we conducted our study with 606 documents published between 2017 and 2023 for further investigation. This review reinforces our understanding by identifying and distilling the relationships between the content, the contributions, and the contributors. The findings of the study show a rising pattern of AI in LL. Along with the metrics of performance analysis, through VOSviewer and R studio (Biblioshiny), our findings uncovered the influential authors, institutions, countries, and the most influential documents in the field. Moreover, we identified 7 clusters and potential areas of related research through keyword analysis. In addition to the bibliographic details, this review aims to elucidate the content of the field. NVivo 14 and Atlas AI were used to perform content analysis to categorize and present the type of AI used in language learning, Language learning factors, and its participants.","author":[{"dropping-particle":"","family":"Rahman","given":"Abdur","non-dropping-particle":"","parse-names":false,"suffix":""},{"dropping-particle":"","family":"Raj","given":"Antony","non-dropping-particle":"","parse-names":false,"suffix":""},{"dropping-particle":"","family":"Tomy","given":"Prajeesh","non-dropping-particle":"","parse-names":false,"suffix":""},{"dropping-particle":"","family":"Hameed","given":"Mohamed Sahul","non-dropping-particle":"","parse-names":false,"suffix":""}],"container-title":"Artificial Intelligence Review","id":"ITEM-1","issue":"4","issued":{"date-parts":[["2024"]]},"page":"107","title":"A comprehensive bibliometric and content analysis of artificial intelligence in language learning: tracing between the years 2017 and 2023","type":"article-journal","volume":"57"},"uris":["http://www.mendeley.com/documents/?uuid=c7c07244-6b4e-4729-8b44-1ad2b76882a5"]}],"mendeley":{"formattedCitation":"[8]","plainTextFormattedCitation":"[8]","previouslyFormattedCitation":"[8]"},"properties":{"noteIndex":0},"schema":"https://github.com/citation-style-language/schema/raw/master/csl-citation.json"}</w:instrText>
      </w:r>
      <w:r w:rsidR="0066019A"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[8]</w:t>
      </w:r>
      <w:r w:rsidR="0066019A" w:rsidRPr="007B238D">
        <w:rPr>
          <w:rFonts w:ascii="Times New Roman" w:hAnsi="Times New Roman" w:cs="Times New Roman"/>
          <w:sz w:val="24"/>
          <w:szCs w:val="24"/>
        </w:rPr>
        <w:fldChar w:fldCharType="end"/>
      </w:r>
      <w:r w:rsidR="0066019A" w:rsidRPr="007B238D">
        <w:rPr>
          <w:rFonts w:ascii="Times New Roman" w:hAnsi="Times New Roman" w:cs="Times New Roman"/>
          <w:sz w:val="24"/>
          <w:szCs w:val="24"/>
        </w:rPr>
        <w:t>.</w:t>
      </w:r>
      <w:r w:rsidRPr="007B238D">
        <w:rPr>
          <w:rFonts w:ascii="Times New Roman" w:hAnsi="Times New Roman" w:cs="Times New Roman"/>
          <w:sz w:val="24"/>
          <w:szCs w:val="24"/>
        </w:rPr>
        <w:t xml:space="preserve"> These methods demonstrate the potential of bibliometric tools to detect emerging subfields, network clusters, and intellectual linkages.</w:t>
      </w:r>
    </w:p>
    <w:p w14:paraId="40583003"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However, no bibliometric study has exclusively targeted the corpus of literature on Mandarin language learning</w:t>
      </w:r>
      <w:r w:rsidR="0066019A" w:rsidRPr="007B238D">
        <w:rPr>
          <w:rFonts w:ascii="Times New Roman" w:hAnsi="Times New Roman" w:cs="Times New Roman"/>
          <w:sz w:val="24"/>
          <w:szCs w:val="24"/>
        </w:rPr>
        <w:t xml:space="preserve">, </w:t>
      </w:r>
      <w:r w:rsidRPr="007B238D">
        <w:rPr>
          <w:rFonts w:ascii="Times New Roman" w:hAnsi="Times New Roman" w:cs="Times New Roman"/>
          <w:sz w:val="24"/>
          <w:szCs w:val="24"/>
        </w:rPr>
        <w:t xml:space="preserve">specifically </w:t>
      </w:r>
      <w:proofErr w:type="spellStart"/>
      <w:r w:rsidRPr="007B238D">
        <w:rPr>
          <w:rFonts w:ascii="Times New Roman" w:hAnsi="Times New Roman" w:cs="Times New Roman"/>
          <w:sz w:val="24"/>
          <w:szCs w:val="24"/>
        </w:rPr>
        <w:t>analyzing</w:t>
      </w:r>
      <w:proofErr w:type="spellEnd"/>
      <w:r w:rsidRPr="007B238D">
        <w:rPr>
          <w:rFonts w:ascii="Times New Roman" w:hAnsi="Times New Roman" w:cs="Times New Roman"/>
          <w:sz w:val="24"/>
          <w:szCs w:val="24"/>
        </w:rPr>
        <w:t xml:space="preserve"> global academic output on teaching methodologies, learner autonomy, language anxiety, technology integration in Mandarin instruction, or cross-cultural pedagogy.</w:t>
      </w:r>
    </w:p>
    <w:p w14:paraId="1236AFF8" w14:textId="77777777" w:rsidR="00AD1544"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Given this gap, the current study fills a crucial niche by offering the first systematic bibliometric mapping of Mandarin language learning research. This research provides a comprehensive vantage point previously absent in the literature by </w:t>
      </w:r>
      <w:proofErr w:type="spellStart"/>
      <w:r w:rsidRPr="007B238D">
        <w:rPr>
          <w:rFonts w:ascii="Times New Roman" w:hAnsi="Times New Roman" w:cs="Times New Roman"/>
          <w:sz w:val="24"/>
          <w:szCs w:val="24"/>
        </w:rPr>
        <w:t>analyzing</w:t>
      </w:r>
      <w:proofErr w:type="spellEnd"/>
      <w:r w:rsidRPr="007B238D">
        <w:rPr>
          <w:rFonts w:ascii="Times New Roman" w:hAnsi="Times New Roman" w:cs="Times New Roman"/>
          <w:sz w:val="24"/>
          <w:szCs w:val="24"/>
        </w:rPr>
        <w:t xml:space="preserve"> publication trends, keyword co-occurrence, citation networks, author and institutional productivity, and collaborative structures. It thereby sets the stage for a robust understanding of the direction and dynamics of Mandarin pedagogy research. It supports future strategy, educational policy, and research design in this expanding domain.</w:t>
      </w:r>
    </w:p>
    <w:p w14:paraId="57097E81" w14:textId="77777777" w:rsidR="000B4868" w:rsidRPr="007B238D" w:rsidRDefault="000B4868" w:rsidP="00E350BD">
      <w:pPr>
        <w:spacing w:after="0" w:line="240" w:lineRule="auto"/>
        <w:jc w:val="both"/>
        <w:rPr>
          <w:rFonts w:ascii="Times New Roman" w:hAnsi="Times New Roman" w:cs="Times New Roman"/>
          <w:b/>
          <w:bCs/>
          <w:sz w:val="24"/>
          <w:szCs w:val="24"/>
        </w:rPr>
      </w:pPr>
    </w:p>
    <w:p w14:paraId="22470AA9"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3. Methodology</w:t>
      </w:r>
    </w:p>
    <w:p w14:paraId="1A70A92C" w14:textId="77777777" w:rsidR="003B3D02"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This study adopts a bibliometric, quantitative method to </w:t>
      </w:r>
      <w:proofErr w:type="spellStart"/>
      <w:r w:rsidRPr="007B238D">
        <w:rPr>
          <w:rFonts w:ascii="Times New Roman" w:hAnsi="Times New Roman" w:cs="Times New Roman"/>
          <w:sz w:val="24"/>
          <w:szCs w:val="24"/>
        </w:rPr>
        <w:t>analyze</w:t>
      </w:r>
      <w:proofErr w:type="spellEnd"/>
      <w:r w:rsidRPr="007B238D">
        <w:rPr>
          <w:rFonts w:ascii="Times New Roman" w:hAnsi="Times New Roman" w:cs="Times New Roman"/>
          <w:sz w:val="24"/>
          <w:szCs w:val="24"/>
        </w:rPr>
        <w:t xml:space="preserve"> scientific publications in a particular research field systematically. The goal is to uncover patterns in knowledge development, identify influential contributors, map collaborative networks, and explore dominant thematic trends in the literature on Mandarin language learning</w:t>
      </w:r>
      <w:r w:rsidR="00A7151B" w:rsidRPr="007B238D">
        <w:rPr>
          <w:rFonts w:ascii="Times New Roman" w:hAnsi="Times New Roman" w:cs="Times New Roman"/>
          <w:sz w:val="24"/>
          <w:szCs w:val="24"/>
        </w:rPr>
        <w:t xml:space="preserve"> </w:t>
      </w:r>
      <w:r w:rsidR="00A7151B"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{"citationItems":[{"id":"ITEM-1","itemData":{"DOI":"10.1186/s40359-023-01432-8","ISBN":"2050-7283","abstract":"Background: Chinese/Mandarin language instruction to undergraduate students from non-Chinese speaking countries has become a topic of increasing interest, driven by China’s influential role in global political and economic dynamics. With Mandarin being the language spoken by approximately 70% of Chinese speakers, it is not only taught within China but also in institutions around the world. While teaching any second or foreign language presents unique challenges, the specific challenges faced in Mandarin language education have not received comprehensive scrutiny, prompting the need for further investigation. Objectives: The primary objective of this study was to explore the challenges associated with teaching and learning Mandarin from the perspectives of non-native Mandarin language teachers. By adopting a qualitative (phenomenological) research approach, we aimed to uncover the multifaceted challenges that confront both educators and learners in the context of Mandarin language instruction. Methodology: The research methodology employed for this study involved the use of semi-structured interviews conducted with 15 Mandarin language teachers, who were chosen through theoretical sampling. These interviews were transcribed into text files and subsequently subjected to qualitative data analysis, which was facilitated by the use of MAQDA software. This approach allowed us to identify and categorize the various challenges and problems encountered in the teaching and learning of Mandarin. Findings: The research findings revealed a range of challenges and problems experienced in Mandarin language education. These challenges were grouped into two primary thematic categories: psycho-linguistic and educational challenges. The linguistic challenges are deeply rooted in the distinctive features of the Mandarin language, presenting obstacles that necessitate innovative teaching strategies and materials. Educational challenges extend beyond native speaker proficiency, emphasizing the requirement for a comprehensive pedagogical skill set among instructors. Implications: : The implications of this research extend to various stakeholders in the field of Chinese/Mandarin language education, including policymakers, educators, curriculum designers, and learners. Understanding the linguistic, educational, and psychological challenges can inform the development of more effective teaching methods, curriculum design, and motivation-enhancing strategies, ultimately promoting …","author":[{"dropping-particle":"","family":"Pan","given":"Lei","non-dropping-particle":"","parse-names":false,"suffix":""},{"dropping-particle":"","family":"Sun","given":"Dan","non-dropping-particle":"","parse-names":false,"suffix":""},{"dropping-particle":"","family":"Zou","given":"Yumei","non-dropping-particle":"","parse-names":false,"suffix":""},{"dropping-particle":"","family":"Cao","given":"Yi","non-dropping-particle":"","parse-names":false,"suffix":""},{"dropping-particle":"","family":"Zhang","given":"Jingxian","non-dropping-particle":"","parse-names":false,"suffix":""},{"dropping-particle":"","family":"Li","given":"Fangfang","non-dropping-particle":"","parse-names":false,"suffix":""}],"container-title":"BMC Psychology","id":"ITEM-1","issue":"1","issued":{"date-parts":[["2023"]]},"note":"Cited By (since 2023): 3","publisher":"Springer Science and Business Media LLC","title":"Psycho-linguistic and educational challenges in Teaching Chinese (Mandarin) Language: voices from None-Chinese teachers of Mandarin language","type":"article","volume":"11"},"uris":["http://www.mendeley.com/documents/?uuid=bfbe5761-4ad7-439e-9a43-7909b92db856"]}],"mendeley":{"formattedCitation":"[9]","plainTextFormattedCitation":"[9]","previouslyFormattedCitation":"[9]"},"properties":{"noteIndex":0},"schema":"https://github.com/citation-style-language/schema/raw/master/csl-citation.json"}</w:instrText>
      </w:r>
      <w:r w:rsidR="00A7151B"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[9]</w:t>
      </w:r>
      <w:r w:rsidR="00A7151B"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This approach is particularly suitable for offering a comprehensive overview of the field's intellectual structure and research dynamics.</w:t>
      </w:r>
    </w:p>
    <w:p w14:paraId="6F16C42A" w14:textId="77777777" w:rsidR="00896C9A" w:rsidRPr="007B238D" w:rsidRDefault="00896C9A" w:rsidP="00E350BD">
      <w:pPr>
        <w:spacing w:after="0" w:line="240" w:lineRule="auto"/>
        <w:ind w:firstLine="284"/>
        <w:jc w:val="both"/>
        <w:rPr>
          <w:rFonts w:ascii="Times New Roman" w:hAnsi="Times New Roman" w:cs="Times New Roman"/>
          <w:sz w:val="24"/>
          <w:szCs w:val="24"/>
        </w:rPr>
      </w:pPr>
    </w:p>
    <w:p w14:paraId="57706E86"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3.1 Data Source and Search Strategy</w:t>
      </w:r>
    </w:p>
    <w:p w14:paraId="0F4D00D8" w14:textId="77777777" w:rsidR="00896C9A"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Bibliographic data were retrieved from the Scopus (Elsevier) database, one of the most comprehensive and reputable sources of peer-reviewed scientific literature. The data was collected in [insert month and year of search], covering publications from 2019 to 2025. The data included metadata such as article titles, authors, affiliations, publication year, keywords, and citation counts</w:t>
      </w:r>
      <w:r w:rsidR="00A7151B" w:rsidRPr="007B238D">
        <w:rPr>
          <w:rFonts w:ascii="Times New Roman" w:hAnsi="Times New Roman" w:cs="Times New Roman"/>
          <w:sz w:val="24"/>
          <w:szCs w:val="24"/>
        </w:rPr>
        <w:t xml:space="preserve"> </w:t>
      </w:r>
      <w:r w:rsidR="00A7151B"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{"citationItems":[{"id":"ITEM-1","itemData":{"DOI":"10.1017/S0305000919000904","ISSN":"0305-0009","author":[{"dropping-particle":"","family":"Sun","given":"H","non-dropping-particle":"","parse-names":false,"suffix":""}],"container-title":"Journal of Child Language","id":"ITEM-1","issue":"4","issued":{"date-parts":[["2020"]]},"note":"Cited By (since 2020): 37","page":"817-843","title":"Child, family, and school factors in bilingual preschoolers' vocabulary development in heritage languages","type":"article-journal","volume":"47"},"uris":["http://www.mendeley.com/documents/?uuid=44cd3176-5677-4806-bda5-910987791722"]}],"mendeley":{"formattedCitation":"[10]","plainTextFormattedCitation":"[10]","previouslyFormattedCitation":"[10]"},"properties":{"noteIndex":0},"schema":"https://github.com/citation-style-language/schema/raw/master/csl-citation.json"}</w:instrText>
      </w:r>
      <w:r w:rsidR="00A7151B"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[10]</w:t>
      </w:r>
      <w:r w:rsidR="00A7151B" w:rsidRPr="007B238D">
        <w:rPr>
          <w:rFonts w:ascii="Times New Roman" w:hAnsi="Times New Roman" w:cs="Times New Roman"/>
          <w:sz w:val="24"/>
          <w:szCs w:val="24"/>
        </w:rPr>
        <w:fldChar w:fldCharType="end"/>
      </w:r>
      <w:r w:rsidRPr="007B238D">
        <w:rPr>
          <w:rFonts w:ascii="Times New Roman" w:hAnsi="Times New Roman" w:cs="Times New Roman"/>
          <w:sz w:val="24"/>
          <w:szCs w:val="24"/>
        </w:rPr>
        <w:t>.</w:t>
      </w:r>
    </w:p>
    <w:p w14:paraId="1826231B" w14:textId="77777777" w:rsidR="00896C9A"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A refined Boolean search string was applied to ensure the relevance and specificity of the dataset. The query used was as follows:</w:t>
      </w:r>
    </w:p>
    <w:p w14:paraId="0A1D84F9"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TITLE-ABS-KEY (Mandarin AND language AND learning AND </w:t>
      </w:r>
      <w:proofErr w:type="gramStart"/>
      <w:r w:rsidRPr="007B238D">
        <w:rPr>
          <w:rFonts w:ascii="Times New Roman" w:hAnsi="Times New Roman" w:cs="Times New Roman"/>
          <w:i/>
          <w:iCs/>
          <w:sz w:val="24"/>
          <w:szCs w:val="24"/>
        </w:rPr>
        <w:t>education )</w:t>
      </w:r>
      <w:proofErr w:type="gramEnd"/>
      <w:r w:rsidRPr="007B238D">
        <w:rPr>
          <w:rFonts w:ascii="Times New Roman" w:hAnsi="Times New Roman" w:cs="Times New Roman"/>
          <w:i/>
          <w:iCs/>
          <w:sz w:val="24"/>
          <w:szCs w:val="24"/>
        </w:rPr>
        <w:t xml:space="preserve"> </w:t>
      </w:r>
    </w:p>
    <w:p w14:paraId="298306D8"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AND PUBYEAR &gt; 2018 AND PUBYEAR &lt; 2026 </w:t>
      </w:r>
    </w:p>
    <w:p w14:paraId="22AA63C3"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AND (LIMIT-TO (EXACTKEYWORD, "Students") </w:t>
      </w:r>
    </w:p>
    <w:p w14:paraId="7DC1FAC4"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"E-learning") </w:t>
      </w:r>
    </w:p>
    <w:p w14:paraId="15BE239F"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"Mandarin") </w:t>
      </w:r>
    </w:p>
    <w:p w14:paraId="3A694C53"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"Education") </w:t>
      </w:r>
    </w:p>
    <w:p w14:paraId="74A1E384"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Language Learners") </w:t>
      </w:r>
    </w:p>
    <w:p w14:paraId="01A23738"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lastRenderedPageBreak/>
        <w:t xml:space="preserve">OR LIMIT-TO (EXACTKEYWORD, "Chinese Characters") </w:t>
      </w:r>
    </w:p>
    <w:p w14:paraId="472D00FD"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w:t>
      </w:r>
      <w:proofErr w:type="gramStart"/>
      <w:r w:rsidRPr="007B238D">
        <w:rPr>
          <w:rFonts w:ascii="Times New Roman" w:hAnsi="Times New Roman" w:cs="Times New Roman"/>
          <w:i/>
          <w:iCs/>
          <w:sz w:val="24"/>
          <w:szCs w:val="24"/>
        </w:rPr>
        <w:t>As</w:t>
      </w:r>
      <w:proofErr w:type="gramEnd"/>
      <w:r w:rsidRPr="007B238D">
        <w:rPr>
          <w:rFonts w:ascii="Times New Roman" w:hAnsi="Times New Roman" w:cs="Times New Roman"/>
          <w:i/>
          <w:iCs/>
          <w:sz w:val="24"/>
          <w:szCs w:val="24"/>
        </w:rPr>
        <w:t xml:space="preserve"> A Foreign Language") </w:t>
      </w:r>
    </w:p>
    <w:p w14:paraId="248BB2BE"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Language Teachers") </w:t>
      </w:r>
    </w:p>
    <w:p w14:paraId="1E54F73F"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Mandarin") </w:t>
      </w:r>
    </w:p>
    <w:p w14:paraId="3C9DE5A8"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Speakers") </w:t>
      </w:r>
    </w:p>
    <w:p w14:paraId="10803999"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Language Learning") </w:t>
      </w:r>
    </w:p>
    <w:p w14:paraId="222E54B6"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"China") </w:t>
      </w:r>
    </w:p>
    <w:p w14:paraId="66749172"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"Chinese") </w:t>
      </w:r>
    </w:p>
    <w:p w14:paraId="20FCBF9F"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"Language Learning") </w:t>
      </w:r>
    </w:p>
    <w:p w14:paraId="1B4FFE3F"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"Language Development") </w:t>
      </w:r>
    </w:p>
    <w:p w14:paraId="66D9754D"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 xml:space="preserve">OR LIMIT-TO (EXACTKEYWORD, "Mandarin Chinese") </w:t>
      </w:r>
    </w:p>
    <w:p w14:paraId="3F75F093"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AND (LIMIT-TO (DOCTYPE, "</w:t>
      </w:r>
      <w:proofErr w:type="spellStart"/>
      <w:r w:rsidRPr="007B238D">
        <w:rPr>
          <w:rFonts w:ascii="Times New Roman" w:hAnsi="Times New Roman" w:cs="Times New Roman"/>
          <w:i/>
          <w:iCs/>
          <w:sz w:val="24"/>
          <w:szCs w:val="24"/>
        </w:rPr>
        <w:t>ar</w:t>
      </w:r>
      <w:proofErr w:type="spellEnd"/>
      <w:r w:rsidRPr="007B238D">
        <w:rPr>
          <w:rFonts w:ascii="Times New Roman" w:hAnsi="Times New Roman" w:cs="Times New Roman"/>
          <w:i/>
          <w:iCs/>
          <w:sz w:val="24"/>
          <w:szCs w:val="24"/>
        </w:rPr>
        <w:t xml:space="preserve">")) </w:t>
      </w:r>
    </w:p>
    <w:p w14:paraId="2A9B1CEF" w14:textId="77777777" w:rsidR="00896C9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AND (LIMIT-TO (SRCTYPE, "j"))</w:t>
      </w:r>
    </w:p>
    <w:p w14:paraId="1BB1B506" w14:textId="77777777" w:rsidR="00EC01E8" w:rsidRPr="007B238D" w:rsidRDefault="00EC01E8" w:rsidP="00E350BD">
      <w:pPr>
        <w:spacing w:after="0" w:line="240" w:lineRule="auto"/>
        <w:jc w:val="both"/>
        <w:rPr>
          <w:rFonts w:ascii="Times New Roman" w:hAnsi="Times New Roman" w:cs="Times New Roman"/>
          <w:i/>
          <w:iCs/>
          <w:sz w:val="24"/>
          <w:szCs w:val="24"/>
        </w:rPr>
      </w:pPr>
    </w:p>
    <w:p w14:paraId="0B7A6380" w14:textId="77777777" w:rsidR="00802C7B"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3.2 Data Analysis</w:t>
      </w:r>
    </w:p>
    <w:p w14:paraId="7147E171" w14:textId="77777777" w:rsidR="00802C7B" w:rsidRPr="007B238D" w:rsidRDefault="00417442" w:rsidP="00E350BD">
      <w:pPr>
        <w:spacing w:after="0" w:line="240" w:lineRule="auto"/>
        <w:ind w:firstLine="284"/>
        <w:jc w:val="both"/>
        <w:rPr>
          <w:rFonts w:ascii="Times New Roman" w:hAnsi="Times New Roman" w:cs="Times New Roman"/>
          <w:sz w:val="24"/>
          <w:szCs w:val="24"/>
        </w:rPr>
      </w:pPr>
      <w:r w:rsidRPr="007B238D">
        <w:rPr>
          <w:rFonts w:ascii="Times New Roman" w:hAnsi="Times New Roman" w:cs="Times New Roman"/>
          <w:sz w:val="24"/>
          <w:szCs w:val="24"/>
        </w:rPr>
        <w:t xml:space="preserve">The collected bibliometric data were </w:t>
      </w:r>
      <w:proofErr w:type="spellStart"/>
      <w:r w:rsidRPr="007B238D">
        <w:rPr>
          <w:rFonts w:ascii="Times New Roman" w:hAnsi="Times New Roman" w:cs="Times New Roman"/>
          <w:sz w:val="24"/>
          <w:szCs w:val="24"/>
        </w:rPr>
        <w:t>analyzed</w:t>
      </w:r>
      <w:proofErr w:type="spellEnd"/>
      <w:r w:rsidRPr="007B238D">
        <w:rPr>
          <w:rFonts w:ascii="Times New Roman" w:hAnsi="Times New Roman" w:cs="Times New Roman"/>
          <w:sz w:val="24"/>
          <w:szCs w:val="24"/>
        </w:rPr>
        <w:t xml:space="preserve"> using descriptive statistics and visual network mapping through </w:t>
      </w:r>
      <w:proofErr w:type="spellStart"/>
      <w:r w:rsidRPr="007B238D">
        <w:rPr>
          <w:rFonts w:ascii="Times New Roman" w:hAnsi="Times New Roman" w:cs="Times New Roman"/>
          <w:sz w:val="24"/>
          <w:szCs w:val="24"/>
        </w:rPr>
        <w:t>VOSviewer</w:t>
      </w:r>
      <w:proofErr w:type="spellEnd"/>
      <w:r w:rsidRPr="007B238D">
        <w:rPr>
          <w:rFonts w:ascii="Times New Roman" w:hAnsi="Times New Roman" w:cs="Times New Roman"/>
          <w:sz w:val="24"/>
          <w:szCs w:val="24"/>
        </w:rPr>
        <w:t>. Publication trends were examined to identify growth patterns over time, while keyword co-occurrence analysis revealed dominant research themes and their interconnections</w:t>
      </w:r>
      <w:r w:rsidR="00A7151B" w:rsidRPr="007B238D">
        <w:rPr>
          <w:rFonts w:ascii="Times New Roman" w:hAnsi="Times New Roman" w:cs="Times New Roman"/>
          <w:sz w:val="24"/>
          <w:szCs w:val="24"/>
        </w:rPr>
        <w:t xml:space="preserve"> </w:t>
      </w:r>
      <w:r w:rsidR="00A7151B"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{"citationItems":[{"id":"ITEM-1","itemData":{"DOI":"10.1080/02699206.2019.1608470","ISSN":"0269-9206","author":[{"dropping-particle":"","family":"Blake","given":"H L","non-dropping-particle":"","parse-names":false,"suffix":""}],"container-title":"Clinical Linguistics and Phonetics","id":"ITEM-1","issue":"1","issued":{"date-parts":[["2020"]]},"note":"Cited By (since 2020): 5","page":"1-20","title":"Intelligibility Enhancement Assessment and Intervention: a single-case experimental design with two multilingual university students","type":"article-journal","volume":"34"},"uris":["http://www.mendeley.com/documents/?uuid=6466b37d-5ba5-4874-884e-eefa5db9a871"]}],"mendeley":{"formattedCitation":"[11]","plainTextFormattedCitation":"[11]","previouslyFormattedCitation":"[11]"},"properties":{"noteIndex":0},"schema":"https://github.com/citation-style-language/schema/raw/master/csl-citation.json"}</w:instrText>
      </w:r>
      <w:r w:rsidR="00A7151B"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[11]</w:t>
      </w:r>
      <w:r w:rsidR="00A7151B" w:rsidRPr="007B238D">
        <w:rPr>
          <w:rFonts w:ascii="Times New Roman" w:hAnsi="Times New Roman" w:cs="Times New Roman"/>
          <w:sz w:val="24"/>
          <w:szCs w:val="24"/>
        </w:rPr>
        <w:fldChar w:fldCharType="end"/>
      </w:r>
      <w:r w:rsidRPr="007B238D">
        <w:rPr>
          <w:rFonts w:ascii="Times New Roman" w:hAnsi="Times New Roman" w:cs="Times New Roman"/>
          <w:sz w:val="24"/>
          <w:szCs w:val="24"/>
        </w:rPr>
        <w:t>. Citation analysis identified the most influential publications and authors, and co-authorship analysis highlighted collaborative structures across researchers and institutions</w:t>
      </w:r>
      <w:r w:rsidR="00A7151B" w:rsidRPr="007B238D">
        <w:rPr>
          <w:rFonts w:ascii="Times New Roman" w:hAnsi="Times New Roman" w:cs="Times New Roman"/>
          <w:sz w:val="24"/>
          <w:szCs w:val="24"/>
        </w:rPr>
        <w:t xml:space="preserve"> </w:t>
      </w:r>
      <w:r w:rsidR="00A7151B" w:rsidRPr="007B238D">
        <w:rPr>
          <w:rFonts w:ascii="Times New Roman" w:hAnsi="Times New Roman" w:cs="Times New Roman"/>
          <w:sz w:val="24"/>
          <w:szCs w:val="24"/>
        </w:rPr>
        <w:fldChar w:fldCharType="begin" w:fldLock="1"/>
      </w:r>
      <w:r w:rsidR="00501C62" w:rsidRPr="007B238D">
        <w:rPr>
          <w:rFonts w:ascii="Times New Roman" w:hAnsi="Times New Roman" w:cs="Times New Roman"/>
          <w:sz w:val="24"/>
          <w:szCs w:val="24"/>
        </w:rPr>
        <w:instrText>ADDIN CSL_CITATION {"citationItems":[{"id":"ITEM-1","itemData":{"DOI":"10.1088/1742-6596/1477/4/042014","ISBN":"17426588 (ISSN); 17426596 (ISSN); 9788394593742 (ISBN); 9781628905861 (ISBN)","abstract":"The digital and internet era have made technology integrated with education, which has encouraged the renewal of learning models, including the availability of learning platforms that can be accessed free or paid. The availability of the Mandarin language platform as the largest foreign language after English has also become more diverse, starting with free modules available on the web/blog, as well as online course learning models. This paper collects various kinds of Mandarin language learning platforms in Indonesia, researchers qualify their types into several sections: web content based, mobile app based, video streaming based and e-learning courses-based learning platforms. This paper compares the characteristics, advantages and disadvantages of each type of Chinese e-learning platform. The results of this study indicate that the challenges of the Mandarin language learning platform in Indonesia will have to prioritize functional, structural, varied and content management aspects, with the expectation of creating a massive, open and integrated learning management ecosystem. © 2020 Elsevier B.V., All rights reserved.","author":[{"dropping-particle":"","family":"Ying","given":"Y","non-dropping-particle":"","parse-names":false,"suffix":""}],"container-title":"Journal of Physics: Conference Series","editor":[{"dropping-particle":"","family":"Vaidyanathan","given":"S","non-dropping-particle":"","parse-names":false,"suffix":""},{"dropping-particle":"","family":"Mamat","given":"M B","non-dropping-particle":"","parse-names":false,"suffix":""},{"dropping-particle":"","family":"Lien","given":"C.-H.","non-dropping-particle":"","parse-names":false,"suffix":""},{"dropping-particle":"","family":"Ginta","given":"T L","non-dropping-particle":"","parse-names":false,"suffix":""},{"dropping-particle":"","family":"Mujiarto","given":"","non-dropping-particle":"","parse-names":false,"suffix":""},{"dropping-particle":"","family":"Sambas","given":"A","non-dropping-particle":"","parse-names":false,"suffix":""}],"id":"ITEM-1","issue":"4","issued":{"date-parts":[["2020"]]},"language":"English","note":"Export Date: 06 August 2025; Cited By: 6","publisher":"Institute of Physics Publishing helen.craven@iop.org","publisher-place":"Bina Nusantara University, Faculty of Humanities, Jakarta, Indonesia","title":"Characteristics and Challenges of Chinese E-Learning Platforms in Indonesia","type":"paper-conference","volume":"1477"},"uris":["http://www.mendeley.com/documents/?uuid=497b8dea-2b43-4b32-9ef8-482b12fe12f7"]}],"mendeley":{"formattedCitation":"[2]","plainTextFormattedCitation":"[2]","previouslyFormattedCitation":"[2]"},"properties":{"noteIndex":0},"schema":"https://github.com/citation-style-language/schema/raw/master/csl-citation.json"}</w:instrText>
      </w:r>
      <w:r w:rsidR="00A7151B"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[2]</w:t>
      </w:r>
      <w:r w:rsidR="00A7151B"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These combined methods provided a comprehensive view of the intellectual landscape of Mandarin language learning research.</w:t>
      </w:r>
    </w:p>
    <w:p w14:paraId="6DA091E0" w14:textId="77777777" w:rsidR="00802C7B" w:rsidRPr="007B238D" w:rsidRDefault="00802C7B" w:rsidP="00E350BD">
      <w:pPr>
        <w:spacing w:after="0" w:line="240" w:lineRule="auto"/>
        <w:ind w:firstLine="720"/>
        <w:jc w:val="both"/>
        <w:rPr>
          <w:rFonts w:ascii="Times New Roman" w:hAnsi="Times New Roman" w:cs="Times New Roman"/>
          <w:sz w:val="24"/>
          <w:szCs w:val="24"/>
        </w:rPr>
      </w:pPr>
    </w:p>
    <w:p w14:paraId="440938E2" w14:textId="77777777" w:rsidR="0056054A" w:rsidRPr="007B238D" w:rsidRDefault="00417442" w:rsidP="00E350BD">
      <w:pPr>
        <w:spacing w:after="0" w:line="240" w:lineRule="auto"/>
        <w:jc w:val="both"/>
        <w:rPr>
          <w:rFonts w:ascii="Times New Roman" w:hAnsi="Times New Roman" w:cs="Times New Roman"/>
          <w:i/>
          <w:iCs/>
          <w:sz w:val="24"/>
          <w:szCs w:val="24"/>
        </w:rPr>
      </w:pPr>
      <w:r w:rsidRPr="007B238D">
        <w:rPr>
          <w:rFonts w:ascii="Times New Roman" w:hAnsi="Times New Roman" w:cs="Times New Roman"/>
          <w:i/>
          <w:iCs/>
          <w:sz w:val="24"/>
          <w:szCs w:val="24"/>
        </w:rPr>
        <w:t>3.</w:t>
      </w:r>
      <w:r w:rsidR="00802C7B" w:rsidRPr="007B238D">
        <w:rPr>
          <w:rFonts w:ascii="Times New Roman" w:hAnsi="Times New Roman" w:cs="Times New Roman"/>
          <w:i/>
          <w:iCs/>
          <w:sz w:val="24"/>
          <w:szCs w:val="24"/>
        </w:rPr>
        <w:t>3</w:t>
      </w:r>
      <w:r w:rsidRPr="007B238D">
        <w:rPr>
          <w:rFonts w:ascii="Times New Roman" w:hAnsi="Times New Roman" w:cs="Times New Roman"/>
          <w:i/>
          <w:iCs/>
          <w:sz w:val="24"/>
          <w:szCs w:val="24"/>
        </w:rPr>
        <w:t xml:space="preserve"> Visualization and Validation</w:t>
      </w:r>
    </w:p>
    <w:p w14:paraId="30D80F58" w14:textId="77777777" w:rsidR="0056054A"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Visualizations were generated using </w:t>
      </w:r>
      <w:proofErr w:type="spellStart"/>
      <w:r w:rsidRPr="007B238D">
        <w:rPr>
          <w:rFonts w:ascii="Times New Roman" w:hAnsi="Times New Roman" w:cs="Times New Roman"/>
          <w:sz w:val="24"/>
          <w:szCs w:val="24"/>
        </w:rPr>
        <w:t>VOSviewer</w:t>
      </w:r>
      <w:proofErr w:type="spellEnd"/>
      <w:r w:rsidRPr="007B238D">
        <w:rPr>
          <w:rFonts w:ascii="Times New Roman" w:hAnsi="Times New Roman" w:cs="Times New Roman"/>
          <w:sz w:val="24"/>
          <w:szCs w:val="24"/>
        </w:rPr>
        <w:t>, a specialized bibliometric mapping tool. It enabled the construction of visual maps for the co-occurrence of keywords, co-authorship between researchers, and citation networks among articles</w:t>
      </w:r>
      <w:r w:rsidR="005A09F1" w:rsidRPr="007B238D">
        <w:rPr>
          <w:rFonts w:ascii="Times New Roman" w:hAnsi="Times New Roman" w:cs="Times New Roman"/>
          <w:sz w:val="24"/>
          <w:szCs w:val="24"/>
        </w:rPr>
        <w:t xml:space="preserve"> </w:t>
      </w:r>
      <w:r w:rsidR="005A09F1"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{"citationItems":[{"id":"ITEM-1","itemData":{"DOI":"10.13189/ujer.2020.081611","ISSN":"23323213 (ISSN); 23323205 (ISSN)","abstract":"Over centuries, English has become the dominant language throughout the world. The role of English in many areas such as education, politics, business, science, and technology is undeniable. Nonetheless, the explosive growth of China as one of the world leading powers has caused many people to be in an “alert” state especially in embracing Mandarin as a second language. Although it seems plausible to accept Mandarin as a second language, the language however could be very difficult for one to master. There are four main components of learning Mandarin, which are reading, writing, listening and speaking. Therefore, this concept paper discusses the role of culture as one innovation in teaching and learning processes. Through the discussion in the paper, the authors hope to instill the idea of immersions of culture in the curriculum for the betterment of the students in acquiring Mandarin as a second language. © 2020 Elsevier B.V., All rights reserved.","author":[{"dropping-particle":"","family":"Jafri","given":"N","non-dropping-particle":"","parse-names":false,"suffix":""},{"dropping-particle":"","family":"Abd Manaf","given":"U K","non-dropping-particle":"","parse-names":false,"suffix":""},{"dropping-particle":"","family":"Muhamad","given":"M M","non-dropping-particle":"","parse-names":false,"suffix":""}],"container-title":"Universal Journal of Educational Research","id":"ITEM-1","issue":"3 3C","issued":{"date-parts":[["2020"]]},"language":"English","note":"Export Date: 06 August 2025; Cited By: 1","page":"91-94","publisher":"Horizon Research Publishing","publisher-place":"Universiti Putra Malaysia, Department of Foundations of Education, Serdang, Malaysia","title":"The value of cultural immersions in teaching Mandarin as a second language","type":"article-journal","volume":"8"},"uris":["http://www.mendeley.com/documents/?uuid=1306c0ac-8400-464b-aceb-14b507229e76"]}],"mendeley":{"formattedCitation":"[12]","plainTextFormattedCitation":"[12]","previouslyFormattedCitation":"[12]"},"properties":{"noteIndex":0},"schema":"https://github.com/citation-style-language/schema/raw/master/csl-citation.json"}</w:instrText>
      </w:r>
      <w:r w:rsidR="005A09F1" w:rsidRPr="007B238D">
        <w:rPr>
          <w:rFonts w:ascii="Times New Roman" w:hAnsi="Times New Roman" w:cs="Times New Roman"/>
          <w:sz w:val="24"/>
          <w:szCs w:val="24"/>
        </w:rPr>
        <w:fldChar w:fldCharType="separate"/>
      </w:r>
      <w:r w:rsidR="00501C62" w:rsidRPr="007B238D">
        <w:rPr>
          <w:rFonts w:ascii="Times New Roman" w:hAnsi="Times New Roman" w:cs="Times New Roman"/>
          <w:noProof/>
          <w:sz w:val="24"/>
          <w:szCs w:val="24"/>
        </w:rPr>
        <w:t>[12]</w:t>
      </w:r>
      <w:r w:rsidR="005A09F1" w:rsidRPr="007B238D">
        <w:rPr>
          <w:rFonts w:ascii="Times New Roman" w:hAnsi="Times New Roman" w:cs="Times New Roman"/>
          <w:sz w:val="24"/>
          <w:szCs w:val="24"/>
        </w:rPr>
        <w:fldChar w:fldCharType="end"/>
      </w:r>
      <w:r w:rsidRPr="007B238D">
        <w:rPr>
          <w:rFonts w:ascii="Times New Roman" w:hAnsi="Times New Roman" w:cs="Times New Roman"/>
          <w:sz w:val="24"/>
          <w:szCs w:val="24"/>
        </w:rPr>
        <w:t xml:space="preserve">. To ensure the validity and reproducibility of the findings, the process was documented in detail, and selected datasets were cross-validated using </w:t>
      </w:r>
      <w:proofErr w:type="spellStart"/>
      <w:r w:rsidRPr="007B238D">
        <w:rPr>
          <w:rFonts w:ascii="Times New Roman" w:hAnsi="Times New Roman" w:cs="Times New Roman"/>
          <w:sz w:val="24"/>
          <w:szCs w:val="24"/>
        </w:rPr>
        <w:t>Biblioshiny</w:t>
      </w:r>
      <w:proofErr w:type="spellEnd"/>
      <w:r w:rsidRPr="007B238D">
        <w:rPr>
          <w:rFonts w:ascii="Times New Roman" w:hAnsi="Times New Roman" w:cs="Times New Roman"/>
          <w:sz w:val="24"/>
          <w:szCs w:val="24"/>
        </w:rPr>
        <w:t>, an R-based tool for bibliometric analysis.</w:t>
      </w:r>
    </w:p>
    <w:p w14:paraId="6BD16341" w14:textId="77777777" w:rsidR="00896C9A" w:rsidRPr="007B238D" w:rsidRDefault="00896C9A" w:rsidP="00E350BD">
      <w:pPr>
        <w:spacing w:after="0" w:line="240" w:lineRule="auto"/>
        <w:jc w:val="both"/>
        <w:rPr>
          <w:rFonts w:ascii="Times New Roman" w:hAnsi="Times New Roman" w:cs="Times New Roman"/>
          <w:sz w:val="24"/>
          <w:szCs w:val="24"/>
        </w:rPr>
      </w:pPr>
    </w:p>
    <w:p w14:paraId="5AD9AEF8"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 Results</w:t>
      </w:r>
    </w:p>
    <w:p w14:paraId="6C1A51C2" w14:textId="77777777" w:rsidR="00FC5B28"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Table 1 provides an overview of publications related to Mandarin language learning research during the 2023–2025 period. 2,069 documents were retrieved from 897 different publication sources, indicating that the field has developed through a diverse range of scholarly outlets. A total of 8,499 Keywords Plus were identified, reflecting the thematic diversity explored by researchers. These publications involved 7,471 authors from various backgrounds, with 265 works produced by single authors. This shows a balance between collaborative research and individual efforts. Journal articles were the most dominant document type, with 1,471 publications as the primary medium for disseminating new findings in Mandarin language education.</w:t>
      </w:r>
    </w:p>
    <w:p w14:paraId="48BF6E5F" w14:textId="77777777" w:rsidR="00FC5B28" w:rsidRPr="007B238D" w:rsidRDefault="00FC5B28" w:rsidP="00E350BD">
      <w:pPr>
        <w:spacing w:after="0" w:line="240" w:lineRule="auto"/>
        <w:ind w:firstLine="426"/>
        <w:jc w:val="both"/>
        <w:rPr>
          <w:rFonts w:ascii="Times New Roman" w:hAnsi="Times New Roman" w:cs="Times New Roman"/>
          <w:sz w:val="24"/>
          <w:szCs w:val="24"/>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3905"/>
      </w:tblGrid>
      <w:tr w:rsidR="00D81DBA" w:rsidRPr="007B238D" w14:paraId="7CBBB5BF" w14:textId="77777777" w:rsidTr="004B6292">
        <w:trPr>
          <w:trHeight w:val="288"/>
          <w:jc w:val="center"/>
        </w:trPr>
        <w:tc>
          <w:tcPr>
            <w:tcW w:w="6237" w:type="dxa"/>
            <w:gridSpan w:val="2"/>
            <w:tcBorders>
              <w:top w:val="nil"/>
              <w:left w:val="nil"/>
              <w:bottom w:val="single" w:sz="4" w:space="0" w:color="auto"/>
              <w:right w:val="nil"/>
            </w:tcBorders>
            <w:shd w:val="clear" w:color="auto" w:fill="auto"/>
            <w:noWrap/>
          </w:tcPr>
          <w:p w14:paraId="72FA05C1" w14:textId="77777777" w:rsidR="004B6292"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Table 1. Main Info</w:t>
            </w:r>
          </w:p>
        </w:tc>
      </w:tr>
      <w:tr w:rsidR="00D81DBA" w:rsidRPr="007B238D" w14:paraId="56F6455B" w14:textId="77777777" w:rsidTr="004B6292">
        <w:trPr>
          <w:trHeight w:val="288"/>
          <w:jc w:val="center"/>
        </w:trPr>
        <w:tc>
          <w:tcPr>
            <w:tcW w:w="2332" w:type="dxa"/>
            <w:tcBorders>
              <w:top w:val="single" w:sz="4" w:space="0" w:color="auto"/>
            </w:tcBorders>
            <w:shd w:val="clear" w:color="auto" w:fill="auto"/>
            <w:noWrap/>
            <w:hideMark/>
          </w:tcPr>
          <w:p w14:paraId="48384B4F" w14:textId="77777777" w:rsidR="004B6292" w:rsidRPr="007B238D" w:rsidRDefault="00417442" w:rsidP="00E350BD">
            <w:pPr>
              <w:spacing w:after="0" w:line="240" w:lineRule="auto"/>
              <w:jc w:val="center"/>
              <w:rPr>
                <w:rFonts w:ascii="Times New Roman" w:eastAsia="Times New Roman" w:hAnsi="Times New Roman" w:cs="Times New Roman"/>
                <w:b/>
                <w:bCs/>
                <w:color w:val="000000"/>
                <w:sz w:val="24"/>
                <w:szCs w:val="24"/>
                <w:lang w:eastAsia="en-ID"/>
              </w:rPr>
            </w:pPr>
            <w:r w:rsidRPr="007B238D">
              <w:rPr>
                <w:rFonts w:ascii="Times New Roman" w:hAnsi="Times New Roman" w:cs="Times New Roman"/>
                <w:b/>
                <w:bCs/>
                <w:sz w:val="24"/>
                <w:szCs w:val="24"/>
              </w:rPr>
              <w:t>Category</w:t>
            </w:r>
          </w:p>
        </w:tc>
        <w:tc>
          <w:tcPr>
            <w:tcW w:w="3905" w:type="dxa"/>
            <w:tcBorders>
              <w:top w:val="single" w:sz="4" w:space="0" w:color="auto"/>
            </w:tcBorders>
            <w:shd w:val="clear" w:color="auto" w:fill="auto"/>
            <w:noWrap/>
            <w:hideMark/>
          </w:tcPr>
          <w:p w14:paraId="32ADF755" w14:textId="77777777" w:rsidR="004B6292" w:rsidRPr="007B238D" w:rsidRDefault="00417442" w:rsidP="00E350BD">
            <w:pPr>
              <w:spacing w:after="0" w:line="240" w:lineRule="auto"/>
              <w:jc w:val="center"/>
              <w:rPr>
                <w:rFonts w:ascii="Times New Roman" w:eastAsia="Times New Roman" w:hAnsi="Times New Roman" w:cs="Times New Roman"/>
                <w:b/>
                <w:bCs/>
                <w:color w:val="000000"/>
                <w:sz w:val="24"/>
                <w:szCs w:val="24"/>
                <w:lang w:eastAsia="en-ID"/>
              </w:rPr>
            </w:pPr>
            <w:r w:rsidRPr="007B238D">
              <w:rPr>
                <w:rFonts w:ascii="Times New Roman" w:hAnsi="Times New Roman" w:cs="Times New Roman"/>
                <w:b/>
                <w:bCs/>
                <w:sz w:val="24"/>
                <w:szCs w:val="24"/>
              </w:rPr>
              <w:t>Result</w:t>
            </w:r>
          </w:p>
        </w:tc>
      </w:tr>
      <w:tr w:rsidR="00D81DBA" w:rsidRPr="007B238D" w14:paraId="534CE2BD" w14:textId="77777777" w:rsidTr="004B6292">
        <w:trPr>
          <w:trHeight w:val="288"/>
          <w:jc w:val="center"/>
        </w:trPr>
        <w:tc>
          <w:tcPr>
            <w:tcW w:w="2332" w:type="dxa"/>
            <w:shd w:val="clear" w:color="auto" w:fill="auto"/>
            <w:noWrap/>
            <w:hideMark/>
          </w:tcPr>
          <w:p w14:paraId="40CF86DB"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Period</w:t>
            </w:r>
          </w:p>
        </w:tc>
        <w:tc>
          <w:tcPr>
            <w:tcW w:w="3905" w:type="dxa"/>
            <w:shd w:val="clear" w:color="auto" w:fill="auto"/>
            <w:noWrap/>
            <w:hideMark/>
          </w:tcPr>
          <w:p w14:paraId="74754E61"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2023–2025</w:t>
            </w:r>
          </w:p>
        </w:tc>
      </w:tr>
      <w:tr w:rsidR="00D81DBA" w:rsidRPr="007B238D" w14:paraId="7AC5139E" w14:textId="77777777" w:rsidTr="004B6292">
        <w:trPr>
          <w:trHeight w:val="288"/>
          <w:jc w:val="center"/>
        </w:trPr>
        <w:tc>
          <w:tcPr>
            <w:tcW w:w="2332" w:type="dxa"/>
            <w:shd w:val="clear" w:color="auto" w:fill="auto"/>
            <w:noWrap/>
            <w:hideMark/>
          </w:tcPr>
          <w:p w14:paraId="47A33E1B"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Number of Sources</w:t>
            </w:r>
          </w:p>
        </w:tc>
        <w:tc>
          <w:tcPr>
            <w:tcW w:w="3905" w:type="dxa"/>
            <w:shd w:val="clear" w:color="auto" w:fill="auto"/>
            <w:noWrap/>
            <w:hideMark/>
          </w:tcPr>
          <w:p w14:paraId="5C927CA8"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897</w:t>
            </w:r>
          </w:p>
        </w:tc>
      </w:tr>
      <w:tr w:rsidR="00D81DBA" w:rsidRPr="007B238D" w14:paraId="558CF40F" w14:textId="77777777" w:rsidTr="004B6292">
        <w:trPr>
          <w:trHeight w:val="288"/>
          <w:jc w:val="center"/>
        </w:trPr>
        <w:tc>
          <w:tcPr>
            <w:tcW w:w="2332" w:type="dxa"/>
            <w:shd w:val="clear" w:color="auto" w:fill="auto"/>
            <w:noWrap/>
            <w:hideMark/>
          </w:tcPr>
          <w:p w14:paraId="758E8563"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lastRenderedPageBreak/>
              <w:t>Number of Documents</w:t>
            </w:r>
          </w:p>
        </w:tc>
        <w:tc>
          <w:tcPr>
            <w:tcW w:w="3905" w:type="dxa"/>
            <w:shd w:val="clear" w:color="auto" w:fill="auto"/>
            <w:noWrap/>
            <w:hideMark/>
          </w:tcPr>
          <w:p w14:paraId="77A023DE"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2069</w:t>
            </w:r>
          </w:p>
        </w:tc>
      </w:tr>
      <w:tr w:rsidR="00D81DBA" w:rsidRPr="007B238D" w14:paraId="0AA44BAA" w14:textId="77777777" w:rsidTr="004B6292">
        <w:trPr>
          <w:trHeight w:val="288"/>
          <w:jc w:val="center"/>
        </w:trPr>
        <w:tc>
          <w:tcPr>
            <w:tcW w:w="2332" w:type="dxa"/>
            <w:shd w:val="clear" w:color="auto" w:fill="auto"/>
            <w:noWrap/>
            <w:hideMark/>
          </w:tcPr>
          <w:p w14:paraId="1B7BB965"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Number of Keywords Plus</w:t>
            </w:r>
          </w:p>
        </w:tc>
        <w:tc>
          <w:tcPr>
            <w:tcW w:w="3905" w:type="dxa"/>
            <w:shd w:val="clear" w:color="auto" w:fill="auto"/>
            <w:noWrap/>
            <w:hideMark/>
          </w:tcPr>
          <w:p w14:paraId="74841847"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8499</w:t>
            </w:r>
          </w:p>
        </w:tc>
      </w:tr>
      <w:tr w:rsidR="00D81DBA" w:rsidRPr="007B238D" w14:paraId="59B95D44" w14:textId="77777777" w:rsidTr="004B6292">
        <w:trPr>
          <w:trHeight w:val="288"/>
          <w:jc w:val="center"/>
        </w:trPr>
        <w:tc>
          <w:tcPr>
            <w:tcW w:w="2332" w:type="dxa"/>
            <w:shd w:val="clear" w:color="auto" w:fill="auto"/>
            <w:noWrap/>
            <w:hideMark/>
          </w:tcPr>
          <w:p w14:paraId="5BF77393"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Number of Authors</w:t>
            </w:r>
          </w:p>
        </w:tc>
        <w:tc>
          <w:tcPr>
            <w:tcW w:w="3905" w:type="dxa"/>
            <w:shd w:val="clear" w:color="auto" w:fill="auto"/>
            <w:noWrap/>
            <w:hideMark/>
          </w:tcPr>
          <w:p w14:paraId="3F19BECC"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7471</w:t>
            </w:r>
          </w:p>
        </w:tc>
      </w:tr>
      <w:tr w:rsidR="00D81DBA" w:rsidRPr="007B238D" w14:paraId="38D4D562" w14:textId="77777777" w:rsidTr="004B6292">
        <w:trPr>
          <w:trHeight w:val="288"/>
          <w:jc w:val="center"/>
        </w:trPr>
        <w:tc>
          <w:tcPr>
            <w:tcW w:w="2332" w:type="dxa"/>
            <w:shd w:val="clear" w:color="auto" w:fill="auto"/>
            <w:noWrap/>
            <w:hideMark/>
          </w:tcPr>
          <w:p w14:paraId="373BECA5"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Single-authored Documents</w:t>
            </w:r>
          </w:p>
        </w:tc>
        <w:tc>
          <w:tcPr>
            <w:tcW w:w="3905" w:type="dxa"/>
            <w:shd w:val="clear" w:color="auto" w:fill="auto"/>
            <w:noWrap/>
            <w:hideMark/>
          </w:tcPr>
          <w:p w14:paraId="10F241D9"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265</w:t>
            </w:r>
          </w:p>
        </w:tc>
      </w:tr>
      <w:tr w:rsidR="00D81DBA" w:rsidRPr="007B238D" w14:paraId="40646E59" w14:textId="77777777" w:rsidTr="004B6292">
        <w:trPr>
          <w:trHeight w:val="288"/>
          <w:jc w:val="center"/>
        </w:trPr>
        <w:tc>
          <w:tcPr>
            <w:tcW w:w="2332" w:type="dxa"/>
            <w:shd w:val="clear" w:color="auto" w:fill="auto"/>
            <w:noWrap/>
            <w:hideMark/>
          </w:tcPr>
          <w:p w14:paraId="580AE93E" w14:textId="77777777" w:rsidR="004B6292" w:rsidRPr="007B238D" w:rsidRDefault="00417442" w:rsidP="00E350BD">
            <w:pPr>
              <w:spacing w:after="0" w:line="240" w:lineRule="auto"/>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Articles</w:t>
            </w:r>
          </w:p>
        </w:tc>
        <w:tc>
          <w:tcPr>
            <w:tcW w:w="3905" w:type="dxa"/>
            <w:shd w:val="clear" w:color="auto" w:fill="auto"/>
            <w:noWrap/>
            <w:hideMark/>
          </w:tcPr>
          <w:p w14:paraId="35A2C4CB" w14:textId="77777777" w:rsidR="004B6292"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hAnsi="Times New Roman" w:cs="Times New Roman"/>
                <w:sz w:val="24"/>
                <w:szCs w:val="24"/>
              </w:rPr>
              <w:t>1471</w:t>
            </w:r>
          </w:p>
        </w:tc>
      </w:tr>
    </w:tbl>
    <w:p w14:paraId="67EA1490" w14:textId="77777777" w:rsidR="004B6292" w:rsidRPr="007B238D" w:rsidRDefault="004B6292" w:rsidP="00E350BD">
      <w:pPr>
        <w:spacing w:after="0" w:line="240" w:lineRule="auto"/>
        <w:jc w:val="both"/>
        <w:rPr>
          <w:rFonts w:ascii="Times New Roman" w:hAnsi="Times New Roman" w:cs="Times New Roman"/>
          <w:b/>
          <w:bCs/>
          <w:sz w:val="24"/>
          <w:szCs w:val="24"/>
        </w:rPr>
      </w:pPr>
    </w:p>
    <w:p w14:paraId="1A23B60D" w14:textId="77777777" w:rsidR="003B3D0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Regarding trends, the volume of publications within this timeframe reflects an active research landscape. However, fluctuations are evident, likely influenced by external factors such as educational policy changes, language learning technology advances, and shifts in global research interests. The high number of Keywords Plus indicates that research is not concentrated on a single theme but spans a wide range of topics, including pedagogy, online learning technologies, learner motivation, and cross-cultural approaches. Furthermore, the participation of thousands of authors from diverse institutions and countries suggests that Mandarin language learning has gained transnational attention, with significant contributions from international academic networks. The dominance of journal articles also demonstrates that knowledge dissemination in this field relies heavily on widely accessible and academically rigorous publishing platforms.</w:t>
      </w:r>
    </w:p>
    <w:p w14:paraId="670BCD1D" w14:textId="77777777" w:rsidR="00FC5B28" w:rsidRPr="007B238D" w:rsidRDefault="00FC5B28" w:rsidP="00E350BD">
      <w:pPr>
        <w:spacing w:after="0" w:line="240" w:lineRule="auto"/>
        <w:jc w:val="both"/>
        <w:rPr>
          <w:rFonts w:ascii="Times New Roman" w:hAnsi="Times New Roman" w:cs="Times New Roman"/>
          <w:sz w:val="24"/>
          <w:szCs w:val="24"/>
        </w:rPr>
      </w:pPr>
    </w:p>
    <w:p w14:paraId="4AC8BACF" w14:textId="77777777" w:rsidR="00A22B90"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4.1. Most Relevant Sources</w:t>
      </w:r>
    </w:p>
    <w:p w14:paraId="11B378E9" w14:textId="77777777" w:rsidR="00A22B90"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analysis reveals a set of publication sources that stand out as primary channels for disseminating research on Mandarin language learning. The Most Relevant Sources graph shows that several journals maintain a consistently high level of productivity, with publication counts far exceeding the average. This indicates the presence of key publication hubs that serve as focal points for scholarly contributions in this field.</w:t>
      </w:r>
    </w:p>
    <w:p w14:paraId="2D3230BA" w14:textId="77777777" w:rsidR="00A22B90" w:rsidRPr="007B238D" w:rsidRDefault="00417442" w:rsidP="00E350BD">
      <w:pPr>
        <w:spacing w:after="0" w:line="240" w:lineRule="auto"/>
        <w:jc w:val="center"/>
        <w:rPr>
          <w:rFonts w:ascii="Times New Roman" w:hAnsi="Times New Roman" w:cs="Times New Roman"/>
          <w:b/>
          <w:bCs/>
          <w:sz w:val="24"/>
          <w:szCs w:val="24"/>
        </w:rPr>
      </w:pPr>
      <w:r w:rsidRPr="007B238D">
        <w:rPr>
          <w:rFonts w:ascii="Times New Roman" w:hAnsi="Times New Roman" w:cs="Times New Roman"/>
          <w:noProof/>
          <w:sz w:val="24"/>
          <w:szCs w:val="24"/>
        </w:rPr>
        <w:drawing>
          <wp:inline distT="0" distB="0" distL="0" distR="0" wp14:anchorId="3EA0ED71" wp14:editId="3EC1CF62">
            <wp:extent cx="3134995" cy="2086512"/>
            <wp:effectExtent l="0" t="0" r="8255" b="9525"/>
            <wp:docPr id="2" name="Picture 1">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300-000002000000}"/>
                        </a:ext>
                      </a:extLst>
                    </pic:cNvPr>
                    <pic:cNvPicPr>
                      <a:picLocks noChangeAspect="1"/>
                    </pic:cNvPicPr>
                  </pic:nvPicPr>
                  <pic:blipFill>
                    <a:blip r:embed="rId7"/>
                    <a:srcRect t="4919"/>
                    <a:stretch>
                      <a:fillRect/>
                    </a:stretch>
                  </pic:blipFill>
                  <pic:spPr bwMode="auto">
                    <a:xfrm>
                      <a:off x="0" y="0"/>
                      <a:ext cx="3142660" cy="2091613"/>
                    </a:xfrm>
                    <a:prstGeom prst="rect">
                      <a:avLst/>
                    </a:prstGeom>
                    <a:ln>
                      <a:noFill/>
                    </a:ln>
                    <a:extLst>
                      <a:ext uri="{53640926-AAD7-44D8-BBD7-CCE9431645EC}">
                        <a14:shadowObscured xmlns:a14="http://schemas.microsoft.com/office/drawing/2010/main"/>
                      </a:ext>
                    </a:extLst>
                  </pic:spPr>
                </pic:pic>
              </a:graphicData>
            </a:graphic>
          </wp:inline>
        </w:drawing>
      </w:r>
    </w:p>
    <w:p w14:paraId="79841E3E" w14:textId="77777777" w:rsidR="00A22B9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1. Relevant Sources</w:t>
      </w:r>
    </w:p>
    <w:p w14:paraId="5C892616" w14:textId="77777777" w:rsidR="00A22B90" w:rsidRPr="007B238D" w:rsidRDefault="00A22B90" w:rsidP="00E350BD">
      <w:pPr>
        <w:spacing w:after="0" w:line="240" w:lineRule="auto"/>
        <w:ind w:firstLine="426"/>
        <w:jc w:val="both"/>
        <w:rPr>
          <w:rFonts w:ascii="Times New Roman" w:hAnsi="Times New Roman" w:cs="Times New Roman"/>
          <w:sz w:val="24"/>
          <w:szCs w:val="24"/>
        </w:rPr>
      </w:pPr>
    </w:p>
    <w:p w14:paraId="1486F3AF" w14:textId="77777777" w:rsidR="00A22B90"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leading journal produced up to 90 publications within the analysis period, followed by several others with outputs ranging from 40 to 87 publications. This concentration of productivity suggests that much of the academic discourse on Mandarin language learning is centralized within a handful of platforms with a strong focus on language education, learning technologies, and cross-cultural studies. Meanwhile, journals with smaller publication counts still play a vital role by offering alternative </w:t>
      </w:r>
      <w:r w:rsidRPr="007B238D">
        <w:rPr>
          <w:rFonts w:ascii="Times New Roman" w:hAnsi="Times New Roman" w:cs="Times New Roman"/>
          <w:sz w:val="24"/>
          <w:szCs w:val="24"/>
        </w:rPr>
        <w:lastRenderedPageBreak/>
        <w:t>perspectives and addressing niche topics that the larger outlets may not extensively cover. These findings highlight a dual dynamic in the field, where high-volume publication hubs drive the main research trends while smaller sources enrich the diversity of scholarly discourse.</w:t>
      </w:r>
    </w:p>
    <w:p w14:paraId="183F4450" w14:textId="77777777" w:rsidR="00161AA2" w:rsidRPr="007B238D" w:rsidRDefault="00161AA2" w:rsidP="00E350BD">
      <w:pPr>
        <w:spacing w:after="0" w:line="240" w:lineRule="auto"/>
        <w:jc w:val="both"/>
        <w:rPr>
          <w:rFonts w:ascii="Times New Roman" w:hAnsi="Times New Roman" w:cs="Times New Roman"/>
          <w:sz w:val="24"/>
          <w:szCs w:val="24"/>
        </w:rPr>
      </w:pPr>
    </w:p>
    <w:p w14:paraId="4E2C6C55" w14:textId="77777777" w:rsidR="00161AA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4.2 Source Production Over Time</w:t>
      </w:r>
    </w:p>
    <w:p w14:paraId="1944C65C" w14:textId="77777777" w:rsidR="00E13A61"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Source Production Over Time analysis illustrates the evolution of publication output from the most active sources in Mandarin language learning research during the observed period. Tracking the annual productivity of these journals provides valuable insight into how research activity is distributed over time and how certain sources maintain or shift their influence in the field.</w:t>
      </w:r>
    </w:p>
    <w:p w14:paraId="7E7A63DA" w14:textId="77777777" w:rsidR="00E13A61"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drawing>
          <wp:inline distT="0" distB="0" distL="0" distR="0" wp14:anchorId="2C3DB972" wp14:editId="570011E5">
            <wp:extent cx="3113602" cy="2063750"/>
            <wp:effectExtent l="0" t="0" r="0" b="0"/>
            <wp:docPr id="1"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00000000-0008-0000-0500-000002000000}"/>
                        </a:ext>
                      </a:extLst>
                    </pic:cNvPr>
                    <pic:cNvPicPr>
                      <a:picLocks noChangeAspect="1"/>
                    </pic:cNvPicPr>
                  </pic:nvPicPr>
                  <pic:blipFill>
                    <a:blip r:embed="rId8"/>
                    <a:srcRect l="672" t="5442" r="2275" b="2658"/>
                    <a:stretch>
                      <a:fillRect/>
                    </a:stretch>
                  </pic:blipFill>
                  <pic:spPr bwMode="auto">
                    <a:xfrm>
                      <a:off x="0" y="0"/>
                      <a:ext cx="3120049" cy="2068023"/>
                    </a:xfrm>
                    <a:prstGeom prst="rect">
                      <a:avLst/>
                    </a:prstGeom>
                    <a:ln>
                      <a:noFill/>
                    </a:ln>
                    <a:extLst>
                      <a:ext uri="{53640926-AAD7-44D8-BBD7-CCE9431645EC}">
                        <a14:shadowObscured xmlns:a14="http://schemas.microsoft.com/office/drawing/2010/main"/>
                      </a:ext>
                    </a:extLst>
                  </pic:spPr>
                </pic:pic>
              </a:graphicData>
            </a:graphic>
          </wp:inline>
        </w:drawing>
      </w:r>
    </w:p>
    <w:p w14:paraId="38559762" w14:textId="77777777" w:rsidR="00E13A61"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2. Source Production</w:t>
      </w:r>
    </w:p>
    <w:p w14:paraId="469D67BD" w14:textId="77777777" w:rsidR="003B1730" w:rsidRPr="007B238D" w:rsidRDefault="003B1730" w:rsidP="00E350BD">
      <w:pPr>
        <w:spacing w:after="0" w:line="240" w:lineRule="auto"/>
        <w:ind w:firstLine="426"/>
        <w:jc w:val="both"/>
        <w:rPr>
          <w:rFonts w:ascii="Times New Roman" w:hAnsi="Times New Roman" w:cs="Times New Roman"/>
          <w:sz w:val="24"/>
          <w:szCs w:val="24"/>
        </w:rPr>
      </w:pPr>
    </w:p>
    <w:p w14:paraId="1FA18F09" w14:textId="77777777" w:rsidR="003B1730"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leading journal produced up to 90 publications within the analysis period, followed by several others with outputs ranging from 40 to 87 publications. This concentration of productivity suggests that much of the academic discourse on Mandarin language learning is centralized within a handful of platforms with a strong focus on language education, learning technologies, and cross-cultural studies. Meanwhile, journals with smaller publication counts still play a vital role by offering alternative perspectives and addressing niche topics that the larger outlets may not extensively cover. These findings highlight a dual dynamic in the field, where high-volume publication hubs drive the main research trends while smaller sources enrich the diversity of scholarly discourse.</w:t>
      </w:r>
    </w:p>
    <w:p w14:paraId="13F909CA" w14:textId="77777777" w:rsidR="001A31D3" w:rsidRPr="007B238D" w:rsidRDefault="001A31D3" w:rsidP="00E350BD">
      <w:pPr>
        <w:spacing w:after="0" w:line="240" w:lineRule="auto"/>
        <w:jc w:val="both"/>
        <w:rPr>
          <w:rFonts w:ascii="Times New Roman" w:hAnsi="Times New Roman" w:cs="Times New Roman"/>
          <w:sz w:val="24"/>
          <w:szCs w:val="24"/>
        </w:rPr>
      </w:pPr>
    </w:p>
    <w:p w14:paraId="53F942BA" w14:textId="77777777" w:rsidR="001A31D3"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4.3 Author Production</w:t>
      </w:r>
    </w:p>
    <w:p w14:paraId="1C81CA31" w14:textId="77777777" w:rsidR="001A31D3"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Author Production Over Time analysis highlights patterns of scholarly output among the most productive authors in Mandarin language learning research. Examining how individual authors contribute over the years offers valuable insight into sustained research engagement, emerging contributors, and potential shifts in thematic focus.</w:t>
      </w:r>
    </w:p>
    <w:p w14:paraId="3A366D81" w14:textId="77777777" w:rsidR="003B1730" w:rsidRPr="007B238D" w:rsidRDefault="003B1730" w:rsidP="00E350BD">
      <w:pPr>
        <w:spacing w:after="0" w:line="240" w:lineRule="auto"/>
        <w:jc w:val="both"/>
        <w:rPr>
          <w:rFonts w:ascii="Times New Roman" w:hAnsi="Times New Roman" w:cs="Times New Roman"/>
          <w:sz w:val="24"/>
          <w:szCs w:val="24"/>
        </w:rPr>
      </w:pPr>
    </w:p>
    <w:p w14:paraId="5513AE13" w14:textId="77777777" w:rsidR="003B173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lastRenderedPageBreak/>
        <w:drawing>
          <wp:inline distT="0" distB="0" distL="0" distR="0" wp14:anchorId="38BB62F9" wp14:editId="07D0A9B3">
            <wp:extent cx="3374390" cy="2177886"/>
            <wp:effectExtent l="0" t="0" r="0" b="0"/>
            <wp:docPr id="3" name="Picture 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00000000-0008-0000-0700-000002000000}"/>
                        </a:ext>
                      </a:extLst>
                    </pic:cNvPr>
                    <pic:cNvPicPr>
                      <a:picLocks noChangeAspect="1"/>
                    </pic:cNvPicPr>
                  </pic:nvPicPr>
                  <pic:blipFill>
                    <a:blip r:embed="rId9"/>
                    <a:srcRect t="7796"/>
                    <a:stretch>
                      <a:fillRect/>
                    </a:stretch>
                  </pic:blipFill>
                  <pic:spPr bwMode="auto">
                    <a:xfrm>
                      <a:off x="0" y="0"/>
                      <a:ext cx="3378959" cy="2180835"/>
                    </a:xfrm>
                    <a:prstGeom prst="rect">
                      <a:avLst/>
                    </a:prstGeom>
                    <a:ln>
                      <a:noFill/>
                    </a:ln>
                    <a:extLst>
                      <a:ext uri="{53640926-AAD7-44D8-BBD7-CCE9431645EC}">
                        <a14:shadowObscured xmlns:a14="http://schemas.microsoft.com/office/drawing/2010/main"/>
                      </a:ext>
                    </a:extLst>
                  </pic:spPr>
                </pic:pic>
              </a:graphicData>
            </a:graphic>
          </wp:inline>
        </w:drawing>
      </w:r>
    </w:p>
    <w:p w14:paraId="6F0A024A" w14:textId="77777777" w:rsidR="001A31D3"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3. Source Production</w:t>
      </w:r>
    </w:p>
    <w:p w14:paraId="6E06C698" w14:textId="77777777" w:rsidR="003D2780" w:rsidRPr="007B238D" w:rsidRDefault="003D2780" w:rsidP="00E350BD">
      <w:pPr>
        <w:spacing w:after="0" w:line="240" w:lineRule="auto"/>
        <w:jc w:val="center"/>
        <w:rPr>
          <w:rFonts w:ascii="Times New Roman" w:hAnsi="Times New Roman" w:cs="Times New Roman"/>
          <w:sz w:val="24"/>
          <w:szCs w:val="24"/>
        </w:rPr>
      </w:pPr>
    </w:p>
    <w:p w14:paraId="14FD9CD9" w14:textId="77777777" w:rsidR="001A31D3"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results indicate that a small group of highly active authors consistently publish across multiple years, </w:t>
      </w:r>
      <w:proofErr w:type="spellStart"/>
      <w:r w:rsidRPr="007B238D">
        <w:rPr>
          <w:rFonts w:ascii="Times New Roman" w:hAnsi="Times New Roman" w:cs="Times New Roman"/>
          <w:sz w:val="24"/>
          <w:szCs w:val="24"/>
        </w:rPr>
        <w:t>signaling</w:t>
      </w:r>
      <w:proofErr w:type="spellEnd"/>
      <w:r w:rsidRPr="007B238D">
        <w:rPr>
          <w:rFonts w:ascii="Times New Roman" w:hAnsi="Times New Roman" w:cs="Times New Roman"/>
          <w:sz w:val="24"/>
          <w:szCs w:val="24"/>
        </w:rPr>
        <w:t xml:space="preserve"> ongoing commitment and influence in the field. Some authors exhibit peak productivity during specific years, which may be tied to funded research projects, collaborative initiatives, or the publication of thematic series. Meanwhile, emerging authors appear in the dataset's later years, reflecting the field's ability to attract new researchers and diversify perspectives. These trends suggest a healthy mix of established expertise and fresh contributions, ensuring continuity and innovation in Mandarin language learning scholarship.</w:t>
      </w:r>
    </w:p>
    <w:p w14:paraId="6076EC66" w14:textId="77777777" w:rsidR="003D2780" w:rsidRPr="007B238D" w:rsidRDefault="003D2780" w:rsidP="00E350BD">
      <w:pPr>
        <w:spacing w:after="0" w:line="240" w:lineRule="auto"/>
        <w:jc w:val="both"/>
        <w:rPr>
          <w:rFonts w:ascii="Times New Roman" w:hAnsi="Times New Roman" w:cs="Times New Roman"/>
          <w:sz w:val="24"/>
          <w:szCs w:val="24"/>
        </w:rPr>
      </w:pPr>
    </w:p>
    <w:p w14:paraId="4D57EE67" w14:textId="77777777" w:rsidR="003D2780"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4.4 Author’s Countries section</w:t>
      </w:r>
    </w:p>
    <w:p w14:paraId="4161CE18" w14:textId="77777777" w:rsidR="003D2780"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Corresponding Author's Countries analysis identifies the geographical distribution of research leadership in Mandarin language learning, based on the affiliation of corresponding authors. This metric provides insight into which countries are primary coordination </w:t>
      </w:r>
      <w:proofErr w:type="spellStart"/>
      <w:r w:rsidRPr="007B238D">
        <w:rPr>
          <w:rFonts w:ascii="Times New Roman" w:hAnsi="Times New Roman" w:cs="Times New Roman"/>
          <w:sz w:val="24"/>
          <w:szCs w:val="24"/>
        </w:rPr>
        <w:t>centers</w:t>
      </w:r>
      <w:proofErr w:type="spellEnd"/>
      <w:r w:rsidRPr="007B238D">
        <w:rPr>
          <w:rFonts w:ascii="Times New Roman" w:hAnsi="Times New Roman" w:cs="Times New Roman"/>
          <w:sz w:val="24"/>
          <w:szCs w:val="24"/>
        </w:rPr>
        <w:t xml:space="preserve"> for scholarly contributions.</w:t>
      </w:r>
    </w:p>
    <w:p w14:paraId="602C3F0A" w14:textId="77777777" w:rsidR="005D50C0" w:rsidRPr="007B238D" w:rsidRDefault="005D50C0" w:rsidP="00E350BD">
      <w:pPr>
        <w:spacing w:after="0" w:line="240" w:lineRule="auto"/>
        <w:jc w:val="both"/>
        <w:rPr>
          <w:rFonts w:ascii="Times New Roman" w:hAnsi="Times New Roman" w:cs="Times New Roman"/>
          <w:sz w:val="24"/>
          <w:szCs w:val="24"/>
        </w:rPr>
      </w:pPr>
    </w:p>
    <w:p w14:paraId="1C7B580C" w14:textId="77777777" w:rsidR="005D50C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drawing>
          <wp:inline distT="0" distB="0" distL="0" distR="0" wp14:anchorId="6B0AF731" wp14:editId="1EB9F15D">
            <wp:extent cx="2890520" cy="1828402"/>
            <wp:effectExtent l="0" t="0" r="5080" b="635"/>
            <wp:docPr id="4" name="Picture 1">
              <a:extLst xmlns:a="http://schemas.openxmlformats.org/drawingml/2006/main">
                <a:ext uri="{FF2B5EF4-FFF2-40B4-BE49-F238E27FC236}">
                  <a16:creationId xmlns:a16="http://schemas.microsoft.com/office/drawing/2014/main" id="{00000000-0008-0000-0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00000000-0008-0000-0E00-000002000000}"/>
                        </a:ext>
                      </a:extLst>
                    </pic:cNvPr>
                    <pic:cNvPicPr>
                      <a:picLocks noChangeAspect="1"/>
                    </pic:cNvPicPr>
                  </pic:nvPicPr>
                  <pic:blipFill>
                    <a:blip r:embed="rId10"/>
                    <a:srcRect t="5964" b="3670"/>
                    <a:stretch>
                      <a:fillRect/>
                    </a:stretch>
                  </pic:blipFill>
                  <pic:spPr bwMode="auto">
                    <a:xfrm>
                      <a:off x="0" y="0"/>
                      <a:ext cx="2892064" cy="1829379"/>
                    </a:xfrm>
                    <a:prstGeom prst="rect">
                      <a:avLst/>
                    </a:prstGeom>
                    <a:ln>
                      <a:noFill/>
                    </a:ln>
                    <a:extLst>
                      <a:ext uri="{53640926-AAD7-44D8-BBD7-CCE9431645EC}">
                        <a14:shadowObscured xmlns:a14="http://schemas.microsoft.com/office/drawing/2010/main"/>
                      </a:ext>
                    </a:extLst>
                  </pic:spPr>
                </pic:pic>
              </a:graphicData>
            </a:graphic>
          </wp:inline>
        </w:drawing>
      </w:r>
    </w:p>
    <w:p w14:paraId="42ED9009" w14:textId="77777777" w:rsidR="003D278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4. Author’s Countries section</w:t>
      </w:r>
    </w:p>
    <w:p w14:paraId="2EBB94A5" w14:textId="77777777" w:rsidR="003D2780" w:rsidRPr="007B238D" w:rsidRDefault="003D2780" w:rsidP="00E350BD">
      <w:pPr>
        <w:spacing w:after="0" w:line="240" w:lineRule="auto"/>
        <w:jc w:val="center"/>
        <w:rPr>
          <w:rFonts w:ascii="Times New Roman" w:hAnsi="Times New Roman" w:cs="Times New Roman"/>
          <w:sz w:val="24"/>
          <w:szCs w:val="24"/>
        </w:rPr>
      </w:pPr>
    </w:p>
    <w:p w14:paraId="6D423C94" w14:textId="77777777" w:rsidR="009838C8"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results show that a handful of countries dominate as corresponding author affiliations, with China leading by a significant margin, reflecting its role as both the origin and global hub of Mandarin language education. Other major contributors include nations with strong academic programs in Asian studies and second language education, such as the United States, Australia, and Singapore. The presence of European countries, including the United Kingdom and Germany, further demonstrates the global reach of </w:t>
      </w:r>
      <w:r w:rsidRPr="007B238D">
        <w:rPr>
          <w:rFonts w:ascii="Times New Roman" w:hAnsi="Times New Roman" w:cs="Times New Roman"/>
          <w:sz w:val="24"/>
          <w:szCs w:val="24"/>
        </w:rPr>
        <w:lastRenderedPageBreak/>
        <w:t>interest in Mandarin language learning</w:t>
      </w:r>
      <w:r w:rsidR="003F443E" w:rsidRPr="007B238D">
        <w:rPr>
          <w:rFonts w:ascii="Times New Roman" w:hAnsi="Times New Roman" w:cs="Times New Roman"/>
          <w:sz w:val="24"/>
          <w:szCs w:val="24"/>
        </w:rPr>
        <w:t xml:space="preserve"> </w:t>
      </w:r>
      <w:r w:rsidR="003F443E"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{"citationItems":[{"id":"ITEM-1","itemData":{"DOI":"10.1098/rstb.2023.0031","ISSN":"09628436 (ISSN); 14712970 (ISSN)","abstract":"Traditional norms of human societies in rural China may have changed owing to population expansion, rapid development of the tourism economy and globalization since the 1990s; people from different ethnic groups might adopt cultural traits from outside their group or lose their own culture at different rates. Human behavioural ecology can help to explain adoption of outgroup cultural values. We compared the adoption of four cultural values, specifically speaking outgroup languages/mother tongue and wearing jeans, in two co-residing ethnic groups, the Mosuo and Han. Both groups are learning outgroup traits, including each other's languages through contact in economic activities, education and kin networks, but only the Mosuo are starting to lose their own language. Males are more likely to adopt outgroup values than females in both groups. Females of the two groups are no different in speaking Mandarin and wearing jeans, whereas males do differ, with Mosuo males being keener to adopt them than Han males. The reason might be that Mosuo men experience more reproductive competition over mates, as Mosuo men have larger reproductive skew than others. Moreover, Mosuo men but not others gain fitness benefits from the adoption of Mandarin (they start reproducing earlier than non-speakers). © 2024 Elsevier B.V., All rights reserved.","author":[{"dropping-particle":"","family":"He","given":"Q.-Q.","non-dropping-particle":"","parse-names":false,"suffix":""},{"dropping-particle":"","family":"Yu","given":"J.-R.","non-dropping-particle":"","parse-names":false,"suffix":""},{"dropping-particle":"","family":"Tang","given":"S.-H.","non-dropping-particle":"","parse-names":false,"suffix":""},{"dropping-particle":"","family":"Wang","given":"M.-Y.","non-dropping-particle":"","parse-names":false,"suffix":""},{"dropping-particle":"","family":"Wu","given":"J.-J.","non-dropping-particle":"","parse-names":false,"suffix":""},{"dropping-particle":"","family":"Chen","given":"Y","non-dropping-particle":"","parse-names":false,"suffix":""},{"dropping-particle":"","family":"Tao","given":"Y","non-dropping-particle":"","parse-names":false,"suffix":""},{"dropping-particle":"","family":"Ji","given":"T","non-dropping-particle":"","parse-names":false,"suffix":""},{"dropping-particle":"","family":"Mace","given":"R","non-dropping-particle":"","parse-names":false,"suffix":""}],"container-title":"Philosophical Transactions of the Royal Society B: Biological Sciences","id":"ITEM-1","issue":"1897","issued":{"date-parts":[["2024"]]},"language":"English","note":"Export Date: 06 August 2025; Cited By: 4; CODEN: PTRBA","publisher":"Royal Society Publishing","publisher-place":"Shenyang Normal University, College of Life Sciences, Shenyang, China","title":"Jeans and language: kin networks and reproductive success are associated with the adoption of outgroup norms","type":"article-journal","volume":"379"},"uris":["http://www.mendeley.com/documents/?uuid=71e6e7d4-b8c3-4116-ad64-b64ffb370a58"]},{"id":"ITEM-2","itemData":{"DOI":"10.4324/9781003441663-11","ISBN":"9781040338421 (ISBN); 9781032579320 (ISBN)","abstract":"The continuing flow of new immigrants in Taiwan over the last ten years has placed significant pressure on the provision of transitional Mandarin Chinese services by the Taiwanese government. To ease this pressure, the Taiwanese government invests annually in various programs aimed at providing Mandarin Chinese classes to newly arrived migrants through its municipal libraries. This chapter reports a case study on the diversity in second language education for migrants in Taiwan and explores inclusive teaching strategies for these migrants. An inclusive proprioceptive teaching method was employed to help students effectively manage the prosodic system of Mandarin Chinese, including tones. Our analysis was based on video recordings and class-related materials and notes from a “Parent-Child Class: Basic Chinese Program” for migrants and foreigners in Taipei. The results show that inclusive teaching strategies created a safe learning environment for migrants, and the proprioceptive activities used in the class proved to be very effective for students to acquire basic Chinese. © 2025 Elsevier B.V., All rights reserved.","author":[{"dropping-particle":"","family":"Zhang","given":"F","non-dropping-particle":"","parse-names":false,"suffix":""},{"dropping-particle":"","family":"Tseng","given":"C.-C.","non-dropping-particle":"","parse-names":false,"suffix":""}],"id":"ITEM-2","issued":{"date-parts":[["2025"]]},"language":"English","note":"Export Date: 06 August 2025; Cited By: 0","page":"145-174","publisher":"Taylor and Francis","publisher-place":"University of Canberra, Canberra, Australia","title":"Inclusive teaching strategies and proprioceptive learning methods for migrants in acquiring basic Chinese","type":"chapter"},"uris":["http://www.mendeley.com/documents/?uuid=2fee9b3b-c9dd-4c0e-8b59-20fdb48cb231"]},{"id":"ITEM-3","itemData":{"DOI":"10.1075/aral.24135.tra","ISSN":"01550640 (ISSN)","abstract":"Generative Artificial Intelligence (GenAI) has been offering unprecedented opportunities for language education. However, its capacity to embrace linguistic diversity, particularly for learners of dialect-rich languages like Vietnamese and Mandarin, remains underexamined. Without careful consideration, GenAI risks reinforcing language hegemonies, thereby contributing to the recolonization of language learning landscapes by marginalizing minority dialects in favour of preferred standards. Adopting sociolinguistics interview, this study explores GenAI’s (namely ChatGPT’s) ability to recognize and generate dialect-specific content in discussing several pre-determined questions in both Vietnamese dialects (i.e., Northern, Southern, and Central) and Mandarin varieties (i.e., Mainland Standard Mandarin, Taiwanese Mandarin, and Singaporean Mandarin). A multi-stage role prompt, focusing on the topic of food, was used for both Vietnamese dialects and Mandarin varieties to generate responses. Our study reveals major inconsistencies in the representation of Vietnamese dialects and Chinese varieties within AI-generated output, raising critical questions about generative AI’s role in perpetuating linguistic hierarchies. We conclude by emphasizing the need for tailored language learning approaches that leverage generative AI’s capabilities to not only accommodate but also celebrate the rich tapestry of global dialects and languages, ensuring equitable access to language education for all learners. © 2025 Elsevier B.V., All rights reserved.","author":[{"dropping-particle":"","family":"Tran","given":"H","non-dropping-particle":"","parse-names":false,"suffix":""},{"dropping-particle":"","family":"Stell","given":"A","non-dropping-particle":"","parse-names":false,"suffix":""}],"container-title":"Australian Review of Applied Linguistics","id":"ITEM-3","issue":"3","issued":{"date-parts":[["2024"]]},"language":"English","note":"Export Date: 06 August 2025; Cited By: 3","page":"284-308","publisher":"John Benjamins Publishing Company","publisher-place":"The University of Queensland, Brisbane, Australia","title":"Beyond borders or building new walls?: The potential for generative AI in recolonising the learning of Vietnamese dialects and Mandarin varieties","type":"article-journal","volume":"47"},"uris":["http://www.mendeley.com/documents/?uuid=d724f2d9-8415-43ad-b953-5f4b5807ca60"]},{"id":"ITEM-4","itemData":{"DOI":"10.1186/s12876-023-02817-0","ISSN":"1471230X (ISSN)","abstract":"Background: Inflammatory bowel disease is an uncommon disease in developing nations whereby patient’s knowledge on the disease may be limited. The CCKNOW questionnaire, a widely known questionnaire to assess patient’s knowledge on the disease, may be too complex to comprehend for patients in developing countries. The aim of this study is to develop a new tool known as AIBDKQ questionnaire to evaluate the local inflammatory bowel disease patient’s knowledge. Methods: This was a prospective study carried out in four phases. In phase 1, three gastroenterologists with expertise in IBD generated a total of 21 questions related to the general knowledge of the disease in the English language. Phase 2 involved content and face validity whereby the questions were further validated by other gastroenterologists. In phase 3, the validated questions were translated into three languages namely Malay, Mandarin and Tamil which are commonly used in Malaysia. In phase 4 (statistical validity), administration of the questionnaires to patients and hospital staff were conducted to assess the construct validity, discriminative ability, predictive validity and reliability of the questionnaires. Results: A total of 21 questions were generated initially. Further evaluation indicated that 20 items had adequate kappa and content validity index for relevance (CVI: 0.714 to 1, Kapp: 0.645 to 1) and clarity (CVI: 0.714 to 1, Kapp: 0.645 to 1). The questionnaires in four languages were administered to 213 patients to assess the construct validity. Six items were removed (three for low communality, one for small loading factors, two for cross loading), resulting in 16 final questions. Assessment with 34 hospital staff involving nurses, doctors and clerks showed significant differences in knowledge between the groups (F = 14.007, p &lt; 0.001) and were able to discriminate doctors from nurses and clerks. Another group of 18 hospital staff administered with AIBDKQ and CCKNOW questionnaires showed a Pearson’s correlation coefficient of 0.8 indicating strong correlation and concurrent predictive validity between the two questionnaires. Final assessment with 38 patients for reliability assessment revealed high intraclass correlation of the questionnaire among the four languages. Conclusions: The AIBDKQ has an excellent discriminant ability and internal consistency with a strong correlation when compared to the standard CCKNOW questionnaire. © 2023 Elsevier B.V., All rights reserved.","author":[{"dropping-particle":"","family":"Razima Wan Ibrahim","given":"N","non-dropping-particle":"","parse-names":false,"suffix":""},{"dropping-particle":"","family":"Danaee","given":"M","non-dropping-particle":"","parse-names":false,"suffix":""},{"dropping-particle":"","family":"Khoo","given":"X.-H.","non-dropping-particle":"","parse-names":false,"suffix":""},{"dropping-particle":"","family":"Sithambaram","given":"S","non-dropping-particle":"","parse-names":false,"suffix":""},{"dropping-particle":"","family":"Shahrani","given":"S","non-dropping-particle":"","parse-names":false,"suffix":""},{"dropping-particle":"","family":"Hwong-Ruey Leow","given":"A","non-dropping-particle":"","parse-names":false,"suffix":""},{"dropping-particle":"","family":"Chang","given":"J.-V.","non-dropping-particle":"","parse-names":false,"suffix":""},{"dropping-particle":"","family":"Francis Mayberry","given":"J","non-dropping-particle":"","parse-names":false,"suffix":""},{"dropping-particle":"","family":"Hilmi","given":"I","non-dropping-particle":"","parse-names":false,"suffix":""}],"container-title":"BMC Gastroenterology","id":"ITEM-4","issue":"1","issued":{"date-parts":[["2023"]]},"language":"English","note":"Export Date: 06 August 2025; Cited By: 1; CODEN: BGMAB","publisher":"BioMed Central Ltd","publisher-place":"Universiti Malaya, Department of Medicine, Kuala Lumpur, Malaysia","title":"The development of a novel, multilingual IBD knowledge questionnaire for Asian patients with inflammatory bowel disease","type":"article-journal","volume":"23"},"uris":["http://www.mendeley.com/documents/?uuid=5ca98936-03ea-4cc6-a43c-aa8879b93a9e"]}],"mendeley":{"formattedCitation":"[13], [14], [15], [16]","plainTextFormattedCitation":"[13], [14], [15], [16]"},"properties":{"noteIndex":0},"schema":"https://github.com/citation-style-language/schema/raw/master/csl-citation.json"}</w:instrText>
      </w:r>
      <w:r w:rsidR="003F443E"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[13], [14], [15], [16]</w:t>
      </w:r>
      <w:r w:rsidR="003F443E"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These patterns suggest that while research leadership is concentrated in a few countries, a growing network of international contributors indicates expanding global engagement with Mandarin education, as seen in the following mapping.</w:t>
      </w:r>
    </w:p>
    <w:p w14:paraId="211AF447" w14:textId="77777777" w:rsidR="006704A4" w:rsidRPr="007B238D" w:rsidRDefault="006704A4" w:rsidP="00E350BD">
      <w:pPr>
        <w:spacing w:after="0" w:line="240" w:lineRule="auto"/>
        <w:ind w:firstLine="426"/>
        <w:jc w:val="both"/>
        <w:rPr>
          <w:rFonts w:ascii="Times New Roman" w:hAnsi="Times New Roman" w:cs="Times New Roman"/>
          <w:sz w:val="24"/>
          <w:szCs w:val="24"/>
        </w:rPr>
      </w:pPr>
    </w:p>
    <w:p w14:paraId="2219FAAC" w14:textId="77777777" w:rsidR="003D278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drawing>
          <wp:inline distT="0" distB="0" distL="0" distR="0" wp14:anchorId="5E6D3940" wp14:editId="1F3A3C7F">
            <wp:extent cx="3530600" cy="211114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8489" b="6090"/>
                    <a:stretch>
                      <a:fillRect/>
                    </a:stretch>
                  </pic:blipFill>
                  <pic:spPr bwMode="auto">
                    <a:xfrm>
                      <a:off x="0" y="0"/>
                      <a:ext cx="3557428" cy="2127191"/>
                    </a:xfrm>
                    <a:prstGeom prst="rect">
                      <a:avLst/>
                    </a:prstGeom>
                    <a:noFill/>
                    <a:ln>
                      <a:noFill/>
                    </a:ln>
                    <a:extLst>
                      <a:ext uri="{53640926-AAD7-44D8-BBD7-CCE9431645EC}">
                        <a14:shadowObscured xmlns:a14="http://schemas.microsoft.com/office/drawing/2010/main"/>
                      </a:ext>
                    </a:extLst>
                  </pic:spPr>
                </pic:pic>
              </a:graphicData>
            </a:graphic>
          </wp:inline>
        </w:drawing>
      </w:r>
    </w:p>
    <w:p w14:paraId="59B258C6" w14:textId="77777777" w:rsidR="009838C8"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5. Countries Mapping.</w:t>
      </w:r>
    </w:p>
    <w:p w14:paraId="2A0477ED" w14:textId="77777777" w:rsidR="001324DD"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4.5. Authorship Network</w:t>
      </w:r>
    </w:p>
    <w:p w14:paraId="08798A54" w14:textId="77777777" w:rsidR="00D12D20"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authorship network analysis visualizes the collaborative relationships among researchers in Mandarin language learning. Using </w:t>
      </w:r>
      <w:proofErr w:type="spellStart"/>
      <w:r w:rsidRPr="007B238D">
        <w:rPr>
          <w:rFonts w:ascii="Times New Roman" w:hAnsi="Times New Roman" w:cs="Times New Roman"/>
          <w:sz w:val="24"/>
          <w:szCs w:val="24"/>
        </w:rPr>
        <w:t>VOSviewer</w:t>
      </w:r>
      <w:proofErr w:type="spellEnd"/>
      <w:r w:rsidRPr="007B238D">
        <w:rPr>
          <w:rFonts w:ascii="Times New Roman" w:hAnsi="Times New Roman" w:cs="Times New Roman"/>
          <w:sz w:val="24"/>
          <w:szCs w:val="24"/>
        </w:rPr>
        <w:t xml:space="preserve">, clusters were generated to represent groups of authors who frequently co-publish, each </w:t>
      </w:r>
      <w:proofErr w:type="spellStart"/>
      <w:r w:rsidRPr="007B238D">
        <w:rPr>
          <w:rFonts w:ascii="Times New Roman" w:hAnsi="Times New Roman" w:cs="Times New Roman"/>
          <w:sz w:val="24"/>
          <w:szCs w:val="24"/>
        </w:rPr>
        <w:t>color</w:t>
      </w:r>
      <w:proofErr w:type="spellEnd"/>
      <w:r w:rsidRPr="007B238D">
        <w:rPr>
          <w:rFonts w:ascii="Times New Roman" w:hAnsi="Times New Roman" w:cs="Times New Roman"/>
          <w:sz w:val="24"/>
          <w:szCs w:val="24"/>
        </w:rPr>
        <w:t xml:space="preserve"> denoting a distinct collaboration network. Node size corresponds to the author's productivity, while the thickness of the connecting lines reflects the strength of co-authorship links.</w:t>
      </w:r>
    </w:p>
    <w:p w14:paraId="39BC7A14" w14:textId="77777777" w:rsidR="009838C8"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drawing>
          <wp:inline distT="0" distB="0" distL="0" distR="0" wp14:anchorId="182F8B5D" wp14:editId="73021D3D">
            <wp:extent cx="3403600" cy="228435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rcRect r="11016"/>
                    <a:stretch>
                      <a:fillRect/>
                    </a:stretch>
                  </pic:blipFill>
                  <pic:spPr bwMode="auto">
                    <a:xfrm>
                      <a:off x="0" y="0"/>
                      <a:ext cx="3421249" cy="2296200"/>
                    </a:xfrm>
                    <a:prstGeom prst="rect">
                      <a:avLst/>
                    </a:prstGeom>
                    <a:ln>
                      <a:noFill/>
                    </a:ln>
                    <a:extLst>
                      <a:ext uri="{53640926-AAD7-44D8-BBD7-CCE9431645EC}">
                        <a14:shadowObscured xmlns:a14="http://schemas.microsoft.com/office/drawing/2010/main"/>
                      </a:ext>
                    </a:extLst>
                  </pic:spPr>
                </pic:pic>
              </a:graphicData>
            </a:graphic>
          </wp:inline>
        </w:drawing>
      </w:r>
    </w:p>
    <w:p w14:paraId="0EA428A3" w14:textId="77777777" w:rsidR="001324DD"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5. Countries Mapping.</w:t>
      </w:r>
    </w:p>
    <w:p w14:paraId="4AB7A0BF" w14:textId="77777777" w:rsidR="001324DD" w:rsidRPr="007B238D" w:rsidRDefault="001324DD" w:rsidP="00E350BD">
      <w:pPr>
        <w:spacing w:after="0" w:line="240" w:lineRule="auto"/>
        <w:jc w:val="center"/>
        <w:rPr>
          <w:rFonts w:ascii="Times New Roman" w:hAnsi="Times New Roman" w:cs="Times New Roman"/>
          <w:sz w:val="24"/>
          <w:szCs w:val="24"/>
        </w:rPr>
      </w:pPr>
    </w:p>
    <w:p w14:paraId="019EADAF" w14:textId="77777777" w:rsidR="001324DD"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visualization reveals several prominent collaboration clusters. At the </w:t>
      </w:r>
      <w:proofErr w:type="spellStart"/>
      <w:r w:rsidRPr="007B238D">
        <w:rPr>
          <w:rFonts w:ascii="Times New Roman" w:hAnsi="Times New Roman" w:cs="Times New Roman"/>
          <w:sz w:val="24"/>
          <w:szCs w:val="24"/>
        </w:rPr>
        <w:t>center</w:t>
      </w:r>
      <w:proofErr w:type="spellEnd"/>
      <w:r w:rsidRPr="007B238D">
        <w:rPr>
          <w:rFonts w:ascii="Times New Roman" w:hAnsi="Times New Roman" w:cs="Times New Roman"/>
          <w:sz w:val="24"/>
          <w:szCs w:val="24"/>
        </w:rPr>
        <w:t xml:space="preserve"> of the network, Chua Hui Ain emerges as a pivotal connector, linking multiple clusters and acting as a bridge between otherwise distinct research groups. The red cluster, which includes authors such as Soon Yin Ying and Binti Siti, shows strong internal collaboration, suggesting a closely-knit research team. The green cluster, featuring Husin Nur Hashim and Wong K C, indicates another cohesive group with active joint publication. The blue cluster, comprising authors like Nasir Mohd and Ismail Zainal, represents a separate but interconnected research community. Inter-cluster connections suggest that, while research teams work within defined groups, there are also cross-</w:t>
      </w:r>
      <w:r w:rsidRPr="007B238D">
        <w:rPr>
          <w:rFonts w:ascii="Times New Roman" w:hAnsi="Times New Roman" w:cs="Times New Roman"/>
          <w:sz w:val="24"/>
          <w:szCs w:val="24"/>
        </w:rPr>
        <w:lastRenderedPageBreak/>
        <w:t>collaborations that facilitate the exchange of knowledge across networks. This pattern reflects a healthy academic ecosystem where concentrated teamwork and inter-group engagement drive scholarly output in the field.</w:t>
      </w:r>
    </w:p>
    <w:p w14:paraId="3F79D470" w14:textId="77777777" w:rsidR="00B462CD" w:rsidRPr="007B238D" w:rsidRDefault="00B462CD" w:rsidP="00E350BD">
      <w:pPr>
        <w:spacing w:after="0" w:line="240" w:lineRule="auto"/>
        <w:jc w:val="both"/>
        <w:rPr>
          <w:rFonts w:ascii="Times New Roman" w:hAnsi="Times New Roman" w:cs="Times New Roman"/>
          <w:sz w:val="24"/>
          <w:szCs w:val="24"/>
        </w:rPr>
      </w:pPr>
    </w:p>
    <w:p w14:paraId="3FD79991" w14:textId="77777777" w:rsidR="00B462CD"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 xml:space="preserve">4.6. </w:t>
      </w:r>
      <w:r w:rsidR="00BA26F2" w:rsidRPr="007B238D">
        <w:rPr>
          <w:rFonts w:ascii="Times New Roman" w:hAnsi="Times New Roman" w:cs="Times New Roman"/>
          <w:b/>
          <w:bCs/>
          <w:sz w:val="24"/>
          <w:szCs w:val="24"/>
        </w:rPr>
        <w:t>Co-occurrence Network</w:t>
      </w:r>
    </w:p>
    <w:p w14:paraId="4D2B1C8D" w14:textId="77777777" w:rsidR="00D172BE"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Mandarin language learning has experienced significant growth over the past two decades, driven by China's expanding global influence and the increasing demand for multilingual competencies among younger generations worldwide. This trend is reflected in the surge of research on Mandarin education across diverse countries, institutions, and academic disciplines. Bibliometric analysis provides a powerful lens for mapping this evolving research landscape—shedding light on the distribution, dominant themes, and collaboration patterns among scholars. Drawing on bibliometric data mapped from 2023 to 2025, this study identifies the key areas of focus and collaborative networks shaping the current landscape of Mandarin language learning research.</w:t>
      </w:r>
    </w:p>
    <w:p w14:paraId="09F33501" w14:textId="77777777" w:rsidR="00F535A0"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noProof/>
          <w:sz w:val="24"/>
          <w:szCs w:val="24"/>
        </w:rPr>
        <w:drawing>
          <wp:inline distT="0" distB="0" distL="0" distR="0" wp14:anchorId="33289EAD" wp14:editId="385C33E1">
            <wp:extent cx="3983182" cy="327450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3"/>
                    <a:srcRect l="26896" t="20432" r="26995" b="12179"/>
                    <a:stretch>
                      <a:fillRect/>
                    </a:stretch>
                  </pic:blipFill>
                  <pic:spPr bwMode="auto">
                    <a:xfrm>
                      <a:off x="0" y="0"/>
                      <a:ext cx="3995646" cy="3284749"/>
                    </a:xfrm>
                    <a:prstGeom prst="rect">
                      <a:avLst/>
                    </a:prstGeom>
                    <a:ln>
                      <a:noFill/>
                    </a:ln>
                    <a:extLst>
                      <a:ext uri="{53640926-AAD7-44D8-BBD7-CCE9431645EC}">
                        <a14:shadowObscured xmlns:a14="http://schemas.microsoft.com/office/drawing/2010/main"/>
                      </a:ext>
                    </a:extLst>
                  </pic:spPr>
                </pic:pic>
              </a:graphicData>
            </a:graphic>
          </wp:inline>
        </w:drawing>
      </w:r>
    </w:p>
    <w:p w14:paraId="52450A6E" w14:textId="77777777" w:rsidR="008E21BA"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6. Co-occurrence Network</w:t>
      </w:r>
    </w:p>
    <w:p w14:paraId="3DADF81A" w14:textId="77777777" w:rsidR="008E21BA" w:rsidRPr="007B238D" w:rsidRDefault="008E21BA" w:rsidP="00E350BD">
      <w:pPr>
        <w:spacing w:after="0" w:line="240" w:lineRule="auto"/>
        <w:jc w:val="center"/>
        <w:rPr>
          <w:rFonts w:ascii="Times New Roman" w:hAnsi="Times New Roman" w:cs="Times New Roman"/>
          <w:sz w:val="24"/>
          <w:szCs w:val="24"/>
        </w:rPr>
      </w:pPr>
    </w:p>
    <w:p w14:paraId="5613C4A0" w14:textId="77777777" w:rsidR="00B5648F"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Analysis of the keyword network visualization (see Figure 1) reveals several prominent thematic clusters in Mandarin learning research. The largest cluster </w:t>
      </w:r>
      <w:proofErr w:type="spellStart"/>
      <w:r w:rsidRPr="007B238D">
        <w:rPr>
          <w:rFonts w:ascii="Times New Roman" w:hAnsi="Times New Roman" w:cs="Times New Roman"/>
          <w:sz w:val="24"/>
          <w:szCs w:val="24"/>
        </w:rPr>
        <w:t>centers</w:t>
      </w:r>
      <w:proofErr w:type="spellEnd"/>
      <w:r w:rsidRPr="007B238D">
        <w:rPr>
          <w:rFonts w:ascii="Times New Roman" w:hAnsi="Times New Roman" w:cs="Times New Roman"/>
          <w:sz w:val="24"/>
          <w:szCs w:val="24"/>
        </w:rPr>
        <w:t xml:space="preserve"> on "e-learning," "digital literacy," and "students," highlighting the digital transformation of language education and the central role of technology in enhancing both the effectiveness and accessibility of Mandarin learning. Another significant cluster is formed around "human language" and "Mandarin language," concentrating on language development, cognition, and the dynamics of second language acquisition. The collaborative networks between researchers and institutions are increasingly extensive, with interconnected nodes representing major topics such as "teaching," "engineering education," and "bilingual education." This demonstrates the diversity of research directions and a marked trend towards multidisciplinary approaches in advancing our comprehensive understanding of Mandarin language education.</w:t>
      </w:r>
    </w:p>
    <w:p w14:paraId="4F6B1D65" w14:textId="77777777" w:rsidR="00ED2707" w:rsidRPr="007B238D" w:rsidRDefault="00ED2707" w:rsidP="00E350BD">
      <w:pPr>
        <w:spacing w:after="0" w:line="240" w:lineRule="auto"/>
        <w:jc w:val="both"/>
        <w:rPr>
          <w:rFonts w:ascii="Times New Roman" w:hAnsi="Times New Roman" w:cs="Times New Roman"/>
          <w:sz w:val="24"/>
          <w:szCs w:val="24"/>
        </w:rPr>
      </w:pPr>
    </w:p>
    <w:p w14:paraId="5B537B6A" w14:textId="77777777" w:rsidR="00ED2707"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lastRenderedPageBreak/>
        <w:t>4.7. Word Cloud</w:t>
      </w:r>
    </w:p>
    <w:p w14:paraId="2CB2758A" w14:textId="77777777" w:rsidR="00ED2707"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rapid growth of research into Mandarin language learning cannot be separated from the increasing global demand for proficiency in this language. As China’s influence on the world stage expands, Mandarin has become a strategic skill sought after by educational institutions, researchers, and policymakers alike. This surge in scholarly attention can be systematically mapped and </w:t>
      </w:r>
      <w:proofErr w:type="spellStart"/>
      <w:r w:rsidRPr="007B238D">
        <w:rPr>
          <w:rFonts w:ascii="Times New Roman" w:hAnsi="Times New Roman" w:cs="Times New Roman"/>
          <w:sz w:val="24"/>
          <w:szCs w:val="24"/>
        </w:rPr>
        <w:t>analyzed</w:t>
      </w:r>
      <w:proofErr w:type="spellEnd"/>
      <w:r w:rsidRPr="007B238D">
        <w:rPr>
          <w:rFonts w:ascii="Times New Roman" w:hAnsi="Times New Roman" w:cs="Times New Roman"/>
          <w:sz w:val="24"/>
          <w:szCs w:val="24"/>
        </w:rPr>
        <w:t xml:space="preserve"> using bibliometric approaches, which reveal the trends, dynamics, and key themes within Mandarin education literature.</w:t>
      </w:r>
    </w:p>
    <w:p w14:paraId="5553F56A" w14:textId="77777777" w:rsidR="00ED2707" w:rsidRPr="007B238D" w:rsidRDefault="00417442" w:rsidP="00E350BD">
      <w:pPr>
        <w:spacing w:after="0" w:line="240" w:lineRule="auto"/>
        <w:jc w:val="center"/>
        <w:rPr>
          <w:rFonts w:ascii="Times New Roman" w:hAnsi="Times New Roman" w:cs="Times New Roman"/>
          <w:b/>
          <w:bCs/>
          <w:sz w:val="24"/>
          <w:szCs w:val="24"/>
        </w:rPr>
      </w:pPr>
      <w:r w:rsidRPr="007B238D">
        <w:rPr>
          <w:rFonts w:ascii="Times New Roman" w:hAnsi="Times New Roman" w:cs="Times New Roman"/>
          <w:b/>
          <w:bCs/>
          <w:noProof/>
          <w:sz w:val="24"/>
          <w:szCs w:val="24"/>
        </w:rPr>
        <w:drawing>
          <wp:inline distT="0" distB="0" distL="0" distR="0" wp14:anchorId="443F2132" wp14:editId="44E94891">
            <wp:extent cx="4780173" cy="2582398"/>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rcRect l="38385" t="24373" r="21471" b="51475"/>
                    <a:stretch>
                      <a:fillRect/>
                    </a:stretch>
                  </pic:blipFill>
                  <pic:spPr bwMode="auto">
                    <a:xfrm>
                      <a:off x="0" y="0"/>
                      <a:ext cx="4836317" cy="2612729"/>
                    </a:xfrm>
                    <a:prstGeom prst="rect">
                      <a:avLst/>
                    </a:prstGeom>
                    <a:ln>
                      <a:noFill/>
                    </a:ln>
                    <a:extLst>
                      <a:ext uri="{53640926-AAD7-44D8-BBD7-CCE9431645EC}">
                        <a14:shadowObscured xmlns:a14="http://schemas.microsoft.com/office/drawing/2010/main"/>
                      </a:ext>
                    </a:extLst>
                  </pic:spPr>
                </pic:pic>
              </a:graphicData>
            </a:graphic>
          </wp:inline>
        </w:drawing>
      </w:r>
    </w:p>
    <w:p w14:paraId="10FACBE3" w14:textId="77777777" w:rsidR="00ED2707" w:rsidRPr="007B238D" w:rsidRDefault="00417442" w:rsidP="00E350BD">
      <w:pPr>
        <w:spacing w:after="0" w:line="240" w:lineRule="auto"/>
        <w:jc w:val="center"/>
        <w:rPr>
          <w:rFonts w:ascii="Times New Roman" w:hAnsi="Times New Roman" w:cs="Times New Roman"/>
          <w:sz w:val="24"/>
          <w:szCs w:val="24"/>
        </w:rPr>
      </w:pPr>
      <w:r w:rsidRPr="007B238D">
        <w:rPr>
          <w:rFonts w:ascii="Times New Roman" w:hAnsi="Times New Roman" w:cs="Times New Roman"/>
          <w:sz w:val="24"/>
          <w:szCs w:val="24"/>
        </w:rPr>
        <w:t>Figure 7. Word Cloud</w:t>
      </w:r>
    </w:p>
    <w:p w14:paraId="006C77EB" w14:textId="77777777" w:rsidR="00ED2707" w:rsidRPr="007B238D" w:rsidRDefault="00ED2707" w:rsidP="00E350BD">
      <w:pPr>
        <w:spacing w:after="0" w:line="240" w:lineRule="auto"/>
        <w:jc w:val="center"/>
        <w:rPr>
          <w:rFonts w:ascii="Times New Roman" w:hAnsi="Times New Roman" w:cs="Times New Roman"/>
          <w:b/>
          <w:bCs/>
          <w:sz w:val="24"/>
          <w:szCs w:val="24"/>
        </w:rPr>
      </w:pPr>
    </w:p>
    <w:p w14:paraId="5C412B8A" w14:textId="77777777" w:rsidR="007D08AC"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results of the keyword network visualization, as illustrated by the above word cloud, show that research in this area is dominated by major themes such as "homologous recombination," "BRCA1 protein," "BRCA2 protein," as well as population descriptors like "human," "female," and "adult." This diversity of keywords indicates a strong research tendency toward genetic and medical aspects in the context of adult human populations, particularly women. Additionally, the frequent appearance of terms such as "genetics," "article," and "controlled study" underscores the empirical nature of this research, often rooted in clinical data. Thus, this word cloud not only highlights the central topics in related scientific publications but also reveals the </w:t>
      </w:r>
      <w:proofErr w:type="spellStart"/>
      <w:r w:rsidRPr="007B238D">
        <w:rPr>
          <w:rFonts w:ascii="Times New Roman" w:hAnsi="Times New Roman" w:cs="Times New Roman"/>
          <w:sz w:val="24"/>
          <w:szCs w:val="24"/>
        </w:rPr>
        <w:t>multidisciplinarity</w:t>
      </w:r>
      <w:proofErr w:type="spellEnd"/>
      <w:r w:rsidRPr="007B238D">
        <w:rPr>
          <w:rFonts w:ascii="Times New Roman" w:hAnsi="Times New Roman" w:cs="Times New Roman"/>
          <w:sz w:val="24"/>
          <w:szCs w:val="24"/>
        </w:rPr>
        <w:t xml:space="preserve"> and collaborative patterns developing among experts in biology, medicine, and public health as they explore topics at the intersection of language and human populations</w:t>
      </w:r>
      <w:r w:rsidR="009451E7" w:rsidRPr="007B238D">
        <w:rPr>
          <w:rFonts w:ascii="Times New Roman" w:hAnsi="Times New Roman" w:cs="Times New Roman"/>
          <w:sz w:val="24"/>
          <w:szCs w:val="24"/>
        </w:rPr>
        <w:t xml:space="preserve"> </w:t>
      </w:r>
      <w:r w:rsidR="009451E7"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{"citationItems":[{"id":"ITEM-1","itemData":{"DOI":"10.1080/13670050.2025.2529554","ISSN":"13670050 (ISSN)","abstract":"This study examines the impact of minority language policy shifting from Mongolian to Mandarin Chinese on English test scores among elementary Mongolian-Mandarin Chinese bilingual students in Inner Mongolia, China. Utilizing panel data from 2018 to 2024, the research includes four cohorts of students from grades 3 to 5 at an elementary school in Hohhot City. The methodology incorporates descriptive statistics, two-sample t-tests, ANOVA, and mixed-effects regression models to evaluate the policy shift's impact on English performance. The analysis reveals a significant decrease in English scores following the policy implementation, with students exposed to the policy earlier experiencing more pronounced declines. The findings underscore the importance of early bilingual education for supporting third language (L3) acquisition. Significant variations in English scores are observed based on gender and grade level, with males and higher grades showing lower performance. These results underscore the necessity of maintaining robust bilingual education policies to support minority language speakers’ L3 learning and promote equitable educational outcomes. Future research should aim to include a more diverse sample, extend longitudinal tracking, and incorporate qualitative methods to provide a comprehensive understanding of language policy impacts. © 2025 Elsevier B.V., All rights reserved.","author":[{"dropping-particle":"","family":"Ai","given":"L","non-dropping-particle":"","parse-names":false,"suffix":""},{"dropping-particle":"","family":"Wu","given":"N","non-dropping-particle":"","parse-names":false,"suffix":""},{"dropping-particle":"","family":"Bao","given":"L","non-dropping-particle":"","parse-names":false,"suffix":""}],"container-title":"International Journal of Bilingual Education and Bilingualism","id":"ITEM-1","issued":{"date-parts":[["2025"]]},"language":"English","note":"Export Date: 06 August 2025; Cited By: 0","publisher":"Routledge","publisher-place":"Waseda University, Graduate School of International Culture and Communication Studies, Tokyo, Japan","title":"Minority language policy shifts and L3 English learning: impacts on elementary Mongolian-Mandarin Chinese bilingual students in Inner Mongolia, China","type":"article-journal"},"uris":["http://www.mendeley.com/documents/?uuid=62746b6a-632c-47a3-86dd-2f184a18b112"]},{"id":"ITEM-2","itemData":{"DOI":"10.1109/ICIET51873.2021.9419587","ISBN":"9781665419338 (ISBN)","abstract":"The global pandemic and subsequent quarantine measures and restrictions have posed an array of challenges to the structure and procedure of higher education workflow, which influenced significantly the scope of individual experiences, projected outcomes and estimated quality of higher education in countries across the world. This study focus is the in-depth assessment of individual digital distance and blended learning experiences by relevant groups of stakeholders in Oriental (Mandarin Chinese, Japanese) and European (French, Italian, Spanish, English,) Languages university level programs in regions of Ukraine through the span of educational activities in the timeframe of COVID-19 quarantine measures of March 2020 to January 2021 the survey and analysis of different ICT tools is used to assess the parameters and challenges of individual quality and efficiency of translation of the real life Foreign Languages Acquisition practices into digital blended format, involving activation of interdisciplinary skills and cross-sectorial activities, assisted by ICT tools the online survey of 14 universities in regional centers of Ukraine provides for disclosure of individual experiences and quality estimation of e-learning and hybrid learning in the framework of COVID-19 lockdown; assessment of individual experiences and quality of e-learning and hybrid learning in the framework of COVID-19 lockdown as compared to traditional, face-To-face learning formats for foreign languages; individual quality assessment of learning process design, programmed leaning outcomes and projected competences for university programs of Oriental and European languages in the framework of COVID-19 lockdown and quarantine measures. © 2021 Elsevier B.V., All rights reserved.","author":[{"dropping-particle":"","family":"Makhachashvili","given":"R","non-dropping-particle":"","parse-names":false,"suffix":""},{"dropping-particle":"","family":"Semenist","given":"I","non-dropping-particle":"","parse-names":false,"suffix":""}],"id":"ITEM-2","issued":{"date-parts":[["2021"]]},"language":"English","note":"Export Date: 06 August 2025; Cited By: 15","page":"149-156","publisher":"Institute of Electrical and Electronics Engineers Inc.","publisher-place":"Borys Grinchenko Kyiv Metropolitan University, Romance Languages and Typology Department, Kyiv, Ukraine","title":"Digital Distance and Blended Learning Quality Assessment in Oriental and European Languages University Programs: Regions of Ukraine Survey Study","type":"paper-conference"},"uris":["http://www.mendeley.com/documents/?uuid=0ee54b6b-64dc-4ff5-adf1-d5883f586652"]},{"id":"ITEM-3","itemData":{"DOI":"10.1075/ltyl.19020.lee","ISSN":"2589207X (ISSN); 25892053 (ISSN)","abstract":"The benefits of dual language immersion (DLI) instruction, both in oneway and two-way immersion programs, have been widely documented through empirical studies spanning nearly five decades. In the U.S. context, most research to date on DLI education has been based on Spanish/English programs, which offer instruction in two Indo-European languages that share many typologically similar features. In light of the fact that there has been a growing trend in programs of other language combinations, such as Mandarin and English, it is necessary to understand how different partner language combinations in DLI programs may impact students' learning outcomes. Thus, by surveying research on Korean/English and Mandarin/ English DLI programs, this paper examines how DLI programs that operate in languages with significantly different linguistic typologies and different scripts affect students' academic achievement and their development of bilingual proficiency. Based on the studies reviewed, areas for further research to advance our understanding of how DLI programs in English and Korean or Mandarin can effectively and efficiently develop students' bilingualism/biliteracy and academic achievement are proposed. © 2022 Elsevier B.V., All rights reserved.","author":[{"dropping-particle":"","family":"Lee","given":"J S","non-dropping-particle":"","parse-names":false,"suffix":""},{"dropping-particle":"","family":"Wang","given":"T","non-dropping-particle":"","parse-names":false,"suffix":""}],"container-title":"Language Teaching for Young Learners","id":"ITEM-3","issue":"1","issued":{"date-parts":[["2021"]]},"language":"English","note":"Export Date: 06 August 2025; Cited By: 7","page":"28-65","publisher":"John Benjamins Publishing Company","publisher-place":"University of California, Santa Barbara, Santa Barbara, United States","title":"A review of Korean/English and Mandarin/English dual language programs in the United States","type":"article-journal","volume":"3"},"uris":["http://www.mendeley.com/documents/?uuid=30ff8e81-fb79-4f04-a82a-4d9f5a39c715"]}],"mendeley":{"formattedCitation":"[17], [18], [19]","plainTextFormattedCitation":"[17], [18], [19]","previouslyFormattedCitation":"[13], [14], [15]"},"properties":{"noteIndex":0},"schema":"https://github.com/citation-style-language/schema/raw/master/csl-citation.json"}</w:instrText>
      </w:r>
      <w:r w:rsidR="009451E7"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[17], [18], [19]</w:t>
      </w:r>
      <w:r w:rsidR="009451E7" w:rsidRPr="007B238D">
        <w:rPr>
          <w:rFonts w:ascii="Times New Roman" w:hAnsi="Times New Roman" w:cs="Times New Roman"/>
          <w:sz w:val="24"/>
          <w:szCs w:val="24"/>
        </w:rPr>
        <w:fldChar w:fldCharType="end"/>
      </w:r>
      <w:r w:rsidRPr="007B238D">
        <w:rPr>
          <w:rFonts w:ascii="Times New Roman" w:hAnsi="Times New Roman" w:cs="Times New Roman"/>
          <w:sz w:val="24"/>
          <w:szCs w:val="24"/>
        </w:rPr>
        <w:t>.</w:t>
      </w:r>
    </w:p>
    <w:p w14:paraId="4B303DAD" w14:textId="77777777" w:rsidR="008742E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results are summarized in Table 1 below, which presents the ten most frequently occurring keywords. This data offers a comprehensive overview of the main research focuses and the primary population characteristics studied, highlighting the prevailing directions in research related to genetics, health, and adult human demographics.</w:t>
      </w:r>
    </w:p>
    <w:p w14:paraId="14BAF469" w14:textId="77777777" w:rsidR="00ED2707" w:rsidRPr="007B238D" w:rsidRDefault="00ED2707" w:rsidP="00E350BD">
      <w:pPr>
        <w:spacing w:after="0" w:line="240" w:lineRule="auto"/>
        <w:jc w:val="both"/>
        <w:rPr>
          <w:rFonts w:ascii="Times New Roman" w:hAnsi="Times New Roman" w:cs="Times New Roman"/>
          <w:sz w:val="24"/>
          <w:szCs w:val="24"/>
        </w:rPr>
      </w:pPr>
    </w:p>
    <w:tbl>
      <w:tblPr>
        <w:tblW w:w="6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2045"/>
      </w:tblGrid>
      <w:tr w:rsidR="00D81DBA" w:rsidRPr="007B238D" w14:paraId="0733BD2D" w14:textId="77777777" w:rsidTr="008742E2">
        <w:trPr>
          <w:trHeight w:val="310"/>
          <w:jc w:val="center"/>
        </w:trPr>
        <w:tc>
          <w:tcPr>
            <w:tcW w:w="6136" w:type="dxa"/>
            <w:gridSpan w:val="2"/>
            <w:tcBorders>
              <w:top w:val="nil"/>
              <w:left w:val="nil"/>
              <w:bottom w:val="single" w:sz="4" w:space="0" w:color="auto"/>
              <w:right w:val="nil"/>
            </w:tcBorders>
            <w:shd w:val="clear" w:color="auto" w:fill="auto"/>
            <w:noWrap/>
            <w:vAlign w:val="center"/>
          </w:tcPr>
          <w:p w14:paraId="633F1C76" w14:textId="77777777" w:rsidR="008742E2" w:rsidRPr="007B238D" w:rsidRDefault="00417442" w:rsidP="00E350BD">
            <w:pPr>
              <w:spacing w:after="0" w:line="240" w:lineRule="auto"/>
              <w:jc w:val="center"/>
              <w:rPr>
                <w:rFonts w:ascii="Times New Roman" w:eastAsia="Times New Roman" w:hAnsi="Times New Roman" w:cs="Times New Roman"/>
                <w:b/>
                <w:bCs/>
                <w:color w:val="000000"/>
                <w:sz w:val="24"/>
                <w:szCs w:val="24"/>
                <w:lang w:eastAsia="en-ID"/>
              </w:rPr>
            </w:pPr>
            <w:r w:rsidRPr="007B238D">
              <w:rPr>
                <w:rFonts w:ascii="Times New Roman" w:eastAsia="Times New Roman" w:hAnsi="Times New Roman" w:cs="Times New Roman"/>
                <w:b/>
                <w:bCs/>
                <w:color w:val="000000"/>
                <w:sz w:val="24"/>
                <w:szCs w:val="24"/>
                <w:lang w:eastAsia="en-ID"/>
              </w:rPr>
              <w:t>Table 2. Word Cloud</w:t>
            </w:r>
          </w:p>
        </w:tc>
      </w:tr>
      <w:tr w:rsidR="00D81DBA" w:rsidRPr="007B238D" w14:paraId="413B920C" w14:textId="77777777" w:rsidTr="008742E2">
        <w:trPr>
          <w:trHeight w:val="310"/>
          <w:jc w:val="center"/>
        </w:trPr>
        <w:tc>
          <w:tcPr>
            <w:tcW w:w="4091" w:type="dxa"/>
            <w:tcBorders>
              <w:top w:val="single" w:sz="4" w:space="0" w:color="auto"/>
            </w:tcBorders>
            <w:shd w:val="clear" w:color="auto" w:fill="auto"/>
            <w:noWrap/>
            <w:vAlign w:val="center"/>
            <w:hideMark/>
          </w:tcPr>
          <w:p w14:paraId="66ED26CF" w14:textId="77777777" w:rsidR="00A3195F" w:rsidRPr="007B238D" w:rsidRDefault="00417442" w:rsidP="00E350BD">
            <w:pPr>
              <w:spacing w:after="0" w:line="240" w:lineRule="auto"/>
              <w:jc w:val="center"/>
              <w:rPr>
                <w:rFonts w:ascii="Times New Roman" w:eastAsia="Times New Roman" w:hAnsi="Times New Roman" w:cs="Times New Roman"/>
                <w:b/>
                <w:bCs/>
                <w:color w:val="000000"/>
                <w:sz w:val="24"/>
                <w:szCs w:val="24"/>
                <w:lang w:eastAsia="en-ID"/>
              </w:rPr>
            </w:pPr>
            <w:r w:rsidRPr="007B238D">
              <w:rPr>
                <w:rFonts w:ascii="Times New Roman" w:eastAsia="Times New Roman" w:hAnsi="Times New Roman" w:cs="Times New Roman"/>
                <w:b/>
                <w:bCs/>
                <w:color w:val="000000"/>
                <w:sz w:val="24"/>
                <w:szCs w:val="24"/>
                <w:lang w:eastAsia="en-ID"/>
              </w:rPr>
              <w:t>Term</w:t>
            </w:r>
          </w:p>
        </w:tc>
        <w:tc>
          <w:tcPr>
            <w:tcW w:w="2045" w:type="dxa"/>
            <w:tcBorders>
              <w:top w:val="single" w:sz="4" w:space="0" w:color="auto"/>
            </w:tcBorders>
            <w:shd w:val="clear" w:color="auto" w:fill="auto"/>
            <w:noWrap/>
            <w:vAlign w:val="center"/>
            <w:hideMark/>
          </w:tcPr>
          <w:p w14:paraId="32F6CDA2" w14:textId="77777777" w:rsidR="00A3195F" w:rsidRPr="007B238D" w:rsidRDefault="00417442" w:rsidP="00E350BD">
            <w:pPr>
              <w:spacing w:after="0" w:line="240" w:lineRule="auto"/>
              <w:jc w:val="center"/>
              <w:rPr>
                <w:rFonts w:ascii="Times New Roman" w:eastAsia="Times New Roman" w:hAnsi="Times New Roman" w:cs="Times New Roman"/>
                <w:b/>
                <w:bCs/>
                <w:color w:val="000000"/>
                <w:sz w:val="24"/>
                <w:szCs w:val="24"/>
                <w:lang w:eastAsia="en-ID"/>
              </w:rPr>
            </w:pPr>
            <w:r w:rsidRPr="007B238D">
              <w:rPr>
                <w:rFonts w:ascii="Times New Roman" w:eastAsia="Times New Roman" w:hAnsi="Times New Roman" w:cs="Times New Roman"/>
                <w:b/>
                <w:bCs/>
                <w:color w:val="000000"/>
                <w:sz w:val="24"/>
                <w:szCs w:val="24"/>
                <w:lang w:eastAsia="en-ID"/>
              </w:rPr>
              <w:t>Frequency</w:t>
            </w:r>
          </w:p>
        </w:tc>
      </w:tr>
      <w:tr w:rsidR="00D81DBA" w:rsidRPr="007B238D" w14:paraId="54E48F60" w14:textId="77777777" w:rsidTr="008742E2">
        <w:trPr>
          <w:trHeight w:val="310"/>
          <w:jc w:val="center"/>
        </w:trPr>
        <w:tc>
          <w:tcPr>
            <w:tcW w:w="4091" w:type="dxa"/>
            <w:shd w:val="clear" w:color="auto" w:fill="auto"/>
            <w:noWrap/>
            <w:vAlign w:val="center"/>
            <w:hideMark/>
          </w:tcPr>
          <w:p w14:paraId="255EBA2A"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human</w:t>
            </w:r>
          </w:p>
        </w:tc>
        <w:tc>
          <w:tcPr>
            <w:tcW w:w="2045" w:type="dxa"/>
            <w:shd w:val="clear" w:color="auto" w:fill="auto"/>
            <w:noWrap/>
            <w:vAlign w:val="center"/>
            <w:hideMark/>
          </w:tcPr>
          <w:p w14:paraId="3E18B500"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957</w:t>
            </w:r>
          </w:p>
        </w:tc>
      </w:tr>
      <w:tr w:rsidR="00D81DBA" w:rsidRPr="007B238D" w14:paraId="52354AC6" w14:textId="77777777" w:rsidTr="008742E2">
        <w:trPr>
          <w:trHeight w:val="310"/>
          <w:jc w:val="center"/>
        </w:trPr>
        <w:tc>
          <w:tcPr>
            <w:tcW w:w="4091" w:type="dxa"/>
            <w:shd w:val="clear" w:color="auto" w:fill="auto"/>
            <w:noWrap/>
            <w:vAlign w:val="center"/>
            <w:hideMark/>
          </w:tcPr>
          <w:p w14:paraId="5F5D2F90"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female</w:t>
            </w:r>
          </w:p>
        </w:tc>
        <w:tc>
          <w:tcPr>
            <w:tcW w:w="2045" w:type="dxa"/>
            <w:shd w:val="clear" w:color="auto" w:fill="auto"/>
            <w:noWrap/>
            <w:vAlign w:val="center"/>
            <w:hideMark/>
          </w:tcPr>
          <w:p w14:paraId="14F6916A"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791</w:t>
            </w:r>
          </w:p>
        </w:tc>
      </w:tr>
      <w:tr w:rsidR="00D81DBA" w:rsidRPr="007B238D" w14:paraId="6A40FF9C" w14:textId="77777777" w:rsidTr="008742E2">
        <w:trPr>
          <w:trHeight w:val="310"/>
          <w:jc w:val="center"/>
        </w:trPr>
        <w:tc>
          <w:tcPr>
            <w:tcW w:w="4091" w:type="dxa"/>
            <w:shd w:val="clear" w:color="auto" w:fill="auto"/>
            <w:noWrap/>
            <w:vAlign w:val="center"/>
            <w:hideMark/>
          </w:tcPr>
          <w:p w14:paraId="618281C4"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homologous recombination</w:t>
            </w:r>
          </w:p>
        </w:tc>
        <w:tc>
          <w:tcPr>
            <w:tcW w:w="2045" w:type="dxa"/>
            <w:shd w:val="clear" w:color="auto" w:fill="auto"/>
            <w:noWrap/>
            <w:vAlign w:val="center"/>
            <w:hideMark/>
          </w:tcPr>
          <w:p w14:paraId="66B9355C"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531</w:t>
            </w:r>
          </w:p>
        </w:tc>
      </w:tr>
      <w:tr w:rsidR="00D81DBA" w:rsidRPr="007B238D" w14:paraId="16CD62EC" w14:textId="77777777" w:rsidTr="008742E2">
        <w:trPr>
          <w:trHeight w:val="310"/>
          <w:jc w:val="center"/>
        </w:trPr>
        <w:tc>
          <w:tcPr>
            <w:tcW w:w="4091" w:type="dxa"/>
            <w:shd w:val="clear" w:color="auto" w:fill="auto"/>
            <w:noWrap/>
            <w:vAlign w:val="center"/>
            <w:hideMark/>
          </w:tcPr>
          <w:p w14:paraId="5A9AE0CE"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article</w:t>
            </w:r>
          </w:p>
        </w:tc>
        <w:tc>
          <w:tcPr>
            <w:tcW w:w="2045" w:type="dxa"/>
            <w:shd w:val="clear" w:color="auto" w:fill="auto"/>
            <w:noWrap/>
            <w:vAlign w:val="center"/>
            <w:hideMark/>
          </w:tcPr>
          <w:p w14:paraId="02AF3693"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502</w:t>
            </w:r>
          </w:p>
        </w:tc>
      </w:tr>
      <w:tr w:rsidR="00D81DBA" w:rsidRPr="007B238D" w14:paraId="40773376" w14:textId="77777777" w:rsidTr="008742E2">
        <w:trPr>
          <w:trHeight w:val="310"/>
          <w:jc w:val="center"/>
        </w:trPr>
        <w:tc>
          <w:tcPr>
            <w:tcW w:w="4091" w:type="dxa"/>
            <w:shd w:val="clear" w:color="auto" w:fill="auto"/>
            <w:noWrap/>
            <w:vAlign w:val="center"/>
            <w:hideMark/>
          </w:tcPr>
          <w:p w14:paraId="6058B015"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lastRenderedPageBreak/>
              <w:t>humans</w:t>
            </w:r>
          </w:p>
        </w:tc>
        <w:tc>
          <w:tcPr>
            <w:tcW w:w="2045" w:type="dxa"/>
            <w:shd w:val="clear" w:color="auto" w:fill="auto"/>
            <w:noWrap/>
            <w:vAlign w:val="center"/>
            <w:hideMark/>
          </w:tcPr>
          <w:p w14:paraId="4567F6E3"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462</w:t>
            </w:r>
          </w:p>
        </w:tc>
      </w:tr>
      <w:tr w:rsidR="00D81DBA" w:rsidRPr="007B238D" w14:paraId="16BB6133" w14:textId="77777777" w:rsidTr="008742E2">
        <w:trPr>
          <w:trHeight w:val="310"/>
          <w:jc w:val="center"/>
        </w:trPr>
        <w:tc>
          <w:tcPr>
            <w:tcW w:w="4091" w:type="dxa"/>
            <w:shd w:val="clear" w:color="auto" w:fill="auto"/>
            <w:noWrap/>
            <w:vAlign w:val="center"/>
            <w:hideMark/>
          </w:tcPr>
          <w:p w14:paraId="37FE1D45"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brca1 protein</w:t>
            </w:r>
          </w:p>
        </w:tc>
        <w:tc>
          <w:tcPr>
            <w:tcW w:w="2045" w:type="dxa"/>
            <w:shd w:val="clear" w:color="auto" w:fill="auto"/>
            <w:noWrap/>
            <w:vAlign w:val="center"/>
            <w:hideMark/>
          </w:tcPr>
          <w:p w14:paraId="2AB5AD05"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412</w:t>
            </w:r>
          </w:p>
        </w:tc>
      </w:tr>
      <w:tr w:rsidR="00D81DBA" w:rsidRPr="007B238D" w14:paraId="196CB9A4" w14:textId="77777777" w:rsidTr="008742E2">
        <w:trPr>
          <w:trHeight w:val="310"/>
          <w:jc w:val="center"/>
        </w:trPr>
        <w:tc>
          <w:tcPr>
            <w:tcW w:w="4091" w:type="dxa"/>
            <w:shd w:val="clear" w:color="auto" w:fill="auto"/>
            <w:noWrap/>
            <w:vAlign w:val="center"/>
            <w:hideMark/>
          </w:tcPr>
          <w:p w14:paraId="2D8CA6D6"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adult</w:t>
            </w:r>
          </w:p>
        </w:tc>
        <w:tc>
          <w:tcPr>
            <w:tcW w:w="2045" w:type="dxa"/>
            <w:shd w:val="clear" w:color="auto" w:fill="auto"/>
            <w:noWrap/>
            <w:vAlign w:val="center"/>
            <w:hideMark/>
          </w:tcPr>
          <w:p w14:paraId="07E93A42"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399</w:t>
            </w:r>
          </w:p>
        </w:tc>
      </w:tr>
      <w:tr w:rsidR="00D81DBA" w:rsidRPr="007B238D" w14:paraId="1CAED6BE" w14:textId="77777777" w:rsidTr="008742E2">
        <w:trPr>
          <w:trHeight w:val="310"/>
          <w:jc w:val="center"/>
        </w:trPr>
        <w:tc>
          <w:tcPr>
            <w:tcW w:w="4091" w:type="dxa"/>
            <w:shd w:val="clear" w:color="auto" w:fill="auto"/>
            <w:noWrap/>
            <w:vAlign w:val="center"/>
            <w:hideMark/>
          </w:tcPr>
          <w:p w14:paraId="7B1A7CE0"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brca2 protein</w:t>
            </w:r>
          </w:p>
        </w:tc>
        <w:tc>
          <w:tcPr>
            <w:tcW w:w="2045" w:type="dxa"/>
            <w:shd w:val="clear" w:color="auto" w:fill="auto"/>
            <w:noWrap/>
            <w:vAlign w:val="center"/>
            <w:hideMark/>
          </w:tcPr>
          <w:p w14:paraId="42359556"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376</w:t>
            </w:r>
          </w:p>
        </w:tc>
      </w:tr>
      <w:tr w:rsidR="00D81DBA" w:rsidRPr="007B238D" w14:paraId="47304637" w14:textId="77777777" w:rsidTr="008742E2">
        <w:trPr>
          <w:trHeight w:val="310"/>
          <w:jc w:val="center"/>
        </w:trPr>
        <w:tc>
          <w:tcPr>
            <w:tcW w:w="4091" w:type="dxa"/>
            <w:shd w:val="clear" w:color="auto" w:fill="auto"/>
            <w:noWrap/>
            <w:vAlign w:val="center"/>
            <w:hideMark/>
          </w:tcPr>
          <w:p w14:paraId="7A70E9F9"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aged</w:t>
            </w:r>
          </w:p>
        </w:tc>
        <w:tc>
          <w:tcPr>
            <w:tcW w:w="2045" w:type="dxa"/>
            <w:shd w:val="clear" w:color="auto" w:fill="auto"/>
            <w:noWrap/>
            <w:vAlign w:val="center"/>
            <w:hideMark/>
          </w:tcPr>
          <w:p w14:paraId="58CCE313"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349</w:t>
            </w:r>
          </w:p>
        </w:tc>
      </w:tr>
      <w:tr w:rsidR="00D81DBA" w:rsidRPr="007B238D" w14:paraId="0F9B895E" w14:textId="77777777" w:rsidTr="008742E2">
        <w:trPr>
          <w:trHeight w:val="310"/>
          <w:jc w:val="center"/>
        </w:trPr>
        <w:tc>
          <w:tcPr>
            <w:tcW w:w="4091" w:type="dxa"/>
            <w:shd w:val="clear" w:color="auto" w:fill="auto"/>
            <w:noWrap/>
            <w:vAlign w:val="center"/>
            <w:hideMark/>
          </w:tcPr>
          <w:p w14:paraId="22027E8E" w14:textId="77777777" w:rsidR="00A3195F" w:rsidRPr="007B238D" w:rsidRDefault="00417442" w:rsidP="00E350BD">
            <w:pPr>
              <w:spacing w:after="0" w:line="240" w:lineRule="auto"/>
              <w:jc w:val="both"/>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genetics</w:t>
            </w:r>
          </w:p>
        </w:tc>
        <w:tc>
          <w:tcPr>
            <w:tcW w:w="2045" w:type="dxa"/>
            <w:shd w:val="clear" w:color="auto" w:fill="auto"/>
            <w:noWrap/>
            <w:vAlign w:val="center"/>
            <w:hideMark/>
          </w:tcPr>
          <w:p w14:paraId="54BDC781" w14:textId="77777777" w:rsidR="00A3195F" w:rsidRPr="007B238D" w:rsidRDefault="00417442" w:rsidP="00E350BD">
            <w:pPr>
              <w:spacing w:after="0" w:line="240" w:lineRule="auto"/>
              <w:jc w:val="center"/>
              <w:rPr>
                <w:rFonts w:ascii="Times New Roman" w:eastAsia="Times New Roman" w:hAnsi="Times New Roman" w:cs="Times New Roman"/>
                <w:color w:val="000000"/>
                <w:sz w:val="24"/>
                <w:szCs w:val="24"/>
                <w:lang w:eastAsia="en-ID"/>
              </w:rPr>
            </w:pPr>
            <w:r w:rsidRPr="007B238D">
              <w:rPr>
                <w:rFonts w:ascii="Times New Roman" w:eastAsia="Times New Roman" w:hAnsi="Times New Roman" w:cs="Times New Roman"/>
                <w:color w:val="000000"/>
                <w:sz w:val="24"/>
                <w:szCs w:val="24"/>
                <w:lang w:eastAsia="en-ID"/>
              </w:rPr>
              <w:t>343</w:t>
            </w:r>
          </w:p>
        </w:tc>
      </w:tr>
    </w:tbl>
    <w:p w14:paraId="5CF18508" w14:textId="77777777" w:rsidR="00A3195F" w:rsidRPr="007B238D" w:rsidRDefault="00A3195F" w:rsidP="00E350BD">
      <w:pPr>
        <w:spacing w:after="0" w:line="240" w:lineRule="auto"/>
        <w:jc w:val="both"/>
        <w:rPr>
          <w:rFonts w:ascii="Times New Roman" w:hAnsi="Times New Roman" w:cs="Times New Roman"/>
          <w:sz w:val="24"/>
          <w:szCs w:val="24"/>
        </w:rPr>
      </w:pPr>
    </w:p>
    <w:p w14:paraId="623DE988" w14:textId="77777777" w:rsidR="004D1571" w:rsidRPr="007B238D" w:rsidRDefault="004D1571" w:rsidP="00E350BD">
      <w:pPr>
        <w:spacing w:after="0" w:line="240" w:lineRule="auto"/>
        <w:jc w:val="both"/>
        <w:rPr>
          <w:rFonts w:ascii="Times New Roman" w:hAnsi="Times New Roman" w:cs="Times New Roman"/>
          <w:sz w:val="24"/>
          <w:szCs w:val="24"/>
        </w:rPr>
      </w:pPr>
    </w:p>
    <w:p w14:paraId="3889725A"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 Discussion</w:t>
      </w:r>
    </w:p>
    <w:p w14:paraId="0BF4B67F"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This bibliometric analysis provides a comprehensive overview of the Mandarin language learning research landscape from 2023 to 2025, encompassing publication patterns, thematic clusters, author collaborations, and geographical distributions. The findings indicate that the field is characterized by high levels of collaboration, broad thematic diversity, and significant cross-national engagement.</w:t>
      </w:r>
    </w:p>
    <w:p w14:paraId="4609EAC5" w14:textId="77777777" w:rsidR="00B335F2" w:rsidRPr="007B238D" w:rsidRDefault="00B335F2" w:rsidP="00E350BD">
      <w:pPr>
        <w:spacing w:after="0" w:line="240" w:lineRule="auto"/>
        <w:jc w:val="both"/>
        <w:rPr>
          <w:rFonts w:ascii="Times New Roman" w:hAnsi="Times New Roman" w:cs="Times New Roman"/>
          <w:b/>
          <w:bCs/>
          <w:sz w:val="24"/>
          <w:szCs w:val="24"/>
        </w:rPr>
      </w:pPr>
    </w:p>
    <w:p w14:paraId="05807018"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5.1 Publication Patterns and Source Concentration</w:t>
      </w:r>
    </w:p>
    <w:p w14:paraId="2B590B1B"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high number of documents (2,069) from 897 publication sources reflects the multidimensional growth of the field and its integration into various academic disciplines. However, the Most Relevant Sources and Source Production Over Time analyses reveal that much of the output is concentrated in a small number of core journals, with the leading outlet producing up to 90 publications during the analysis period. This pattern is consistent with previous bibliometric studies in second language research (Hajara &amp; Karakus, 2024; Wang &amp; Hasim, 2024), which also identify the dominance of specialized journals as primary dissemination channels. While this concentration consolidates knowledge and fosters scholarly communities, it risks thematic homogeneity if peripheral outlets are underutilized</w:t>
      </w:r>
      <w:r w:rsidR="00BE7E69" w:rsidRPr="007B238D">
        <w:rPr>
          <w:rFonts w:ascii="Times New Roman" w:hAnsi="Times New Roman" w:cs="Times New Roman"/>
          <w:sz w:val="24"/>
          <w:szCs w:val="24"/>
        </w:rPr>
        <w:t xml:space="preserve"> </w:t>
      </w:r>
      <w:r w:rsidR="00BE7E69"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10.1080/09571736.2024.2361145","ISSN":"0957-1736","author":[{"dropping-particle":"","family":"Hajar","given":"Anas","non-dropping-particle":"","parse-names":false,"suffix":""},{"dropping-particle":"","family":"Karakus","given":"Mehmet","non-dropping-particle":"","parse-names":false,"suffix":""}],"container-title":"The Language Learning Journal","id":"ITEM-1","issue":"2","issued":{"date-parts":[["2025","3","4"]]},"note":"doi: 10.1080/09571736.2024.2361145","page":"220-249","publisher":"Routledge","title":"Five decades of language learning strategy research: a bibliometric review and research agenda","type":"article-journal","volume":"53"},"uris":["http://www.mendeley.com/documents/?uuid=728320bb-17b5-4a9e-a3bd-03a71b3ff19f"]}],"mendeley":{"formattedCitation":"[5]","plainTextFormattedCitation":"[5]","previouslyFormattedCitation":"[5]"},"properties":{"noteIndex":0},"schema":"https://github.com/citation-style-language/schema/raw/master/csl-citation.json"}</w:instrText>
      </w:r>
      <w:r w:rsidR="00BE7E69" w:rsidRPr="007B238D">
        <w:rPr>
          <w:rFonts w:ascii="Times New Roman" w:hAnsi="Times New Roman" w:cs="Times New Roman"/>
          <w:sz w:val="24"/>
          <w:szCs w:val="24"/>
        </w:rPr>
        <w:fldChar w:fldCharType="separate"/>
      </w:r>
      <w:r w:rsidR="00BE7E69" w:rsidRPr="007B238D">
        <w:rPr>
          <w:rFonts w:ascii="Times New Roman" w:hAnsi="Times New Roman" w:cs="Times New Roman"/>
          <w:noProof/>
          <w:sz w:val="24"/>
          <w:szCs w:val="24"/>
        </w:rPr>
        <w:t>[5]</w:t>
      </w:r>
      <w:r w:rsidR="00BE7E69" w:rsidRPr="007B238D">
        <w:rPr>
          <w:rFonts w:ascii="Times New Roman" w:hAnsi="Times New Roman" w:cs="Times New Roman"/>
          <w:sz w:val="24"/>
          <w:szCs w:val="24"/>
        </w:rPr>
        <w:fldChar w:fldCharType="end"/>
      </w:r>
      <w:r w:rsidR="00BE7E69" w:rsidRPr="007B238D">
        <w:rPr>
          <w:rFonts w:ascii="Times New Roman" w:hAnsi="Times New Roman" w:cs="Times New Roman"/>
          <w:sz w:val="24"/>
          <w:szCs w:val="24"/>
        </w:rPr>
        <w:fldChar w:fldCharType="begin" w:fldLock="1"/>
      </w:r>
      <w:r w:rsidR="00BE7E69" w:rsidRPr="007B238D">
        <w:rPr>
          <w:rFonts w:ascii="Times New Roman" w:hAnsi="Times New Roman" w:cs="Times New Roman"/>
          <w:sz w:val="24"/>
          <w:szCs w:val="24"/>
        </w:rPr>
        <w:instrText>ADDIN CSL_CITATION {"citationItems":[{"id":"ITEM-1","itemData":{"DOI":"10.4018/IJCALLT.345401","ISSN":"21557101","abstract":"This study analysed 498 articles published between 2005 and 2023 on Self-regulated Language Learning (SRLL) indexed in the core collection of the Web of Science database, using a bibliometric methodology based on scientific mapping, co-occurrence and burstness analysis. Results show China is the most influential contributor to SRLL research, with the largest number of total publications and citations. According to the keyword co-occurrence and burstness analysis, mobile-learning, higher education, learning context, learner strategies stand out in this field. It is also shown that listening as a significant linguistic skill is less explored in the SRLL field. It is proven that learners’ language skills could be improved through mobile-assisted collaborative learning in informal settings. By identifying the developmental patterns in SRLL research, this paper can guide future researchers to explore in-depth the significant issues in this field and bring insight for further SRLL studies in terms of themes, pedagogy and methodologies.","author":[{"dropping-particle":"","family":"Wang","given":"Xing","non-dropping-particle":"","parse-names":false,"suffix":""},{"dropping-particle":"","family":"Hasim","given":"Zuwati","non-dropping-particle":"","parse-names":false,"suffix":""}],"container-title":"International Journal of Computer-Assisted Language Learning and Teaching","id":"ITEM-1","issue":"1","issued":{"date-parts":[["2024"]]},"page":"1-18","title":"A Bibliometric Analysis on Trends and Patterns in Self-Regulated Language Learning in Mobile-Assisted Learning Environments","type":"article-journal","volume":"14"},"uris":["http://www.mendeley.com/documents/?uuid=467b9b02-bdad-4778-8880-fdd60cf2bb4b"]}],"mendeley":{"formattedCitation":"[6]","plainTextFormattedCitation":"[6]","previouslyFormattedCitation":"[6]"},"properties":{"noteIndex":0},"schema":"https://github.com/citation-style-language/schema/raw/master/csl-citation.json"}</w:instrText>
      </w:r>
      <w:r w:rsidR="00BE7E69" w:rsidRPr="007B238D">
        <w:rPr>
          <w:rFonts w:ascii="Times New Roman" w:hAnsi="Times New Roman" w:cs="Times New Roman"/>
          <w:sz w:val="24"/>
          <w:szCs w:val="24"/>
        </w:rPr>
        <w:fldChar w:fldCharType="separate"/>
      </w:r>
      <w:r w:rsidR="00BE7E69" w:rsidRPr="007B238D">
        <w:rPr>
          <w:rFonts w:ascii="Times New Roman" w:hAnsi="Times New Roman" w:cs="Times New Roman"/>
          <w:noProof/>
          <w:sz w:val="24"/>
          <w:szCs w:val="24"/>
        </w:rPr>
        <w:t>[6]</w:t>
      </w:r>
      <w:r w:rsidR="00BE7E69" w:rsidRPr="007B238D">
        <w:rPr>
          <w:rFonts w:ascii="Times New Roman" w:hAnsi="Times New Roman" w:cs="Times New Roman"/>
          <w:sz w:val="24"/>
          <w:szCs w:val="24"/>
        </w:rPr>
        <w:fldChar w:fldCharType="end"/>
      </w:r>
      <w:r w:rsidRPr="007B238D">
        <w:rPr>
          <w:rFonts w:ascii="Times New Roman" w:hAnsi="Times New Roman" w:cs="Times New Roman"/>
          <w:sz w:val="24"/>
          <w:szCs w:val="24"/>
        </w:rPr>
        <w:t>. Nevertheless, smaller journals remain important for diversifying perspectives and introducing emerging topics such as technology-assisted learning and cross-cultural pedagogy.</w:t>
      </w:r>
    </w:p>
    <w:p w14:paraId="120BE21A" w14:textId="77777777" w:rsidR="00B335F2" w:rsidRPr="007B238D" w:rsidRDefault="00B335F2" w:rsidP="00E350BD">
      <w:pPr>
        <w:spacing w:after="0" w:line="240" w:lineRule="auto"/>
        <w:jc w:val="both"/>
        <w:rPr>
          <w:rFonts w:ascii="Times New Roman" w:hAnsi="Times New Roman" w:cs="Times New Roman"/>
          <w:b/>
          <w:bCs/>
          <w:sz w:val="24"/>
          <w:szCs w:val="24"/>
        </w:rPr>
      </w:pPr>
    </w:p>
    <w:p w14:paraId="6CEDCA5F"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5.2 Author Productivity and Collaboration Dynamics</w:t>
      </w:r>
    </w:p>
    <w:p w14:paraId="797990ED"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Author Production Over Time and Authorship Network analyses highlight the central role of collaborative structures in shaping the field. The presence of bridging authors such as Chua Hui Ain, who connects multiple clusters, suggests active knowledge flow between otherwise separate research teams. Such inter-cluster collaborations can accelerate thematic integration and methodological innovation, especially in interdisciplinary topics involving linguistics, educational technology, and applied pedagogy</w:t>
      </w:r>
      <w:r w:rsidR="00BE7E69" w:rsidRPr="007B238D">
        <w:rPr>
          <w:rFonts w:ascii="Times New Roman" w:hAnsi="Times New Roman" w:cs="Times New Roman"/>
          <w:sz w:val="24"/>
          <w:szCs w:val="24"/>
        </w:rPr>
        <w:t xml:space="preserve"> </w:t>
      </w:r>
      <w:r w:rsidR="00BE7E69"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{"citationItems":[{"id":"ITEM-1","itemData":{"DOI":"10.3389/fpsyg.2021.770579","ISSN":"16641078 (ISSN)","abstract":"The study investigates whether learners’ demographics (e.g., age, education, and intelligence-IQ), language learning experience, and cognitive control predict Chinese (L2) reading comprehension in young adults. Thirty-four international students who studied mandarin Chinese in mainland China (10 females, 24 males) from Bangladesh, Burundi, Congo, Madagascar, Nigeria, Rwanda, South Africa, and Zimbabwe were tested on a series of measures including demographic questionnaires, IQ test, two cognitive control tasks [Flanker Task measuring inhibition and Wisconsin Card Sorting Test (WCST) measuring mental set shifting], and a Chinese reading comprehension test (HSK level 4). The results of correlation analyses showed that education, L2 learning history, L2 proficiency, and previous category errors of the WCST were significantly correlated with Chinese reading comprehension. Further multiple regression analyses indicated that Chinese learning history, IQ, and previous category errors of the WCST significantly predicted Chinese reading comprehension. These findings reveal that aside from IQ and the time spent on L2 learning, the component mental set shifting of cognitive control also predicts reading outcomes, which suggests that cognitive control has a place in reading comprehension models over and above traditional predictors of language learning experience. © 2021 Elsevier B.V., All rights reserved.","author":[{"dropping-particle":"","family":"Xie","given":"Z","non-dropping-particle":"","parse-names":false,"suffix":""},{"dropping-particle":"","family":"Wang","given":"W","non-dropping-particle":"","parse-names":false,"suffix":""},{"dropping-particle":"","family":"Chu","given":"X","non-dropping-particle":"","parse-names":false,"suffix":""},{"dropping-particle":"","family":"Qiu","given":"Q","non-dropping-particle":"","parse-names":false,"suffix":""},{"dropping-particle":"","family":"Yuan","given":"F","non-dropping-particle":"","parse-names":false,"suffix":""},{"dropping-particle":"","family":"Huang","given":"J","non-dropping-particle":"","parse-names":false,"suffix":""},{"dropping-particle":"","family":"Chen","given":"M","non-dropping-particle":"","parse-names":false,"suffix":""}],"container-title":"Frontiers in Psychology","id":"ITEM-1","issued":{"date-parts":[["2021"]]},"language":"English","note":"Export Date: 06 August 2025; Cited By: 2","publisher":"Frontiers Media S.A.","publisher-place":"Jiangxi Normal University, Foreign Languages College, Nanchang, China","title":"Contributions of Demographics, Language Learning Experience, and Cognitive Control to Chinese Reading Comprehension","type":"article-journal","volume":"12"},"uris":["http://www.mendeley.com/documents/?uuid=e66fd4b7-479c-4f5e-af5c-fc3ed6d0cb7b"]},{"id":"ITEM-2","itemData":{"DOI":"10.1088/1742-6596/1477/4/042019","ISBN":"17426588 (ISSN); 17426596 (ISSN); 9788394593742 (ISBN); 9781628905861 (ISBN)","abstract":"Research on artificial intelligence in learning Mandarin in Indonesia is still very rare. The research on developing a Chinese grammar checking website is aimed at helping Mandarin learners in mastering Mandarin grammar. This website can be a \"learning companion\" of basic-level Mandarin learners outside the classroom. This technology is still very new, so this research should be carried out immediately by researchers in Indonesia to master this technology. The method used in this research is a quantitative approach. The collection of grammar patterns that will appear on the chineseteak.net will be selected from several Chinese textbooks. Then the pattern will become Mandarin grammar patterns and will be entered the website auto-correct grammar. This website is designed using PHP and MySQL as the database. From the results of the questionnaire, we can find out that there are 7 points of Mandarin grammar that are still difficult for early learners. © 2020 Elsevier B.V., All rights reserved.","author":[{"dropping-particle":"","family":"Wangi","given":"J","non-dropping-particle":"","parse-names":false,"suffix":""},{"dropping-particle":"","family":"Rosalin","given":"K","non-dropping-particle":"","parse-names":false,"suffix":""}],"container-title":"Journal of Physics: Conference Series","editor":[{"dropping-particle":"","family":"Vaidyanathan","given":"S","non-dropping-particle":"","parse-names":false,"suffix":""},{"dropping-particle":"","family":"Mamat","given":"M B","non-dropping-particle":"","parse-names":false,"suffix":""},{"dropping-particle":"","family":"Lien","given":"C.-H.","non-dropping-particle":"","parse-names":false,"suffix":""},{"dropping-particle":"","family":"Ginta","given":"T L","non-dropping-particle":"","parse-names":false,"suffix":""},{"dropping-particle":"","family":"Mujiarto","given":"","non-dropping-particle":"","parse-names":false,"suffix":""},{"dropping-particle":"","family":"Sambas","given":"A","non-dropping-particle":"","parse-names":false,"suffix":""}],"id":"ITEM-2","issue":"4","issued":{"date-parts":[["2020"]]},"language":"English","note":"Export Date: 06 August 2025; Cited By: 1","publisher":"Institute of Physics Publishing helen.craven@iop.org","publisher-place":"Bina Nusantara University, Chinese Department, Jakarta, Indonesia","title":"The development of Chinese grammar checker website based on Natural Language Processing","type":"paper-conference","volume":"1477"},"uris":["http://www.mendeley.com/documents/?uuid=7968b575-757c-4a93-b97b-6091650b24a6"]},{"id":"ITEM-3","itemData":{"DOI":"10.1080/15475441.2022.2060832","ISSN":"15475441 (ISSN); 15473341 (ISSN)","abstract":"How does linguistic structure affect children’s developing cardinal number knowledge? The bootstrapping theory proposes that children might use syntactic information provided by known words such as quantifiers to bootstrap the meanings of unfamiliar words such as number words. Prior studies of numeral and quantifier development have indicated that the bootstrapping mechanism that children can use to discover numeral meanings might work differently in different languages. Nevertheless, support for this conclusion remains preliminary. The present study explored this hypothesis through an investigation of the possible relations between cardinal number knowledge and quantifier comprehension in Mandarin Chinese-speaking children. Notably, in contrast with previous studies, this study also offered a glimpse into children’s receptive vocabulary development and its relation with cardinal number knowledge and quantifier comprehension. Results showed that cardinal number knowledge did not seem to be correlated with quantifier comprehension (both “exact” and “non-exact” quantifiers) when controlling for such covariates as children’s age, gender, parent education, and family income. Moreover, children’s receptive vocabulary size explained a significant amount of variance in their quantifier knowledge over and above children’s age, gender, parent education, and family income, but not in their cardinal number development over and above these covariates. These results provide further evidence for the hypothesis that while the bootstrapping mechanism may facilitate number word learning in children speaking languages like English, it might play a lesser role in children speaking classifier languages such as Mandarin Chinese. Implications for the role that general receptive vocabulary plays in the acquisition of number words and quantifiers are also discussed. © 2023 Elsevier B.V., All rights reserved.","author":[{"dropping-particle":"","family":"Yang","given":"M","non-dropping-particle":"","parse-names":false,"suffix":""},{"dropping-particle":"","family":"Wang","given":"Y","non-dropping-particle":"","parse-names":false,"suffix":""}],"container-title":"Language Learning and Development","id":"ITEM-3","issue":"2","issued":{"date-parts":[["2023"]]},"language":"English","note":"Export Date: 06 August 2025; Cited By: 3","page":"213-229","publisher":"Routledge","publisher-place":"School of International Studies, Zhejiang University, Department of Linguistics, Hangzhou, China","title":"The Relations between Cardinal Number Knowledge and Quantifier Comprehension","type":"article-journal","volume":"19"},"uris":["http://www.mendeley.com/documents/?uuid=493420f1-cf38-4302-b700-c5cf4dc70c25"]}],"mendeley":{"formattedCitation":"[20], [21], [22]","plainTextFormattedCitation":"[20], [21], [22]","previouslyFormattedCitation":"[16], [17], [18]"},"properties":{"noteIndex":0},"schema":"https://github.com/citation-style-language/schema/raw/master/csl-citation.json"}</w:instrText>
      </w:r>
      <w:r w:rsidR="00BE7E69"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[20], [21], [22]</w:t>
      </w:r>
      <w:r w:rsidR="00BE7E69" w:rsidRPr="007B238D">
        <w:rPr>
          <w:rFonts w:ascii="Times New Roman" w:hAnsi="Times New Roman" w:cs="Times New Roman"/>
          <w:sz w:val="24"/>
          <w:szCs w:val="24"/>
        </w:rPr>
        <w:fldChar w:fldCharType="end"/>
      </w:r>
      <w:r w:rsidRPr="007B238D">
        <w:rPr>
          <w:rFonts w:ascii="Times New Roman" w:hAnsi="Times New Roman" w:cs="Times New Roman"/>
          <w:sz w:val="24"/>
          <w:szCs w:val="24"/>
        </w:rPr>
        <w:t>. The balance between single-authored works (265 documents) and co-authored works reflects</w:t>
      </w:r>
      <w:r w:rsidR="00BE7E69" w:rsidRPr="007B238D">
        <w:rPr>
          <w:rFonts w:ascii="Times New Roman" w:hAnsi="Times New Roman" w:cs="Times New Roman"/>
          <w:sz w:val="24"/>
          <w:szCs w:val="24"/>
        </w:rPr>
        <w:t xml:space="preserve"> </w:t>
      </w:r>
      <w:r w:rsidRPr="007B238D">
        <w:rPr>
          <w:rFonts w:ascii="Times New Roman" w:hAnsi="Times New Roman" w:cs="Times New Roman"/>
          <w:sz w:val="24"/>
          <w:szCs w:val="24"/>
        </w:rPr>
        <w:t>broader academic trends in language research, where team-based scholarship dominates but individual contributions remain relevant.</w:t>
      </w:r>
    </w:p>
    <w:p w14:paraId="47B9BC06" w14:textId="77777777" w:rsidR="00B335F2" w:rsidRPr="007B238D" w:rsidRDefault="00B335F2" w:rsidP="00E350BD">
      <w:pPr>
        <w:spacing w:after="0" w:line="240" w:lineRule="auto"/>
        <w:jc w:val="both"/>
        <w:rPr>
          <w:rFonts w:ascii="Times New Roman" w:hAnsi="Times New Roman" w:cs="Times New Roman"/>
          <w:b/>
          <w:bCs/>
          <w:sz w:val="24"/>
          <w:szCs w:val="24"/>
        </w:rPr>
      </w:pPr>
    </w:p>
    <w:p w14:paraId="3B6F099F"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5.3 Geographical Leadership and Internationalization</w:t>
      </w:r>
    </w:p>
    <w:p w14:paraId="2DD0F1A1"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The Corresponding Author's Countries mapping confirms that China remains the primary hub of Mandarin language learning research, followed by the United States, Australia, Singapore, and several European countries. This dominance aligns with China's strategic role in language education and the global expansion of Mandarin learning programs. The international co-authorship rate of 21.99% indicates a growing yet moderate level of cross-border collaboration. Increasing this rate could diversify </w:t>
      </w:r>
      <w:r w:rsidRPr="007B238D">
        <w:rPr>
          <w:rFonts w:ascii="Times New Roman" w:hAnsi="Times New Roman" w:cs="Times New Roman"/>
          <w:sz w:val="24"/>
          <w:szCs w:val="24"/>
        </w:rPr>
        <w:lastRenderedPageBreak/>
        <w:t>methodological approaches and strengthen comparative studies, particularly exploring learner motivation, pedagogical adaptation, and technology integration in varied cultural contexts.</w:t>
      </w:r>
    </w:p>
    <w:p w14:paraId="43D2714C" w14:textId="77777777" w:rsidR="00B335F2" w:rsidRPr="007B238D" w:rsidRDefault="00B335F2" w:rsidP="00E350BD">
      <w:pPr>
        <w:spacing w:after="0" w:line="240" w:lineRule="auto"/>
        <w:jc w:val="both"/>
        <w:rPr>
          <w:rFonts w:ascii="Times New Roman" w:hAnsi="Times New Roman" w:cs="Times New Roman"/>
          <w:b/>
          <w:bCs/>
          <w:sz w:val="24"/>
          <w:szCs w:val="24"/>
        </w:rPr>
      </w:pPr>
    </w:p>
    <w:p w14:paraId="7B515935"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5.4 Thematic Trends and Interdisciplinary Integration</w:t>
      </w:r>
    </w:p>
    <w:p w14:paraId="539B64B4" w14:textId="7C34EFD4" w:rsidR="00B335F2"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Keyword Co-occurrence Network shows that current research themes are dominated by e-learning, students, and teaching clusters, reflecting the ongoing digital transformation of Mandarin pedagogy</w:t>
      </w:r>
      <w:r w:rsidR="009451E7" w:rsidRPr="007B238D">
        <w:rPr>
          <w:rFonts w:ascii="Times New Roman" w:hAnsi="Times New Roman" w:cs="Times New Roman"/>
          <w:sz w:val="24"/>
          <w:szCs w:val="24"/>
        </w:rPr>
        <w:t xml:space="preserve"> </w:t>
      </w:r>
      <w:r w:rsidR="009451E7"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{"citationItems":[{"id":"ITEM-1","itemData":{"DOI":"10.1080/14664208.2023.2260634","ISSN":"14664208 (ISSN)","abstract":"The field of language policy and planning has seen increasing scholarly attention that explores social actors’ micro language planning towards a given language policy situation at the grassroots level. In educational contexts, teachers and educators are often considered pivotal locals whose agency, when enacted in micro language planning, can contribute to educational language policymaking. However, little attention has been given to learners–those on the receiving end of educational language policy. Situated in the current discourse concerning Mandarin-dominated Chinese language education, within the context of China’s promotion of Mandarin language learning, this study examines dialect-background heritage learners in a tertiary-level Mandarin Chinese language programme in New Zealand. By adopting the concept of micro language planning, this study explores how dialect-background heritage learners perceive and react in a Mandarin-dominated Chinese programme. The findings show that dialect-background learners exercise agency to interpret, implement, reject, and negotiate language policy according to their self-identified language needs. However, their ability to enact agency is also constrained by a series of social realities including socio-economic discourse, language ideology, language proficiency, and technology development. This study offers implications for language policy makers involved with different levels of Chinese language policy. © 2024 Elsevier B.V., All rights reserved.","author":[{"dropping-particle":"","family":"Chen","given":"L","non-dropping-particle":"","parse-names":false,"suffix":""},{"dropping-particle":"","family":"Wang","given":"D","non-dropping-particle":"","parse-names":false,"suffix":""}],"container-title":"Current Issues in Language Planning","id":"ITEM-1","issue":"2","issued":{"date-parts":[["2024"]]},"language":"English","note":"Export Date: 06 August 2025; Cited By: 3","page":"157-175","publisher":"Routledge","publisher-place":"The University of Auckland, Languages and Linguistics, Auckland, New Zealand","title":"Micro language planning in Mandarin-dominated Chinese language education: voices from dialect-background heritage learners in New Zealand","type":"article-journal","volume":"25"},"uris":["http://www.mendeley.com/documents/?uuid=c883aeec-e7be-41bb-8634-b677d69d61c2"]},{"id":"ITEM-2","itemData":{"DOI":"10.15766/mep_2374-8265.11484","ISSN":"23748265 (ISSN)","abstract":"Introduction: In regions with significant Mandarin-speaking populations, language discordance in health care poses considerable challenges. Previous studies have shown that patients with language-concordant providers had higher ratings of satisfaction and trust. Despite this, there is a shortage of Mandarin-speaking primary care physicians in California. Thus, it is imperative for medical schools to offer education in medical Mandarin. Methods: We implemented a medical Mandarin summer course at the University of California, Irvine, School of Medicine. The course targeted medical students with existing Mandarin fluency and used a flipped classroom model, spanning three sessions focusing on medical history, symptomatology, and medical conditions. Sessions consisted of a 2-hour interactive Zoom class starting with an interactive presentation to practice Mandarin medical terminology and cultural competency learned at home. Students were then paired in breakout rooms to practice patient interviewing. Pre- and postcourse evaluations were given to assess language confidence (Likert scale) and competence (graded terminology exam). Results: Seventeen students participated in the course and had increased ratings in comfort in taking a medical history in Mandarin (p = .001) and cultural competency (p = .05), as well as increased exam scores (p =.01), when comparing pre- and postcourse evaluations. Discussion: Adding medical language training to existing medical school curricula can cultivate a more linguistically competent health care workforce, ultimately improving patient satisfaction and outcomes. This pilot course demonstrates a feasible approach to addressing linguistic diversity in health care and can be replicated at other institutions to train language-concordant physicians. This record is sourced from MEDLINE/PubMed, a database of the U.S. National Library of Medicine","author":[{"dropping-particle":"","family":"Li","given":"W","non-dropping-particle":"","parse-names":false,"suffix":""},{"dropping-particle":"","family":"Wang","given":"V","non-dropping-particle":"","parse-names":false,"suffix":""},{"dropping-particle":"","family":"Jian","given":"Y","non-dropping-particle":"","parse-names":false,"suffix":""},{"dropping-particle":"","family":"Tiu","given":"B.-C.Y.","non-dropping-particle":"","parse-names":false,"suffix":""},{"dropping-particle":"","family":"Chow","given":"J J","non-dropping-particle":"","parse-names":false,"suffix":""},{"dropping-particle":"","family":"Jiang","given":"M C","non-dropping-particle":"","parse-names":false,"suffix":""},{"dropping-particle":"","family":"Zhang","given":"C","non-dropping-particle":"","parse-names":false,"suffix":""},{"dropping-particle":"","family":"Zhu","given":"J","non-dropping-particle":"","parse-names":false,"suffix":""},{"dropping-particle":"","family":"Lu","given":"J","non-dropping-particle":"","parse-names":false,"suffix":""},{"dropping-particle":"","family":"Unno","given":"N","non-dropping-particle":"","parse-names":false,"suffix":""}],"container-title":"MedEdPORTAL : the journal of teaching and learning resources","id":"ITEM-2","issued":{"date-parts":[["2025"]]},"language":"English","note":"Export Date: 06 August 2025; Cited By: 0","page":"11484","publisher-place":"UCI School of Medicine, Irvine, United States","title":"Student-Led Medical Mandarin Summer Course for Medical Students With Existing Mandarin Fluency","type":"article-journal","volume":"21"},"uris":["http://www.mendeley.com/documents/?uuid=0781f5e3-3c35-489d-bdca-7061289c9175"]}],"mendeley":{"formattedCitation":"[23], [24]","plainTextFormattedCitation":"[23], [24]","previouslyFormattedCitation":"[19], [20]"},"properties":{"noteIndex":0},"schema":"https://github.com/citation-style-language/schema/raw/master/csl-citation.json"}</w:instrText>
      </w:r>
      <w:r w:rsidR="009451E7"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[23], [24]</w:t>
      </w:r>
      <w:r w:rsidR="009451E7" w:rsidRPr="007B238D">
        <w:rPr>
          <w:rFonts w:ascii="Times New Roman" w:hAnsi="Times New Roman" w:cs="Times New Roman"/>
          <w:sz w:val="24"/>
          <w:szCs w:val="24"/>
        </w:rPr>
        <w:fldChar w:fldCharType="end"/>
      </w:r>
      <w:r w:rsidRPr="007B238D">
        <w:rPr>
          <w:rFonts w:ascii="Times New Roman" w:hAnsi="Times New Roman" w:cs="Times New Roman"/>
          <w:sz w:val="24"/>
          <w:szCs w:val="24"/>
        </w:rPr>
        <w:t>. Integrating topics like engineering education, digital literacy, and bilingual education points to a multidisciplinary approach that extends beyond traditional linguistics, in line with global educational technology trends. The close connection between human language and language development also reflects a growing interest in the psycholinguistic and cognitive aspects of Mandarin learning. These results support Xu’s (2024) observations on the increasing role of technology-based instruction and learner autonomy in Mandarin education.</w:t>
      </w:r>
    </w:p>
    <w:p w14:paraId="70D9562C" w14:textId="77777777" w:rsidR="002D32E6" w:rsidRPr="007B238D" w:rsidRDefault="002D32E6" w:rsidP="00E350BD">
      <w:pPr>
        <w:spacing w:after="0" w:line="240" w:lineRule="auto"/>
        <w:ind w:firstLine="426"/>
        <w:jc w:val="both"/>
        <w:rPr>
          <w:rFonts w:ascii="Times New Roman" w:hAnsi="Times New Roman" w:cs="Times New Roman"/>
          <w:sz w:val="24"/>
          <w:szCs w:val="24"/>
        </w:rPr>
      </w:pPr>
    </w:p>
    <w:p w14:paraId="0B731FBE"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5.5 Implications for Research and Policy</w:t>
      </w:r>
    </w:p>
    <w:p w14:paraId="5A956109"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patterns observed in this study have important implications for researchers, educators, and policymakers. For researchers, the concentration of output in a few key journals underscores the importance of engaging with these core outlets while expanding into emerging or thematic publications to enrich topical diversity. Strengthening international collaboration can foster cross-cultural and comparative studies, which are essential for refining pedagogical models and understanding learner variability</w:t>
      </w:r>
      <w:r w:rsidR="009451E7" w:rsidRPr="007B238D">
        <w:rPr>
          <w:rFonts w:ascii="Times New Roman" w:hAnsi="Times New Roman" w:cs="Times New Roman"/>
          <w:sz w:val="24"/>
          <w:szCs w:val="24"/>
        </w:rPr>
        <w:t xml:space="preserve"> </w:t>
      </w:r>
      <w:r w:rsidR="009451E7"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{"citationItems":[{"id":"ITEM-1","itemData":{"DOI":"10.1109/ICASSP48485.2024.10445913","ISBN":"07367791 (ISSN); 15206149 (ISSN); 1424407281 (ISBN); 9781467300469 (ISBN); 0780362934 (ISBN); 9781457705397 (ISBN); 9781728163277 (ISBN); 9781424423545 (ISBN); 9798350368741 (ISBN); 0780305329 (ISBN); 9780780309463 (ISBN); 9781509066315 (ISBN)","abstract":"Children's speech recognition plays an important role in the education research of children. The usual automatic speech recognition (ASR) systems are not satisfactory in terms of speech recognition for children, mainly due to the lack of child speech corpus. In recent years, there have been a large number of related studies on children's speech recognition, most of which are improved based on the existing small amount of data through data augmentation, transfer learning, etc, which the promotion is limited. The purpose of our research is to establish a children's speech corpus for children's speech recognition. Firstly, we use the children's language proficiency assessment system to collect weakly labeled children's speech data from 3 to 12 years old, and obtain transcribed text through a commercial-grade speech recognition interface. Then, this paper proposes a method to quickly verify the transcribed text, and screens out effective label data pairs by combining children's pronunciation and Chinese pinyin characteristics, and constructs a corpus of 50+ hours Mandarin children's speech. We experimented with the current mainstream mandarin's end-to-end pretrained model, finetuning on the data we built, and can achieve a 15% CER reduction on the basis of baseline without using finetuning. © 2025 Elsevier B.V., All rights reserved.","author":[{"dropping-particle":"","family":"Xu","given":"H","non-dropping-particle":"","parse-names":false,"suffix":""},{"dropping-particle":"","family":"Yang","given":"J","non-dropping-particle":"","parse-names":false,"suffix":""},{"dropping-particle":"","family":"Wang","given":"J","non-dropping-particle":"","parse-names":false,"suffix":""},{"dropping-particle":"","family":"Hu","given":"W","non-dropping-particle":"","parse-names":false,"suffix":""}],"container-title":"Proceedings - ICASSP, IEEE International Conference on Acoustics, Speech and Signal Processing","id":"ITEM-1","issued":{"date-parts":[["2024"]]},"language":"English","note":"Export Date: 06 August 2025; Cited By: 0; CODEN: IPROD","page":"10231-10235","publisher":"Institute of Electrical and Electronics Engineers Inc.","publisher-place":"East China Normal University, School of Data Science &amp; Engineering, Shanghai, China","title":"BUILD A 50+ HOURS CHINESE MANDARIN CORPUS FOR CHILDREN'S SPEECH RECOGNITION","type":"paper-conference"},"uris":["http://www.mendeley.com/documents/?uuid=ee69fa95-0c85-4f18-aab7-f7d1993b12d1"]},{"id":"ITEM-2","itemData":{"DOI":"10.62617/mcb894","ISSN":"15565297 (ISSN); 15565300 (ISSN)","abstract":"This study investigates the interplay between cognitive processes and biomechanical methods in language education, focusing on English and Japanese instruction for Chinese university students. A mixed-methods approach, combining quantitative experiments and qualitative feedback, was employed to evaluate the effectiveness of biomechanical teaching strategies compared to traditional methods. Over a 12-week intervention, students in the experimental group, who experienced biomechanical techniques involving gestures, physical activities, and multi-sensory inputs, consistently outperformed their counterparts in the control group. Notably, the experimental group achieved higher mean scores in vocabulary (English: 85 vs. 75; Japanese: 78 vs. 68), grammar (English: 82 vs. 73; Japanese: 85 vs. 70), and listening comprehension (English: 88 vs. 77; Japanese: 80 vs. 72), with statistically significant differences (p &lt; 0.01 for most metrics). Additionally, effect sizes (Cohen’s d) were calculated to determine the practical significance of these findings. The effect sizes ranged from d = 1.60 to d = 2.08, indicating large and practically significant differences between the experimental and control groups. Qualitative data revealed enhanced engagement, memory retention, and motivation among students exposed to biomechanical methods. The cross-linguistic comparison highlighted that English learner benefited most from multi-sensory vocabulary acquisition techniques, while Japanese learners exhibited substantial improvements in grammar and listening comprehension through interactive activities. These findings not only demonstrate the adaptability of biomechanical approaches but also underline their potential for broader application across other languages and cultural settings. For instance, languages with tonal systems, such as Mandarin or Thai, could leverage gesture-based methods to reinforce pitch and tone distinctions, whereas languages with complex morphology, like Arabic or Finnish, might benefit from kinesthetic exercises targeting morphological structures. Furthermore, educational settings with resource constraints can integrate low-cost, physical movement-based interventions, making biomechanics a scalable solution. By tailoring these methods to align with specific linguistic features and cultural learning preferences, educators can enhance their global applicability, paving the way for interdisciplinary innovation in language teaching. The study provides strong…","author":[{"dropping-particle":"","family":"Wu","given":"D","non-dropping-particle":"","parse-names":false,"suffix":""},{"dropping-particle":"","family":"Lei","given":"J","non-dropping-particle":"","parse-names":false,"suffix":""},{"dropping-particle":"","family":"Wang","given":"Y","non-dropping-particle":"","parse-names":false,"suffix":""}],"container-title":"MCB Molecular and Cellular Biomechanics","id":"ITEM-2","issue":"4","issued":{"date-parts":[["2024"]]},"language":"English","note":"Export Date: 06 August 2025; Cited By: 0","publisher":"Sin-Chn Scientific Press","publisher-place":"Ma’anshan University, Foreign Studies Department, Maanshan, China","title":"Cognitive and biomechanical interactions in language acquisition: A comparative case study of English and Japanese teaching for nonnative speakers","type":"article-journal","volume":"21"},"uris":["http://www.mendeley.com/documents/?uuid=14375873-cbad-4658-a563-bd86ceda6f68"]},{"id":"ITEM-3","itemData":{"DOI":"10.1007/s40299-023-00777-3","ISSN":"01195646 (ISSN); 22437908 (ISSN)","abstract":"The shift to emergency remote teaching due to COVID-19 brought diverse psychological, emotional, and academic challenges for second language (L2) learners. Overcoming these challenges necessitated the utilization of grit, a personality trait signifying perseverance and passion to sustain academic progress. While grit and emotions have been explored in English language learning, their interaction remains underexplored in other languages. Despite Mandarin Chinese being widely learned globally, little previous work has been done to investigate learners’ psychological experiences, the function of L2 grit, and the relationship between them in online learning from the perspective of positive psychology. This might lead to an incomplete understanding of this pattern across domains and contexts, thus impeding the development of this discipline. This study uses a structural equation model to analyze the relationship between L2 grit, anxiety, boredom, and enjoyment based on 204 valid responses from Chinese as a Second Language learners in mainland China. Results underscore the importance of one facet of L2 grit, perseverance of effort in online Chinese language learning, and highlight the domain-specific nature of emotions. It also suggests that educators need not be overly concerned about negative emotions in online education, as they can be overridden by positive emotions. © 2024 Elsevier B.V., All rights reserved.","author":[{"dropping-particle":"","family":"Zhao","given":"X","non-dropping-particle":"","parse-names":false,"suffix":""},{"dropping-particle":"","family":"Wang","given":"D","non-dropping-particle":"","parse-names":false,"suffix":""}],"container-title":"Asia-Pacific Education Researcher","id":"ITEM-3","issue":"4","issued":{"date-parts":[["2024"]]},"language":"English","note":"Export Date: 06 August 2025; Cited By: 23","page":"783-794","publisher":"Springer","publisher-place":"The University of Auckland, Languages and Linguistics, Auckland, New Zealand","title":"Domain-Specific L2 Grit, Anxiety, Boredom, and Enjoyment in Online Chinese Learning","type":"article-journal","volume":"33"},"uris":["http://www.mendeley.com/documents/?uuid=e427de09-3b19-417a-ac38-db86caa2ef95"]}],"mendeley":{"formattedCitation":"[25], [26], [27]","plainTextFormattedCitation":"[25], [26], [27]","previouslyFormattedCitation":"[21], [22], [23]"},"properties":{"noteIndex":0},"schema":"https://github.com/citation-style-language/schema/raw/master/csl-citation.json"}</w:instrText>
      </w:r>
      <w:r w:rsidR="009451E7"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[25], [26], [27]</w:t>
      </w:r>
      <w:r w:rsidR="009451E7" w:rsidRPr="007B238D">
        <w:rPr>
          <w:rFonts w:ascii="Times New Roman" w:hAnsi="Times New Roman" w:cs="Times New Roman"/>
          <w:sz w:val="24"/>
          <w:szCs w:val="24"/>
        </w:rPr>
        <w:fldChar w:fldCharType="end"/>
      </w:r>
      <w:r w:rsidRPr="007B238D">
        <w:rPr>
          <w:rFonts w:ascii="Times New Roman" w:hAnsi="Times New Roman" w:cs="Times New Roman"/>
          <w:sz w:val="24"/>
          <w:szCs w:val="24"/>
        </w:rPr>
        <w:t>. For policymakers and educators, the prominence of technology-related keywords highlights the need for investment in digital infrastructure, teacher training in technology integration, and adaptive learning platforms tailored to Mandarin instruction.</w:t>
      </w:r>
    </w:p>
    <w:p w14:paraId="2FB88C22" w14:textId="77777777" w:rsidR="00B335F2" w:rsidRPr="007B238D" w:rsidRDefault="00B335F2" w:rsidP="00E350BD">
      <w:pPr>
        <w:spacing w:after="0" w:line="240" w:lineRule="auto"/>
        <w:jc w:val="both"/>
        <w:rPr>
          <w:rFonts w:ascii="Times New Roman" w:hAnsi="Times New Roman" w:cs="Times New Roman"/>
          <w:b/>
          <w:bCs/>
          <w:sz w:val="24"/>
          <w:szCs w:val="24"/>
        </w:rPr>
      </w:pPr>
    </w:p>
    <w:p w14:paraId="55E4C37A" w14:textId="77777777" w:rsidR="00B335F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5.6 Limitations and Future Research Directions</w:t>
      </w:r>
    </w:p>
    <w:p w14:paraId="442BF1F7" w14:textId="77777777" w:rsidR="00B335F2"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While this study offers a robust bibliometric mapping, it is limited by its reliance on the Scopus database, which may omit relevant publications from regional or non-indexed journals. Future studies could integrate additional databases such as Web of Science or CNKI to enhance coverage. Qualitative content analysis of the most-cited works could also provide deeper insights into theoretical innovations and pedagogical practices shaping the field</w:t>
      </w:r>
      <w:r w:rsidR="009451E7" w:rsidRPr="007B238D">
        <w:rPr>
          <w:rFonts w:ascii="Times New Roman" w:hAnsi="Times New Roman" w:cs="Times New Roman"/>
          <w:sz w:val="24"/>
          <w:szCs w:val="24"/>
        </w:rPr>
        <w:t xml:space="preserve"> </w:t>
      </w:r>
      <w:r w:rsidR="009451E7"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 xml:space="preserve">ADDIN CSL_CITATION {"citationItems":[{"id":"ITEM-1","itemData":{"DOI":"10.3390/informatics12010026","ISSN":"22279709 (ISSN)","abstract":"Despite the growing presence of digital Virtual YouTubers (Vtubers) in educational settings, there is limited empirical evidence on their effectiveness in language acquisition. In this investigation, we delved into the realm of digital education to assess how the visual fidelity of digital Vtuber avatars affects the acquisition of Mandarin Chinese characters by beginners. Through incorporating a diverse array of digital Vtubers, ranging from simple two-dimensional figures to complex three-dimensional models, we explored the relationship between digital Vtuber design and learner engagement and efficacy. This study employed a randomized tutorial distribution, immediate post-tutorial quizzing, and a realism scoring rubric, with statistical analysis conducted through Pearson correlation. The analysis, involving 608 participants, illuminated a clear positive correlation: digital Vtubers with higher levels of realism significantly enhanced learning outcomes, underscoring the importance of visual fidelity in educational content. This research substantiates the educational utility of digital Vtubers and underscores their potential in creating more immersive and effective digital learning environments. The findings advocate for leveraging sophisticated digital Vtubers to foster deeper learner engagement, improve educational achievement, and promote sustainable educational practices, offering insights for the future development of digital learning strategies. © 2025 Elsevier B.V., All rights reserved.","author":[{"dropping-particle":"","family":"Cao","given":"X","non-dropping-particle":"","parse-names":false,"suffix":""},{"dropping-particle":"","family":"Tong","given":"W","non-dropping-particle":"","parse-names":false,"suffix":""},{"dropping-particle":"","family":"Ono","given":"K","non-dropping-particle":"","parse-names":false,"suffix":""},{"dropping-particle":"","family":"Watanabe","given":"M","non-dropping-particle":"","parse-names":false,"suffix":""}],"container-title":"Informatics","id":"ITEM-1","issue":"1","issued":{"date-parts":[["2025"]]},"language":"English","note":"Export Date: 06 August 2025; Cited By: 0","publisher":"Multidisciplinary Digital Publishing Institute (MDPI)","publisher-place":"Zhejiang University of Media and Communications, Department of Product Design, Hangzhou, China","title":"Evaluating the Role of Visual Fidelity in Digital Vtubers on Mandarin Chinese Character Learning","type":"article-journal","volume":"12"},"uris":["http://www.mendeley.com/documents/?uuid=436342b2-9d03-4504-8446-ab2476c7bf47"]},{"id":"ITEM-2","itemData":{"ISBN":"21698767 (ISSN); 9781792361258 (ISBN); 9781532359507 (ISBN); 9780985549756 (ISBN); 9780985549770 (ISBN); 9781532359491 (ISBN); 9781792361234 (ISBN); 9781532359453 (ISBN); 9781532359460 (ISBN); 9781532359514 (ISBN); 9781792361265 (ISBN)","abstract":"The use of Online Class (OC) in higher education has become more magnificent than before significantly during the Covid19 pandemic outbreak. This paper investigates the practice of OC among Mandarin foreign language learners for their elective courses. The purpose was to create a productive OC. The study presented students' perceptions of the productiveness of OC. The study aimed to figure out how students viewed the instructor's teaching and actions and how such aspects impacted students' expectations of the course and the OC in general. A mixed-method which involved quantitative and qualitative data collection from 65 Mandarin foreign learners' approach employed in this study. The instruction of OC carried out for seven weeks. After OC, the students were given questionnaires and interviewed to explore their experiences deeply. Data was a quantitative analysis based on the themes of Learner access, Learner Interaction, Learner response, and Learning outcomes. The emerging themes of qualitative analysis were teacher, students, content, and technology. The findings indicated that the students were active, worked more autonomously, and became more responsible for their learning. OC enabled the teachers to provide teaching materials via various online applications, better-personalised assistance, and better track student progress. Most students liked learning in the OC environment and indicated they would prefer this instructional approach more than conventional classes. The study found that instructors need to be always reflective in considering and altering the emerging positive or negative feedback with students' suggestions while integrating advanced technology in students' learning. There is a need to reflect, re-act, and re-plan in engaging generation Z with their learning preferences to achieve the learning outcomes. © 2021 Elsevier B.V., All rights reserved.","author":[{"dropping-particle":"","family":"Chua","given":"N A","non-dropping-particle":"","parse-names":false,"suffix":""},{"dropping-particle":"","family":"Zaid","given":"C M","non-dropping-particle":"","parse-names":false,"suffix":""},{"dropping-particle":"","family":"Noh","given":"C H","non-dropping-particle":"","parse-names":false,"suffix":""},{"dropping-particle":"","family":"Ibrahim","given":"M Y","non-dropping-particle":"","parse-names":false,"suffix":""},{"dropping-particle":"","family":"Rashid","given":"R A","non-dropping-particle":"","parse-names":false,"suffix":""},{"dropping-particle":"","family":"Ahmad","given":"M","non-dropping-particle":"","parse-names":false,"suffix":""},{"dropping-particle":"","family":"Soon","given":"G Y","non-dropping-particle":"","parse-names":false,"suffix":""},{"dropping-particle":"","family":"Saputra","given":"J","non-dropping-particle":"","parse-names":false,"suffix":""}],"id":"ITEM-2","issued":{"date-parts":[["2021"]]},"language":"English","note":"Export Date: 06 August 2025; Cited By: 1","page":"5701-5713","publisher":"IEOM Society","publisher-place":"Universiti Malaysia Terengganu, Kuala Terengganu, Malaysia","title":"The constructiveness of online learning in mandarin course during covid-19 pandemic season","type":"paper-conference"},"uris":["http://www.mendeley.com/documents/?uuid=2f8a52f2-3818-48ba-8d10-b8ce5cf62cd8"]},{"id":"ITEM-3","itemData":{"DOI":"10.1080/01434632.2021.1975722","ISSN":"01434632 (ISSN)","abstract":"This multi-sited ethnographic study, conducted in two Mandarin-English dual language schools in two states in the U.S., investigates how students from diverse social, cultural, and linguistic backgrounds perceive and navigate bi/multilingualism through dual language education. Drawing on the scalar analysis of video-recorded student interviews, this study documented diverse students’ complicated navigation of heterogeneous linguistic resources across scales beyond the ‘two’ in dual language education. It rejects the essentialization and labelling of dual language learners and their learning into homogenous groups based on their linguistic and ethnic backgrounds. Findings reveal that bi/multilingualism is perceived by students as scaled resources to navigate multiple scales of language use. Dual language education is taken up agentively as a scaling practice to gain legitimacy in the English-dominant U.S. society versus in the neoliberal multilingual globalised world. Different patterns of students’ perceptions toward bi/multilingualism and their self-identifications are prevalent between students with different social and linguistic backgrounds, which calls for responsive dual language policies and pedagogies to address the diverse repertoires and learning needs of dual language students and families.; </w:instrText>
      </w:r>
      <w:r w:rsidR="003F443E" w:rsidRPr="007B238D">
        <w:rPr>
          <w:rFonts w:ascii="Times New Roman" w:eastAsia="MS Gothic" w:hAnsi="Times New Roman" w:cs="Times New Roman"/>
          <w:sz w:val="24"/>
          <w:szCs w:val="24"/>
        </w:rPr>
        <w:instrText>摘要</w:instrText>
      </w:r>
      <w:r w:rsidR="003F443E" w:rsidRPr="007B238D">
        <w:rPr>
          <w:rFonts w:ascii="Times New Roman" w:hAnsi="Times New Roman" w:cs="Times New Roman"/>
          <w:sz w:val="24"/>
          <w:szCs w:val="24"/>
        </w:rPr>
        <w:instrText xml:space="preserve">: </w:instrText>
      </w:r>
      <w:r w:rsidR="003F443E" w:rsidRPr="007B238D">
        <w:rPr>
          <w:rFonts w:ascii="Times New Roman" w:eastAsia="MS Gothic" w:hAnsi="Times New Roman" w:cs="Times New Roman"/>
          <w:sz w:val="24"/>
          <w:szCs w:val="24"/>
        </w:rPr>
        <w:instrText>本研究采用民族志的研究方法</w:instrText>
      </w:r>
      <w:r w:rsidR="003F443E" w:rsidRPr="007B238D">
        <w:rPr>
          <w:rFonts w:ascii="Times New Roman" w:hAnsi="Times New Roman" w:cs="Times New Roman"/>
          <w:sz w:val="24"/>
          <w:szCs w:val="24"/>
        </w:rPr>
        <w:instrText xml:space="preserve">, </w:instrText>
      </w:r>
      <w:r w:rsidR="003F443E" w:rsidRPr="007B238D">
        <w:rPr>
          <w:rFonts w:ascii="Times New Roman" w:eastAsia="Microsoft JhengHei" w:hAnsi="Times New Roman" w:cs="Times New Roman"/>
          <w:sz w:val="24"/>
          <w:szCs w:val="24"/>
        </w:rPr>
        <w:instrText>调查来自于不同社会</w:instrText>
      </w:r>
      <w:r w:rsidR="003F443E" w:rsidRPr="007B238D">
        <w:rPr>
          <w:rFonts w:ascii="Times New Roman" w:hAnsi="Times New Roman" w:cs="Times New Roman"/>
          <w:sz w:val="24"/>
          <w:szCs w:val="24"/>
        </w:rPr>
        <w:instrText xml:space="preserve">, </w:instrText>
      </w:r>
      <w:r w:rsidR="003F443E" w:rsidRPr="007B238D">
        <w:rPr>
          <w:rFonts w:ascii="Times New Roman" w:eastAsia="MS Gothic" w:hAnsi="Times New Roman" w:cs="Times New Roman"/>
          <w:sz w:val="24"/>
          <w:szCs w:val="24"/>
        </w:rPr>
        <w:instrText>文化和</w:instrText>
      </w:r>
      <w:r w:rsidR="003F443E" w:rsidRPr="007B238D">
        <w:rPr>
          <w:rFonts w:ascii="Times New Roman" w:eastAsia="Microsoft JhengHei" w:hAnsi="Times New Roman" w:cs="Times New Roman"/>
          <w:sz w:val="24"/>
          <w:szCs w:val="24"/>
        </w:rPr>
        <w:instrText>语言背景的学生如何在双语学习过程中看待和应对他们的的双语</w:instrText>
      </w:r>
      <w:r w:rsidR="003F443E" w:rsidRPr="007B238D">
        <w:rPr>
          <w:rFonts w:ascii="Times New Roman" w:hAnsi="Times New Roman" w:cs="Times New Roman"/>
          <w:sz w:val="24"/>
          <w:szCs w:val="24"/>
        </w:rPr>
        <w:instrText>/</w:instrText>
      </w:r>
      <w:r w:rsidR="003F443E" w:rsidRPr="007B238D">
        <w:rPr>
          <w:rFonts w:ascii="Times New Roman" w:eastAsia="MS Gothic" w:hAnsi="Times New Roman" w:cs="Times New Roman"/>
          <w:sz w:val="24"/>
          <w:szCs w:val="24"/>
        </w:rPr>
        <w:instrText>多</w:instrText>
      </w:r>
      <w:r w:rsidR="003F443E" w:rsidRPr="007B238D">
        <w:rPr>
          <w:rFonts w:ascii="Times New Roman" w:eastAsia="Microsoft JhengHei" w:hAnsi="Times New Roman" w:cs="Times New Roman"/>
          <w:sz w:val="24"/>
          <w:szCs w:val="24"/>
        </w:rPr>
        <w:instrText>语能力。研究基地是位于美国两个州内的两所中英文双语学校。本文采用</w:instrText>
      </w:r>
      <w:r w:rsidR="003F443E" w:rsidRPr="007B238D">
        <w:rPr>
          <w:rFonts w:ascii="Times New Roman" w:hAnsi="Times New Roman" w:cs="Times New Roman"/>
          <w:sz w:val="24"/>
          <w:szCs w:val="24"/>
        </w:rPr>
        <w:instrText>scalar analysis</w:instrText>
      </w:r>
      <w:r w:rsidR="003F443E" w:rsidRPr="007B238D">
        <w:rPr>
          <w:rFonts w:ascii="Times New Roman" w:eastAsia="MS Gothic" w:hAnsi="Times New Roman" w:cs="Times New Roman"/>
          <w:sz w:val="24"/>
          <w:szCs w:val="24"/>
        </w:rPr>
        <w:instrText>的方法分析学生的</w:instrText>
      </w:r>
      <w:r w:rsidR="003F443E" w:rsidRPr="007B238D">
        <w:rPr>
          <w:rFonts w:ascii="Times New Roman" w:eastAsia="Microsoft JhengHei" w:hAnsi="Times New Roman" w:cs="Times New Roman"/>
          <w:sz w:val="24"/>
          <w:szCs w:val="24"/>
        </w:rPr>
        <w:instrText>访谈视频</w:instrText>
      </w:r>
      <w:r w:rsidR="003F443E" w:rsidRPr="007B238D">
        <w:rPr>
          <w:rFonts w:ascii="Times New Roman" w:hAnsi="Times New Roman" w:cs="Times New Roman"/>
          <w:sz w:val="24"/>
          <w:szCs w:val="24"/>
        </w:rPr>
        <w:instrText xml:space="preserve">, </w:instrText>
      </w:r>
      <w:r w:rsidR="003F443E" w:rsidRPr="007B238D">
        <w:rPr>
          <w:rFonts w:ascii="Times New Roman" w:eastAsia="Microsoft JhengHei" w:hAnsi="Times New Roman" w:cs="Times New Roman"/>
          <w:sz w:val="24"/>
          <w:szCs w:val="24"/>
        </w:rPr>
        <w:instrText>记录不同背景的学生如何根据</w:instrText>
      </w:r>
      <w:r w:rsidR="003F443E" w:rsidRPr="007B238D">
        <w:rPr>
          <w:rFonts w:ascii="Times New Roman" w:eastAsia="MS Gothic" w:hAnsi="Times New Roman" w:cs="Times New Roman"/>
          <w:sz w:val="24"/>
          <w:szCs w:val="24"/>
        </w:rPr>
        <w:instrText>不同的空</w:instrText>
      </w:r>
      <w:r w:rsidR="003F443E" w:rsidRPr="007B238D">
        <w:rPr>
          <w:rFonts w:ascii="Times New Roman" w:eastAsia="Microsoft JhengHei" w:hAnsi="Times New Roman" w:cs="Times New Roman"/>
          <w:sz w:val="24"/>
          <w:szCs w:val="24"/>
        </w:rPr>
        <w:instrText>间来调动复杂多样化的语言资源。本研究拒绝基于双语学习者的语言和种族背景而把学习者一概划分为同一群体。调查结果表明</w:instrText>
      </w:r>
      <w:r w:rsidR="003F443E" w:rsidRPr="007B238D">
        <w:rPr>
          <w:rFonts w:ascii="Times New Roman" w:hAnsi="Times New Roman" w:cs="Times New Roman"/>
          <w:sz w:val="24"/>
          <w:szCs w:val="24"/>
        </w:rPr>
        <w:instrText xml:space="preserve">, </w:instrText>
      </w:r>
      <w:r w:rsidR="003F443E" w:rsidRPr="007B238D">
        <w:rPr>
          <w:rFonts w:ascii="Times New Roman" w:eastAsia="MS Gothic" w:hAnsi="Times New Roman" w:cs="Times New Roman"/>
          <w:sz w:val="24"/>
          <w:szCs w:val="24"/>
        </w:rPr>
        <w:instrText>学生把双</w:instrText>
      </w:r>
      <w:r w:rsidR="003F443E" w:rsidRPr="007B238D">
        <w:rPr>
          <w:rFonts w:ascii="Times New Roman" w:hAnsi="Times New Roman" w:cs="Times New Roman"/>
          <w:sz w:val="24"/>
          <w:szCs w:val="24"/>
        </w:rPr>
        <w:instrText>/</w:instrText>
      </w:r>
      <w:r w:rsidR="003F443E" w:rsidRPr="007B238D">
        <w:rPr>
          <w:rFonts w:ascii="Times New Roman" w:eastAsia="MS Gothic" w:hAnsi="Times New Roman" w:cs="Times New Roman"/>
          <w:sz w:val="24"/>
          <w:szCs w:val="24"/>
        </w:rPr>
        <w:instrText>多</w:instrText>
      </w:r>
      <w:r w:rsidR="003F443E" w:rsidRPr="007B238D">
        <w:rPr>
          <w:rFonts w:ascii="Times New Roman" w:eastAsia="Microsoft JhengHei" w:hAnsi="Times New Roman" w:cs="Times New Roman"/>
          <w:sz w:val="24"/>
          <w:szCs w:val="24"/>
        </w:rPr>
        <w:instrText>语能力视为多维度资源来应对不同社会场所和空间下的语言需求。学生积极地通过双语教育来应对英语主导的美国社会环境和新自由主义多语全球化的世界环境。研究同时发现来自不同社会和语言背景的学生对双</w:instrText>
      </w:r>
      <w:r w:rsidR="003F443E" w:rsidRPr="007B238D">
        <w:rPr>
          <w:rFonts w:ascii="Times New Roman" w:hAnsi="Times New Roman" w:cs="Times New Roman"/>
          <w:sz w:val="24"/>
          <w:szCs w:val="24"/>
        </w:rPr>
        <w:instrText>/</w:instrText>
      </w:r>
      <w:r w:rsidR="003F443E" w:rsidRPr="007B238D">
        <w:rPr>
          <w:rFonts w:ascii="Times New Roman" w:eastAsia="MS Gothic" w:hAnsi="Times New Roman" w:cs="Times New Roman"/>
          <w:sz w:val="24"/>
          <w:szCs w:val="24"/>
        </w:rPr>
        <w:instrText>多</w:instrText>
      </w:r>
      <w:r w:rsidR="003F443E" w:rsidRPr="007B238D">
        <w:rPr>
          <w:rFonts w:ascii="Times New Roman" w:eastAsia="Microsoft JhengHei" w:hAnsi="Times New Roman" w:cs="Times New Roman"/>
          <w:sz w:val="24"/>
          <w:szCs w:val="24"/>
        </w:rPr>
        <w:instrText>语种的看法不同</w:instrText>
      </w:r>
      <w:r w:rsidR="003F443E" w:rsidRPr="007B238D">
        <w:rPr>
          <w:rFonts w:ascii="Times New Roman" w:hAnsi="Times New Roman" w:cs="Times New Roman"/>
          <w:sz w:val="24"/>
          <w:szCs w:val="24"/>
        </w:rPr>
        <w:instrText xml:space="preserve">, </w:instrText>
      </w:r>
      <w:r w:rsidR="003F443E" w:rsidRPr="007B238D">
        <w:rPr>
          <w:rFonts w:ascii="Times New Roman" w:eastAsia="Microsoft JhengHei" w:hAnsi="Times New Roman" w:cs="Times New Roman"/>
          <w:sz w:val="24"/>
          <w:szCs w:val="24"/>
        </w:rPr>
        <w:instrText>对自己的社会身份认同也不同。这需要有效的双语言政策和教学方法来应对多元化学生和家庭的群体的需求。</w:instrText>
      </w:r>
      <w:r w:rsidR="003F443E" w:rsidRPr="007B238D">
        <w:rPr>
          <w:rFonts w:ascii="Times New Roman" w:hAnsi="Times New Roman" w:cs="Times New Roman"/>
          <w:sz w:val="24"/>
          <w:szCs w:val="24"/>
        </w:rPr>
        <w:instrText>. © 2022 Elsevier B.V., All rights reserved.","author":[{"dropping-particle":"","family":"Zheng","given":"B","non-dropping-particle":"","parse-names":false,"suffix":""}],"container-title":"Journal of Multilingual and Multicultural Development","id":"ITEM-3","issue":"6","issued":{"date-parts":[["2022"]]},"language":"English","note":"Export Date: 06 August 2025; Cited By: 4","page":"554-568","publisher":"Routledge","publisher-place":"University of Wisconsin-Madison, Doctoral Program in Second Language Acquisition, Madison, United States","title":"Scaling bi/multilingualism through dual language education: a multi-sited study of diverse learners’ views","type":"article-journal","volume":"43"},"uris":["http://www.mendeley.com/documents/?uuid=61a2c089-ada7-4c5e-8260-5d8784b788ed"]}],"mendeley":{"formattedCitation":"[28], [29], [30]","plainTextFormattedCitation":"[28], [29], [30]","previouslyFormattedCitation":"[24], [25], [26]"},"properties":{"noteIndex":0},"schema":"https://github.com/citation-style-language/schema/raw/master/csl-citation.json"}</w:instrText>
      </w:r>
      <w:r w:rsidR="009451E7"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[28], [29], [30]</w:t>
      </w:r>
      <w:r w:rsidR="009451E7" w:rsidRPr="007B238D">
        <w:rPr>
          <w:rFonts w:ascii="Times New Roman" w:hAnsi="Times New Roman" w:cs="Times New Roman"/>
          <w:sz w:val="24"/>
          <w:szCs w:val="24"/>
        </w:rPr>
        <w:fldChar w:fldCharType="end"/>
      </w:r>
      <w:r w:rsidRPr="007B238D">
        <w:rPr>
          <w:rFonts w:ascii="Times New Roman" w:hAnsi="Times New Roman" w:cs="Times New Roman"/>
          <w:sz w:val="24"/>
          <w:szCs w:val="24"/>
        </w:rPr>
        <w:t>. Moreover, extending the longitudinal scope beyond 2025 could help track whether observed trends</w:t>
      </w:r>
      <w:r w:rsidR="00B65285" w:rsidRPr="007B238D">
        <w:rPr>
          <w:rFonts w:ascii="Times New Roman" w:hAnsi="Times New Roman" w:cs="Times New Roman"/>
          <w:sz w:val="24"/>
          <w:szCs w:val="24"/>
        </w:rPr>
        <w:t xml:space="preserve">, </w:t>
      </w:r>
      <w:r w:rsidRPr="007B238D">
        <w:rPr>
          <w:rFonts w:ascii="Times New Roman" w:hAnsi="Times New Roman" w:cs="Times New Roman"/>
          <w:sz w:val="24"/>
          <w:szCs w:val="24"/>
        </w:rPr>
        <w:t>particularly in technology integration and interdisciplinary approaches</w:t>
      </w:r>
      <w:r w:rsidR="00B65285" w:rsidRPr="007B238D">
        <w:rPr>
          <w:rFonts w:ascii="Times New Roman" w:hAnsi="Times New Roman" w:cs="Times New Roman"/>
          <w:sz w:val="24"/>
          <w:szCs w:val="24"/>
        </w:rPr>
        <w:t xml:space="preserve">, </w:t>
      </w:r>
      <w:r w:rsidRPr="007B238D">
        <w:rPr>
          <w:rFonts w:ascii="Times New Roman" w:hAnsi="Times New Roman" w:cs="Times New Roman"/>
          <w:sz w:val="24"/>
          <w:szCs w:val="24"/>
        </w:rPr>
        <w:t>continue to grow or undergo thematic shifts</w:t>
      </w:r>
      <w:r w:rsidR="009451E7" w:rsidRPr="007B238D">
        <w:rPr>
          <w:rFonts w:ascii="Times New Roman" w:hAnsi="Times New Roman" w:cs="Times New Roman"/>
          <w:sz w:val="24"/>
          <w:szCs w:val="24"/>
        </w:rPr>
        <w:t xml:space="preserve"> </w:t>
      </w:r>
      <w:r w:rsidR="009451E7" w:rsidRPr="007B238D">
        <w:rPr>
          <w:rFonts w:ascii="Times New Roman" w:hAnsi="Times New Roman" w:cs="Times New Roman"/>
          <w:sz w:val="24"/>
          <w:szCs w:val="24"/>
        </w:rPr>
        <w:fldChar w:fldCharType="begin" w:fldLock="1"/>
      </w:r>
      <w:r w:rsidR="003F443E" w:rsidRPr="007B238D">
        <w:rPr>
          <w:rFonts w:ascii="Times New Roman" w:hAnsi="Times New Roman" w:cs="Times New Roman"/>
          <w:sz w:val="24"/>
          <w:szCs w:val="24"/>
        </w:rPr>
        <w:instrText>ADDIN CSL_CITATION {"citationItems":[{"id":"ITEM-1","itemData":{"DOI":"10.30564/fls.v6i4.6737","ISSN":"27050602 (ISSN); 27050610 (ISSN)","abstract":"In recent years, reading comprehension has gradually become a proficiency indicator of interest in lexical and grammar. As sentences are the basic units of discourse structure, sentence difficulty is often applied to the study of text difficulty. Although there have been a number of studies on sentence difficulty, the lack of consistency in the indicators chosen or the discussion of specific grammatical issues have limited the research on sentence difficulty. Therefore, this study adopts a corpus-based approach, using a corpus as an objective and scientific data source. The study utilizes the Digital Platform for Chinese Grammar and the 8000 Chinese Words as important reference sources. Additionally, the CRIE 3.0 is employed to validate the texts and establish sentence difficulty indicators. However, due to the incomplete development of certain indicators in the\"Chinese Grammar Digital Platform\", the study refers to the Chinese Proficiency Grading Standards for International Chinese Language Education and Hanyu Shuiping Kaoshi to establish comprehensive sentence structure and sentence component difficulty indicators. Subsequently, the established difficulty indicators are validated by conducting comparative analyses using corpora as the basis. Native speaker corpora are used as benchmarks, while Mandarin learner corpora are used for comparison, and then validate objectively through the machine learning model. These validation aims to examine the validity and reliability of the selected indicators and establish a calculation method involving\"level of grammar*point distribution ratio of grammar \"to determine the difficulty indicators for Chinese sentences, Additionally, expert reliability is accessed to ensure the credibility of indicators. © 2024 Elsevier B.V., All rights reserved.","author":[{"dropping-particle":"","family":"Hong","given":"J.-F.","non-dropping-particle":"","parse-names":false,"suffix":""},{"dropping-particle":"","family":"Che","given":"J.-N.","non-dropping-particle":"","parse-names":false,"suffix":""},{"dropping-particle":"","family":"Sung","given":"Y.-T.","non-dropping-particle":"","parse-names":false,"suffix":""}],"container-title":"Forum for Linguistic Studies","id":"ITEM-1","issue":"4","issued":{"date-parts":[["2024"]]},"language":"English","note":"Export Date: 06 August 2025; Cited By: 0","page":"434-448","publisher":"Bilingual Publishing Group","publisher-place":"National Taiwan Normal University, Department of Chinese as a Second Language, Taipei, Taiwan","title":"The Study on Sentence Difficulty of the Chinese Components","type":"article-journal","volume":"6"},"uris":["http://www.mendeley.com/documents/?uuid=a7b54395-d891-4ac5-be67-392bdf3f594e"]},{"id":"ITEM-2","itemData":{"DOI":"10.1111/flan.12475","ISSN":"0015718X (ISSN)","abstract":"Informed by concepts of native speakers, racial nativism, and language socialization theory, this study documented the existence of the native speaker fallacy (Phillipson, 1992, Linguistic imperialism. Oxford: Oxford University Press) in a university-level Japanese and Chinese program in the United States. Specifically, the researcher collected survey responses from language teachers and students, conducted interviews, and observed the teacher training process, one-on-one teaching sessions, and classroom teaching over the course of 2 academic years. A regression analysis showed how the perception of native and non-native speakers was significantly influenced by students’ language level, native language, and race, and by the language program itself. The cases of a dialectal speaker and biracial Japanese teachers illustrated the effects of the bifurcated categorizations on teachers who do not fit in the dichotomy. Implications derived from this study call for critical analysis of the valorization of standard dialect and investigation into ways that will make more room for diversity in the language classroom. This study also underscores the importance of debriefing meetings that allow language professionals and students to reflect their teaching and learning experiences in relation to their identities and to examine unquestioned assumptions about language and racial identities and language standardization in increasingly globalized and diverse communities. © 2020 Elsevier B.V., All rights reserved.","author":[{"dropping-particle":"","family":"Tsuchiya","given":"S","non-dropping-particle":"","parse-names":false,"suffix":""}],"container-title":"Foreign Language Annals","id":"ITEM-2","issue":"3","issued":{"date-parts":[["2020"]]},"language":"English","note":"Export Date: 06 August 2025; Cited By: 6","page":"527-549","publisher":"Wiley-Blackwell info@wiley.com","publisher-place":"Brigham Young University, Department of Asian and Near Eastern Languages, Provo, United States","title":"The native speaker fallacy in a U.S. university Japanese and Chinese program","type":"article-journal","volume":"53"},"uris":["http://www.mendeley.com/documents/?uuid=bcb25934-22d0-4b87-9da7-2b34afaa438d"]},{"id":"ITEM-3","itemData":{"DOI":"10.4018/979-8-3693-8242-4.ch001","ISBN":"9798369382448 (ISBN); 9798369382424 (ISBN)","abstract":"This chapter examines digital Mandarin learning's impact on Tourism and Hospitality Management (THM) students in Malay, Aklan, Philippines, preparing them for the rising number of Chinese tourists on Boracay Island. Digital Mandarin education strengthens students' 21st-century skills and career prospects, supporting Sustainable Development Goal 8 (SDG 8) by promoting decent work and economic growth. A review of the literature assesses digital tools' role in language proficiency and career growth. Findings reveal digital Mandarin learning enhances critical thinking, teamwork, and communication, increasing employability and job satisfaction. Effective strategies are also identified to address implementation challenges, maximizing its benefits. This approach bridges cultural divides, elevates service quality, and supports sustainable tourism, offering valuable guidance for educators, policymakers, and industry leaders in the Philippines. © 2025 Elsevier B.V., All rights reserved.","author":[{"dropping-particle":"","family":"Maravilla","given":"W H G","non-dropping-particle":"","parse-names":false,"suffix":""}],"id":"ITEM-3","issued":{"date-parts":[["2024"]]},"language":"English","note":"Export Date: 06 August 2025; Cited By: 0","page":"1-34","publisher":"IGI Global","publisher-place":"Suan Sunandha Rajabhat University, Bangkok, Thailand","title":"Digital mandarin learning enhances SDG 8 for tourism and hospitality management students","type":"chapter"},"uris":["http://www.mendeley.com/documents/?uuid=401695b9-0dce-4b8f-9a4a-c88c461133f1"]}],"mendeley":{"formattedCitation":"[31], [32], [33]","plainTextFormattedCitation":"[31], [32], [33]","previouslyFormattedCitation":"[27], [28], [29]"},"properties":{"noteIndex":0},"schema":"https://github.com/citation-style-language/schema/raw/master/csl-citation.json"}</w:instrText>
      </w:r>
      <w:r w:rsidR="009451E7" w:rsidRPr="007B238D">
        <w:rPr>
          <w:rFonts w:ascii="Times New Roman" w:hAnsi="Times New Roman" w:cs="Times New Roman"/>
          <w:sz w:val="24"/>
          <w:szCs w:val="24"/>
        </w:rPr>
        <w:fldChar w:fldCharType="separate"/>
      </w:r>
      <w:r w:rsidR="003F443E" w:rsidRPr="007B238D">
        <w:rPr>
          <w:rFonts w:ascii="Times New Roman" w:hAnsi="Times New Roman" w:cs="Times New Roman"/>
          <w:noProof/>
          <w:sz w:val="24"/>
          <w:szCs w:val="24"/>
        </w:rPr>
        <w:t>[31], [32], [33]</w:t>
      </w:r>
      <w:r w:rsidR="009451E7" w:rsidRPr="007B238D">
        <w:rPr>
          <w:rFonts w:ascii="Times New Roman" w:hAnsi="Times New Roman" w:cs="Times New Roman"/>
          <w:sz w:val="24"/>
          <w:szCs w:val="24"/>
        </w:rPr>
        <w:fldChar w:fldCharType="end"/>
      </w:r>
      <w:r w:rsidRPr="007B238D">
        <w:rPr>
          <w:rFonts w:ascii="Times New Roman" w:hAnsi="Times New Roman" w:cs="Times New Roman"/>
          <w:sz w:val="24"/>
          <w:szCs w:val="24"/>
        </w:rPr>
        <w:t>.</w:t>
      </w:r>
    </w:p>
    <w:p w14:paraId="64EE77FB" w14:textId="77777777" w:rsidR="008E21BA" w:rsidRPr="007B238D" w:rsidRDefault="008E21BA" w:rsidP="00E350BD">
      <w:pPr>
        <w:spacing w:after="0" w:line="240" w:lineRule="auto"/>
        <w:jc w:val="both"/>
        <w:rPr>
          <w:rFonts w:ascii="Times New Roman" w:hAnsi="Times New Roman" w:cs="Times New Roman"/>
          <w:b/>
          <w:bCs/>
          <w:sz w:val="24"/>
          <w:szCs w:val="24"/>
        </w:rPr>
      </w:pPr>
    </w:p>
    <w:p w14:paraId="2B7DBD90" w14:textId="77777777" w:rsidR="00BC6389" w:rsidRPr="007B238D" w:rsidRDefault="00BC6389" w:rsidP="00E350BD">
      <w:pPr>
        <w:spacing w:after="0" w:line="240" w:lineRule="auto"/>
        <w:jc w:val="both"/>
        <w:rPr>
          <w:rFonts w:ascii="Times New Roman" w:hAnsi="Times New Roman" w:cs="Times New Roman"/>
          <w:b/>
          <w:bCs/>
          <w:sz w:val="24"/>
          <w:szCs w:val="24"/>
        </w:rPr>
      </w:pPr>
    </w:p>
    <w:p w14:paraId="11DE0DF0"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6. Conclusion</w:t>
      </w:r>
    </w:p>
    <w:p w14:paraId="0EC974C0" w14:textId="77777777" w:rsidR="00797276"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The findings of this study indicate that the direction of Mandarin language learning research is moving toward increasingly multidisciplinary, technology-based, and globally oriented approaches. Bibliometric analysis of the 2023–2025 period reveals that dominant themes include online learning, digital literacy, innovative pedagogy, and cross-cultural approaches that integrate linguistics, educational technology, and learning psychology perspectives. This reflects a shift from conventional teaching models toward more adaptive, collaborative formats supported by technological advancements.</w:t>
      </w:r>
    </w:p>
    <w:p w14:paraId="6190A4F1" w14:textId="77777777" w:rsidR="00797276"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 xml:space="preserve">In terms of dynamics, the research landscape is characterized by growing cross-national collaboration. China remains the primary hub of publication and research, followed by significant contributions from the United States, Australia, Singapore, and </w:t>
      </w:r>
      <w:r w:rsidRPr="007B238D">
        <w:rPr>
          <w:rFonts w:ascii="Times New Roman" w:hAnsi="Times New Roman" w:cs="Times New Roman"/>
          <w:sz w:val="24"/>
          <w:szCs w:val="24"/>
        </w:rPr>
        <w:lastRenderedPageBreak/>
        <w:t>several European countries. This pattern points to global expansion, broadening research networks, and enriching the diversity of pedagogical approaches. Furthermore, the combination of consistent contributions from established scholars and the emergence of new researchers illustrates both continuity and innovation in the field.</w:t>
      </w:r>
    </w:p>
    <w:p w14:paraId="05149E6D" w14:textId="77777777" w:rsidR="00DE23DB" w:rsidRPr="007B238D" w:rsidRDefault="00417442" w:rsidP="00E350BD">
      <w:pPr>
        <w:spacing w:after="0" w:line="240" w:lineRule="auto"/>
        <w:ind w:firstLine="426"/>
        <w:jc w:val="both"/>
        <w:rPr>
          <w:rFonts w:ascii="Times New Roman" w:hAnsi="Times New Roman" w:cs="Times New Roman"/>
          <w:sz w:val="24"/>
          <w:szCs w:val="24"/>
        </w:rPr>
      </w:pPr>
      <w:r w:rsidRPr="007B238D">
        <w:rPr>
          <w:rFonts w:ascii="Times New Roman" w:hAnsi="Times New Roman" w:cs="Times New Roman"/>
          <w:sz w:val="24"/>
          <w:szCs w:val="24"/>
        </w:rPr>
        <w:t>Overall, the direction and dynamics of Mandarin language learning research are heading toward stronger technological integration, wider international collaboration, and the development of instructional models responsive to learners' needs across diverse cultural contexts. This trend is expected to continue as Mandarin's strategic role in global communication grows, necessitating ongoing research and adaptation of educational practice.</w:t>
      </w:r>
    </w:p>
    <w:p w14:paraId="030E6C28" w14:textId="77777777" w:rsidR="00DE23DB" w:rsidRPr="007B238D" w:rsidRDefault="00DE23DB" w:rsidP="00E350BD">
      <w:pPr>
        <w:spacing w:after="0" w:line="240" w:lineRule="auto"/>
        <w:ind w:firstLine="426"/>
        <w:jc w:val="both"/>
        <w:rPr>
          <w:rFonts w:ascii="Times New Roman" w:hAnsi="Times New Roman" w:cs="Times New Roman"/>
          <w:sz w:val="24"/>
          <w:szCs w:val="24"/>
        </w:rPr>
      </w:pPr>
    </w:p>
    <w:p w14:paraId="5B57E29E" w14:textId="77777777" w:rsidR="003B3D02" w:rsidRPr="007B238D" w:rsidRDefault="00417442" w:rsidP="00E350BD">
      <w:pPr>
        <w:spacing w:after="0" w:line="240" w:lineRule="auto"/>
        <w:jc w:val="both"/>
        <w:rPr>
          <w:rFonts w:ascii="Times New Roman" w:hAnsi="Times New Roman" w:cs="Times New Roman"/>
          <w:b/>
          <w:bCs/>
          <w:sz w:val="24"/>
          <w:szCs w:val="24"/>
        </w:rPr>
      </w:pPr>
      <w:r w:rsidRPr="007B238D">
        <w:rPr>
          <w:rFonts w:ascii="Times New Roman" w:hAnsi="Times New Roman" w:cs="Times New Roman"/>
          <w:b/>
          <w:bCs/>
          <w:sz w:val="24"/>
          <w:szCs w:val="24"/>
        </w:rPr>
        <w:t>References</w:t>
      </w:r>
    </w:p>
    <w:p w14:paraId="559DA80F"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sz w:val="24"/>
          <w:szCs w:val="24"/>
        </w:rPr>
        <w:fldChar w:fldCharType="begin" w:fldLock="1"/>
      </w:r>
      <w:r w:rsidRPr="007B238D">
        <w:rPr>
          <w:rFonts w:ascii="Times New Roman" w:hAnsi="Times New Roman" w:cs="Times New Roman"/>
          <w:sz w:val="24"/>
          <w:szCs w:val="24"/>
        </w:rPr>
        <w:instrText xml:space="preserve">ADDIN Mendeley Bibliography CSL_BIBLIOGRAPHY </w:instrText>
      </w:r>
      <w:r w:rsidRPr="007B238D">
        <w:rPr>
          <w:rFonts w:ascii="Times New Roman" w:hAnsi="Times New Roman" w:cs="Times New Roman"/>
          <w:sz w:val="24"/>
          <w:szCs w:val="24"/>
        </w:rPr>
        <w:fldChar w:fldCharType="separate"/>
      </w:r>
      <w:r w:rsidRPr="007B238D">
        <w:rPr>
          <w:rFonts w:ascii="Times New Roman" w:hAnsi="Times New Roman" w:cs="Times New Roman"/>
          <w:noProof/>
          <w:sz w:val="24"/>
          <w:szCs w:val="24"/>
        </w:rPr>
        <w:t>[1]</w:t>
      </w:r>
      <w:r w:rsidRPr="007B238D">
        <w:rPr>
          <w:rFonts w:ascii="Times New Roman" w:hAnsi="Times New Roman" w:cs="Times New Roman"/>
          <w:noProof/>
          <w:sz w:val="24"/>
          <w:szCs w:val="24"/>
        </w:rPr>
        <w:tab/>
        <w:t xml:space="preserve">Z. Tian and S. M. C. Lau, “Translanguaging flows in Chinese word instruction: Potential critical sociolinguistic engagement with children’s artistic representations of Chinese characters,” </w:t>
      </w:r>
      <w:r w:rsidRPr="007B238D">
        <w:rPr>
          <w:rFonts w:ascii="Times New Roman" w:hAnsi="Times New Roman" w:cs="Times New Roman"/>
          <w:i/>
          <w:iCs/>
          <w:noProof/>
          <w:sz w:val="24"/>
          <w:szCs w:val="24"/>
        </w:rPr>
        <w:t>Pedagogies</w:t>
      </w:r>
      <w:r w:rsidRPr="007B238D">
        <w:rPr>
          <w:rFonts w:ascii="Times New Roman" w:hAnsi="Times New Roman" w:cs="Times New Roman"/>
          <w:noProof/>
          <w:sz w:val="24"/>
          <w:szCs w:val="24"/>
        </w:rPr>
        <w:t>, vol. 17, no. 4, pp. 282–302, 2022, doi: 10.1080/1554480X.2022.2139261.</w:t>
      </w:r>
    </w:p>
    <w:p w14:paraId="1C451E12"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w:t>
      </w:r>
      <w:r w:rsidRPr="007B238D">
        <w:rPr>
          <w:rFonts w:ascii="Times New Roman" w:hAnsi="Times New Roman" w:cs="Times New Roman"/>
          <w:noProof/>
          <w:sz w:val="24"/>
          <w:szCs w:val="24"/>
        </w:rPr>
        <w:tab/>
        <w:t xml:space="preserve">Y. Ying, “Characteristics and Challenges of Chinese E-Learning Platforms in Indonesia,” in </w:t>
      </w:r>
      <w:r w:rsidRPr="007B238D">
        <w:rPr>
          <w:rFonts w:ascii="Times New Roman" w:hAnsi="Times New Roman" w:cs="Times New Roman"/>
          <w:i/>
          <w:iCs/>
          <w:noProof/>
          <w:sz w:val="24"/>
          <w:szCs w:val="24"/>
        </w:rPr>
        <w:t>Journal of Physics: Conference Series</w:t>
      </w:r>
      <w:r w:rsidRPr="007B238D">
        <w:rPr>
          <w:rFonts w:ascii="Times New Roman" w:hAnsi="Times New Roman" w:cs="Times New Roman"/>
          <w:noProof/>
          <w:sz w:val="24"/>
          <w:szCs w:val="24"/>
        </w:rPr>
        <w:t>, S. Vaidyanathan, M. B. Mamat, C.-H. Lien, T. L. Ginta, Mujiarto, and A. Sambas, Eds., Bina Nusantara University, Faculty of Humanities, Jakarta, Indonesia: Institute of Physics Publishing helen.craven@iop.org, 2020. doi: 10.1088/1742-6596/1477/4/042014.</w:t>
      </w:r>
    </w:p>
    <w:p w14:paraId="229F4B1E"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[3]</w:t>
      </w:r>
      <w:r w:rsidRPr="007B238D">
        <w:rPr>
          <w:rFonts w:ascii="Times New Roman" w:hAnsi="Times New Roman" w:cs="Times New Roman"/>
          <w:noProof/>
          <w:sz w:val="24"/>
          <w:szCs w:val="24"/>
        </w:rPr>
        <w:tab/>
        <w:t xml:space="preserve"> Binze Xu, “Technology integration into Chinese as a foreign language learning in higher education: An integrated bibliometric analysis and systematic review (2000–2024),” </w:t>
      </w:r>
      <w:r w:rsidRPr="007B238D">
        <w:rPr>
          <w:rFonts w:ascii="Times New Roman" w:hAnsi="Times New Roman" w:cs="Times New Roman"/>
          <w:i/>
          <w:iCs/>
          <w:noProof/>
          <w:sz w:val="24"/>
          <w:szCs w:val="24"/>
        </w:rPr>
        <w:t>Lang. Teach. Res.</w:t>
      </w:r>
      <w:r w:rsidRPr="007B238D">
        <w:rPr>
          <w:rFonts w:ascii="Times New Roman" w:hAnsi="Times New Roman" w:cs="Times New Roman"/>
          <w:noProof/>
          <w:sz w:val="24"/>
          <w:szCs w:val="24"/>
        </w:rPr>
        <w:t>, p. 13621688241277912, Sep. 2024, doi: 10.1177/13621688241277911.</w:t>
      </w:r>
    </w:p>
    <w:p w14:paraId="541188AD"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[4]</w:t>
      </w:r>
      <w:r w:rsidRPr="007B238D">
        <w:rPr>
          <w:rFonts w:ascii="Times New Roman" w:hAnsi="Times New Roman" w:cs="Times New Roman"/>
          <w:noProof/>
          <w:sz w:val="24"/>
          <w:szCs w:val="24"/>
        </w:rPr>
        <w:tab/>
        <w:t xml:space="preserve">Y. Cui and P. de Costa, "' I never knew I could have so many future possibilities': a case study of an ethnic minority student in mainstream higher education in China," </w:t>
      </w:r>
      <w:r w:rsidRPr="007B238D">
        <w:rPr>
          <w:rFonts w:ascii="Times New Roman" w:hAnsi="Times New Roman" w:cs="Times New Roman"/>
          <w:i/>
          <w:iCs/>
          <w:noProof/>
          <w:sz w:val="24"/>
          <w:szCs w:val="24"/>
        </w:rPr>
        <w:t>J. Multiling. Multicult. Dev.</w:t>
      </w:r>
      <w:r w:rsidRPr="007B238D">
        <w:rPr>
          <w:rFonts w:ascii="Times New Roman" w:hAnsi="Times New Roman" w:cs="Times New Roman"/>
          <w:noProof/>
          <w:sz w:val="24"/>
          <w:szCs w:val="24"/>
        </w:rPr>
        <w:t>, 2022, doi: 10.1080/01434632.2022.2126846.</w:t>
      </w:r>
    </w:p>
    <w:p w14:paraId="3FB53954"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[5]</w:t>
      </w:r>
      <w:r w:rsidRPr="007B238D">
        <w:rPr>
          <w:rFonts w:ascii="Times New Roman" w:hAnsi="Times New Roman" w:cs="Times New Roman"/>
          <w:noProof/>
          <w:sz w:val="24"/>
          <w:szCs w:val="24"/>
        </w:rPr>
        <w:tab/>
        <w:t xml:space="preserve">A. Hajar and M. Karakus, “Five decades of language learning strategy research: a bibliometric review and research agenda,” </w:t>
      </w:r>
      <w:r w:rsidRPr="007B238D">
        <w:rPr>
          <w:rFonts w:ascii="Times New Roman" w:hAnsi="Times New Roman" w:cs="Times New Roman"/>
          <w:i/>
          <w:iCs/>
          <w:noProof/>
          <w:sz w:val="24"/>
          <w:szCs w:val="24"/>
        </w:rPr>
        <w:t>Lang. Learn. J.</w:t>
      </w:r>
      <w:r w:rsidRPr="007B238D">
        <w:rPr>
          <w:rFonts w:ascii="Times New Roman" w:hAnsi="Times New Roman" w:cs="Times New Roman"/>
          <w:noProof/>
          <w:sz w:val="24"/>
          <w:szCs w:val="24"/>
        </w:rPr>
        <w:t>, vol. 53, no. 2, pp. 220–249, Mar. 2025, doi: 10.1080/09571736.2024.2361145.</w:t>
      </w:r>
    </w:p>
    <w:p w14:paraId="2665153F"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[6]</w:t>
      </w:r>
      <w:r w:rsidRPr="007B238D">
        <w:rPr>
          <w:rFonts w:ascii="Times New Roman" w:hAnsi="Times New Roman" w:cs="Times New Roman"/>
          <w:noProof/>
          <w:sz w:val="24"/>
          <w:szCs w:val="24"/>
        </w:rPr>
        <w:tab/>
        <w:t xml:space="preserve">X. Wang and Z. Hasim, “A Bibliometric Analysis on Trends and Patterns in Self-Regulated Language Learning in Mobile-Assisted Learning Environments,” </w:t>
      </w:r>
      <w:r w:rsidRPr="007B238D">
        <w:rPr>
          <w:rFonts w:ascii="Times New Roman" w:hAnsi="Times New Roman" w:cs="Times New Roman"/>
          <w:i/>
          <w:iCs/>
          <w:noProof/>
          <w:sz w:val="24"/>
          <w:szCs w:val="24"/>
        </w:rPr>
        <w:t>Int. J. Comput. Lang. Learn. Teach.</w:t>
      </w:r>
      <w:r w:rsidRPr="007B238D">
        <w:rPr>
          <w:rFonts w:ascii="Times New Roman" w:hAnsi="Times New Roman" w:cs="Times New Roman"/>
          <w:noProof/>
          <w:sz w:val="24"/>
          <w:szCs w:val="24"/>
        </w:rPr>
        <w:t>, vol. 14, no. 1, pp. 1–18, 2024, doi: 10.4018/IJCALLT.345401.</w:t>
      </w:r>
    </w:p>
    <w:p w14:paraId="0EECE18A"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[7]</w:t>
      </w:r>
      <w:r w:rsidRPr="007B238D">
        <w:rPr>
          <w:rFonts w:ascii="Times New Roman" w:hAnsi="Times New Roman" w:cs="Times New Roman"/>
          <w:noProof/>
          <w:sz w:val="24"/>
          <w:szCs w:val="24"/>
        </w:rPr>
        <w:tab/>
        <w:t xml:space="preserve">M. Thelwall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xml:space="preserve">, “Do bibliometrics introduce gender, institutional or interdisciplinary biases into research evaluations?,” </w:t>
      </w:r>
      <w:r w:rsidRPr="007B238D">
        <w:rPr>
          <w:rFonts w:ascii="Times New Roman" w:hAnsi="Times New Roman" w:cs="Times New Roman"/>
          <w:i/>
          <w:iCs/>
          <w:noProof/>
          <w:sz w:val="24"/>
          <w:szCs w:val="24"/>
        </w:rPr>
        <w:t>Res. Policy</w:t>
      </w:r>
      <w:r w:rsidRPr="007B238D">
        <w:rPr>
          <w:rFonts w:ascii="Times New Roman" w:hAnsi="Times New Roman" w:cs="Times New Roman"/>
          <w:noProof/>
          <w:sz w:val="24"/>
          <w:szCs w:val="24"/>
        </w:rPr>
        <w:t>, vol. 52, no. 8, 2023, doi: 10.1016/j.respol.2023.104829.</w:t>
      </w:r>
    </w:p>
    <w:p w14:paraId="309521D5"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[8]</w:t>
      </w:r>
      <w:r w:rsidRPr="007B238D">
        <w:rPr>
          <w:rFonts w:ascii="Times New Roman" w:hAnsi="Times New Roman" w:cs="Times New Roman"/>
          <w:noProof/>
          <w:sz w:val="24"/>
          <w:szCs w:val="24"/>
        </w:rPr>
        <w:tab/>
        <w:t xml:space="preserve">A. Rahman, A. Raj, P. Tomy, and M. S. Hameed, "A comprehensive bibliometric and content analysis of artificial intelligence in language learning: tracing between 2017 and 2023," </w:t>
      </w:r>
      <w:r w:rsidRPr="007B238D">
        <w:rPr>
          <w:rFonts w:ascii="Times New Roman" w:hAnsi="Times New Roman" w:cs="Times New Roman"/>
          <w:i/>
          <w:iCs/>
          <w:noProof/>
          <w:sz w:val="24"/>
          <w:szCs w:val="24"/>
        </w:rPr>
        <w:t>Artif. Intell. Rev.</w:t>
      </w:r>
      <w:r w:rsidRPr="007B238D">
        <w:rPr>
          <w:rFonts w:ascii="Times New Roman" w:hAnsi="Times New Roman" w:cs="Times New Roman"/>
          <w:noProof/>
          <w:sz w:val="24"/>
          <w:szCs w:val="24"/>
        </w:rPr>
        <w:t>, vol. 57, no. 4, p. 107, 2024, doi: 10.1007/s10462-023-10643-9.</w:t>
      </w:r>
    </w:p>
    <w:p w14:paraId="643FB2C8"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[9]</w:t>
      </w:r>
      <w:r w:rsidRPr="007B238D">
        <w:rPr>
          <w:rFonts w:ascii="Times New Roman" w:hAnsi="Times New Roman" w:cs="Times New Roman"/>
          <w:noProof/>
          <w:sz w:val="24"/>
          <w:szCs w:val="24"/>
        </w:rPr>
        <w:tab/>
        <w:t xml:space="preserve">L. Pan, D. Sun, Y. Zou, Y. Cao, J. Zhang, and F. Li, "Psycholinguistic and educational challenges in Teaching Chinese (Mandarin) Language: voices from None-Chinese teachers of Mandarin language," 2023, </w:t>
      </w:r>
      <w:r w:rsidRPr="007B238D">
        <w:rPr>
          <w:rFonts w:ascii="Times New Roman" w:hAnsi="Times New Roman" w:cs="Times New Roman"/>
          <w:i/>
          <w:iCs/>
          <w:noProof/>
          <w:sz w:val="24"/>
          <w:szCs w:val="24"/>
        </w:rPr>
        <w:t>Springer Science and Business Media LLC</w:t>
      </w:r>
      <w:r w:rsidRPr="007B238D">
        <w:rPr>
          <w:rFonts w:ascii="Times New Roman" w:hAnsi="Times New Roman" w:cs="Times New Roman"/>
          <w:noProof/>
          <w:sz w:val="24"/>
          <w:szCs w:val="24"/>
        </w:rPr>
        <w:t>. doi: 10.1186/s40359-023-01432-8.</w:t>
      </w:r>
    </w:p>
    <w:p w14:paraId="7ABA8AA7"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[10]</w:t>
      </w:r>
      <w:r w:rsidRPr="007B238D">
        <w:rPr>
          <w:rFonts w:ascii="Times New Roman" w:hAnsi="Times New Roman" w:cs="Times New Roman"/>
          <w:noProof/>
          <w:sz w:val="24"/>
          <w:szCs w:val="24"/>
        </w:rPr>
        <w:tab/>
        <w:t xml:space="preserve">H. Sun, “Child, family, and school factors in bilingual preschoolers’ vocabulary </w:t>
      </w:r>
      <w:r w:rsidRPr="007B238D">
        <w:rPr>
          <w:rFonts w:ascii="Times New Roman" w:hAnsi="Times New Roman" w:cs="Times New Roman"/>
          <w:noProof/>
          <w:sz w:val="24"/>
          <w:szCs w:val="24"/>
        </w:rPr>
        <w:lastRenderedPageBreak/>
        <w:t xml:space="preserve">development in heritage languages,” </w:t>
      </w:r>
      <w:r w:rsidRPr="007B238D">
        <w:rPr>
          <w:rFonts w:ascii="Times New Roman" w:hAnsi="Times New Roman" w:cs="Times New Roman"/>
          <w:i/>
          <w:iCs/>
          <w:noProof/>
          <w:sz w:val="24"/>
          <w:szCs w:val="24"/>
        </w:rPr>
        <w:t>J. Child Lang.</w:t>
      </w:r>
      <w:r w:rsidRPr="007B238D">
        <w:rPr>
          <w:rFonts w:ascii="Times New Roman" w:hAnsi="Times New Roman" w:cs="Times New Roman"/>
          <w:noProof/>
          <w:sz w:val="24"/>
          <w:szCs w:val="24"/>
        </w:rPr>
        <w:t>, vol. 47, no. 4, pp. 817–843, 2020, doi: 10.1017/S0305000919000904.</w:t>
      </w:r>
    </w:p>
    <w:p w14:paraId="61662D5D"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[11]</w:t>
      </w:r>
      <w:r w:rsidRPr="007B238D">
        <w:rPr>
          <w:rFonts w:ascii="Times New Roman" w:hAnsi="Times New Roman" w:cs="Times New Roman"/>
          <w:noProof/>
          <w:sz w:val="24"/>
          <w:szCs w:val="24"/>
        </w:rPr>
        <w:tab/>
        <w:t xml:space="preserve">H. L. Blake, “Intelligibility Enhancement Assessment and Intervention: a single-case experimental design with two multilingual university students,” </w:t>
      </w:r>
      <w:r w:rsidRPr="007B238D">
        <w:rPr>
          <w:rFonts w:ascii="Times New Roman" w:hAnsi="Times New Roman" w:cs="Times New Roman"/>
          <w:i/>
          <w:iCs/>
          <w:noProof/>
          <w:sz w:val="24"/>
          <w:szCs w:val="24"/>
        </w:rPr>
        <w:t>Clin. Linguist. Phonetics</w:t>
      </w:r>
      <w:r w:rsidRPr="007B238D">
        <w:rPr>
          <w:rFonts w:ascii="Times New Roman" w:hAnsi="Times New Roman" w:cs="Times New Roman"/>
          <w:noProof/>
          <w:sz w:val="24"/>
          <w:szCs w:val="24"/>
        </w:rPr>
        <w:t>, vol. 34, no. 1, pp. 1–20, 2020, doi: 10.1080/02699206.2019.1608470.</w:t>
      </w:r>
    </w:p>
    <w:p w14:paraId="27E73D00"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[12]</w:t>
      </w:r>
      <w:r w:rsidRPr="007B238D">
        <w:rPr>
          <w:rFonts w:ascii="Times New Roman" w:hAnsi="Times New Roman" w:cs="Times New Roman"/>
          <w:noProof/>
          <w:sz w:val="24"/>
          <w:szCs w:val="24"/>
        </w:rPr>
        <w:tab/>
        <w:t xml:space="preserve">N. Jafri, U. K. Abd Manaf, and M. M. Muhamad, “The value of cultural immersions in teaching Mandarin as a second language,” </w:t>
      </w:r>
      <w:r w:rsidRPr="007B238D">
        <w:rPr>
          <w:rFonts w:ascii="Times New Roman" w:hAnsi="Times New Roman" w:cs="Times New Roman"/>
          <w:i/>
          <w:iCs/>
          <w:noProof/>
          <w:sz w:val="24"/>
          <w:szCs w:val="24"/>
        </w:rPr>
        <w:t>Univers. J. Educ. Res.</w:t>
      </w:r>
      <w:r w:rsidRPr="007B238D">
        <w:rPr>
          <w:rFonts w:ascii="Times New Roman" w:hAnsi="Times New Roman" w:cs="Times New Roman"/>
          <w:noProof/>
          <w:sz w:val="24"/>
          <w:szCs w:val="24"/>
        </w:rPr>
        <w:t>, vol. 8, no. 3 3C, pp. 91–94, 2020, doi: 10.13189/ujer.2020.081611.</w:t>
      </w:r>
    </w:p>
    <w:p w14:paraId="6D1BF846"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[13]</w:t>
      </w:r>
      <w:r w:rsidRPr="007B238D">
        <w:rPr>
          <w:rFonts w:ascii="Times New Roman" w:hAnsi="Times New Roman" w:cs="Times New Roman"/>
          <w:noProof/>
          <w:sz w:val="24"/>
          <w:szCs w:val="24"/>
        </w:rPr>
        <w:tab/>
        <w:t xml:space="preserve">Q.-Q. He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xml:space="preserve">, "Jeans and language: kin networks and reproductive success are associated with adopting outgroup norms," </w:t>
      </w:r>
      <w:r w:rsidRPr="007B238D">
        <w:rPr>
          <w:rFonts w:ascii="Times New Roman" w:hAnsi="Times New Roman" w:cs="Times New Roman"/>
          <w:i/>
          <w:iCs/>
          <w:noProof/>
          <w:sz w:val="24"/>
          <w:szCs w:val="24"/>
        </w:rPr>
        <w:t>Philos. Trans. R. Soc. B Biol. Sci.</w:t>
      </w:r>
      <w:r w:rsidRPr="007B238D">
        <w:rPr>
          <w:rFonts w:ascii="Times New Roman" w:hAnsi="Times New Roman" w:cs="Times New Roman"/>
          <w:noProof/>
          <w:sz w:val="24"/>
          <w:szCs w:val="24"/>
        </w:rPr>
        <w:t>, vol. 379, no. 1897, 2024, doi: 10.1098/rstb.2023.0031.</w:t>
      </w:r>
    </w:p>
    <w:p w14:paraId="65107603"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[14]</w:t>
      </w:r>
      <w:r w:rsidRPr="007B238D">
        <w:rPr>
          <w:rFonts w:ascii="Times New Roman" w:hAnsi="Times New Roman" w:cs="Times New Roman"/>
          <w:noProof/>
          <w:sz w:val="24"/>
          <w:szCs w:val="24"/>
        </w:rPr>
        <w:tab/>
        <w:t>F. Zhang and C.-C. Tseng, “Inclusive teaching strategies and proprioceptive learning methods for migrants in acquiring basic Chinese,” University of Canberra, Canberra, Australia: Taylor and Francis, 2025, pp. 145–174. doi: 10.4324/9781003441663-11.</w:t>
      </w:r>
    </w:p>
    <w:p w14:paraId="438C302D"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[15]</w:t>
      </w:r>
      <w:r w:rsidRPr="007B238D">
        <w:rPr>
          <w:rFonts w:ascii="Times New Roman" w:hAnsi="Times New Roman" w:cs="Times New Roman"/>
          <w:noProof/>
          <w:sz w:val="24"/>
          <w:szCs w:val="24"/>
        </w:rPr>
        <w:tab/>
        <w:t xml:space="preserve">H. Tran and A. Stell, “Beyond borders or building new walls?: The potential for generative AI in recolonising the learning of Vietnamese dialects and Mandarin varieties,” </w:t>
      </w:r>
      <w:r w:rsidRPr="007B238D">
        <w:rPr>
          <w:rFonts w:ascii="Times New Roman" w:hAnsi="Times New Roman" w:cs="Times New Roman"/>
          <w:i/>
          <w:iCs/>
          <w:noProof/>
          <w:sz w:val="24"/>
          <w:szCs w:val="24"/>
        </w:rPr>
        <w:t>Aust. Rev. Appl. Linguist.</w:t>
      </w:r>
      <w:r w:rsidRPr="007B238D">
        <w:rPr>
          <w:rFonts w:ascii="Times New Roman" w:hAnsi="Times New Roman" w:cs="Times New Roman"/>
          <w:noProof/>
          <w:sz w:val="24"/>
          <w:szCs w:val="24"/>
        </w:rPr>
        <w:t>, vol. 47, no. 3, pp. 284–308, 2024, doi: 10.1075/aral.24135.tra.</w:t>
      </w:r>
    </w:p>
    <w:p w14:paraId="7420F514"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[16]</w:t>
      </w:r>
      <w:r w:rsidRPr="007B238D">
        <w:rPr>
          <w:rFonts w:ascii="Times New Roman" w:hAnsi="Times New Roman" w:cs="Times New Roman"/>
          <w:noProof/>
          <w:sz w:val="24"/>
          <w:szCs w:val="24"/>
        </w:rPr>
        <w:tab/>
        <w:t xml:space="preserve">N. Razima Wan Ibrahim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xml:space="preserve">, “The development of a novel, multilingual IBD knowledge questionnaire for Asian patients with inflammatory bowel disease,” </w:t>
      </w:r>
      <w:r w:rsidRPr="007B238D">
        <w:rPr>
          <w:rFonts w:ascii="Times New Roman" w:hAnsi="Times New Roman" w:cs="Times New Roman"/>
          <w:i/>
          <w:iCs/>
          <w:noProof/>
          <w:sz w:val="24"/>
          <w:szCs w:val="24"/>
        </w:rPr>
        <w:t>BMC Gastroenterol.</w:t>
      </w:r>
      <w:r w:rsidRPr="007B238D">
        <w:rPr>
          <w:rFonts w:ascii="Times New Roman" w:hAnsi="Times New Roman" w:cs="Times New Roman"/>
          <w:noProof/>
          <w:sz w:val="24"/>
          <w:szCs w:val="24"/>
        </w:rPr>
        <w:t>, vol. 23, no. 1, 2023, doi: 10.1186/s12876-023-02817-0.</w:t>
      </w:r>
    </w:p>
    <w:p w14:paraId="2F66EC17"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[17]</w:t>
      </w:r>
      <w:r w:rsidRPr="007B238D">
        <w:rPr>
          <w:rFonts w:ascii="Times New Roman" w:hAnsi="Times New Roman" w:cs="Times New Roman"/>
          <w:noProof/>
          <w:sz w:val="24"/>
          <w:szCs w:val="24"/>
        </w:rPr>
        <w:tab/>
        <w:t xml:space="preserve">L. Ai, N. Wu, and L. Bao, “Minority language policy shifts and L3 English learning: impacts on elementary Mongolian-Mandarin Chinese bilingual students in Inner Mongolia, China,” </w:t>
      </w:r>
      <w:r w:rsidRPr="007B238D">
        <w:rPr>
          <w:rFonts w:ascii="Times New Roman" w:hAnsi="Times New Roman" w:cs="Times New Roman"/>
          <w:i/>
          <w:iCs/>
          <w:noProof/>
          <w:sz w:val="24"/>
          <w:szCs w:val="24"/>
        </w:rPr>
        <w:t>Int. J. Biling. Educ. Biling.</w:t>
      </w:r>
      <w:r w:rsidRPr="007B238D">
        <w:rPr>
          <w:rFonts w:ascii="Times New Roman" w:hAnsi="Times New Roman" w:cs="Times New Roman"/>
          <w:noProof/>
          <w:sz w:val="24"/>
          <w:szCs w:val="24"/>
        </w:rPr>
        <w:t>, 2025, doi: 10.1080/13670050.2025.2529554.</w:t>
      </w:r>
    </w:p>
    <w:p w14:paraId="1A7BF085"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[18]</w:t>
      </w:r>
      <w:r w:rsidRPr="007B238D">
        <w:rPr>
          <w:rFonts w:ascii="Times New Roman" w:hAnsi="Times New Roman" w:cs="Times New Roman"/>
          <w:noProof/>
          <w:sz w:val="24"/>
          <w:szCs w:val="24"/>
        </w:rPr>
        <w:tab/>
        <w:t>R. Makhachashvili and I. Semenist, “Digital Distance and Blended Learning Quality Assessment in Oriental and European Languages University Programs: Regions of Ukraine Survey Study,” Borys Grinchenko Kyiv Metropolitan University, Romance Languages and Typology Department, Kyiv, Ukraine: Institute of Electrical and Electronics Engineers Inc., 2021, pp. 149–156. doi: 10.1109/ICIET51873.2021.9419587.</w:t>
      </w:r>
    </w:p>
    <w:p w14:paraId="1FC6E0B5"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[19]</w:t>
      </w:r>
      <w:r w:rsidRPr="007B238D">
        <w:rPr>
          <w:rFonts w:ascii="Times New Roman" w:hAnsi="Times New Roman" w:cs="Times New Roman"/>
          <w:noProof/>
          <w:sz w:val="24"/>
          <w:szCs w:val="24"/>
        </w:rPr>
        <w:tab/>
        <w:t xml:space="preserve">J. S. Lee and T. Wang, “A review of Korean/English and Mandarin/English dual language programs in the United States,” </w:t>
      </w:r>
      <w:r w:rsidRPr="007B238D">
        <w:rPr>
          <w:rFonts w:ascii="Times New Roman" w:hAnsi="Times New Roman" w:cs="Times New Roman"/>
          <w:i/>
          <w:iCs/>
          <w:noProof/>
          <w:sz w:val="24"/>
          <w:szCs w:val="24"/>
        </w:rPr>
        <w:t>Lang. Teach. Young Learn.</w:t>
      </w:r>
      <w:r w:rsidRPr="007B238D">
        <w:rPr>
          <w:rFonts w:ascii="Times New Roman" w:hAnsi="Times New Roman" w:cs="Times New Roman"/>
          <w:noProof/>
          <w:sz w:val="24"/>
          <w:szCs w:val="24"/>
        </w:rPr>
        <w:t>, vol. 3, no. 1, pp. 28–65, 2021, doi: 10.1075/ltyl.19020.lee.</w:t>
      </w:r>
    </w:p>
    <w:p w14:paraId="2BA730AF"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[20]</w:t>
      </w:r>
      <w:r w:rsidRPr="007B238D">
        <w:rPr>
          <w:rFonts w:ascii="Times New Roman" w:hAnsi="Times New Roman" w:cs="Times New Roman"/>
          <w:noProof/>
          <w:sz w:val="24"/>
          <w:szCs w:val="24"/>
        </w:rPr>
        <w:tab/>
        <w:t xml:space="preserve">Z. Xie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xml:space="preserve">, “Contributions of Demographics, Language Learning Experience, and Cognitive Control to Chinese Reading Comprehension,” </w:t>
      </w:r>
      <w:r w:rsidRPr="007B238D">
        <w:rPr>
          <w:rFonts w:ascii="Times New Roman" w:hAnsi="Times New Roman" w:cs="Times New Roman"/>
          <w:i/>
          <w:iCs/>
          <w:noProof/>
          <w:sz w:val="24"/>
          <w:szCs w:val="24"/>
        </w:rPr>
        <w:t>Front. Psychol.</w:t>
      </w:r>
      <w:r w:rsidRPr="007B238D">
        <w:rPr>
          <w:rFonts w:ascii="Times New Roman" w:hAnsi="Times New Roman" w:cs="Times New Roman"/>
          <w:noProof/>
          <w:sz w:val="24"/>
          <w:szCs w:val="24"/>
        </w:rPr>
        <w:t>, vol. 12, 2021, doi: 10.3389/fpsyg.2021.770579.</w:t>
      </w:r>
    </w:p>
    <w:p w14:paraId="48037481"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[21]</w:t>
      </w:r>
      <w:r w:rsidRPr="007B238D">
        <w:rPr>
          <w:rFonts w:ascii="Times New Roman" w:hAnsi="Times New Roman" w:cs="Times New Roman"/>
          <w:noProof/>
          <w:sz w:val="24"/>
          <w:szCs w:val="24"/>
        </w:rPr>
        <w:tab/>
        <w:t xml:space="preserve">J. Wangi and K. Rosalin, “The development of Chinese grammar checker website based on Natural Language Processing,” in </w:t>
      </w:r>
      <w:r w:rsidRPr="007B238D">
        <w:rPr>
          <w:rFonts w:ascii="Times New Roman" w:hAnsi="Times New Roman" w:cs="Times New Roman"/>
          <w:i/>
          <w:iCs/>
          <w:noProof/>
          <w:sz w:val="24"/>
          <w:szCs w:val="24"/>
        </w:rPr>
        <w:t>Journal of Physics: Conference Series</w:t>
      </w:r>
      <w:r w:rsidRPr="007B238D">
        <w:rPr>
          <w:rFonts w:ascii="Times New Roman" w:hAnsi="Times New Roman" w:cs="Times New Roman"/>
          <w:noProof/>
          <w:sz w:val="24"/>
          <w:szCs w:val="24"/>
        </w:rPr>
        <w:t>, S. Vaidyanathan, M. B. Mamat, C.-H. Lien, T. L. Ginta, Mujiarto, and A. Sambas, Eds., Bina Nusantara University, Chinese Department, Jakarta, Indonesia: Institute of Physics Publishing helen.craven@iop.org, 2020. doi: 10.1088/1742-6596/1477/4/042019.</w:t>
      </w:r>
    </w:p>
    <w:p w14:paraId="479944EA"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[22]</w:t>
      </w:r>
      <w:r w:rsidRPr="007B238D">
        <w:rPr>
          <w:rFonts w:ascii="Times New Roman" w:hAnsi="Times New Roman" w:cs="Times New Roman"/>
          <w:noProof/>
          <w:sz w:val="24"/>
          <w:szCs w:val="24"/>
        </w:rPr>
        <w:tab/>
        <w:t xml:space="preserve">M. Yang and Y. Wang, “The Relations between Cardinal Number Knowledge and Quantifier Comprehension,” </w:t>
      </w:r>
      <w:r w:rsidRPr="007B238D">
        <w:rPr>
          <w:rFonts w:ascii="Times New Roman" w:hAnsi="Times New Roman" w:cs="Times New Roman"/>
          <w:i/>
          <w:iCs/>
          <w:noProof/>
          <w:sz w:val="24"/>
          <w:szCs w:val="24"/>
        </w:rPr>
        <w:t>Lang. Learn. Dev.</w:t>
      </w:r>
      <w:r w:rsidRPr="007B238D">
        <w:rPr>
          <w:rFonts w:ascii="Times New Roman" w:hAnsi="Times New Roman" w:cs="Times New Roman"/>
          <w:noProof/>
          <w:sz w:val="24"/>
          <w:szCs w:val="24"/>
        </w:rPr>
        <w:t>, vol. 19, no. 2, pp. 213–229, 2023, doi: 10.1080/15475441.2022.2060832.</w:t>
      </w:r>
    </w:p>
    <w:p w14:paraId="5DF5ACDB"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lastRenderedPageBreak/>
        <w:t>[23]</w:t>
      </w:r>
      <w:r w:rsidRPr="007B238D">
        <w:rPr>
          <w:rFonts w:ascii="Times New Roman" w:hAnsi="Times New Roman" w:cs="Times New Roman"/>
          <w:noProof/>
          <w:sz w:val="24"/>
          <w:szCs w:val="24"/>
        </w:rPr>
        <w:tab/>
        <w:t xml:space="preserve">L. Chen and D. Wang, “Micro language planning in Mandarin-dominated Chinese language education: voices from dialect-background heritage learners in New Zealand,” </w:t>
      </w:r>
      <w:r w:rsidRPr="007B238D">
        <w:rPr>
          <w:rFonts w:ascii="Times New Roman" w:hAnsi="Times New Roman" w:cs="Times New Roman"/>
          <w:i/>
          <w:iCs/>
          <w:noProof/>
          <w:sz w:val="24"/>
          <w:szCs w:val="24"/>
        </w:rPr>
        <w:t>Curr. Issues Lang. Plan.</w:t>
      </w:r>
      <w:r w:rsidRPr="007B238D">
        <w:rPr>
          <w:rFonts w:ascii="Times New Roman" w:hAnsi="Times New Roman" w:cs="Times New Roman"/>
          <w:noProof/>
          <w:sz w:val="24"/>
          <w:szCs w:val="24"/>
        </w:rPr>
        <w:t>, vol. 25, no. 2, pp. 157–175, 2024, doi: 10.1080/14664208.2023.2260634.</w:t>
      </w:r>
    </w:p>
    <w:p w14:paraId="34F54452"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[24]</w:t>
      </w:r>
      <w:r w:rsidRPr="007B238D">
        <w:rPr>
          <w:rFonts w:ascii="Times New Roman" w:hAnsi="Times New Roman" w:cs="Times New Roman"/>
          <w:noProof/>
          <w:sz w:val="24"/>
          <w:szCs w:val="24"/>
        </w:rPr>
        <w:tab/>
        <w:t xml:space="preserve">W. Li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xml:space="preserve">, “Student-Led Medical Mandarin Summer Course for Medical Students With Existing Mandarin Fluency,” </w:t>
      </w:r>
      <w:r w:rsidRPr="007B238D">
        <w:rPr>
          <w:rFonts w:ascii="Times New Roman" w:hAnsi="Times New Roman" w:cs="Times New Roman"/>
          <w:i/>
          <w:iCs/>
          <w:noProof/>
          <w:sz w:val="24"/>
          <w:szCs w:val="24"/>
        </w:rPr>
        <w:t>MedEdPORTAL  J. Teach. Learn. Resour.</w:t>
      </w:r>
      <w:r w:rsidRPr="007B238D">
        <w:rPr>
          <w:rFonts w:ascii="Times New Roman" w:hAnsi="Times New Roman" w:cs="Times New Roman"/>
          <w:noProof/>
          <w:sz w:val="24"/>
          <w:szCs w:val="24"/>
        </w:rPr>
        <w:t>, vol. 21, p. 11484, 2025, doi: 10.15766/mep_2374-8265.11484.</w:t>
      </w:r>
    </w:p>
    <w:p w14:paraId="404AD3CF"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[25]</w:t>
      </w:r>
      <w:r w:rsidRPr="007B238D">
        <w:rPr>
          <w:rFonts w:ascii="Times New Roman" w:hAnsi="Times New Roman" w:cs="Times New Roman"/>
          <w:noProof/>
          <w:sz w:val="24"/>
          <w:szCs w:val="24"/>
        </w:rPr>
        <w:tab/>
        <w:t xml:space="preserve">H. Xu, J. Yang, J. Wang, and W. Hu, “BUILD A 50+ HOURS CHINESE MANDARIN CORPUS FOR CHILDREN’S SPEECH RECOGNITION,” in </w:t>
      </w:r>
      <w:r w:rsidRPr="007B238D">
        <w:rPr>
          <w:rFonts w:ascii="Times New Roman" w:hAnsi="Times New Roman" w:cs="Times New Roman"/>
          <w:i/>
          <w:iCs/>
          <w:noProof/>
          <w:sz w:val="24"/>
          <w:szCs w:val="24"/>
        </w:rPr>
        <w:t>Proceedings - ICASSP, IEEE International Conference on Acoustics, Speech and Signal Processing</w:t>
      </w:r>
      <w:r w:rsidRPr="007B238D">
        <w:rPr>
          <w:rFonts w:ascii="Times New Roman" w:hAnsi="Times New Roman" w:cs="Times New Roman"/>
          <w:noProof/>
          <w:sz w:val="24"/>
          <w:szCs w:val="24"/>
        </w:rPr>
        <w:t>, East China Normal University, School of Data Science &amp; Engineering, Shanghai, China: Institute of Electrical and Electronics Engineers Inc., 2024, pp. 10231–10235. doi: 10.1109/ICASSP48485.2024.10445913.</w:t>
      </w:r>
    </w:p>
    <w:p w14:paraId="11AC73C2"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[26]</w:t>
      </w:r>
      <w:r w:rsidRPr="007B238D">
        <w:rPr>
          <w:rFonts w:ascii="Times New Roman" w:hAnsi="Times New Roman" w:cs="Times New Roman"/>
          <w:noProof/>
          <w:sz w:val="24"/>
          <w:szCs w:val="24"/>
        </w:rPr>
        <w:tab/>
        <w:t xml:space="preserve">D. Wu, J. Lei, and Y. Wang, “Cognitive and biomechanical interactions in language acquisition: A comparative case study of English and Japanese teaching for nonnative speakers,” </w:t>
      </w:r>
      <w:r w:rsidRPr="007B238D">
        <w:rPr>
          <w:rFonts w:ascii="Times New Roman" w:hAnsi="Times New Roman" w:cs="Times New Roman"/>
          <w:i/>
          <w:iCs/>
          <w:noProof/>
          <w:sz w:val="24"/>
          <w:szCs w:val="24"/>
        </w:rPr>
        <w:t>MCB Mol. Cell. Biomech.</w:t>
      </w:r>
      <w:r w:rsidRPr="007B238D">
        <w:rPr>
          <w:rFonts w:ascii="Times New Roman" w:hAnsi="Times New Roman" w:cs="Times New Roman"/>
          <w:noProof/>
          <w:sz w:val="24"/>
          <w:szCs w:val="24"/>
        </w:rPr>
        <w:t>, vol. 21, no. 4, 2024, doi: 10.62617/mcb894.</w:t>
      </w:r>
    </w:p>
    <w:p w14:paraId="1FE19EDD"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[27]</w:t>
      </w:r>
      <w:r w:rsidRPr="007B238D">
        <w:rPr>
          <w:rFonts w:ascii="Times New Roman" w:hAnsi="Times New Roman" w:cs="Times New Roman"/>
          <w:noProof/>
          <w:sz w:val="24"/>
          <w:szCs w:val="24"/>
        </w:rPr>
        <w:tab/>
        <w:t xml:space="preserve">X. Zhao and D. Wang, “Domain-Specific L2 Grit, Anxiety, Boredom, and Enjoyment in Online Chinese Learning,” </w:t>
      </w:r>
      <w:r w:rsidRPr="007B238D">
        <w:rPr>
          <w:rFonts w:ascii="Times New Roman" w:hAnsi="Times New Roman" w:cs="Times New Roman"/>
          <w:i/>
          <w:iCs/>
          <w:noProof/>
          <w:sz w:val="24"/>
          <w:szCs w:val="24"/>
        </w:rPr>
        <w:t>Asia-Pacific Educ. Res.</w:t>
      </w:r>
      <w:r w:rsidRPr="007B238D">
        <w:rPr>
          <w:rFonts w:ascii="Times New Roman" w:hAnsi="Times New Roman" w:cs="Times New Roman"/>
          <w:noProof/>
          <w:sz w:val="24"/>
          <w:szCs w:val="24"/>
        </w:rPr>
        <w:t>, vol. 33, no. 4, pp. 783–794, 2024, doi: 10.1007/s40299-023-00777-3.</w:t>
      </w:r>
    </w:p>
    <w:p w14:paraId="2D983F68"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[28]</w:t>
      </w:r>
      <w:r w:rsidRPr="007B238D">
        <w:rPr>
          <w:rFonts w:ascii="Times New Roman" w:hAnsi="Times New Roman" w:cs="Times New Roman"/>
          <w:noProof/>
          <w:sz w:val="24"/>
          <w:szCs w:val="24"/>
        </w:rPr>
        <w:tab/>
        <w:t xml:space="preserve">X. Cao, W. Tong, K. Ono, and M. Watanabe, “Evaluating the Role of Visual Fidelity in Digital Vtubers on Mandarin Chinese Character Learning,” </w:t>
      </w:r>
      <w:r w:rsidRPr="007B238D">
        <w:rPr>
          <w:rFonts w:ascii="Times New Roman" w:hAnsi="Times New Roman" w:cs="Times New Roman"/>
          <w:i/>
          <w:iCs/>
          <w:noProof/>
          <w:sz w:val="24"/>
          <w:szCs w:val="24"/>
        </w:rPr>
        <w:t>Informatics</w:t>
      </w:r>
      <w:r w:rsidRPr="007B238D">
        <w:rPr>
          <w:rFonts w:ascii="Times New Roman" w:hAnsi="Times New Roman" w:cs="Times New Roman"/>
          <w:noProof/>
          <w:sz w:val="24"/>
          <w:szCs w:val="24"/>
        </w:rPr>
        <w:t>, vol. 12, no. 1, 2025, doi: 10.3390/informatics12010026.</w:t>
      </w:r>
    </w:p>
    <w:p w14:paraId="44C53852"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[29]</w:t>
      </w:r>
      <w:r w:rsidRPr="007B238D">
        <w:rPr>
          <w:rFonts w:ascii="Times New Roman" w:hAnsi="Times New Roman" w:cs="Times New Roman"/>
          <w:noProof/>
          <w:sz w:val="24"/>
          <w:szCs w:val="24"/>
        </w:rPr>
        <w:tab/>
        <w:t xml:space="preserve">N. A. Chua </w:t>
      </w:r>
      <w:r w:rsidRPr="007B238D">
        <w:rPr>
          <w:rFonts w:ascii="Times New Roman" w:hAnsi="Times New Roman" w:cs="Times New Roman"/>
          <w:i/>
          <w:iCs/>
          <w:noProof/>
          <w:sz w:val="24"/>
          <w:szCs w:val="24"/>
        </w:rPr>
        <w:t>et al.</w:t>
      </w:r>
      <w:r w:rsidRPr="007B238D">
        <w:rPr>
          <w:rFonts w:ascii="Times New Roman" w:hAnsi="Times New Roman" w:cs="Times New Roman"/>
          <w:noProof/>
          <w:sz w:val="24"/>
          <w:szCs w:val="24"/>
        </w:rPr>
        <w:t>, “The constructiveness of online learning in mandarin course during covid-19 pandemic season,” Universiti Malaysia Terengganu, Kuala Terengganu, Malaysia: IEOM Society, 2021, pp. 5701–5713. [Online]. Available: https://www.scopus.com/inward/record.uri?eid=2-s2.0-85114262342&amp;partnerID=40&amp;md5=b663c8ae4ce8ab31077ead9156cf5396</w:t>
      </w:r>
    </w:p>
    <w:p w14:paraId="5D0E7CD3"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[30]</w:t>
      </w:r>
      <w:r w:rsidRPr="007B238D">
        <w:rPr>
          <w:rFonts w:ascii="Times New Roman" w:hAnsi="Times New Roman" w:cs="Times New Roman"/>
          <w:noProof/>
          <w:sz w:val="24"/>
          <w:szCs w:val="24"/>
        </w:rPr>
        <w:tab/>
        <w:t xml:space="preserve">B. Zheng, “Scaling bi/multilingualism through dual language education: a multi-sited study of diverse learners’ views,” </w:t>
      </w:r>
      <w:r w:rsidRPr="007B238D">
        <w:rPr>
          <w:rFonts w:ascii="Times New Roman" w:hAnsi="Times New Roman" w:cs="Times New Roman"/>
          <w:i/>
          <w:iCs/>
          <w:noProof/>
          <w:sz w:val="24"/>
          <w:szCs w:val="24"/>
        </w:rPr>
        <w:t>J. Multiling. Multicult. Dev.</w:t>
      </w:r>
      <w:r w:rsidRPr="007B238D">
        <w:rPr>
          <w:rFonts w:ascii="Times New Roman" w:hAnsi="Times New Roman" w:cs="Times New Roman"/>
          <w:noProof/>
          <w:sz w:val="24"/>
          <w:szCs w:val="24"/>
        </w:rPr>
        <w:t>, vol. 43, no. 6, pp. 554–568, 2022, doi: 10.1080/01434632.2021.1975722.</w:t>
      </w:r>
    </w:p>
    <w:p w14:paraId="0FD79F18"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[31]</w:t>
      </w:r>
      <w:r w:rsidRPr="007B238D">
        <w:rPr>
          <w:rFonts w:ascii="Times New Roman" w:hAnsi="Times New Roman" w:cs="Times New Roman"/>
          <w:noProof/>
          <w:sz w:val="24"/>
          <w:szCs w:val="24"/>
        </w:rPr>
        <w:tab/>
        <w:t xml:space="preserve">J.-F. Hong, J.-N. Che, and Y.-T. Sung, “The Study on Sentence Difficulty of the Chinese Components,” </w:t>
      </w:r>
      <w:r w:rsidRPr="007B238D">
        <w:rPr>
          <w:rFonts w:ascii="Times New Roman" w:hAnsi="Times New Roman" w:cs="Times New Roman"/>
          <w:i/>
          <w:iCs/>
          <w:noProof/>
          <w:sz w:val="24"/>
          <w:szCs w:val="24"/>
        </w:rPr>
        <w:t>Forum Linguist. Stud.</w:t>
      </w:r>
      <w:r w:rsidRPr="007B238D">
        <w:rPr>
          <w:rFonts w:ascii="Times New Roman" w:hAnsi="Times New Roman" w:cs="Times New Roman"/>
          <w:noProof/>
          <w:sz w:val="24"/>
          <w:szCs w:val="24"/>
        </w:rPr>
        <w:t>, vol. 6, no. 4, pp. 434–448, 2024, doi: 10.30564/fls.v6i4.6737.</w:t>
      </w:r>
    </w:p>
    <w:p w14:paraId="5DFF1988"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[32]</w:t>
      </w:r>
      <w:r w:rsidRPr="007B238D">
        <w:rPr>
          <w:rFonts w:ascii="Times New Roman" w:hAnsi="Times New Roman" w:cs="Times New Roman"/>
          <w:noProof/>
          <w:sz w:val="24"/>
          <w:szCs w:val="24"/>
        </w:rPr>
        <w:tab/>
        <w:t xml:space="preserve">S. Tsuchiya, “The native speaker fallacy in a U.S. university Japanese and Chinese program,” </w:t>
      </w:r>
      <w:r w:rsidRPr="007B238D">
        <w:rPr>
          <w:rFonts w:ascii="Times New Roman" w:hAnsi="Times New Roman" w:cs="Times New Roman"/>
          <w:i/>
          <w:iCs/>
          <w:noProof/>
          <w:sz w:val="24"/>
          <w:szCs w:val="24"/>
        </w:rPr>
        <w:t>Foreign Lang. Ann.</w:t>
      </w:r>
      <w:r w:rsidRPr="007B238D">
        <w:rPr>
          <w:rFonts w:ascii="Times New Roman" w:hAnsi="Times New Roman" w:cs="Times New Roman"/>
          <w:noProof/>
          <w:sz w:val="24"/>
          <w:szCs w:val="24"/>
        </w:rPr>
        <w:t>, vol. 53, no. 3, pp. 527–549, 2020, doi: 10.1111/flan.12475.</w:t>
      </w:r>
    </w:p>
    <w:p w14:paraId="1E8370FE" w14:textId="77777777" w:rsidR="003F443E" w:rsidRPr="007B238D" w:rsidRDefault="00417442" w:rsidP="00E350BD">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B238D">
        <w:rPr>
          <w:rFonts w:ascii="Times New Roman" w:hAnsi="Times New Roman" w:cs="Times New Roman"/>
          <w:noProof/>
          <w:sz w:val="24"/>
          <w:szCs w:val="24"/>
        </w:rPr>
        <w:t>[33]</w:t>
      </w:r>
      <w:r w:rsidRPr="007B238D">
        <w:rPr>
          <w:rFonts w:ascii="Times New Roman" w:hAnsi="Times New Roman" w:cs="Times New Roman"/>
          <w:noProof/>
          <w:sz w:val="24"/>
          <w:szCs w:val="24"/>
        </w:rPr>
        <w:tab/>
        <w:t>W. H. G. Maravilla, “Digital mandarin learning enhances SDG 8 for tourism and hospitality management students,” Suan Sunandha Rajabhat University, Bangkok, Thailand: IGI Global, 2024, pp. 1–34. doi: 10.4018/979-8-3693-8242-4.ch001.</w:t>
      </w:r>
    </w:p>
    <w:p w14:paraId="33927A0B" w14:textId="77777777" w:rsidR="003B3D02" w:rsidRPr="007B238D" w:rsidRDefault="00417442" w:rsidP="00E350BD">
      <w:pPr>
        <w:spacing w:after="0" w:line="240" w:lineRule="auto"/>
        <w:jc w:val="both"/>
        <w:rPr>
          <w:rFonts w:ascii="Times New Roman" w:hAnsi="Times New Roman" w:cs="Times New Roman"/>
          <w:sz w:val="24"/>
          <w:szCs w:val="24"/>
        </w:rPr>
      </w:pPr>
      <w:r w:rsidRPr="007B238D">
        <w:rPr>
          <w:rFonts w:ascii="Times New Roman" w:hAnsi="Times New Roman" w:cs="Times New Roman"/>
          <w:sz w:val="24"/>
          <w:szCs w:val="24"/>
        </w:rPr>
        <w:fldChar w:fldCharType="end"/>
      </w:r>
    </w:p>
    <w:p w14:paraId="1560D390" w14:textId="77777777" w:rsidR="008A791A" w:rsidRPr="007B238D" w:rsidRDefault="008A791A" w:rsidP="00E350BD">
      <w:pPr>
        <w:spacing w:after="0" w:line="240" w:lineRule="auto"/>
        <w:jc w:val="both"/>
        <w:rPr>
          <w:rFonts w:ascii="Times New Roman" w:hAnsi="Times New Roman" w:cs="Times New Roman"/>
          <w:sz w:val="24"/>
          <w:szCs w:val="24"/>
        </w:rPr>
      </w:pPr>
    </w:p>
    <w:sectPr w:rsidR="008A791A" w:rsidRPr="007B238D" w:rsidSect="007B238D">
      <w:type w:val="continuous"/>
      <w:pgSz w:w="11900" w:h="16840" w:code="9"/>
      <w:pgMar w:top="1701" w:right="1701" w:bottom="1701" w:left="1701"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100"/>
  <w:drawingGridVerticalSpacing w:val="13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02"/>
    <w:rsid w:val="000A4C69"/>
    <w:rsid w:val="000B4868"/>
    <w:rsid w:val="001324DD"/>
    <w:rsid w:val="00161AA2"/>
    <w:rsid w:val="001A31D3"/>
    <w:rsid w:val="001E40F2"/>
    <w:rsid w:val="002D32E6"/>
    <w:rsid w:val="00342963"/>
    <w:rsid w:val="003B1730"/>
    <w:rsid w:val="003B3D02"/>
    <w:rsid w:val="003D2780"/>
    <w:rsid w:val="003F443E"/>
    <w:rsid w:val="00406C86"/>
    <w:rsid w:val="00411935"/>
    <w:rsid w:val="00417442"/>
    <w:rsid w:val="00453CEF"/>
    <w:rsid w:val="004B6292"/>
    <w:rsid w:val="004D1571"/>
    <w:rsid w:val="00501C62"/>
    <w:rsid w:val="00547117"/>
    <w:rsid w:val="00557236"/>
    <w:rsid w:val="00560109"/>
    <w:rsid w:val="0056054A"/>
    <w:rsid w:val="005A09F1"/>
    <w:rsid w:val="005D50C0"/>
    <w:rsid w:val="005D5D8F"/>
    <w:rsid w:val="005E0893"/>
    <w:rsid w:val="00613FB5"/>
    <w:rsid w:val="006541F1"/>
    <w:rsid w:val="00657666"/>
    <w:rsid w:val="0066019A"/>
    <w:rsid w:val="006704A4"/>
    <w:rsid w:val="00693EE6"/>
    <w:rsid w:val="006C797A"/>
    <w:rsid w:val="00705777"/>
    <w:rsid w:val="00763A26"/>
    <w:rsid w:val="00797276"/>
    <w:rsid w:val="007B1D06"/>
    <w:rsid w:val="007B238D"/>
    <w:rsid w:val="007C0004"/>
    <w:rsid w:val="007D08AC"/>
    <w:rsid w:val="00802531"/>
    <w:rsid w:val="00802C7B"/>
    <w:rsid w:val="008742E2"/>
    <w:rsid w:val="00896C9A"/>
    <w:rsid w:val="008A791A"/>
    <w:rsid w:val="008D3058"/>
    <w:rsid w:val="008E21BA"/>
    <w:rsid w:val="00901ACB"/>
    <w:rsid w:val="0091131B"/>
    <w:rsid w:val="00937C49"/>
    <w:rsid w:val="009451E7"/>
    <w:rsid w:val="00975C67"/>
    <w:rsid w:val="00977B81"/>
    <w:rsid w:val="009838C8"/>
    <w:rsid w:val="0098572D"/>
    <w:rsid w:val="00A152DD"/>
    <w:rsid w:val="00A22B90"/>
    <w:rsid w:val="00A3195F"/>
    <w:rsid w:val="00A416EA"/>
    <w:rsid w:val="00A7151B"/>
    <w:rsid w:val="00A73C67"/>
    <w:rsid w:val="00AD1544"/>
    <w:rsid w:val="00AE2EC1"/>
    <w:rsid w:val="00AE6A9C"/>
    <w:rsid w:val="00B335F2"/>
    <w:rsid w:val="00B462CD"/>
    <w:rsid w:val="00B5648F"/>
    <w:rsid w:val="00B65285"/>
    <w:rsid w:val="00B97045"/>
    <w:rsid w:val="00BA26F2"/>
    <w:rsid w:val="00BC6389"/>
    <w:rsid w:val="00BE7E69"/>
    <w:rsid w:val="00C91F1D"/>
    <w:rsid w:val="00D12D20"/>
    <w:rsid w:val="00D172BE"/>
    <w:rsid w:val="00D81DBA"/>
    <w:rsid w:val="00DE23DB"/>
    <w:rsid w:val="00E045D6"/>
    <w:rsid w:val="00E13A61"/>
    <w:rsid w:val="00E350BD"/>
    <w:rsid w:val="00E55716"/>
    <w:rsid w:val="00E60253"/>
    <w:rsid w:val="00E65839"/>
    <w:rsid w:val="00EB6ADB"/>
    <w:rsid w:val="00EC01E8"/>
    <w:rsid w:val="00ED2707"/>
    <w:rsid w:val="00F535A0"/>
    <w:rsid w:val="00FC5B28"/>
    <w:rsid w:val="00FE2DCB"/>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5DD0"/>
  <w15:chartTrackingRefBased/>
  <w15:docId w15:val="{D2F7F69F-72E1-4EE0-908F-FCC7EA868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117"/>
    <w:rPr>
      <w:color w:val="0563C1" w:themeColor="hyperlink"/>
      <w:u w:val="single"/>
    </w:rPr>
  </w:style>
  <w:style w:type="character" w:styleId="UnresolvedMention">
    <w:name w:val="Unresolved Mention"/>
    <w:basedOn w:val="DefaultParagraphFont"/>
    <w:uiPriority w:val="99"/>
    <w:semiHidden/>
    <w:unhideWhenUsed/>
    <w:rsid w:val="00547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aviddarwin.unsada@gmail.com" TargetMode="External"/><Relationship Id="rId11" Type="http://schemas.openxmlformats.org/officeDocument/2006/relationships/image" Target="media/image5.png"/><Relationship Id="rId5" Type="http://schemas.openxmlformats.org/officeDocument/2006/relationships/hyperlink" Target="mailto:daviddarwin8299@gmail.com"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D2426-2705-4992-AA71-47F297B7D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15</Pages>
  <Words>19978</Words>
  <Characters>113875</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Sungguh Ponten Aritonang</dc:creator>
  <cp:lastModifiedBy>Acer</cp:lastModifiedBy>
  <cp:revision>97</cp:revision>
  <dcterms:created xsi:type="dcterms:W3CDTF">2025-08-06T03:59:00Z</dcterms:created>
  <dcterms:modified xsi:type="dcterms:W3CDTF">2026-01-02T01:23:00Z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http://www.zotero.org/styles/apa-6th-edition</vt:lpwstr>
  </property>
  <property fmtid="{D5CDD505-2E9C-101B-9397-08002B2CF9AE}" pid="5" name="Mendeley Recent Style Id 1_1">
    <vt:lpwstr>http://www.zotero.org/styles/apa</vt:lpwstr>
  </property>
  <property fmtid="{D5CDD505-2E9C-101B-9397-08002B2CF9AE}" pid="6" name="Mendeley Recent Style Id 2_1">
    <vt:lpwstr>http://www.zotero.org/styles/chicago-author-date</vt:lpwstr>
  </property>
  <property fmtid="{D5CDD505-2E9C-101B-9397-08002B2CF9AE}" pid="7" name="Mendeley Recent Style Id 3_1">
    <vt:lpwstr>http://www.zotero.org/styles/harvard1</vt:lpwstr>
  </property>
  <property fmtid="{D5CDD505-2E9C-101B-9397-08002B2CF9AE}" pid="8" name="Mendeley Recent Style Id 4_1">
    <vt:lpwstr>http://www.zotero.org/styles/ieee</vt:lpwstr>
  </property>
  <property fmtid="{D5CDD505-2E9C-101B-9397-08002B2CF9AE}" pid="9" name="Mendeley Recent Style Id 5_1">
    <vt:lpwstr>http://www.zotero.org/styles/ieee-acm-transactions-on-audio-speech-and-language-processing</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http://www.zotero.org/styles/turabian-fullnote-bibliography</vt:lpwstr>
  </property>
  <property fmtid="{D5CDD505-2E9C-101B-9397-08002B2CF9AE}" pid="13" name="Mendeley Recent Style Id 9_1">
    <vt:lpwstr>http://www.zotero.org/styles/vancouver</vt:lpwstr>
  </property>
  <property fmtid="{D5CDD505-2E9C-101B-9397-08002B2CF9AE}" pid="14" name="Mendeley Recent Style Name 0_1">
    <vt:lpwstr>American Psychological Association 6th edition</vt:lpwstr>
  </property>
  <property fmtid="{D5CDD505-2E9C-101B-9397-08002B2CF9AE}" pid="15" name="Mendeley Recent Style Name 1_1">
    <vt:lpwstr>American Psychological Association 7th edition</vt:lpwstr>
  </property>
  <property fmtid="{D5CDD505-2E9C-101B-9397-08002B2CF9AE}" pid="16" name="Mendeley Recent Style Name 2_1">
    <vt:lpwstr>Chicago Manual of Style 17th edition (author-date)</vt:lpwstr>
  </property>
  <property fmtid="{D5CDD505-2E9C-101B-9397-08002B2CF9AE}" pid="17" name="Mendeley Recent Style Name 3_1">
    <vt:lpwstr>Harvard reference format 1 (deprecated)</vt:lpwstr>
  </property>
  <property fmtid="{D5CDD505-2E9C-101B-9397-08002B2CF9AE}" pid="18" name="Mendeley Recent Style Name 4_1">
    <vt:lpwstr>IEEE</vt:lpwstr>
  </property>
  <property fmtid="{D5CDD505-2E9C-101B-9397-08002B2CF9AE}" pid="19" name="Mendeley Recent Style Name 5_1">
    <vt:lpwstr>IEEE/ACM Transactions on Audio, Speech, and Language Processing</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9th edition</vt:lpwstr>
  </property>
  <property fmtid="{D5CDD505-2E9C-101B-9397-08002B2CF9AE}" pid="22" name="Mendeley Recent Style Name 8_1">
    <vt:lpwstr>Turabian 9th edition (full note)</vt:lpwstr>
  </property>
  <property fmtid="{D5CDD505-2E9C-101B-9397-08002B2CF9AE}" pid="23" name="Mendeley Recent Style Name 9_1">
    <vt:lpwstr>Vancouver</vt:lpwstr>
  </property>
  <property fmtid="{D5CDD505-2E9C-101B-9397-08002B2CF9AE}" pid="24" name="Mendeley Unique User Id_1">
    <vt:lpwstr>2f1b33ec-c97f-3604-8793-685567a4aa76</vt:lpwstr>
  </property>
</Properties>
</file>