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D33" w:rsidRPr="00174769" w:rsidRDefault="00E9409A">
      <w:pPr>
        <w:spacing w:before="193"/>
        <w:ind w:left="397"/>
        <w:jc w:val="center"/>
        <w:rPr>
          <w:rFonts w:ascii="Arial" w:eastAsia="Times New Roman" w:hAnsi="Arial" w:cs="Arial"/>
          <w:b/>
          <w:sz w:val="32"/>
          <w:szCs w:val="24"/>
        </w:rPr>
      </w:pPr>
      <w:r w:rsidRPr="00174769">
        <w:rPr>
          <w:rFonts w:ascii="Arial" w:eastAsia="Times New Roman" w:hAnsi="Arial" w:cs="Arial"/>
          <w:b/>
          <w:sz w:val="32"/>
          <w:szCs w:val="24"/>
        </w:rPr>
        <w:t>The Architecture of Persuasion in Contemporary Political Discourse: A Systematic Literature Review of Rhetorical Strategies, Emotional Appeals, and Digital Evolution</w:t>
      </w:r>
    </w:p>
    <w:p w:rsidR="00E64D33" w:rsidRPr="00A71AD9" w:rsidRDefault="00E64D33" w:rsidP="00174769">
      <w:pPr>
        <w:spacing w:after="0"/>
        <w:ind w:left="397"/>
        <w:jc w:val="both"/>
        <w:rPr>
          <w:rFonts w:ascii="Arial" w:eastAsia="Times New Roman" w:hAnsi="Arial" w:cs="Arial"/>
          <w:b/>
          <w:sz w:val="24"/>
          <w:szCs w:val="24"/>
        </w:rPr>
      </w:pPr>
    </w:p>
    <w:p w:rsidR="00DA7E9E" w:rsidRPr="00A71AD9" w:rsidRDefault="00DA7E9E" w:rsidP="00DA7E9E">
      <w:pPr>
        <w:ind w:left="397"/>
        <w:jc w:val="center"/>
        <w:rPr>
          <w:rFonts w:ascii="Arial" w:eastAsia="Times New Roman" w:hAnsi="Arial" w:cs="Arial"/>
          <w:b/>
          <w:sz w:val="24"/>
          <w:szCs w:val="24"/>
        </w:rPr>
      </w:pPr>
      <w:r w:rsidRPr="00A71AD9">
        <w:rPr>
          <w:rFonts w:ascii="Arial" w:eastAsia="Times New Roman" w:hAnsi="Arial" w:cs="Arial"/>
          <w:b/>
          <w:sz w:val="24"/>
          <w:szCs w:val="24"/>
        </w:rPr>
        <w:t>Khairul Ashraaf Saari</w:t>
      </w:r>
      <w:r w:rsidR="00336F48" w:rsidRPr="00A71AD9">
        <w:rPr>
          <w:rFonts w:ascii="Arial" w:eastAsia="Times New Roman" w:hAnsi="Arial" w:cs="Arial"/>
          <w:b/>
          <w:sz w:val="24"/>
          <w:szCs w:val="24"/>
          <w:vertAlign w:val="superscript"/>
        </w:rPr>
        <w:t>1</w:t>
      </w:r>
      <w:r w:rsidR="00336F48" w:rsidRPr="00A71AD9">
        <w:rPr>
          <w:rFonts w:ascii="Arial" w:eastAsia="Times New Roman" w:hAnsi="Arial" w:cs="Arial"/>
          <w:b/>
          <w:sz w:val="24"/>
          <w:szCs w:val="24"/>
        </w:rPr>
        <w:t>*,</w:t>
      </w:r>
      <w:r w:rsidRPr="00A71AD9">
        <w:rPr>
          <w:rFonts w:ascii="Arial" w:eastAsia="Times New Roman" w:hAnsi="Arial" w:cs="Arial"/>
          <w:b/>
          <w:sz w:val="24"/>
          <w:szCs w:val="24"/>
        </w:rPr>
        <w:t xml:space="preserve"> Nur Fairuz Ahmad Fuad</w:t>
      </w:r>
      <w:r w:rsidRPr="00A71AD9">
        <w:rPr>
          <w:rFonts w:ascii="Arial" w:eastAsia="Times New Roman" w:hAnsi="Arial" w:cs="Arial"/>
          <w:b/>
          <w:sz w:val="24"/>
          <w:szCs w:val="24"/>
          <w:vertAlign w:val="superscript"/>
        </w:rPr>
        <w:t>2</w:t>
      </w:r>
      <w:r w:rsidRPr="00A71AD9">
        <w:rPr>
          <w:rFonts w:ascii="Arial" w:eastAsia="Times New Roman" w:hAnsi="Arial" w:cs="Arial"/>
          <w:b/>
          <w:sz w:val="24"/>
          <w:szCs w:val="24"/>
        </w:rPr>
        <w:t>, Benazir Tanjung Fathkur Rahman</w:t>
      </w:r>
      <w:r w:rsidRPr="00A71AD9">
        <w:rPr>
          <w:rFonts w:ascii="Arial" w:eastAsia="Times New Roman" w:hAnsi="Arial" w:cs="Arial"/>
          <w:b/>
          <w:sz w:val="24"/>
          <w:szCs w:val="24"/>
          <w:vertAlign w:val="superscript"/>
        </w:rPr>
        <w:t>2</w:t>
      </w:r>
      <w:r w:rsidRPr="00A71AD9">
        <w:rPr>
          <w:rFonts w:ascii="Arial" w:eastAsia="Times New Roman" w:hAnsi="Arial" w:cs="Arial"/>
          <w:b/>
          <w:sz w:val="24"/>
          <w:szCs w:val="24"/>
        </w:rPr>
        <w:t>, Mohd Asyraf Rahman</w:t>
      </w:r>
      <w:r w:rsidRPr="00A71AD9">
        <w:rPr>
          <w:rFonts w:ascii="Arial" w:eastAsia="Times New Roman" w:hAnsi="Arial" w:cs="Arial"/>
          <w:b/>
          <w:sz w:val="24"/>
          <w:szCs w:val="24"/>
          <w:vertAlign w:val="superscript"/>
        </w:rPr>
        <w:t>2</w:t>
      </w:r>
    </w:p>
    <w:p w:rsidR="00E64D33" w:rsidRPr="00A71AD9" w:rsidRDefault="00DA7E9E">
      <w:pPr>
        <w:widowControl w:val="0"/>
        <w:numPr>
          <w:ilvl w:val="0"/>
          <w:numId w:val="1"/>
        </w:numPr>
        <w:pBdr>
          <w:top w:val="nil"/>
          <w:left w:val="nil"/>
          <w:bottom w:val="nil"/>
          <w:right w:val="nil"/>
          <w:between w:val="nil"/>
        </w:pBdr>
        <w:tabs>
          <w:tab w:val="left" w:pos="223"/>
        </w:tabs>
        <w:spacing w:after="0" w:line="239" w:lineRule="auto"/>
        <w:ind w:left="397"/>
        <w:jc w:val="center"/>
        <w:rPr>
          <w:rFonts w:ascii="Arial" w:eastAsia="Times New Roman" w:hAnsi="Arial" w:cs="Arial"/>
          <w:color w:val="000000"/>
          <w:sz w:val="24"/>
          <w:szCs w:val="24"/>
        </w:rPr>
      </w:pPr>
      <w:bookmarkStart w:id="0" w:name="_heading=h.gjdgxs" w:colFirst="0" w:colLast="0"/>
      <w:bookmarkEnd w:id="0"/>
      <w:r w:rsidRPr="00A71AD9">
        <w:rPr>
          <w:rFonts w:ascii="Arial" w:eastAsia="Times New Roman" w:hAnsi="Arial" w:cs="Arial"/>
          <w:color w:val="000000"/>
          <w:sz w:val="24"/>
          <w:szCs w:val="24"/>
        </w:rPr>
        <w:t>Faculty of Language and Communication</w:t>
      </w:r>
      <w:r w:rsidR="00336F48" w:rsidRPr="00A71AD9">
        <w:rPr>
          <w:rFonts w:ascii="Arial" w:eastAsia="Times New Roman" w:hAnsi="Arial" w:cs="Arial"/>
          <w:color w:val="000000"/>
          <w:sz w:val="24"/>
          <w:szCs w:val="24"/>
        </w:rPr>
        <w:t xml:space="preserve">, Universiti </w:t>
      </w:r>
      <w:r w:rsidRPr="00A71AD9">
        <w:rPr>
          <w:rFonts w:ascii="Arial" w:eastAsia="Times New Roman" w:hAnsi="Arial" w:cs="Arial"/>
          <w:color w:val="000000"/>
          <w:sz w:val="24"/>
          <w:szCs w:val="24"/>
        </w:rPr>
        <w:t>Sultan Zainal Abidin</w:t>
      </w:r>
      <w:r w:rsidR="00336F48" w:rsidRPr="00A71AD9">
        <w:rPr>
          <w:rFonts w:ascii="Arial" w:eastAsia="Times New Roman" w:hAnsi="Arial" w:cs="Arial"/>
          <w:color w:val="000000"/>
          <w:sz w:val="24"/>
          <w:szCs w:val="24"/>
        </w:rPr>
        <w:t xml:space="preserve"> (Uni</w:t>
      </w:r>
      <w:r w:rsidRPr="00A71AD9">
        <w:rPr>
          <w:rFonts w:ascii="Arial" w:eastAsia="Times New Roman" w:hAnsi="Arial" w:cs="Arial"/>
          <w:color w:val="000000"/>
          <w:sz w:val="24"/>
          <w:szCs w:val="24"/>
        </w:rPr>
        <w:t>SZA</w:t>
      </w:r>
      <w:r w:rsidR="00336F48" w:rsidRPr="00A71AD9">
        <w:rPr>
          <w:rFonts w:ascii="Arial" w:eastAsia="Times New Roman" w:hAnsi="Arial" w:cs="Arial"/>
          <w:color w:val="000000"/>
          <w:sz w:val="24"/>
          <w:szCs w:val="24"/>
        </w:rPr>
        <w:t xml:space="preserve">), </w:t>
      </w:r>
      <w:r w:rsidRPr="00A71AD9">
        <w:rPr>
          <w:rFonts w:ascii="Arial" w:eastAsia="Times New Roman" w:hAnsi="Arial" w:cs="Arial"/>
          <w:color w:val="000000"/>
          <w:sz w:val="24"/>
          <w:szCs w:val="24"/>
        </w:rPr>
        <w:t xml:space="preserve">Gong Badak </w:t>
      </w:r>
      <w:r w:rsidR="00336F48" w:rsidRPr="00A71AD9">
        <w:rPr>
          <w:rFonts w:ascii="Arial" w:eastAsia="Times New Roman" w:hAnsi="Arial" w:cs="Arial"/>
          <w:color w:val="000000"/>
          <w:sz w:val="24"/>
          <w:szCs w:val="24"/>
        </w:rPr>
        <w:t xml:space="preserve">Campus, </w:t>
      </w:r>
      <w:r w:rsidRPr="00A71AD9">
        <w:rPr>
          <w:rFonts w:ascii="Arial" w:eastAsia="Times New Roman" w:hAnsi="Arial" w:cs="Arial"/>
          <w:color w:val="000000"/>
          <w:sz w:val="24"/>
          <w:szCs w:val="24"/>
        </w:rPr>
        <w:t>21300</w:t>
      </w:r>
      <w:r w:rsidR="00336F48" w:rsidRPr="00A71AD9">
        <w:rPr>
          <w:rFonts w:ascii="Arial" w:eastAsia="Times New Roman" w:hAnsi="Arial" w:cs="Arial"/>
          <w:color w:val="000000"/>
          <w:sz w:val="24"/>
          <w:szCs w:val="24"/>
        </w:rPr>
        <w:t xml:space="preserve"> </w:t>
      </w:r>
      <w:r w:rsidRPr="00A71AD9">
        <w:rPr>
          <w:rFonts w:ascii="Arial" w:eastAsia="Times New Roman" w:hAnsi="Arial" w:cs="Arial"/>
          <w:color w:val="000000"/>
          <w:sz w:val="24"/>
          <w:szCs w:val="24"/>
        </w:rPr>
        <w:t>Kuala Terengganu</w:t>
      </w:r>
      <w:r w:rsidR="00336F48" w:rsidRPr="00A71AD9">
        <w:rPr>
          <w:rFonts w:ascii="Arial" w:eastAsia="Times New Roman" w:hAnsi="Arial" w:cs="Arial"/>
          <w:color w:val="000000"/>
          <w:sz w:val="24"/>
          <w:szCs w:val="24"/>
        </w:rPr>
        <w:t xml:space="preserve">, </w:t>
      </w:r>
      <w:r w:rsidRPr="00A71AD9">
        <w:rPr>
          <w:rFonts w:ascii="Arial" w:eastAsia="Times New Roman" w:hAnsi="Arial" w:cs="Arial"/>
          <w:color w:val="000000"/>
          <w:sz w:val="24"/>
          <w:szCs w:val="24"/>
        </w:rPr>
        <w:t>Terengganu</w:t>
      </w:r>
      <w:r w:rsidR="00336F48" w:rsidRPr="00A71AD9">
        <w:rPr>
          <w:rFonts w:ascii="Arial" w:eastAsia="Times New Roman" w:hAnsi="Arial" w:cs="Arial"/>
          <w:color w:val="000000"/>
          <w:sz w:val="24"/>
          <w:szCs w:val="24"/>
        </w:rPr>
        <w:t>, Malaysia</w:t>
      </w:r>
      <w:r w:rsidR="00336F48" w:rsidRPr="00A71AD9">
        <w:rPr>
          <w:rFonts w:ascii="Arial" w:eastAsia="Times New Roman" w:hAnsi="Arial" w:cs="Arial"/>
          <w:color w:val="000000"/>
          <w:sz w:val="24"/>
          <w:szCs w:val="24"/>
        </w:rPr>
        <w:tab/>
      </w:r>
    </w:p>
    <w:p w:rsidR="00E64D33" w:rsidRPr="00A71AD9" w:rsidRDefault="00DA7E9E">
      <w:pPr>
        <w:widowControl w:val="0"/>
        <w:numPr>
          <w:ilvl w:val="0"/>
          <w:numId w:val="1"/>
        </w:numPr>
        <w:pBdr>
          <w:top w:val="nil"/>
          <w:left w:val="nil"/>
          <w:bottom w:val="nil"/>
          <w:right w:val="nil"/>
          <w:between w:val="nil"/>
        </w:pBdr>
        <w:tabs>
          <w:tab w:val="left" w:pos="223"/>
        </w:tabs>
        <w:spacing w:after="0" w:line="239" w:lineRule="auto"/>
        <w:ind w:left="397"/>
        <w:jc w:val="center"/>
        <w:rPr>
          <w:rFonts w:ascii="Arial" w:eastAsia="Times New Roman" w:hAnsi="Arial" w:cs="Arial"/>
          <w:color w:val="000000"/>
          <w:sz w:val="24"/>
          <w:szCs w:val="24"/>
        </w:rPr>
      </w:pPr>
      <w:r w:rsidRPr="00A71AD9">
        <w:rPr>
          <w:rFonts w:ascii="Arial" w:eastAsia="Times New Roman" w:hAnsi="Arial" w:cs="Arial"/>
          <w:color w:val="000000"/>
          <w:sz w:val="24"/>
          <w:szCs w:val="24"/>
        </w:rPr>
        <w:t>Centre of Islamic</w:t>
      </w:r>
      <w:r w:rsidR="00A71AD9" w:rsidRPr="00A71AD9">
        <w:rPr>
          <w:rFonts w:ascii="Arial" w:eastAsia="Times New Roman" w:hAnsi="Arial" w:cs="Arial"/>
          <w:color w:val="000000"/>
          <w:sz w:val="24"/>
          <w:szCs w:val="24"/>
        </w:rPr>
        <w:t>, General and Language Studies</w:t>
      </w:r>
      <w:r w:rsidR="00336F48" w:rsidRPr="00A71AD9">
        <w:rPr>
          <w:rFonts w:ascii="Arial" w:eastAsia="Times New Roman" w:hAnsi="Arial" w:cs="Arial"/>
          <w:color w:val="000000"/>
          <w:sz w:val="24"/>
          <w:szCs w:val="24"/>
        </w:rPr>
        <w:t xml:space="preserve">, </w:t>
      </w:r>
      <w:r w:rsidR="00A71AD9" w:rsidRPr="00A71AD9">
        <w:rPr>
          <w:rFonts w:ascii="Arial" w:eastAsia="Times New Roman" w:hAnsi="Arial" w:cs="Arial"/>
          <w:color w:val="000000"/>
          <w:sz w:val="24"/>
          <w:szCs w:val="24"/>
        </w:rPr>
        <w:t>Universiti Poly-Tech Malaysia</w:t>
      </w:r>
      <w:r w:rsidR="00336F48" w:rsidRPr="00A71AD9">
        <w:rPr>
          <w:rFonts w:ascii="Arial" w:eastAsia="Times New Roman" w:hAnsi="Arial" w:cs="Arial"/>
          <w:color w:val="000000"/>
          <w:sz w:val="24"/>
          <w:szCs w:val="24"/>
        </w:rPr>
        <w:t xml:space="preserve">, </w:t>
      </w:r>
      <w:r w:rsidR="00A71AD9" w:rsidRPr="00A71AD9">
        <w:rPr>
          <w:rFonts w:ascii="Arial" w:eastAsia="Times New Roman" w:hAnsi="Arial" w:cs="Arial"/>
          <w:color w:val="000000"/>
          <w:sz w:val="24"/>
          <w:szCs w:val="24"/>
        </w:rPr>
        <w:t>56100</w:t>
      </w:r>
      <w:r w:rsidR="00336F48" w:rsidRPr="00A71AD9">
        <w:rPr>
          <w:rFonts w:ascii="Arial" w:eastAsia="Times New Roman" w:hAnsi="Arial" w:cs="Arial"/>
          <w:color w:val="000000"/>
          <w:sz w:val="24"/>
          <w:szCs w:val="24"/>
        </w:rPr>
        <w:t xml:space="preserve"> </w:t>
      </w:r>
      <w:r w:rsidR="00A71AD9" w:rsidRPr="00A71AD9">
        <w:rPr>
          <w:rFonts w:ascii="Arial" w:eastAsia="Times New Roman" w:hAnsi="Arial" w:cs="Arial"/>
          <w:color w:val="000000"/>
          <w:sz w:val="24"/>
          <w:szCs w:val="24"/>
        </w:rPr>
        <w:t>Kuala Lumpur</w:t>
      </w:r>
      <w:r w:rsidR="00336F48" w:rsidRPr="00A71AD9">
        <w:rPr>
          <w:rFonts w:ascii="Arial" w:eastAsia="Times New Roman" w:hAnsi="Arial" w:cs="Arial"/>
          <w:color w:val="000000"/>
          <w:sz w:val="24"/>
          <w:szCs w:val="24"/>
        </w:rPr>
        <w:t xml:space="preserve">, </w:t>
      </w:r>
      <w:r w:rsidR="00A71AD9" w:rsidRPr="00A71AD9">
        <w:rPr>
          <w:rFonts w:ascii="Arial" w:eastAsia="Times New Roman" w:hAnsi="Arial" w:cs="Arial"/>
          <w:color w:val="000000"/>
          <w:sz w:val="24"/>
          <w:szCs w:val="24"/>
        </w:rPr>
        <w:t>Wilayah Persekutuan Kuala Lumpur</w:t>
      </w:r>
      <w:r w:rsidR="00336F48" w:rsidRPr="00A71AD9">
        <w:rPr>
          <w:rFonts w:ascii="Arial" w:eastAsia="Times New Roman" w:hAnsi="Arial" w:cs="Arial"/>
          <w:color w:val="000000"/>
          <w:sz w:val="24"/>
          <w:szCs w:val="24"/>
        </w:rPr>
        <w:t>, Malaysia</w:t>
      </w:r>
    </w:p>
    <w:p w:rsidR="00E64D33" w:rsidRPr="00A71AD9" w:rsidRDefault="00E64D33" w:rsidP="00A71AD9">
      <w:pPr>
        <w:widowControl w:val="0"/>
        <w:pBdr>
          <w:top w:val="nil"/>
          <w:left w:val="nil"/>
          <w:bottom w:val="nil"/>
          <w:right w:val="nil"/>
          <w:between w:val="nil"/>
        </w:pBdr>
        <w:spacing w:before="3" w:after="0" w:line="240" w:lineRule="auto"/>
        <w:ind w:left="397"/>
        <w:jc w:val="center"/>
        <w:rPr>
          <w:rFonts w:ascii="Arial" w:eastAsia="Times New Roman" w:hAnsi="Arial" w:cs="Arial"/>
          <w:color w:val="000000"/>
          <w:sz w:val="24"/>
          <w:szCs w:val="24"/>
        </w:rPr>
      </w:pPr>
    </w:p>
    <w:p w:rsidR="00E64D33" w:rsidRPr="00A71AD9" w:rsidRDefault="00E64D33" w:rsidP="00A71AD9">
      <w:pPr>
        <w:widowControl w:val="0"/>
        <w:pBdr>
          <w:top w:val="nil"/>
          <w:left w:val="nil"/>
          <w:bottom w:val="nil"/>
          <w:right w:val="nil"/>
          <w:between w:val="nil"/>
        </w:pBdr>
        <w:spacing w:before="2" w:after="0" w:line="240" w:lineRule="auto"/>
        <w:ind w:left="397"/>
        <w:jc w:val="both"/>
        <w:rPr>
          <w:rFonts w:ascii="Arial" w:eastAsia="Times New Roman" w:hAnsi="Arial" w:cs="Arial"/>
          <w:color w:val="000000"/>
          <w:sz w:val="24"/>
          <w:szCs w:val="24"/>
        </w:rPr>
      </w:pPr>
    </w:p>
    <w:p w:rsidR="00E64D33" w:rsidRPr="00A71AD9" w:rsidRDefault="00336F48" w:rsidP="00A71AD9">
      <w:pPr>
        <w:spacing w:line="256" w:lineRule="auto"/>
        <w:ind w:left="397" w:right="1342"/>
        <w:jc w:val="both"/>
        <w:rPr>
          <w:rFonts w:ascii="Arial" w:eastAsia="Times New Roman" w:hAnsi="Arial" w:cs="Arial"/>
          <w:b/>
          <w:sz w:val="24"/>
          <w:szCs w:val="24"/>
        </w:rPr>
      </w:pPr>
      <w:r w:rsidRPr="00A71AD9">
        <w:rPr>
          <w:rFonts w:ascii="Arial" w:eastAsia="Times New Roman" w:hAnsi="Arial" w:cs="Arial"/>
          <w:b/>
          <w:sz w:val="24"/>
          <w:szCs w:val="24"/>
        </w:rPr>
        <w:t xml:space="preserve">Abstract: </w:t>
      </w:r>
    </w:p>
    <w:p w:rsidR="00DA7E9E" w:rsidRPr="00A71AD9" w:rsidRDefault="00DA7E9E" w:rsidP="00A71AD9">
      <w:pPr>
        <w:spacing w:line="256" w:lineRule="auto"/>
        <w:ind w:left="397" w:right="1342"/>
        <w:jc w:val="both"/>
        <w:rPr>
          <w:rFonts w:ascii="Arial" w:eastAsia="Times New Roman" w:hAnsi="Arial" w:cs="Arial"/>
          <w:sz w:val="24"/>
          <w:szCs w:val="24"/>
        </w:rPr>
      </w:pPr>
      <w:r w:rsidRPr="00A71AD9">
        <w:rPr>
          <w:rFonts w:ascii="Arial" w:eastAsia="Times New Roman" w:hAnsi="Arial" w:cs="Arial"/>
          <w:sz w:val="24"/>
          <w:szCs w:val="24"/>
        </w:rPr>
        <w:t>This systematic literature review (SLR) aims to synthesize the evolving landscape of political persuasion by mapping the intersections of linguistic rhetoric, psychological emotional appeals, and digital technological affordances. It seeks to define a comprehensive architecture of persuasion that characterizes contemporary political</w:t>
      </w:r>
      <w:r w:rsidR="00A71AD9" w:rsidRPr="00A71AD9">
        <w:rPr>
          <w:rFonts w:ascii="Arial" w:eastAsia="Times New Roman" w:hAnsi="Arial" w:cs="Arial"/>
          <w:sz w:val="24"/>
          <w:szCs w:val="24"/>
        </w:rPr>
        <w:t xml:space="preserve"> discourse in a post truth era. </w:t>
      </w:r>
      <w:r w:rsidRPr="00A71AD9">
        <w:rPr>
          <w:rFonts w:ascii="Arial" w:eastAsia="Times New Roman" w:hAnsi="Arial" w:cs="Arial"/>
          <w:sz w:val="24"/>
          <w:szCs w:val="24"/>
        </w:rPr>
        <w:t>Following the Preferred Reporting Items for Systematic Reviews and Meta-Analyses (PRISMA) guidelines, this study analyzed high impact literature published between 2020 and 2026. The search was conducted across Scopus, Web of Science, and Google Scholar, utilizing a robust selection process to evaluate studies on rhetorical strategies, affective dynamics, and digital evolutio</w:t>
      </w:r>
      <w:r w:rsidR="00A71AD9" w:rsidRPr="00A71AD9">
        <w:rPr>
          <w:rFonts w:ascii="Arial" w:eastAsia="Times New Roman" w:hAnsi="Arial" w:cs="Arial"/>
          <w:sz w:val="24"/>
          <w:szCs w:val="24"/>
        </w:rPr>
        <w:t xml:space="preserve">n in global political contexts. </w:t>
      </w:r>
      <w:r w:rsidRPr="00A71AD9">
        <w:rPr>
          <w:rFonts w:ascii="Arial" w:eastAsia="Times New Roman" w:hAnsi="Arial" w:cs="Arial"/>
          <w:sz w:val="24"/>
          <w:szCs w:val="24"/>
        </w:rPr>
        <w:t xml:space="preserve">The study identifies a three </w:t>
      </w:r>
      <w:r w:rsidR="00174769">
        <w:rPr>
          <w:rFonts w:ascii="Arial" w:eastAsia="Times New Roman" w:hAnsi="Arial" w:cs="Arial"/>
          <w:sz w:val="24"/>
          <w:szCs w:val="24"/>
        </w:rPr>
        <w:t>theme</w:t>
      </w:r>
      <w:r w:rsidRPr="00A71AD9">
        <w:rPr>
          <w:rFonts w:ascii="Arial" w:eastAsia="Times New Roman" w:hAnsi="Arial" w:cs="Arial"/>
          <w:sz w:val="24"/>
          <w:szCs w:val="24"/>
        </w:rPr>
        <w:t xml:space="preserve"> architecture of persuasion: (1) Linguistic micro-structures, where lexical precision and illocutionary acts signal tribal identity; (2) Affective engineering, where empathy is weaponized to fuel in group solidarity and out group hostility; and (3) Digital affordances, where algorithms and memetic aesthetics act as rhetorical agents that favor emotional engagement over rational deliberation. The findings indicate a paradigm shift from traditional logos based persuasion to a pathos dominant model</w:t>
      </w:r>
      <w:r w:rsidR="00A71AD9" w:rsidRPr="00A71AD9">
        <w:rPr>
          <w:rFonts w:ascii="Arial" w:eastAsia="Times New Roman" w:hAnsi="Arial" w:cs="Arial"/>
          <w:sz w:val="24"/>
          <w:szCs w:val="24"/>
        </w:rPr>
        <w:t xml:space="preserve"> optimized for digital warfare. </w:t>
      </w:r>
      <w:r w:rsidRPr="00A71AD9">
        <w:rPr>
          <w:rFonts w:ascii="Arial" w:eastAsia="Times New Roman" w:hAnsi="Arial" w:cs="Arial"/>
          <w:sz w:val="24"/>
          <w:szCs w:val="24"/>
        </w:rPr>
        <w:t xml:space="preserve">This study introduces the integrated Architecture of Persuasion framework, bridging the theoretical silos between linguistics, political psychology, and communication technology. It distinguishes itself by incorporating diverse perspectives from emerging democracies in the Global South, such as Nigeria and Indonesia, into </w:t>
      </w:r>
      <w:r w:rsidR="00A71AD9" w:rsidRPr="00A71AD9">
        <w:rPr>
          <w:rFonts w:ascii="Arial" w:eastAsia="Times New Roman" w:hAnsi="Arial" w:cs="Arial"/>
          <w:sz w:val="24"/>
          <w:szCs w:val="24"/>
        </w:rPr>
        <w:t xml:space="preserve">a global theoretical framework. </w:t>
      </w:r>
      <w:r w:rsidRPr="00A71AD9">
        <w:rPr>
          <w:rFonts w:ascii="Arial" w:eastAsia="Times New Roman" w:hAnsi="Arial" w:cs="Arial"/>
          <w:sz w:val="24"/>
          <w:szCs w:val="24"/>
        </w:rPr>
        <w:t>Academically, this research provides a multi-disciplinary taxonomy that enriches the study of political communication and epistemic polarization. Practically, it offers a roadmap for policymakers and educators to develop digital literacy interventions that address the structural and affective engineering of contemporary political narratives.</w:t>
      </w:r>
    </w:p>
    <w:p w:rsidR="00E64D33" w:rsidRPr="00A71AD9" w:rsidRDefault="00DA7E9E" w:rsidP="00DA7E9E">
      <w:pPr>
        <w:spacing w:line="256" w:lineRule="auto"/>
        <w:ind w:left="397" w:right="1342"/>
        <w:jc w:val="both"/>
        <w:rPr>
          <w:rFonts w:ascii="Arial" w:eastAsia="Times New Roman" w:hAnsi="Arial" w:cs="Arial"/>
          <w:b/>
          <w:sz w:val="24"/>
          <w:szCs w:val="24"/>
        </w:rPr>
      </w:pPr>
      <w:r w:rsidRPr="00A71AD9">
        <w:rPr>
          <w:rFonts w:ascii="Arial" w:eastAsia="Times New Roman" w:hAnsi="Arial" w:cs="Arial"/>
          <w:b/>
          <w:sz w:val="24"/>
          <w:szCs w:val="24"/>
        </w:rPr>
        <w:t>Keywords:</w:t>
      </w:r>
      <w:r w:rsidRPr="00A71AD9">
        <w:rPr>
          <w:rFonts w:ascii="Arial" w:eastAsia="Times New Roman" w:hAnsi="Arial" w:cs="Arial"/>
          <w:sz w:val="24"/>
          <w:szCs w:val="24"/>
        </w:rPr>
        <w:t xml:space="preserve"> Political Discourse, Rhetorical Strategies, Emotional Appeals, Digital Evolution, Systematic Literature Review, Persuasion.</w:t>
      </w:r>
    </w:p>
    <w:p w:rsidR="00E64D33" w:rsidRPr="00A71AD9" w:rsidRDefault="00336F48" w:rsidP="00A71AD9">
      <w:pPr>
        <w:widowControl w:val="0"/>
        <w:numPr>
          <w:ilvl w:val="0"/>
          <w:numId w:val="4"/>
        </w:numPr>
        <w:pBdr>
          <w:top w:val="nil"/>
          <w:left w:val="nil"/>
          <w:bottom w:val="nil"/>
          <w:right w:val="nil"/>
          <w:between w:val="nil"/>
        </w:pBdr>
        <w:spacing w:before="240" w:after="240" w:line="240" w:lineRule="auto"/>
        <w:jc w:val="both"/>
        <w:rPr>
          <w:rFonts w:ascii="Arial" w:eastAsia="Times New Roman" w:hAnsi="Arial" w:cs="Arial"/>
          <w:b/>
          <w:color w:val="000000"/>
          <w:sz w:val="24"/>
          <w:szCs w:val="24"/>
        </w:rPr>
      </w:pPr>
      <w:r w:rsidRPr="00A71AD9">
        <w:rPr>
          <w:rFonts w:ascii="Arial" w:eastAsia="Times New Roman" w:hAnsi="Arial" w:cs="Arial"/>
          <w:b/>
          <w:color w:val="000000"/>
          <w:sz w:val="24"/>
          <w:szCs w:val="24"/>
        </w:rPr>
        <w:lastRenderedPageBreak/>
        <w:t>Introduction</w:t>
      </w:r>
    </w:p>
    <w:p w:rsidR="00644BD4" w:rsidRPr="00A71AD9" w:rsidRDefault="00644BD4" w:rsidP="00A71AD9">
      <w:pPr>
        <w:jc w:val="both"/>
        <w:rPr>
          <w:rFonts w:ascii="Arial" w:eastAsia="Times New Roman" w:hAnsi="Arial" w:cs="Arial"/>
          <w:sz w:val="24"/>
          <w:szCs w:val="24"/>
        </w:rPr>
      </w:pPr>
      <w:r w:rsidRPr="00A71AD9">
        <w:rPr>
          <w:rFonts w:ascii="Arial" w:eastAsia="Times New Roman" w:hAnsi="Arial" w:cs="Arial"/>
          <w:sz w:val="24"/>
          <w:szCs w:val="24"/>
        </w:rPr>
        <w:t>The landscape of global political communication is currently navigating a profound paradigm shift. This transformation is driven by the transition from traditional mass media broadcasting toward a fragmented and high-speed digital ecosystem. At the center of this evolution is what can be termed the architecture of persuasion, which refers to a sophisticated and multifaceted interplay between linguistic precision, psychological manipulation, and technological affordances. In the current post-truth era, political discourse is no longer merely a tool for information dissemination. Instead, it has become a strategic battlefield where leaders and non-state actors utilize complex narratives to influence public perception and preserve institutional power. Understanding the structural components of this persuasion is a critical necessity for maintaining the integrity of democratic discourse in an increasingly polarized world.</w:t>
      </w:r>
    </w:p>
    <w:p w:rsidR="00644BD4" w:rsidRPr="00A71AD9" w:rsidRDefault="00644BD4" w:rsidP="00644BD4">
      <w:pPr>
        <w:ind w:firstLine="397"/>
        <w:jc w:val="both"/>
        <w:rPr>
          <w:rFonts w:ascii="Arial" w:eastAsia="Times New Roman" w:hAnsi="Arial" w:cs="Arial"/>
          <w:sz w:val="24"/>
          <w:szCs w:val="24"/>
        </w:rPr>
      </w:pPr>
      <w:r w:rsidRPr="00A71AD9">
        <w:rPr>
          <w:rFonts w:ascii="Arial" w:eastAsia="Times New Roman" w:hAnsi="Arial" w:cs="Arial"/>
          <w:sz w:val="24"/>
          <w:szCs w:val="24"/>
        </w:rPr>
        <w:t>Recent academic inquiries have begun to document how these persuasive mechanisms operate across various high-stakes environments. For instance, the 2024 United States presidential race provided a fertile ground for analyzing how specific lexical choices and illocutionary speech acts distinguish opposing political ideologies (Wicke &amp; Bolognesi, 2025; Liu &amp; Huddin, 2025). Beyond formal debates, the shift toward digital platforms has introduced new discursive strategies, such as the use of memes in health-related political communication or the mobilization of Gen Z through environmental narratives on TikTok (Coriasco et al., 2026; Causa, 2026). Furthermore, the role of affect has moved to the forefront of political science, with scholars suggesting that emotional dynamics are now the primary drivers of coalition building and public mobilization during times of crisis (Maor, 2026; Mohamed Nour &amp; Kisa, 2024).</w:t>
      </w:r>
    </w:p>
    <w:p w:rsidR="00644BD4" w:rsidRPr="00A71AD9" w:rsidRDefault="00644BD4" w:rsidP="00644BD4">
      <w:pPr>
        <w:ind w:firstLine="397"/>
        <w:jc w:val="both"/>
        <w:rPr>
          <w:rFonts w:ascii="Arial" w:eastAsia="Times New Roman" w:hAnsi="Arial" w:cs="Arial"/>
          <w:sz w:val="24"/>
          <w:szCs w:val="24"/>
        </w:rPr>
      </w:pPr>
      <w:r w:rsidRPr="00A71AD9">
        <w:rPr>
          <w:rFonts w:ascii="Arial" w:eastAsia="Times New Roman" w:hAnsi="Arial" w:cs="Arial"/>
          <w:sz w:val="24"/>
          <w:szCs w:val="24"/>
        </w:rPr>
        <w:t xml:space="preserve">Despite the rapid accumulation of empirical studies, a significant and problematic research gap persists in the current body of literature. Existing reviews frequently treat rhetorical strategies, emotional appeals, and technological evolutions as isolated phenomena rather than interconnected components of a single persuasive system. While traditional rhetoric focuses on the classical </w:t>
      </w:r>
      <w:r w:rsidR="00174769">
        <w:rPr>
          <w:rFonts w:ascii="Arial" w:eastAsia="Times New Roman" w:hAnsi="Arial" w:cs="Arial"/>
          <w:sz w:val="24"/>
          <w:szCs w:val="24"/>
        </w:rPr>
        <w:t>theme</w:t>
      </w:r>
      <w:r w:rsidRPr="00A71AD9">
        <w:rPr>
          <w:rFonts w:ascii="Arial" w:eastAsia="Times New Roman" w:hAnsi="Arial" w:cs="Arial"/>
          <w:sz w:val="24"/>
          <w:szCs w:val="24"/>
        </w:rPr>
        <w:t>s of ethos, logos, and pathos, there is a lack of comprehensive synthesis regarding how these elements are structurally reconfigured by modern digital affordances. For example, although the literature describes the presence of "strategic lying" and "digital warfare" in specific conflict zones (Jarvis et al., 2026; Abbink, 2026), it fails to provide a unified framework that explains how these tactics utilize emotional engineering to achieve political hegemony. Moreover, much of the existing research remains Western-centric, leaving a void in our understanding of how persuasion is constructed in emerging democratic contexts such as Nigeria or Indonesia (Adedayo &amp; Asonibare, 2026; Utami et al., 2024).</w:t>
      </w:r>
    </w:p>
    <w:p w:rsidR="00A71AD9" w:rsidRDefault="00644BD4" w:rsidP="00A71AD9">
      <w:pPr>
        <w:ind w:firstLine="397"/>
        <w:jc w:val="both"/>
        <w:rPr>
          <w:rFonts w:ascii="Arial" w:eastAsia="Times New Roman" w:hAnsi="Arial" w:cs="Arial"/>
          <w:sz w:val="24"/>
          <w:szCs w:val="24"/>
        </w:rPr>
      </w:pPr>
      <w:r w:rsidRPr="00A71AD9">
        <w:rPr>
          <w:rFonts w:ascii="Arial" w:eastAsia="Times New Roman" w:hAnsi="Arial" w:cs="Arial"/>
          <w:sz w:val="24"/>
          <w:szCs w:val="24"/>
        </w:rPr>
        <w:t xml:space="preserve">This Systematic Literature Review (SLR) establishes its novelty by proposing and populating a comprehensive theoretical framework titled the Architecture of Persuasion. Unlike previous reviews that focus on a single political event or a specific linguistic device, this study synthesizes global literature from 2020 to 2026 to map the convergence of three critical </w:t>
      </w:r>
      <w:r w:rsidR="00174769">
        <w:rPr>
          <w:rFonts w:ascii="Arial" w:eastAsia="Times New Roman" w:hAnsi="Arial" w:cs="Arial"/>
          <w:sz w:val="24"/>
          <w:szCs w:val="24"/>
        </w:rPr>
        <w:t>theme</w:t>
      </w:r>
      <w:r w:rsidRPr="00A71AD9">
        <w:rPr>
          <w:rFonts w:ascii="Arial" w:eastAsia="Times New Roman" w:hAnsi="Arial" w:cs="Arial"/>
          <w:sz w:val="24"/>
          <w:szCs w:val="24"/>
        </w:rPr>
        <w:t xml:space="preserve">s. First, it evaluates linguistic rhetoric by moving beyond simple word choices to identify narrative patterns that distinguish disinformation from trustworthy news (Mandravickaitė &amp; Krilavičius, 2026). Second, it investigates affective engineering, specifically analyzing how empathy is weaponized in populist movements (Murray, 2025). </w:t>
      </w:r>
      <w:r w:rsidRPr="00A71AD9">
        <w:rPr>
          <w:rFonts w:ascii="Arial" w:eastAsia="Times New Roman" w:hAnsi="Arial" w:cs="Arial"/>
          <w:sz w:val="24"/>
          <w:szCs w:val="24"/>
        </w:rPr>
        <w:lastRenderedPageBreak/>
        <w:t>Third, it assesses digital affordances to determine how platform-specific features like algorithms and social media aesthetics act as structural catalysts for persuasion (Coriasco et al., 2026; Causa, 2026). By integrating these diverse strands of research, this article provides a holistic taxonomy that clarifies how the structural environment of the 2020s enables certain forms of persuasion to dominate the public sphere while marginalizing others.</w:t>
      </w:r>
    </w:p>
    <w:p w:rsidR="00A71AD9" w:rsidRPr="00A71AD9" w:rsidRDefault="00A71AD9" w:rsidP="00A71AD9">
      <w:pPr>
        <w:ind w:firstLine="397"/>
        <w:jc w:val="both"/>
        <w:rPr>
          <w:rFonts w:ascii="Arial" w:eastAsia="Times New Roman" w:hAnsi="Arial" w:cs="Arial"/>
          <w:sz w:val="24"/>
          <w:szCs w:val="24"/>
        </w:rPr>
      </w:pPr>
    </w:p>
    <w:p w:rsidR="00A71AD9" w:rsidRPr="00A71AD9" w:rsidRDefault="00336F48" w:rsidP="00A71AD9">
      <w:pPr>
        <w:pStyle w:val="ListParagraph"/>
        <w:numPr>
          <w:ilvl w:val="0"/>
          <w:numId w:val="4"/>
        </w:numPr>
        <w:spacing w:after="240"/>
        <w:jc w:val="both"/>
        <w:rPr>
          <w:rFonts w:ascii="Arial" w:eastAsia="Times New Roman" w:hAnsi="Arial" w:cs="Arial"/>
          <w:b/>
          <w:color w:val="000000"/>
          <w:sz w:val="24"/>
          <w:szCs w:val="24"/>
        </w:rPr>
      </w:pPr>
      <w:r w:rsidRPr="00A71AD9">
        <w:rPr>
          <w:rFonts w:ascii="Arial" w:eastAsia="Times New Roman" w:hAnsi="Arial" w:cs="Arial"/>
          <w:b/>
          <w:color w:val="000000"/>
          <w:sz w:val="24"/>
          <w:szCs w:val="24"/>
        </w:rPr>
        <w:t>Material and methods</w:t>
      </w:r>
    </w:p>
    <w:p w:rsidR="00A71AD9" w:rsidRPr="00A71AD9" w:rsidRDefault="00644BD4" w:rsidP="00A71AD9">
      <w:pPr>
        <w:jc w:val="both"/>
        <w:rPr>
          <w:rFonts w:ascii="Arial" w:hAnsi="Arial" w:cs="Arial"/>
          <w:sz w:val="24"/>
          <w:szCs w:val="24"/>
        </w:rPr>
      </w:pPr>
      <w:r w:rsidRPr="00A71AD9">
        <w:rPr>
          <w:rFonts w:ascii="Arial" w:hAnsi="Arial" w:cs="Arial"/>
          <w:sz w:val="24"/>
          <w:szCs w:val="24"/>
        </w:rPr>
        <w:t>This study employs a Systematic Literature Review (SLR) methodology to identify, evaluate, and synthesize the body of evidence regarding the architecture of persuasion in contemporary political discourse. The review process is strictly governed by the Preferred Reporting Items for Systematic Reviews and Meta-Analyses (PRISMA) guidelines to ensure a transparent, replicable, and rigorous synthesis of the literature (Moher et al., 2009). By adopting this systematic approach, the research minimizes bias and provides a comprehensive overview of how rhetorical strategies and emotional appeals have evolved within the digital landscape of the 2020s.</w:t>
      </w:r>
    </w:p>
    <w:p w:rsidR="00A71AD9" w:rsidRPr="00A71AD9" w:rsidRDefault="00644BD4" w:rsidP="00A71AD9">
      <w:pPr>
        <w:ind w:firstLine="397"/>
        <w:jc w:val="both"/>
        <w:rPr>
          <w:rFonts w:ascii="Arial" w:hAnsi="Arial" w:cs="Arial"/>
          <w:sz w:val="24"/>
          <w:szCs w:val="24"/>
        </w:rPr>
      </w:pPr>
      <w:r w:rsidRPr="00A71AD9">
        <w:rPr>
          <w:rFonts w:ascii="Arial" w:hAnsi="Arial" w:cs="Arial"/>
          <w:sz w:val="24"/>
          <w:szCs w:val="24"/>
        </w:rPr>
        <w:t xml:space="preserve">The operationalization of the search strategy involved a multi-stage query across primary academic databases, including Scopus and Web of Science, which were selected for their high-impact social science indexing. These were supplemented by Google Scholar to capture emerging research and specific case studies from diverse geographical contexts such as Nigeria and Indonesia (Adedayo &amp; Asonibare, 2026; Utami et al., 2024). The search string was constructed using Boolean operators to bridge the three </w:t>
      </w:r>
      <w:r w:rsidR="00174769">
        <w:rPr>
          <w:rFonts w:ascii="Arial" w:hAnsi="Arial" w:cs="Arial"/>
          <w:sz w:val="24"/>
          <w:szCs w:val="24"/>
        </w:rPr>
        <w:t>theme</w:t>
      </w:r>
      <w:r w:rsidRPr="00A71AD9">
        <w:rPr>
          <w:rFonts w:ascii="Arial" w:hAnsi="Arial" w:cs="Arial"/>
          <w:sz w:val="24"/>
          <w:szCs w:val="24"/>
        </w:rPr>
        <w:t>s of the study: ("political discourse" OR "political communication") AND ("persuasion" OR "rhetoric*") AND ("emotional appeal*" OR "affective dynamics") AND ("digital evolution" OR "social media" OR "algorithm"). The timeframe was limited to publications between January 2020 and April 2026 to focus specifically on the most recent technological shifts and the "post-truth" political environment.</w:t>
      </w:r>
    </w:p>
    <w:p w:rsidR="00A71AD9" w:rsidRPr="00A71AD9" w:rsidRDefault="00644BD4" w:rsidP="00A71AD9">
      <w:pPr>
        <w:ind w:firstLine="397"/>
        <w:jc w:val="both"/>
        <w:rPr>
          <w:rFonts w:ascii="Arial" w:hAnsi="Arial" w:cs="Arial"/>
          <w:sz w:val="24"/>
          <w:szCs w:val="24"/>
        </w:rPr>
      </w:pPr>
      <w:r w:rsidRPr="00A71AD9">
        <w:rPr>
          <w:rFonts w:ascii="Arial" w:hAnsi="Arial" w:cs="Arial"/>
          <w:sz w:val="24"/>
          <w:szCs w:val="24"/>
        </w:rPr>
        <w:t>Eligibility was determined through a rigorous set of inclusion and exclusion criteria. To be included, articles had to be peer-reviewed journal papers or doctoral dissertations that offered empirical or theoretical insights into political persuasion. Studies were required to focus on contemporary mechanisms such as illocutionary speech acts in debates, digital environmental discourses, or the role of social media in conflict-driven rhetoric (Liu &amp; Huddin, 2025; Causa, 2026; Abbink, 2026). Exclusion criteria were applied to remove articles lacking full-text access, those focused purely on commercial marketing without political implications, and non-academic opinion pieces. This ensured that the final synthesis was based on high-quality, methodologically sound scholarship.</w:t>
      </w:r>
    </w:p>
    <w:p w:rsidR="00A71AD9" w:rsidRPr="00A71AD9" w:rsidRDefault="00644BD4" w:rsidP="00A71AD9">
      <w:pPr>
        <w:ind w:firstLine="397"/>
        <w:jc w:val="both"/>
        <w:rPr>
          <w:rFonts w:ascii="Arial" w:hAnsi="Arial" w:cs="Arial"/>
          <w:sz w:val="24"/>
          <w:szCs w:val="24"/>
        </w:rPr>
      </w:pPr>
      <w:r w:rsidRPr="00A71AD9">
        <w:rPr>
          <w:rFonts w:ascii="Arial" w:hAnsi="Arial" w:cs="Arial"/>
          <w:sz w:val="24"/>
          <w:szCs w:val="24"/>
        </w:rPr>
        <w:t xml:space="preserve">The selection process followed the four-phase PRISMA flow: identification, screening, eligibility, and inclusion. Initially, automated software was utilized to remove duplicate records across databases. The remaining titles and abstracts were then manually screened to assess their relevance to the "architecture of persuasion" framework. Articles that passed this stage underwent a full-text assessment for quality using an adapted version of the Critical Appraisal Skills Programme (CASP) checklist. This assessment prioritized studies that demonstrated clear research objectives and robust linguistic or sociological methodologies, such as those </w:t>
      </w:r>
      <w:r w:rsidRPr="00A71AD9">
        <w:rPr>
          <w:rFonts w:ascii="Arial" w:hAnsi="Arial" w:cs="Arial"/>
          <w:sz w:val="24"/>
          <w:szCs w:val="24"/>
        </w:rPr>
        <w:lastRenderedPageBreak/>
        <w:t>analyzing the lexical choices of global leaders or narrative patterns in disinformation (Wicke &amp; Bolognesi, 2025; Mandravickaitė &amp; Krilavičius, 2026).</w:t>
      </w:r>
    </w:p>
    <w:p w:rsidR="00A71AD9" w:rsidRDefault="00644BD4" w:rsidP="00A71AD9">
      <w:pPr>
        <w:ind w:firstLine="397"/>
        <w:jc w:val="both"/>
        <w:rPr>
          <w:rFonts w:ascii="Arial" w:hAnsi="Arial" w:cs="Arial"/>
          <w:sz w:val="24"/>
          <w:szCs w:val="24"/>
        </w:rPr>
      </w:pPr>
      <w:r w:rsidRPr="00A71AD9">
        <w:rPr>
          <w:rFonts w:ascii="Arial" w:hAnsi="Arial" w:cs="Arial"/>
          <w:sz w:val="24"/>
          <w:szCs w:val="24"/>
        </w:rPr>
        <w:t>Data extraction and synthesis were conducted through a thematic approach, categorizing the findings into a structured matrix. This matrix organized literature based on three operational domains: linguistic rhetorical strategies, affective engineering through emotional appeals, and the structural influence of digital platforms. By synthesizing these data points, the review identifies consistent patterns in how empathy is weaponized in populist movements and how platform-specific affordances like memes or algorithms redefine political influence (Murray, 2025; Coriasco et al., 2026). This systematic synthesis allows for the development of a holistic taxonomy that highlights the current state of political communication and points toward critical gaps for future research in polarized issue fields (Jarvis et al., 2026).</w:t>
      </w:r>
    </w:p>
    <w:p w:rsidR="00A71AD9" w:rsidRPr="00A71AD9" w:rsidRDefault="00A71AD9" w:rsidP="00A71AD9">
      <w:pPr>
        <w:ind w:firstLine="397"/>
        <w:jc w:val="both"/>
        <w:rPr>
          <w:rFonts w:ascii="Arial" w:eastAsia="Times New Roman" w:hAnsi="Arial" w:cs="Arial"/>
          <w:sz w:val="24"/>
          <w:szCs w:val="24"/>
        </w:rPr>
      </w:pPr>
    </w:p>
    <w:p w:rsidR="00A71AD9" w:rsidRPr="00A71AD9" w:rsidRDefault="00336F48" w:rsidP="00A71AD9">
      <w:pPr>
        <w:pStyle w:val="ListParagraph"/>
        <w:numPr>
          <w:ilvl w:val="0"/>
          <w:numId w:val="4"/>
        </w:numPr>
        <w:spacing w:after="240"/>
        <w:jc w:val="both"/>
        <w:rPr>
          <w:rFonts w:ascii="Arial" w:eastAsia="Times New Roman" w:hAnsi="Arial" w:cs="Arial"/>
          <w:sz w:val="24"/>
          <w:szCs w:val="24"/>
        </w:rPr>
      </w:pPr>
      <w:r w:rsidRPr="00A71AD9">
        <w:rPr>
          <w:rFonts w:ascii="Arial" w:eastAsia="Times New Roman" w:hAnsi="Arial" w:cs="Arial"/>
          <w:b/>
          <w:color w:val="000000"/>
          <w:sz w:val="24"/>
          <w:szCs w:val="24"/>
          <w:highlight w:val="white"/>
        </w:rPr>
        <w:t>Result and Finding</w:t>
      </w:r>
    </w:p>
    <w:p w:rsidR="00A71AD9" w:rsidRDefault="00336F48" w:rsidP="00A71AD9">
      <w:pPr>
        <w:spacing w:after="240"/>
        <w:jc w:val="both"/>
        <w:rPr>
          <w:rFonts w:ascii="Arial" w:hAnsi="Arial" w:cs="Arial"/>
          <w:b/>
          <w:sz w:val="24"/>
          <w:szCs w:val="24"/>
        </w:rPr>
      </w:pPr>
      <w:r w:rsidRPr="00A71AD9">
        <w:rPr>
          <w:rFonts w:ascii="Arial" w:hAnsi="Arial" w:cs="Arial"/>
          <w:b/>
          <w:sz w:val="24"/>
          <w:szCs w:val="24"/>
        </w:rPr>
        <w:t>Theme I: Linguistic Micro-Structures and Rhetorical Engineering</w:t>
      </w:r>
    </w:p>
    <w:p w:rsidR="00A71AD9" w:rsidRDefault="00336F48" w:rsidP="00A71AD9">
      <w:pPr>
        <w:spacing w:after="240"/>
        <w:ind w:firstLine="426"/>
        <w:jc w:val="both"/>
        <w:rPr>
          <w:rFonts w:ascii="Arial" w:hAnsi="Arial" w:cs="Arial"/>
          <w:sz w:val="24"/>
          <w:szCs w:val="24"/>
        </w:rPr>
      </w:pPr>
      <w:r w:rsidRPr="00A71AD9">
        <w:rPr>
          <w:rFonts w:ascii="Arial" w:hAnsi="Arial" w:cs="Arial"/>
          <w:sz w:val="24"/>
          <w:szCs w:val="24"/>
        </w:rPr>
        <w:t xml:space="preserve">The first </w:t>
      </w:r>
      <w:r w:rsidR="00174769">
        <w:rPr>
          <w:rFonts w:ascii="Arial" w:hAnsi="Arial" w:cs="Arial"/>
          <w:sz w:val="24"/>
          <w:szCs w:val="24"/>
        </w:rPr>
        <w:t>theme</w:t>
      </w:r>
      <w:r w:rsidRPr="00A71AD9">
        <w:rPr>
          <w:rFonts w:ascii="Arial" w:hAnsi="Arial" w:cs="Arial"/>
          <w:sz w:val="24"/>
          <w:szCs w:val="24"/>
        </w:rPr>
        <w:t xml:space="preserve"> of the architecture of persuasion reveals that contemporary political influence is increasingly predicated on the technical granularity of language. Rather than relying solely on broad ideological appeals, modern political actors engage in rhetorical engineering through linguistic micro-structures that signal identity and enforce authority. This thematic cluster identifies a significant shift toward lexical precision, where word choices are meticulously calibrated to resonate within specific ideological silos. In the context of the 2024 United States presidential race, linguistic markers such as "Red" versus "Blue" terminology are utilized as tribal identifiers that consolidate group loyalty while simultaneously alienating the opposition (Wicke &amp; Bolognesi, 2025). Furthermore, the application of illocutionary speech acts has evolved beyond simple communication; these acts now function as instruments of power used to assert dominance and establish discursive legitimacy in contested public arenas (Liu &amp; Huddin, 2025).</w:t>
      </w:r>
    </w:p>
    <w:p w:rsidR="00336F48" w:rsidRPr="00A71AD9" w:rsidRDefault="00336F48" w:rsidP="00A71AD9">
      <w:pPr>
        <w:spacing w:after="240"/>
        <w:ind w:firstLine="426"/>
        <w:jc w:val="both"/>
        <w:rPr>
          <w:rFonts w:ascii="Arial" w:eastAsia="Times New Roman" w:hAnsi="Arial" w:cs="Arial"/>
          <w:sz w:val="24"/>
          <w:szCs w:val="24"/>
        </w:rPr>
      </w:pPr>
      <w:r w:rsidRPr="00A71AD9">
        <w:rPr>
          <w:rFonts w:ascii="Arial" w:hAnsi="Arial" w:cs="Arial"/>
          <w:sz w:val="24"/>
          <w:szCs w:val="24"/>
        </w:rPr>
        <w:t>A critical dimension of this linguistic engineering is found in the divergent narrative patterns between institutional truth and strategic disinformation. Evidence suggests that disinformation campaigns do not merely mirror legitimate news but employ distinct, simplified, and highly repetitive rhetorical structures to manufacture a sense of "truth" through cognitive fluency (Mandravickaitė &amp; Krilavičius, 2026). This is often complemented by the rhetoric of mockery, a strategy that leverages minimal linguistic markers such as quotation marks or specific punctuation to delegitimize opponents without engaging in substantive policy debate (Robles &amp; Xiong, 2024). These findings suggest that the architecture of persuasion is becoming more reliant on the structural and symbolic properties of language rather than its deliberative potential.</w:t>
      </w:r>
    </w:p>
    <w:p w:rsidR="00A71AD9" w:rsidRDefault="00A71AD9">
      <w:pPr>
        <w:rPr>
          <w:rFonts w:ascii="Arial" w:hAnsi="Arial" w:cs="Arial"/>
          <w:b/>
          <w:sz w:val="24"/>
          <w:szCs w:val="24"/>
        </w:rPr>
      </w:pPr>
      <w:r>
        <w:rPr>
          <w:rFonts w:ascii="Arial" w:hAnsi="Arial" w:cs="Arial"/>
        </w:rPr>
        <w:br w:type="page"/>
      </w:r>
    </w:p>
    <w:p w:rsidR="00A71AD9" w:rsidRDefault="00A71AD9" w:rsidP="00A71AD9">
      <w:pPr>
        <w:pStyle w:val="Heading4"/>
        <w:jc w:val="center"/>
        <w:rPr>
          <w:rFonts w:ascii="Arial" w:hAnsi="Arial" w:cs="Arial"/>
        </w:rPr>
        <w:sectPr w:rsidR="00A71AD9" w:rsidSect="00DA7E9E">
          <w:headerReference w:type="default" r:id="rId8"/>
          <w:footerReference w:type="default" r:id="rId9"/>
          <w:pgSz w:w="11910" w:h="16840"/>
          <w:pgMar w:top="1440" w:right="1080" w:bottom="1440" w:left="1080" w:header="720" w:footer="720" w:gutter="0"/>
          <w:cols w:space="720"/>
          <w:docGrid w:linePitch="299"/>
        </w:sectPr>
      </w:pPr>
    </w:p>
    <w:p w:rsidR="00336F48" w:rsidRDefault="00A71AD9" w:rsidP="00A71AD9">
      <w:pPr>
        <w:pStyle w:val="Heading4"/>
        <w:jc w:val="center"/>
        <w:rPr>
          <w:rFonts w:ascii="Arial" w:hAnsi="Arial" w:cs="Arial"/>
        </w:rPr>
      </w:pPr>
      <w:r>
        <w:rPr>
          <w:rFonts w:ascii="Arial" w:hAnsi="Arial" w:cs="Arial"/>
        </w:rPr>
        <w:lastRenderedPageBreak/>
        <w:t xml:space="preserve">Table 1 : </w:t>
      </w:r>
      <w:r w:rsidR="00336F48" w:rsidRPr="00A71AD9">
        <w:rPr>
          <w:rFonts w:ascii="Arial" w:hAnsi="Arial" w:cs="Arial"/>
        </w:rPr>
        <w:t>Summary of Key Studies in Linguistic Rhetorical Engineering</w:t>
      </w:r>
    </w:p>
    <w:tbl>
      <w:tblPr>
        <w:tblStyle w:val="TableGrid"/>
        <w:tblW w:w="0" w:type="auto"/>
        <w:tblLayout w:type="fixed"/>
        <w:tblLook w:val="04A0" w:firstRow="1" w:lastRow="0" w:firstColumn="1" w:lastColumn="0" w:noHBand="0" w:noVBand="1"/>
      </w:tblPr>
      <w:tblGrid>
        <w:gridCol w:w="1696"/>
        <w:gridCol w:w="2552"/>
        <w:gridCol w:w="1276"/>
        <w:gridCol w:w="2447"/>
        <w:gridCol w:w="1947"/>
        <w:gridCol w:w="2551"/>
        <w:gridCol w:w="1481"/>
      </w:tblGrid>
      <w:tr w:rsidR="00A71AD9" w:rsidRPr="00A71AD9" w:rsidTr="00663E5D">
        <w:tc>
          <w:tcPr>
            <w:tcW w:w="1696" w:type="dxa"/>
          </w:tcPr>
          <w:p w:rsidR="00A71AD9" w:rsidRPr="00A71AD9" w:rsidRDefault="00A71AD9" w:rsidP="00A71AD9">
            <w:pPr>
              <w:jc w:val="center"/>
              <w:rPr>
                <w:rFonts w:ascii="Arial" w:hAnsi="Arial" w:cs="Arial"/>
                <w:sz w:val="24"/>
                <w:szCs w:val="24"/>
              </w:rPr>
            </w:pPr>
            <w:r w:rsidRPr="00A71AD9">
              <w:rPr>
                <w:rFonts w:ascii="Arial" w:hAnsi="Arial" w:cs="Arial"/>
                <w:sz w:val="24"/>
                <w:szCs w:val="24"/>
              </w:rPr>
              <w:t>Authors</w:t>
            </w:r>
          </w:p>
        </w:tc>
        <w:tc>
          <w:tcPr>
            <w:tcW w:w="2552" w:type="dxa"/>
          </w:tcPr>
          <w:p w:rsidR="00A71AD9" w:rsidRPr="00A71AD9" w:rsidRDefault="00A71AD9" w:rsidP="00A71AD9">
            <w:pPr>
              <w:jc w:val="center"/>
              <w:rPr>
                <w:rFonts w:ascii="Arial" w:hAnsi="Arial" w:cs="Arial"/>
                <w:sz w:val="24"/>
                <w:szCs w:val="24"/>
              </w:rPr>
            </w:pPr>
            <w:r w:rsidRPr="00A71AD9">
              <w:rPr>
                <w:rFonts w:ascii="Arial" w:hAnsi="Arial" w:cs="Arial"/>
                <w:sz w:val="24"/>
                <w:szCs w:val="24"/>
              </w:rPr>
              <w:t>Title and Year</w:t>
            </w:r>
          </w:p>
        </w:tc>
        <w:tc>
          <w:tcPr>
            <w:tcW w:w="1276" w:type="dxa"/>
          </w:tcPr>
          <w:p w:rsidR="00A71AD9" w:rsidRPr="00A71AD9" w:rsidRDefault="00A71AD9" w:rsidP="00A71AD9">
            <w:pPr>
              <w:jc w:val="center"/>
              <w:rPr>
                <w:rFonts w:ascii="Arial" w:hAnsi="Arial" w:cs="Arial"/>
                <w:sz w:val="24"/>
                <w:szCs w:val="24"/>
              </w:rPr>
            </w:pPr>
            <w:r w:rsidRPr="00A71AD9">
              <w:rPr>
                <w:rFonts w:ascii="Arial" w:hAnsi="Arial" w:cs="Arial"/>
                <w:sz w:val="24"/>
                <w:szCs w:val="24"/>
              </w:rPr>
              <w:t>Country</w:t>
            </w:r>
          </w:p>
        </w:tc>
        <w:tc>
          <w:tcPr>
            <w:tcW w:w="2447" w:type="dxa"/>
          </w:tcPr>
          <w:p w:rsidR="00A71AD9" w:rsidRPr="00A71AD9" w:rsidRDefault="00A71AD9" w:rsidP="00A71AD9">
            <w:pPr>
              <w:jc w:val="center"/>
              <w:rPr>
                <w:rFonts w:ascii="Arial" w:hAnsi="Arial" w:cs="Arial"/>
                <w:sz w:val="24"/>
                <w:szCs w:val="24"/>
              </w:rPr>
            </w:pPr>
            <w:r w:rsidRPr="00A71AD9">
              <w:rPr>
                <w:rFonts w:ascii="Arial" w:hAnsi="Arial" w:cs="Arial"/>
                <w:sz w:val="24"/>
                <w:szCs w:val="24"/>
              </w:rPr>
              <w:t>Aim</w:t>
            </w:r>
          </w:p>
        </w:tc>
        <w:tc>
          <w:tcPr>
            <w:tcW w:w="1947" w:type="dxa"/>
          </w:tcPr>
          <w:p w:rsidR="00A71AD9" w:rsidRPr="00A71AD9" w:rsidRDefault="00A71AD9" w:rsidP="00A71AD9">
            <w:pPr>
              <w:jc w:val="center"/>
              <w:rPr>
                <w:rFonts w:ascii="Arial" w:hAnsi="Arial" w:cs="Arial"/>
                <w:sz w:val="24"/>
                <w:szCs w:val="24"/>
              </w:rPr>
            </w:pPr>
            <w:r w:rsidRPr="00A71AD9">
              <w:rPr>
                <w:rFonts w:ascii="Arial" w:hAnsi="Arial" w:cs="Arial"/>
                <w:sz w:val="24"/>
                <w:szCs w:val="24"/>
              </w:rPr>
              <w:t>Methodology</w:t>
            </w:r>
          </w:p>
        </w:tc>
        <w:tc>
          <w:tcPr>
            <w:tcW w:w="2551" w:type="dxa"/>
          </w:tcPr>
          <w:p w:rsidR="00A71AD9" w:rsidRPr="00A71AD9" w:rsidRDefault="00A71AD9" w:rsidP="00A71AD9">
            <w:pPr>
              <w:jc w:val="center"/>
              <w:rPr>
                <w:rFonts w:ascii="Arial" w:hAnsi="Arial" w:cs="Arial"/>
                <w:sz w:val="24"/>
                <w:szCs w:val="24"/>
              </w:rPr>
            </w:pPr>
            <w:r w:rsidRPr="00A71AD9">
              <w:rPr>
                <w:rFonts w:ascii="Arial" w:hAnsi="Arial" w:cs="Arial"/>
                <w:sz w:val="24"/>
                <w:szCs w:val="24"/>
              </w:rPr>
              <w:t>Findings</w:t>
            </w:r>
          </w:p>
        </w:tc>
        <w:tc>
          <w:tcPr>
            <w:tcW w:w="1481" w:type="dxa"/>
          </w:tcPr>
          <w:p w:rsidR="00A71AD9" w:rsidRPr="00A71AD9" w:rsidRDefault="00A71AD9" w:rsidP="00A71AD9">
            <w:pPr>
              <w:jc w:val="center"/>
              <w:rPr>
                <w:rFonts w:ascii="Arial" w:hAnsi="Arial" w:cs="Arial"/>
                <w:sz w:val="24"/>
                <w:szCs w:val="24"/>
              </w:rPr>
            </w:pPr>
            <w:r w:rsidRPr="00A71AD9">
              <w:rPr>
                <w:rFonts w:ascii="Arial" w:hAnsi="Arial" w:cs="Arial"/>
                <w:sz w:val="24"/>
                <w:szCs w:val="24"/>
              </w:rPr>
              <w:t>Journal</w:t>
            </w:r>
          </w:p>
        </w:tc>
      </w:tr>
      <w:tr w:rsidR="00A71AD9" w:rsidRPr="00A71AD9" w:rsidTr="00663E5D">
        <w:tc>
          <w:tcPr>
            <w:tcW w:w="1696" w:type="dxa"/>
          </w:tcPr>
          <w:p w:rsidR="00A71AD9" w:rsidRPr="00A71AD9" w:rsidRDefault="00A71AD9" w:rsidP="00A71AD9">
            <w:pPr>
              <w:rPr>
                <w:rFonts w:ascii="Arial" w:hAnsi="Arial" w:cs="Arial"/>
                <w:sz w:val="24"/>
                <w:szCs w:val="24"/>
              </w:rPr>
            </w:pPr>
            <w:r w:rsidRPr="00A71AD9">
              <w:rPr>
                <w:rFonts w:ascii="Arial" w:hAnsi="Arial" w:cs="Arial"/>
                <w:sz w:val="24"/>
                <w:szCs w:val="24"/>
              </w:rPr>
              <w:t>Wicke, P., &amp; Bolognesi, M. M.</w:t>
            </w:r>
          </w:p>
        </w:tc>
        <w:tc>
          <w:tcPr>
            <w:tcW w:w="2552" w:type="dxa"/>
          </w:tcPr>
          <w:p w:rsidR="00A71AD9" w:rsidRPr="00A71AD9" w:rsidRDefault="00A71AD9" w:rsidP="00A71AD9">
            <w:pPr>
              <w:rPr>
                <w:rFonts w:ascii="Arial" w:hAnsi="Arial" w:cs="Arial"/>
                <w:sz w:val="24"/>
                <w:szCs w:val="24"/>
              </w:rPr>
            </w:pPr>
            <w:r w:rsidRPr="00A71AD9">
              <w:rPr>
                <w:rFonts w:ascii="Arial" w:hAnsi="Arial" w:cs="Arial"/>
                <w:sz w:val="24"/>
                <w:szCs w:val="24"/>
              </w:rPr>
              <w:t>Red and blue language: Word choices in the Trump and Harris 2024 presidential debate (2025)</w:t>
            </w:r>
          </w:p>
        </w:tc>
        <w:tc>
          <w:tcPr>
            <w:tcW w:w="1276" w:type="dxa"/>
          </w:tcPr>
          <w:p w:rsidR="00A71AD9" w:rsidRPr="00A71AD9" w:rsidRDefault="00A71AD9" w:rsidP="00A71AD9">
            <w:pPr>
              <w:rPr>
                <w:rFonts w:ascii="Arial" w:hAnsi="Arial" w:cs="Arial"/>
                <w:sz w:val="24"/>
                <w:szCs w:val="24"/>
              </w:rPr>
            </w:pPr>
            <w:r w:rsidRPr="00A71AD9">
              <w:rPr>
                <w:rFonts w:ascii="Arial" w:hAnsi="Arial" w:cs="Arial"/>
                <w:sz w:val="24"/>
                <w:szCs w:val="24"/>
              </w:rPr>
              <w:t>USA</w:t>
            </w:r>
          </w:p>
        </w:tc>
        <w:tc>
          <w:tcPr>
            <w:tcW w:w="2447" w:type="dxa"/>
          </w:tcPr>
          <w:p w:rsidR="00A71AD9" w:rsidRPr="00A71AD9" w:rsidRDefault="00A71AD9" w:rsidP="00A71AD9">
            <w:pPr>
              <w:rPr>
                <w:rFonts w:ascii="Arial" w:hAnsi="Arial" w:cs="Arial"/>
                <w:sz w:val="24"/>
                <w:szCs w:val="24"/>
              </w:rPr>
            </w:pPr>
            <w:r w:rsidRPr="00A71AD9">
              <w:rPr>
                <w:rFonts w:ascii="Arial" w:hAnsi="Arial" w:cs="Arial"/>
                <w:sz w:val="24"/>
                <w:szCs w:val="24"/>
              </w:rPr>
              <w:t>To analyze the lexical differences and partisan language used by presidential candidates.</w:t>
            </w:r>
          </w:p>
        </w:tc>
        <w:tc>
          <w:tcPr>
            <w:tcW w:w="1947" w:type="dxa"/>
          </w:tcPr>
          <w:p w:rsidR="00A71AD9" w:rsidRPr="00A71AD9" w:rsidRDefault="00A71AD9" w:rsidP="00A71AD9">
            <w:pPr>
              <w:rPr>
                <w:rFonts w:ascii="Arial" w:hAnsi="Arial" w:cs="Arial"/>
                <w:sz w:val="24"/>
                <w:szCs w:val="24"/>
              </w:rPr>
            </w:pPr>
            <w:r w:rsidRPr="00A71AD9">
              <w:rPr>
                <w:rFonts w:ascii="Arial" w:hAnsi="Arial" w:cs="Arial"/>
                <w:sz w:val="24"/>
                <w:szCs w:val="24"/>
              </w:rPr>
              <w:t>Quantitative Corpus Linguistics and Lexical Analysis.</w:t>
            </w:r>
          </w:p>
        </w:tc>
        <w:tc>
          <w:tcPr>
            <w:tcW w:w="2551" w:type="dxa"/>
          </w:tcPr>
          <w:p w:rsidR="00A71AD9" w:rsidRPr="00A71AD9" w:rsidRDefault="00A71AD9" w:rsidP="00A71AD9">
            <w:pPr>
              <w:rPr>
                <w:rFonts w:ascii="Arial" w:hAnsi="Arial" w:cs="Arial"/>
                <w:sz w:val="24"/>
                <w:szCs w:val="24"/>
              </w:rPr>
            </w:pPr>
            <w:r w:rsidRPr="00A71AD9">
              <w:rPr>
                <w:rFonts w:ascii="Arial" w:hAnsi="Arial" w:cs="Arial"/>
                <w:sz w:val="24"/>
                <w:szCs w:val="24"/>
              </w:rPr>
              <w:t>Identified highly segmented word choices that reinforce partisan identities and polarized framing.</w:t>
            </w:r>
          </w:p>
        </w:tc>
        <w:tc>
          <w:tcPr>
            <w:tcW w:w="1481" w:type="dxa"/>
          </w:tcPr>
          <w:p w:rsidR="00A71AD9" w:rsidRPr="00A71AD9" w:rsidRDefault="00A71AD9" w:rsidP="00A71AD9">
            <w:pPr>
              <w:rPr>
                <w:rFonts w:ascii="Arial" w:hAnsi="Arial" w:cs="Arial"/>
                <w:sz w:val="24"/>
                <w:szCs w:val="24"/>
              </w:rPr>
            </w:pPr>
            <w:r w:rsidRPr="00A71AD9">
              <w:rPr>
                <w:rFonts w:ascii="Arial" w:hAnsi="Arial" w:cs="Arial"/>
                <w:sz w:val="24"/>
                <w:szCs w:val="24"/>
              </w:rPr>
              <w:t>PLoS One</w:t>
            </w:r>
          </w:p>
        </w:tc>
      </w:tr>
      <w:tr w:rsidR="00A71AD9" w:rsidRPr="00A71AD9" w:rsidTr="00663E5D">
        <w:tc>
          <w:tcPr>
            <w:tcW w:w="1696" w:type="dxa"/>
          </w:tcPr>
          <w:p w:rsidR="00A71AD9" w:rsidRPr="00A71AD9" w:rsidRDefault="00A71AD9" w:rsidP="00A71AD9">
            <w:pPr>
              <w:rPr>
                <w:rFonts w:ascii="Arial" w:hAnsi="Arial" w:cs="Arial"/>
                <w:sz w:val="24"/>
                <w:szCs w:val="24"/>
              </w:rPr>
            </w:pPr>
            <w:r w:rsidRPr="00A71AD9">
              <w:rPr>
                <w:rFonts w:ascii="Arial" w:hAnsi="Arial" w:cs="Arial"/>
                <w:sz w:val="24"/>
                <w:szCs w:val="24"/>
              </w:rPr>
              <w:t>Liu, J., &amp; Ali Huddin, M. R.</w:t>
            </w:r>
          </w:p>
        </w:tc>
        <w:tc>
          <w:tcPr>
            <w:tcW w:w="2552" w:type="dxa"/>
          </w:tcPr>
          <w:p w:rsidR="00A71AD9" w:rsidRPr="00A71AD9" w:rsidRDefault="00A71AD9" w:rsidP="00A71AD9">
            <w:pPr>
              <w:rPr>
                <w:rFonts w:ascii="Arial" w:hAnsi="Arial" w:cs="Arial"/>
                <w:sz w:val="24"/>
                <w:szCs w:val="24"/>
              </w:rPr>
            </w:pPr>
            <w:r w:rsidRPr="00A71AD9">
              <w:rPr>
                <w:rFonts w:ascii="Arial" w:hAnsi="Arial" w:cs="Arial"/>
                <w:sz w:val="24"/>
                <w:szCs w:val="24"/>
              </w:rPr>
              <w:t>Illocutionary speech acts in the debate between Trump and Biden in the 2024 presidential race (2025)</w:t>
            </w:r>
          </w:p>
        </w:tc>
        <w:tc>
          <w:tcPr>
            <w:tcW w:w="1276" w:type="dxa"/>
          </w:tcPr>
          <w:p w:rsidR="00A71AD9" w:rsidRPr="00A71AD9" w:rsidRDefault="00A71AD9" w:rsidP="00A71AD9">
            <w:pPr>
              <w:rPr>
                <w:rFonts w:ascii="Arial" w:hAnsi="Arial" w:cs="Arial"/>
                <w:sz w:val="24"/>
                <w:szCs w:val="24"/>
              </w:rPr>
            </w:pPr>
            <w:r w:rsidRPr="00A71AD9">
              <w:rPr>
                <w:rFonts w:ascii="Arial" w:hAnsi="Arial" w:cs="Arial"/>
                <w:sz w:val="24"/>
                <w:szCs w:val="24"/>
              </w:rPr>
              <w:t>USA</w:t>
            </w:r>
          </w:p>
        </w:tc>
        <w:tc>
          <w:tcPr>
            <w:tcW w:w="2447" w:type="dxa"/>
          </w:tcPr>
          <w:p w:rsidR="00A71AD9" w:rsidRPr="00A71AD9" w:rsidRDefault="00A71AD9" w:rsidP="00A71AD9">
            <w:pPr>
              <w:rPr>
                <w:rFonts w:ascii="Arial" w:hAnsi="Arial" w:cs="Arial"/>
                <w:sz w:val="24"/>
                <w:szCs w:val="24"/>
              </w:rPr>
            </w:pPr>
            <w:r w:rsidRPr="00A71AD9">
              <w:rPr>
                <w:rFonts w:ascii="Arial" w:hAnsi="Arial" w:cs="Arial"/>
                <w:sz w:val="24"/>
                <w:szCs w:val="24"/>
              </w:rPr>
              <w:t>To examine how speech acts are used to assert authority and influence audience perception.</w:t>
            </w:r>
          </w:p>
        </w:tc>
        <w:tc>
          <w:tcPr>
            <w:tcW w:w="1947" w:type="dxa"/>
          </w:tcPr>
          <w:p w:rsidR="00A71AD9" w:rsidRPr="00A71AD9" w:rsidRDefault="00A71AD9" w:rsidP="00A71AD9">
            <w:pPr>
              <w:rPr>
                <w:rFonts w:ascii="Arial" w:hAnsi="Arial" w:cs="Arial"/>
                <w:sz w:val="24"/>
                <w:szCs w:val="24"/>
              </w:rPr>
            </w:pPr>
            <w:r w:rsidRPr="00A71AD9">
              <w:rPr>
                <w:rFonts w:ascii="Arial" w:hAnsi="Arial" w:cs="Arial"/>
                <w:sz w:val="24"/>
                <w:szCs w:val="24"/>
              </w:rPr>
              <w:t>Qualitative Discourse Analysis (Speech Act Theory).</w:t>
            </w:r>
          </w:p>
        </w:tc>
        <w:tc>
          <w:tcPr>
            <w:tcW w:w="2551" w:type="dxa"/>
          </w:tcPr>
          <w:p w:rsidR="00A71AD9" w:rsidRPr="00A71AD9" w:rsidRDefault="00A71AD9" w:rsidP="00A71AD9">
            <w:pPr>
              <w:rPr>
                <w:rFonts w:ascii="Arial" w:hAnsi="Arial" w:cs="Arial"/>
                <w:sz w:val="24"/>
                <w:szCs w:val="24"/>
              </w:rPr>
            </w:pPr>
            <w:r w:rsidRPr="00A71AD9">
              <w:rPr>
                <w:rFonts w:ascii="Arial" w:hAnsi="Arial" w:cs="Arial"/>
                <w:sz w:val="24"/>
                <w:szCs w:val="24"/>
              </w:rPr>
              <w:t>Found that assertive and directive speech acts are prioritized to establish dominance over informative ones.</w:t>
            </w:r>
          </w:p>
        </w:tc>
        <w:tc>
          <w:tcPr>
            <w:tcW w:w="1481" w:type="dxa"/>
          </w:tcPr>
          <w:p w:rsidR="00A71AD9" w:rsidRPr="00A71AD9" w:rsidRDefault="00A71AD9" w:rsidP="00A71AD9">
            <w:pPr>
              <w:rPr>
                <w:rFonts w:ascii="Arial" w:hAnsi="Arial" w:cs="Arial"/>
                <w:sz w:val="24"/>
                <w:szCs w:val="24"/>
              </w:rPr>
            </w:pPr>
            <w:r w:rsidRPr="00A71AD9">
              <w:rPr>
                <w:rFonts w:ascii="Arial" w:hAnsi="Arial" w:cs="Arial"/>
                <w:sz w:val="24"/>
                <w:szCs w:val="24"/>
              </w:rPr>
              <w:t>Linguistica Silesiana</w:t>
            </w:r>
          </w:p>
        </w:tc>
      </w:tr>
      <w:tr w:rsidR="00A71AD9" w:rsidRPr="00A71AD9" w:rsidTr="00663E5D">
        <w:tc>
          <w:tcPr>
            <w:tcW w:w="1696" w:type="dxa"/>
          </w:tcPr>
          <w:p w:rsidR="00A71AD9" w:rsidRPr="00A71AD9" w:rsidRDefault="00A71AD9" w:rsidP="00A71AD9">
            <w:pPr>
              <w:rPr>
                <w:rFonts w:ascii="Arial" w:hAnsi="Arial" w:cs="Arial"/>
                <w:sz w:val="24"/>
                <w:szCs w:val="24"/>
              </w:rPr>
            </w:pPr>
            <w:r w:rsidRPr="00A71AD9">
              <w:rPr>
                <w:rFonts w:ascii="Arial" w:hAnsi="Arial" w:cs="Arial"/>
                <w:sz w:val="24"/>
                <w:szCs w:val="24"/>
              </w:rPr>
              <w:t>Mandravickaitė, J., &amp; Krilavičius, T.</w:t>
            </w:r>
          </w:p>
        </w:tc>
        <w:tc>
          <w:tcPr>
            <w:tcW w:w="2552" w:type="dxa"/>
          </w:tcPr>
          <w:p w:rsidR="00A71AD9" w:rsidRPr="00A71AD9" w:rsidRDefault="00A71AD9" w:rsidP="00A71AD9">
            <w:pPr>
              <w:rPr>
                <w:rFonts w:ascii="Arial" w:hAnsi="Arial" w:cs="Arial"/>
                <w:sz w:val="24"/>
                <w:szCs w:val="24"/>
              </w:rPr>
            </w:pPr>
            <w:r w:rsidRPr="00A71AD9">
              <w:rPr>
                <w:rFonts w:ascii="Arial" w:hAnsi="Arial" w:cs="Arial"/>
                <w:sz w:val="24"/>
                <w:szCs w:val="24"/>
              </w:rPr>
              <w:t>Examining Narrative Patterns in Disinformation and Trustworthy News: A Comparative Analysis (2026)</w:t>
            </w:r>
          </w:p>
        </w:tc>
        <w:tc>
          <w:tcPr>
            <w:tcW w:w="1276" w:type="dxa"/>
          </w:tcPr>
          <w:p w:rsidR="00A71AD9" w:rsidRPr="00A71AD9" w:rsidRDefault="00A71AD9" w:rsidP="00A71AD9">
            <w:pPr>
              <w:rPr>
                <w:rFonts w:ascii="Arial" w:hAnsi="Arial" w:cs="Arial"/>
                <w:sz w:val="24"/>
                <w:szCs w:val="24"/>
              </w:rPr>
            </w:pPr>
            <w:r w:rsidRPr="00A71AD9">
              <w:rPr>
                <w:rFonts w:ascii="Arial" w:hAnsi="Arial" w:cs="Arial"/>
                <w:sz w:val="24"/>
                <w:szCs w:val="24"/>
              </w:rPr>
              <w:t>Lithuania / EU</w:t>
            </w:r>
          </w:p>
        </w:tc>
        <w:tc>
          <w:tcPr>
            <w:tcW w:w="2447" w:type="dxa"/>
          </w:tcPr>
          <w:p w:rsidR="00A71AD9" w:rsidRPr="00A71AD9" w:rsidRDefault="00A71AD9" w:rsidP="00A71AD9">
            <w:pPr>
              <w:rPr>
                <w:rFonts w:ascii="Arial" w:hAnsi="Arial" w:cs="Arial"/>
                <w:sz w:val="24"/>
                <w:szCs w:val="24"/>
              </w:rPr>
            </w:pPr>
            <w:r w:rsidRPr="00A71AD9">
              <w:rPr>
                <w:rFonts w:ascii="Arial" w:hAnsi="Arial" w:cs="Arial"/>
                <w:sz w:val="24"/>
                <w:szCs w:val="24"/>
              </w:rPr>
              <w:t>To distinguish the structural linguistic patterns of fake news versus credible journalism.</w:t>
            </w:r>
          </w:p>
        </w:tc>
        <w:tc>
          <w:tcPr>
            <w:tcW w:w="1947" w:type="dxa"/>
          </w:tcPr>
          <w:p w:rsidR="00A71AD9" w:rsidRPr="00A71AD9" w:rsidRDefault="00A71AD9" w:rsidP="00A71AD9">
            <w:pPr>
              <w:rPr>
                <w:rFonts w:ascii="Arial" w:hAnsi="Arial" w:cs="Arial"/>
                <w:sz w:val="24"/>
                <w:szCs w:val="24"/>
              </w:rPr>
            </w:pPr>
            <w:r w:rsidRPr="00A71AD9">
              <w:rPr>
                <w:rFonts w:ascii="Arial" w:hAnsi="Arial" w:cs="Arial"/>
                <w:sz w:val="24"/>
                <w:szCs w:val="24"/>
              </w:rPr>
              <w:t>Computational Narrative Analysis and Machine Learning.</w:t>
            </w:r>
          </w:p>
        </w:tc>
        <w:tc>
          <w:tcPr>
            <w:tcW w:w="2551" w:type="dxa"/>
          </w:tcPr>
          <w:p w:rsidR="00A71AD9" w:rsidRPr="00A71AD9" w:rsidRDefault="00A71AD9" w:rsidP="00A71AD9">
            <w:pPr>
              <w:rPr>
                <w:rFonts w:ascii="Arial" w:hAnsi="Arial" w:cs="Arial"/>
                <w:sz w:val="24"/>
                <w:szCs w:val="24"/>
              </w:rPr>
            </w:pPr>
            <w:r w:rsidRPr="00A71AD9">
              <w:rPr>
                <w:rFonts w:ascii="Arial" w:hAnsi="Arial" w:cs="Arial"/>
                <w:sz w:val="24"/>
                <w:szCs w:val="24"/>
              </w:rPr>
              <w:t>Disinformation relies on repetitive, low-complexity rhetorical structures to enhance believability.</w:t>
            </w:r>
          </w:p>
        </w:tc>
        <w:tc>
          <w:tcPr>
            <w:tcW w:w="1481" w:type="dxa"/>
          </w:tcPr>
          <w:p w:rsidR="00A71AD9" w:rsidRPr="00A71AD9" w:rsidRDefault="00A71AD9" w:rsidP="00A71AD9">
            <w:pPr>
              <w:rPr>
                <w:rFonts w:ascii="Arial" w:hAnsi="Arial" w:cs="Arial"/>
                <w:sz w:val="24"/>
                <w:szCs w:val="24"/>
              </w:rPr>
            </w:pPr>
            <w:r w:rsidRPr="00A71AD9">
              <w:rPr>
                <w:rFonts w:ascii="Arial" w:hAnsi="Arial" w:cs="Arial"/>
                <w:sz w:val="24"/>
                <w:szCs w:val="24"/>
              </w:rPr>
              <w:t>Social Sciences</w:t>
            </w:r>
          </w:p>
        </w:tc>
      </w:tr>
      <w:tr w:rsidR="00A71AD9" w:rsidRPr="00A71AD9" w:rsidTr="00663E5D">
        <w:tc>
          <w:tcPr>
            <w:tcW w:w="1696" w:type="dxa"/>
          </w:tcPr>
          <w:p w:rsidR="00A71AD9" w:rsidRPr="00A71AD9" w:rsidRDefault="00A71AD9" w:rsidP="00A71AD9">
            <w:pPr>
              <w:rPr>
                <w:rFonts w:ascii="Arial" w:hAnsi="Arial" w:cs="Arial"/>
                <w:sz w:val="24"/>
                <w:szCs w:val="24"/>
              </w:rPr>
            </w:pPr>
            <w:r w:rsidRPr="00A71AD9">
              <w:rPr>
                <w:rFonts w:ascii="Arial" w:hAnsi="Arial" w:cs="Arial"/>
                <w:sz w:val="24"/>
                <w:szCs w:val="24"/>
              </w:rPr>
              <w:t>Robles, J. S., &amp; Xiong, B.</w:t>
            </w:r>
          </w:p>
        </w:tc>
        <w:tc>
          <w:tcPr>
            <w:tcW w:w="2552" w:type="dxa"/>
          </w:tcPr>
          <w:p w:rsidR="00A71AD9" w:rsidRPr="00A71AD9" w:rsidRDefault="00A71AD9" w:rsidP="00A71AD9">
            <w:pPr>
              <w:rPr>
                <w:rFonts w:ascii="Arial" w:hAnsi="Arial" w:cs="Arial"/>
                <w:sz w:val="24"/>
                <w:szCs w:val="24"/>
              </w:rPr>
            </w:pPr>
            <w:r w:rsidRPr="00A71AD9">
              <w:rPr>
                <w:rFonts w:ascii="Arial" w:hAnsi="Arial" w:cs="Arial"/>
                <w:sz w:val="24"/>
                <w:szCs w:val="24"/>
              </w:rPr>
              <w:t>How quotation marks do mockery in online politicized discourse (2024)</w:t>
            </w:r>
          </w:p>
        </w:tc>
        <w:tc>
          <w:tcPr>
            <w:tcW w:w="1276" w:type="dxa"/>
          </w:tcPr>
          <w:p w:rsidR="00A71AD9" w:rsidRPr="00A71AD9" w:rsidRDefault="00A71AD9" w:rsidP="00A71AD9">
            <w:pPr>
              <w:rPr>
                <w:rFonts w:ascii="Arial" w:hAnsi="Arial" w:cs="Arial"/>
                <w:sz w:val="24"/>
                <w:szCs w:val="24"/>
              </w:rPr>
            </w:pPr>
            <w:r w:rsidRPr="00A71AD9">
              <w:rPr>
                <w:rFonts w:ascii="Arial" w:hAnsi="Arial" w:cs="Arial"/>
                <w:sz w:val="24"/>
                <w:szCs w:val="24"/>
              </w:rPr>
              <w:t>Global / Online</w:t>
            </w:r>
          </w:p>
        </w:tc>
        <w:tc>
          <w:tcPr>
            <w:tcW w:w="2447" w:type="dxa"/>
          </w:tcPr>
          <w:p w:rsidR="00A71AD9" w:rsidRPr="00A71AD9" w:rsidRDefault="00A71AD9" w:rsidP="00A71AD9">
            <w:pPr>
              <w:rPr>
                <w:rFonts w:ascii="Arial" w:hAnsi="Arial" w:cs="Arial"/>
                <w:sz w:val="24"/>
                <w:szCs w:val="24"/>
              </w:rPr>
            </w:pPr>
            <w:r w:rsidRPr="00A71AD9">
              <w:rPr>
                <w:rFonts w:ascii="Arial" w:hAnsi="Arial" w:cs="Arial"/>
                <w:sz w:val="24"/>
                <w:szCs w:val="24"/>
              </w:rPr>
              <w:t>To explore how punctuation acts as a rhetorical tool for political delegitimization.</w:t>
            </w:r>
          </w:p>
        </w:tc>
        <w:tc>
          <w:tcPr>
            <w:tcW w:w="1947" w:type="dxa"/>
          </w:tcPr>
          <w:p w:rsidR="00A71AD9" w:rsidRPr="00A71AD9" w:rsidRDefault="00A71AD9" w:rsidP="00A71AD9">
            <w:pPr>
              <w:rPr>
                <w:rFonts w:ascii="Arial" w:hAnsi="Arial" w:cs="Arial"/>
                <w:sz w:val="24"/>
                <w:szCs w:val="24"/>
              </w:rPr>
            </w:pPr>
            <w:r w:rsidRPr="00A71AD9">
              <w:rPr>
                <w:rFonts w:ascii="Arial" w:hAnsi="Arial" w:cs="Arial"/>
                <w:sz w:val="24"/>
                <w:szCs w:val="24"/>
              </w:rPr>
              <w:t>Micro-discursive analysis of social media interactions.</w:t>
            </w:r>
          </w:p>
        </w:tc>
        <w:tc>
          <w:tcPr>
            <w:tcW w:w="2551" w:type="dxa"/>
          </w:tcPr>
          <w:p w:rsidR="00A71AD9" w:rsidRPr="00A71AD9" w:rsidRDefault="00A71AD9" w:rsidP="00A71AD9">
            <w:pPr>
              <w:rPr>
                <w:rFonts w:ascii="Arial" w:hAnsi="Arial" w:cs="Arial"/>
                <w:sz w:val="24"/>
                <w:szCs w:val="24"/>
              </w:rPr>
            </w:pPr>
            <w:r w:rsidRPr="00A71AD9">
              <w:rPr>
                <w:rFonts w:ascii="Arial" w:hAnsi="Arial" w:cs="Arial"/>
                <w:sz w:val="24"/>
                <w:szCs w:val="24"/>
              </w:rPr>
              <w:t>Punctuation is used as a "rhetoric of mockery" to signal sarcasm and erode the credibility of opponents.</w:t>
            </w:r>
          </w:p>
        </w:tc>
        <w:tc>
          <w:tcPr>
            <w:tcW w:w="1481" w:type="dxa"/>
          </w:tcPr>
          <w:p w:rsidR="00A71AD9" w:rsidRPr="00A71AD9" w:rsidRDefault="00A71AD9" w:rsidP="00A71AD9">
            <w:pPr>
              <w:rPr>
                <w:rFonts w:ascii="Arial" w:hAnsi="Arial" w:cs="Arial"/>
                <w:sz w:val="24"/>
                <w:szCs w:val="24"/>
              </w:rPr>
            </w:pPr>
            <w:r w:rsidRPr="00A71AD9">
              <w:rPr>
                <w:rFonts w:ascii="Arial" w:hAnsi="Arial" w:cs="Arial"/>
                <w:sz w:val="24"/>
                <w:szCs w:val="24"/>
              </w:rPr>
              <w:t>Journal of Language and Politics</w:t>
            </w:r>
          </w:p>
        </w:tc>
      </w:tr>
      <w:tr w:rsidR="00A71AD9" w:rsidRPr="00A71AD9" w:rsidTr="00663E5D">
        <w:tc>
          <w:tcPr>
            <w:tcW w:w="1696" w:type="dxa"/>
          </w:tcPr>
          <w:p w:rsidR="00A71AD9" w:rsidRPr="00A71AD9" w:rsidRDefault="00A71AD9" w:rsidP="00A71AD9">
            <w:pPr>
              <w:rPr>
                <w:rFonts w:ascii="Arial" w:hAnsi="Arial" w:cs="Arial"/>
                <w:sz w:val="24"/>
                <w:szCs w:val="24"/>
              </w:rPr>
            </w:pPr>
            <w:r w:rsidRPr="00A71AD9">
              <w:rPr>
                <w:rFonts w:ascii="Arial" w:hAnsi="Arial" w:cs="Arial"/>
                <w:sz w:val="24"/>
                <w:szCs w:val="24"/>
              </w:rPr>
              <w:t>Adedayo, V., &amp; Asonibare, V.</w:t>
            </w:r>
          </w:p>
        </w:tc>
        <w:tc>
          <w:tcPr>
            <w:tcW w:w="2552" w:type="dxa"/>
          </w:tcPr>
          <w:p w:rsidR="00A71AD9" w:rsidRPr="00A71AD9" w:rsidRDefault="00A71AD9" w:rsidP="00A71AD9">
            <w:pPr>
              <w:rPr>
                <w:rFonts w:ascii="Arial" w:hAnsi="Arial" w:cs="Arial"/>
                <w:sz w:val="24"/>
                <w:szCs w:val="24"/>
              </w:rPr>
            </w:pPr>
            <w:r w:rsidRPr="00A71AD9">
              <w:rPr>
                <w:rFonts w:ascii="Arial" w:hAnsi="Arial" w:cs="Arial"/>
                <w:sz w:val="24"/>
                <w:szCs w:val="24"/>
              </w:rPr>
              <w:t>Discursive and ideological dimensions of fake news in Nigeria’s 2023 general election (2026)</w:t>
            </w:r>
          </w:p>
        </w:tc>
        <w:tc>
          <w:tcPr>
            <w:tcW w:w="1276" w:type="dxa"/>
          </w:tcPr>
          <w:p w:rsidR="00A71AD9" w:rsidRPr="00A71AD9" w:rsidRDefault="00A71AD9" w:rsidP="00A71AD9">
            <w:pPr>
              <w:rPr>
                <w:rFonts w:ascii="Arial" w:hAnsi="Arial" w:cs="Arial"/>
                <w:sz w:val="24"/>
                <w:szCs w:val="24"/>
              </w:rPr>
            </w:pPr>
            <w:r w:rsidRPr="00A71AD9">
              <w:rPr>
                <w:rFonts w:ascii="Arial" w:hAnsi="Arial" w:cs="Arial"/>
                <w:sz w:val="24"/>
                <w:szCs w:val="24"/>
              </w:rPr>
              <w:t>Nigeria</w:t>
            </w:r>
          </w:p>
        </w:tc>
        <w:tc>
          <w:tcPr>
            <w:tcW w:w="2447" w:type="dxa"/>
          </w:tcPr>
          <w:p w:rsidR="00A71AD9" w:rsidRPr="00A71AD9" w:rsidRDefault="00A71AD9" w:rsidP="00A71AD9">
            <w:pPr>
              <w:rPr>
                <w:rFonts w:ascii="Arial" w:hAnsi="Arial" w:cs="Arial"/>
                <w:sz w:val="24"/>
                <w:szCs w:val="24"/>
              </w:rPr>
            </w:pPr>
            <w:r w:rsidRPr="00A71AD9">
              <w:rPr>
                <w:rFonts w:ascii="Arial" w:hAnsi="Arial" w:cs="Arial"/>
                <w:sz w:val="24"/>
                <w:szCs w:val="24"/>
              </w:rPr>
              <w:t>To investigate the ideological construction of narratives in emerging democratic elections.</w:t>
            </w:r>
          </w:p>
        </w:tc>
        <w:tc>
          <w:tcPr>
            <w:tcW w:w="1947" w:type="dxa"/>
          </w:tcPr>
          <w:p w:rsidR="00A71AD9" w:rsidRPr="00A71AD9" w:rsidRDefault="00A71AD9" w:rsidP="00A71AD9">
            <w:pPr>
              <w:rPr>
                <w:rFonts w:ascii="Arial" w:hAnsi="Arial" w:cs="Arial"/>
                <w:sz w:val="24"/>
                <w:szCs w:val="24"/>
              </w:rPr>
            </w:pPr>
            <w:r w:rsidRPr="00A71AD9">
              <w:rPr>
                <w:rFonts w:ascii="Arial" w:hAnsi="Arial" w:cs="Arial"/>
                <w:sz w:val="24"/>
                <w:szCs w:val="24"/>
              </w:rPr>
              <w:t>Critical Discourse Analysis (CDA).</w:t>
            </w:r>
          </w:p>
        </w:tc>
        <w:tc>
          <w:tcPr>
            <w:tcW w:w="2551" w:type="dxa"/>
          </w:tcPr>
          <w:p w:rsidR="00A71AD9" w:rsidRPr="00A71AD9" w:rsidRDefault="00A71AD9" w:rsidP="00A71AD9">
            <w:pPr>
              <w:rPr>
                <w:rFonts w:ascii="Arial" w:hAnsi="Arial" w:cs="Arial"/>
                <w:sz w:val="24"/>
                <w:szCs w:val="24"/>
              </w:rPr>
            </w:pPr>
            <w:r w:rsidRPr="00A71AD9">
              <w:rPr>
                <w:rFonts w:ascii="Arial" w:hAnsi="Arial" w:cs="Arial"/>
                <w:sz w:val="24"/>
                <w:szCs w:val="24"/>
              </w:rPr>
              <w:t>Fake news narratives are technically engineered to align with deep-seated ethnic and religious ideologies.</w:t>
            </w:r>
          </w:p>
        </w:tc>
        <w:tc>
          <w:tcPr>
            <w:tcW w:w="1481" w:type="dxa"/>
          </w:tcPr>
          <w:p w:rsidR="00A71AD9" w:rsidRPr="00A71AD9" w:rsidRDefault="00A71AD9" w:rsidP="00A71AD9">
            <w:pPr>
              <w:rPr>
                <w:rFonts w:ascii="Arial" w:hAnsi="Arial" w:cs="Arial"/>
                <w:sz w:val="24"/>
                <w:szCs w:val="24"/>
              </w:rPr>
            </w:pPr>
            <w:r w:rsidRPr="00A71AD9">
              <w:rPr>
                <w:rFonts w:ascii="Arial" w:hAnsi="Arial" w:cs="Arial"/>
                <w:sz w:val="24"/>
                <w:szCs w:val="24"/>
              </w:rPr>
              <w:t>Discourse &amp; Society</w:t>
            </w:r>
          </w:p>
        </w:tc>
      </w:tr>
    </w:tbl>
    <w:p w:rsidR="00A71AD9" w:rsidRPr="00A71AD9" w:rsidRDefault="00A71AD9" w:rsidP="00A71AD9"/>
    <w:p w:rsidR="00A71AD9" w:rsidRDefault="00A71AD9" w:rsidP="00283407">
      <w:pPr>
        <w:pStyle w:val="NormalWeb"/>
        <w:jc w:val="both"/>
        <w:rPr>
          <w:rFonts w:ascii="Arial" w:hAnsi="Arial" w:cs="Arial"/>
        </w:rPr>
        <w:sectPr w:rsidR="00A71AD9" w:rsidSect="00A71AD9">
          <w:pgSz w:w="16840" w:h="11910" w:orient="landscape"/>
          <w:pgMar w:top="1077" w:right="1440" w:bottom="1077" w:left="1440" w:header="720" w:footer="720" w:gutter="0"/>
          <w:cols w:space="720"/>
          <w:docGrid w:linePitch="299"/>
        </w:sectPr>
      </w:pPr>
    </w:p>
    <w:p w:rsidR="00663E5D" w:rsidRDefault="00336F48" w:rsidP="00663E5D">
      <w:pPr>
        <w:pStyle w:val="NormalWeb"/>
        <w:spacing w:before="0" w:beforeAutospacing="0" w:after="240" w:afterAutospacing="0"/>
        <w:ind w:firstLine="426"/>
        <w:jc w:val="both"/>
        <w:rPr>
          <w:rFonts w:ascii="Arial" w:hAnsi="Arial" w:cs="Arial"/>
        </w:rPr>
      </w:pPr>
      <w:r w:rsidRPr="00A71AD9">
        <w:rPr>
          <w:rFonts w:ascii="Arial" w:hAnsi="Arial" w:cs="Arial"/>
        </w:rPr>
        <w:lastRenderedPageBreak/>
        <w:t>The synthesis of these findings indicates that the "Architecture of Persuasion" is currently experiencing a transition from macro-persuasion to micro-rhetorical engineering. Historically, political rhetoric was designed for mass appeal across broad demographics. However, as demonstrated by the technical analysis of recent debates and digital interactions, contemporary strategies prioritize "Lexical Precision" to cater to hyper-polarized audiences (Wicke &amp; Bolognesi, 2025; Liu &amp; Huddin, 2025). This precision serves a dual purpose: it acts as a dog-whistle for in-group members and a tool for "epistemic conflict" against out-group members. The use of illocutionary acts to assert dominance suggests that the goal of modern political language is no longer to reach a consensus but to occupy the discursive space so completely that alternative narratives are marginalized.</w:t>
      </w:r>
    </w:p>
    <w:p w:rsidR="00663E5D" w:rsidRDefault="00336F48" w:rsidP="00663E5D">
      <w:pPr>
        <w:pStyle w:val="NormalWeb"/>
        <w:ind w:firstLine="426"/>
        <w:jc w:val="both"/>
        <w:rPr>
          <w:rFonts w:ascii="Arial" w:hAnsi="Arial" w:cs="Arial"/>
        </w:rPr>
      </w:pPr>
      <w:r w:rsidRPr="00A71AD9">
        <w:rPr>
          <w:rFonts w:ascii="Arial" w:hAnsi="Arial" w:cs="Arial"/>
        </w:rPr>
        <w:t>Furthermore, the data reveals a sophisticated evolution in how "truth" is structurally simulated. The findings by Mandravickaitė and Krilavičius (2026) are particularly vital as they show that the persuasiveness of disinformation lies not in its content but in its "Narrative Patterns." By utilizing simplified, repetitive structures, these narratives exploit the human brain's tendency to mistake familiarity for accuracy. When this is combined with the "Rhetoric of Mockery" (Robles &amp; Xiong, 2024), where even punctuation is weaponized, the resulting architecture is one that effectively shuts down rational deliberation. This technical mastery of language micro-structures represents a significant departure from classical Aristotelian persuasion, moving instead toward a model of linguistic psychological warfare that is</w:t>
      </w:r>
      <w:r w:rsidR="00663E5D">
        <w:rPr>
          <w:rFonts w:ascii="Arial" w:hAnsi="Arial" w:cs="Arial"/>
        </w:rPr>
        <w:t xml:space="preserve"> optimized for the digital age.</w:t>
      </w:r>
    </w:p>
    <w:p w:rsidR="00663E5D" w:rsidRDefault="00336F48" w:rsidP="00663E5D">
      <w:pPr>
        <w:pStyle w:val="NormalWeb"/>
        <w:ind w:firstLine="426"/>
        <w:jc w:val="both"/>
        <w:rPr>
          <w:rFonts w:ascii="Arial" w:hAnsi="Arial" w:cs="Arial"/>
        </w:rPr>
      </w:pPr>
      <w:r w:rsidRPr="00A71AD9">
        <w:rPr>
          <w:rFonts w:ascii="Arial" w:hAnsi="Arial" w:cs="Arial"/>
        </w:rPr>
        <w:t>The novelty of this study lies in its systematic integration of traditional linguistic theories with modern computational and digital discourse findings to define a new "Architecture of Persuasion." While previous research has analyzed these elements in isolation, this review provides a holistic taxonomy that demonstrates how linguistic micro-structures act as the foundational scaffolding for contemporary political influence. The primary contribution of this research is the identification of "Linguistic Engineering" as a distinct phase in political communication, where the structural properties of words and symbols are as influential as the ideological messages they carry. This framework offers a critical tool for scholars to decode how polarization is technically constructed and provides a basis for developing linguistic interventions against the spread of structurally engineered disinformati</w:t>
      </w:r>
      <w:r w:rsidR="00663E5D">
        <w:rPr>
          <w:rFonts w:ascii="Arial" w:hAnsi="Arial" w:cs="Arial"/>
        </w:rPr>
        <w:t>on in global political systems.</w:t>
      </w:r>
    </w:p>
    <w:p w:rsidR="00663E5D" w:rsidRDefault="00663E5D" w:rsidP="00663E5D">
      <w:pPr>
        <w:pStyle w:val="NormalWeb"/>
        <w:jc w:val="both"/>
        <w:rPr>
          <w:rFonts w:ascii="Arial" w:hAnsi="Arial" w:cs="Arial"/>
          <w:b/>
        </w:rPr>
      </w:pPr>
      <w:r w:rsidRPr="00663E5D">
        <w:rPr>
          <w:rFonts w:ascii="Arial" w:hAnsi="Arial" w:cs="Arial"/>
          <w:b/>
        </w:rPr>
        <w:t>Theme</w:t>
      </w:r>
      <w:r w:rsidR="00283407" w:rsidRPr="00663E5D">
        <w:rPr>
          <w:rFonts w:ascii="Arial" w:hAnsi="Arial" w:cs="Arial"/>
          <w:b/>
        </w:rPr>
        <w:t xml:space="preserve"> II: The Affective Turn and Emotional Weaponization</w:t>
      </w:r>
    </w:p>
    <w:p w:rsidR="00663E5D" w:rsidRDefault="00283407" w:rsidP="00663E5D">
      <w:pPr>
        <w:pStyle w:val="NormalWeb"/>
        <w:jc w:val="both"/>
        <w:rPr>
          <w:rFonts w:ascii="Arial" w:hAnsi="Arial" w:cs="Arial"/>
          <w:b/>
        </w:rPr>
      </w:pPr>
      <w:r w:rsidRPr="00A71AD9">
        <w:rPr>
          <w:rFonts w:ascii="Arial" w:hAnsi="Arial" w:cs="Arial"/>
        </w:rPr>
        <w:t xml:space="preserve">The second </w:t>
      </w:r>
      <w:r w:rsidR="00174769">
        <w:rPr>
          <w:rFonts w:ascii="Arial" w:hAnsi="Arial" w:cs="Arial"/>
        </w:rPr>
        <w:t>theme</w:t>
      </w:r>
      <w:r w:rsidRPr="00A71AD9">
        <w:rPr>
          <w:rFonts w:ascii="Arial" w:hAnsi="Arial" w:cs="Arial"/>
        </w:rPr>
        <w:t xml:space="preserve"> of the architecture of persuasion focuses on the "affective turn," a paradigm shift where emotions are no longer viewed as peripheral disruptions to rational discourse but as the primary structural engine of political mobilization. Modern political persuasion increasingly relies on the strategic manipulation of affective dynamics to forge deep, loyal coalitions that transcend logical policy debates. This approach recognizes that in a hyper-polarized environment, the ability to move a public’s "affect" is more consequential than the ability to present a factual argument (Maor, 2026). This thematic cluster explores how emotional engineering is operationalized through the selective use of empathy, the exploitation of national crises, and the tactical deployment of disparaging humor to consolidate power and marginalize dissent.</w:t>
      </w:r>
    </w:p>
    <w:p w:rsidR="00283407" w:rsidRPr="00663E5D" w:rsidRDefault="00283407" w:rsidP="00663E5D">
      <w:pPr>
        <w:pStyle w:val="NormalWeb"/>
        <w:ind w:firstLine="426"/>
        <w:jc w:val="both"/>
        <w:rPr>
          <w:rFonts w:ascii="Arial" w:hAnsi="Arial" w:cs="Arial"/>
          <w:b/>
        </w:rPr>
      </w:pPr>
      <w:r w:rsidRPr="00A71AD9">
        <w:rPr>
          <w:rFonts w:ascii="Arial" w:hAnsi="Arial" w:cs="Arial"/>
        </w:rPr>
        <w:t xml:space="preserve">A significant finding within this </w:t>
      </w:r>
      <w:r w:rsidR="00174769">
        <w:rPr>
          <w:rFonts w:ascii="Arial" w:hAnsi="Arial" w:cs="Arial"/>
        </w:rPr>
        <w:t>theme</w:t>
      </w:r>
      <w:r w:rsidRPr="00A71AD9">
        <w:rPr>
          <w:rFonts w:ascii="Arial" w:hAnsi="Arial" w:cs="Arial"/>
        </w:rPr>
        <w:t xml:space="preserve"> is the sophisticated subversion of empathy. Rather than being used as a tool for universal human connection, empathy is being reconfigured into a tribal instrument. In contemporary populist narratives, empathy is strategically "switched </w:t>
      </w:r>
      <w:r w:rsidRPr="00A71AD9">
        <w:rPr>
          <w:rFonts w:ascii="Arial" w:hAnsi="Arial" w:cs="Arial"/>
        </w:rPr>
        <w:lastRenderedPageBreak/>
        <w:t>on" for the in-group while simultaneously being "switched off" for the out-group, where it is replaced by directed anger and hostility (Murray, 2025). Furthermore, the exploitation of crisis</w:t>
      </w:r>
      <w:r w:rsidR="00174769">
        <w:rPr>
          <w:rFonts w:ascii="Arial" w:hAnsi="Arial" w:cs="Arial"/>
        </w:rPr>
        <w:t xml:space="preserve"> </w:t>
      </w:r>
      <w:r w:rsidRPr="00A71AD9">
        <w:rPr>
          <w:rFonts w:ascii="Arial" w:hAnsi="Arial" w:cs="Arial"/>
        </w:rPr>
        <w:t>ranging from global pandemics to natural disasters</w:t>
      </w:r>
      <w:r w:rsidR="00174769">
        <w:rPr>
          <w:rFonts w:ascii="Arial" w:hAnsi="Arial" w:cs="Arial"/>
        </w:rPr>
        <w:t xml:space="preserve"> </w:t>
      </w:r>
      <w:r w:rsidRPr="00A71AD9">
        <w:rPr>
          <w:rFonts w:ascii="Arial" w:hAnsi="Arial" w:cs="Arial"/>
        </w:rPr>
        <w:t>demonstrates a pattern where leaders combine fear-based rhetoric with disparaging humor to deflect institutional criticism and reinforce their authoritative stance (Mohamed Nour &amp; Kisa, 2024; Quarm &amp; Dadzie, 2025). This synthesis highlights a political architecture where emotional vulnerability is not mitigated but weaponized for strategic gain.</w:t>
      </w:r>
    </w:p>
    <w:p w:rsidR="00663E5D" w:rsidRDefault="00663E5D">
      <w:pPr>
        <w:rPr>
          <w:rFonts w:ascii="Arial" w:hAnsi="Arial" w:cs="Arial"/>
          <w:b/>
          <w:sz w:val="24"/>
          <w:szCs w:val="24"/>
        </w:rPr>
      </w:pPr>
      <w:r>
        <w:rPr>
          <w:rFonts w:ascii="Arial" w:hAnsi="Arial" w:cs="Arial"/>
        </w:rPr>
        <w:br w:type="page"/>
      </w:r>
    </w:p>
    <w:p w:rsidR="00663E5D" w:rsidRDefault="00663E5D" w:rsidP="00663E5D">
      <w:pPr>
        <w:pStyle w:val="Heading4"/>
        <w:jc w:val="center"/>
        <w:rPr>
          <w:rFonts w:ascii="Arial" w:hAnsi="Arial" w:cs="Arial"/>
        </w:rPr>
        <w:sectPr w:rsidR="00663E5D" w:rsidSect="00DA7E9E">
          <w:pgSz w:w="11910" w:h="16840"/>
          <w:pgMar w:top="1440" w:right="1080" w:bottom="1440" w:left="1080" w:header="720" w:footer="720" w:gutter="0"/>
          <w:cols w:space="720"/>
          <w:docGrid w:linePitch="299"/>
        </w:sectPr>
      </w:pPr>
    </w:p>
    <w:p w:rsidR="00283407" w:rsidRDefault="00663E5D" w:rsidP="00663E5D">
      <w:pPr>
        <w:pStyle w:val="Heading4"/>
        <w:jc w:val="center"/>
        <w:rPr>
          <w:rFonts w:ascii="Arial" w:hAnsi="Arial" w:cs="Arial"/>
        </w:rPr>
      </w:pPr>
      <w:r>
        <w:rPr>
          <w:rFonts w:ascii="Arial" w:hAnsi="Arial" w:cs="Arial"/>
        </w:rPr>
        <w:lastRenderedPageBreak/>
        <w:t xml:space="preserve">Table 2 : </w:t>
      </w:r>
      <w:r w:rsidR="00283407" w:rsidRPr="00A71AD9">
        <w:rPr>
          <w:rFonts w:ascii="Arial" w:hAnsi="Arial" w:cs="Arial"/>
        </w:rPr>
        <w:t>Summary of Key Studies in Affective and Emotional Weaponization</w:t>
      </w:r>
    </w:p>
    <w:tbl>
      <w:tblPr>
        <w:tblStyle w:val="TableGrid"/>
        <w:tblW w:w="0" w:type="auto"/>
        <w:tblLayout w:type="fixed"/>
        <w:tblLook w:val="04A0" w:firstRow="1" w:lastRow="0" w:firstColumn="1" w:lastColumn="0" w:noHBand="0" w:noVBand="1"/>
      </w:tblPr>
      <w:tblGrid>
        <w:gridCol w:w="1555"/>
        <w:gridCol w:w="2693"/>
        <w:gridCol w:w="992"/>
        <w:gridCol w:w="2268"/>
        <w:gridCol w:w="1559"/>
        <w:gridCol w:w="3261"/>
        <w:gridCol w:w="1622"/>
      </w:tblGrid>
      <w:tr w:rsidR="00663E5D" w:rsidTr="00663E5D">
        <w:tc>
          <w:tcPr>
            <w:tcW w:w="1555" w:type="dxa"/>
          </w:tcPr>
          <w:p w:rsidR="00663E5D" w:rsidRPr="002019A9" w:rsidRDefault="00663E5D" w:rsidP="00663E5D">
            <w:r w:rsidRPr="002019A9">
              <w:t>Authors</w:t>
            </w:r>
          </w:p>
        </w:tc>
        <w:tc>
          <w:tcPr>
            <w:tcW w:w="2693" w:type="dxa"/>
          </w:tcPr>
          <w:p w:rsidR="00663E5D" w:rsidRPr="002019A9" w:rsidRDefault="00663E5D" w:rsidP="00663E5D">
            <w:r w:rsidRPr="002019A9">
              <w:t>Title and Year</w:t>
            </w:r>
          </w:p>
        </w:tc>
        <w:tc>
          <w:tcPr>
            <w:tcW w:w="992" w:type="dxa"/>
          </w:tcPr>
          <w:p w:rsidR="00663E5D" w:rsidRPr="002019A9" w:rsidRDefault="00663E5D" w:rsidP="00663E5D">
            <w:r w:rsidRPr="002019A9">
              <w:t>Country</w:t>
            </w:r>
          </w:p>
        </w:tc>
        <w:tc>
          <w:tcPr>
            <w:tcW w:w="2268" w:type="dxa"/>
          </w:tcPr>
          <w:p w:rsidR="00663E5D" w:rsidRPr="002019A9" w:rsidRDefault="00663E5D" w:rsidP="00663E5D">
            <w:r w:rsidRPr="002019A9">
              <w:t>Aim</w:t>
            </w:r>
          </w:p>
        </w:tc>
        <w:tc>
          <w:tcPr>
            <w:tcW w:w="1559" w:type="dxa"/>
          </w:tcPr>
          <w:p w:rsidR="00663E5D" w:rsidRPr="002019A9" w:rsidRDefault="00663E5D" w:rsidP="00663E5D">
            <w:r w:rsidRPr="002019A9">
              <w:t>Methodology</w:t>
            </w:r>
          </w:p>
        </w:tc>
        <w:tc>
          <w:tcPr>
            <w:tcW w:w="3261" w:type="dxa"/>
          </w:tcPr>
          <w:p w:rsidR="00663E5D" w:rsidRPr="002019A9" w:rsidRDefault="00663E5D" w:rsidP="00663E5D">
            <w:r w:rsidRPr="002019A9">
              <w:t>Findings</w:t>
            </w:r>
          </w:p>
        </w:tc>
        <w:tc>
          <w:tcPr>
            <w:tcW w:w="1622" w:type="dxa"/>
          </w:tcPr>
          <w:p w:rsidR="00663E5D" w:rsidRPr="002019A9" w:rsidRDefault="00663E5D" w:rsidP="00663E5D">
            <w:r w:rsidRPr="002019A9">
              <w:t>Journal</w:t>
            </w:r>
          </w:p>
        </w:tc>
      </w:tr>
      <w:tr w:rsidR="00663E5D" w:rsidTr="00663E5D">
        <w:tc>
          <w:tcPr>
            <w:tcW w:w="1555" w:type="dxa"/>
          </w:tcPr>
          <w:p w:rsidR="00663E5D" w:rsidRPr="002019A9" w:rsidRDefault="00663E5D" w:rsidP="00663E5D">
            <w:r w:rsidRPr="002019A9">
              <w:t>Maor, M.</w:t>
            </w:r>
          </w:p>
        </w:tc>
        <w:tc>
          <w:tcPr>
            <w:tcW w:w="2693" w:type="dxa"/>
          </w:tcPr>
          <w:p w:rsidR="00663E5D" w:rsidRPr="002019A9" w:rsidRDefault="00663E5D" w:rsidP="00663E5D">
            <w:r w:rsidRPr="002019A9">
              <w:t>Emotion and the Advocacy Coalition Framework: An Affective Dynamics Perspective (2026)</w:t>
            </w:r>
          </w:p>
        </w:tc>
        <w:tc>
          <w:tcPr>
            <w:tcW w:w="992" w:type="dxa"/>
          </w:tcPr>
          <w:p w:rsidR="00663E5D" w:rsidRPr="002019A9" w:rsidRDefault="00663E5D" w:rsidP="00663E5D">
            <w:r w:rsidRPr="002019A9">
              <w:t>Global / Theoretical</w:t>
            </w:r>
          </w:p>
        </w:tc>
        <w:tc>
          <w:tcPr>
            <w:tcW w:w="2268" w:type="dxa"/>
          </w:tcPr>
          <w:p w:rsidR="00663E5D" w:rsidRPr="002019A9" w:rsidRDefault="00663E5D" w:rsidP="00663E5D">
            <w:r w:rsidRPr="002019A9">
              <w:t>To integrate emotional dynamics into policy and coalition-building theories.</w:t>
            </w:r>
          </w:p>
        </w:tc>
        <w:tc>
          <w:tcPr>
            <w:tcW w:w="1559" w:type="dxa"/>
          </w:tcPr>
          <w:p w:rsidR="00663E5D" w:rsidRPr="002019A9" w:rsidRDefault="00663E5D" w:rsidP="00663E5D">
            <w:r w:rsidRPr="002019A9">
              <w:t>Theoretical synthesis and Framework development.</w:t>
            </w:r>
          </w:p>
        </w:tc>
        <w:tc>
          <w:tcPr>
            <w:tcW w:w="3261" w:type="dxa"/>
          </w:tcPr>
          <w:p w:rsidR="00663E5D" w:rsidRPr="002019A9" w:rsidRDefault="00663E5D" w:rsidP="00663E5D">
            <w:r w:rsidRPr="002019A9">
              <w:t>Emotions are structural elements essential for building loyal political coalitions and driving policy change.</w:t>
            </w:r>
          </w:p>
        </w:tc>
        <w:tc>
          <w:tcPr>
            <w:tcW w:w="1622" w:type="dxa"/>
          </w:tcPr>
          <w:p w:rsidR="00663E5D" w:rsidRPr="002019A9" w:rsidRDefault="00663E5D" w:rsidP="00663E5D">
            <w:r w:rsidRPr="002019A9">
              <w:t>Policy Studies Journal</w:t>
            </w:r>
          </w:p>
        </w:tc>
      </w:tr>
      <w:tr w:rsidR="00663E5D" w:rsidTr="00663E5D">
        <w:tc>
          <w:tcPr>
            <w:tcW w:w="1555" w:type="dxa"/>
          </w:tcPr>
          <w:p w:rsidR="00663E5D" w:rsidRPr="002019A9" w:rsidRDefault="00663E5D" w:rsidP="00663E5D">
            <w:r w:rsidRPr="002019A9">
              <w:t>Murray, S. J.</w:t>
            </w:r>
          </w:p>
        </w:tc>
        <w:tc>
          <w:tcPr>
            <w:tcW w:w="2693" w:type="dxa"/>
          </w:tcPr>
          <w:p w:rsidR="00663E5D" w:rsidRPr="002019A9" w:rsidRDefault="00663E5D" w:rsidP="00663E5D">
            <w:r w:rsidRPr="002019A9">
              <w:t>Empathy as Bug: The Rhetoric of MAGA’s “Battle” (2025)</w:t>
            </w:r>
          </w:p>
        </w:tc>
        <w:tc>
          <w:tcPr>
            <w:tcW w:w="992" w:type="dxa"/>
          </w:tcPr>
          <w:p w:rsidR="00663E5D" w:rsidRPr="002019A9" w:rsidRDefault="00663E5D" w:rsidP="00663E5D">
            <w:r w:rsidRPr="002019A9">
              <w:t>USA</w:t>
            </w:r>
          </w:p>
        </w:tc>
        <w:tc>
          <w:tcPr>
            <w:tcW w:w="2268" w:type="dxa"/>
          </w:tcPr>
          <w:p w:rsidR="00663E5D" w:rsidRPr="002019A9" w:rsidRDefault="00663E5D" w:rsidP="00663E5D">
            <w:r w:rsidRPr="002019A9">
              <w:t>To analyze the rhetorical use of empathy within populist political movements.</w:t>
            </w:r>
          </w:p>
        </w:tc>
        <w:tc>
          <w:tcPr>
            <w:tcW w:w="1559" w:type="dxa"/>
          </w:tcPr>
          <w:p w:rsidR="00663E5D" w:rsidRPr="002019A9" w:rsidRDefault="00663E5D" w:rsidP="00663E5D">
            <w:r w:rsidRPr="002019A9">
              <w:t>Rhetorical Criticism and Discourse Analysis.</w:t>
            </w:r>
          </w:p>
        </w:tc>
        <w:tc>
          <w:tcPr>
            <w:tcW w:w="3261" w:type="dxa"/>
          </w:tcPr>
          <w:p w:rsidR="00663E5D" w:rsidRPr="002019A9" w:rsidRDefault="00663E5D" w:rsidP="00663E5D">
            <w:r w:rsidRPr="002019A9">
              <w:t>Empathy is weaponized as a tribal marker, granted to the in-group but denied to perceived enemies to fuel conflict.</w:t>
            </w:r>
          </w:p>
        </w:tc>
        <w:tc>
          <w:tcPr>
            <w:tcW w:w="1622" w:type="dxa"/>
          </w:tcPr>
          <w:p w:rsidR="00663E5D" w:rsidRDefault="00663E5D" w:rsidP="00663E5D">
            <w:r w:rsidRPr="002019A9">
              <w:t>Rhetoric Society Quarterly</w:t>
            </w:r>
          </w:p>
        </w:tc>
      </w:tr>
      <w:tr w:rsidR="00663E5D" w:rsidTr="00663E5D">
        <w:tc>
          <w:tcPr>
            <w:tcW w:w="1555" w:type="dxa"/>
          </w:tcPr>
          <w:p w:rsidR="00663E5D" w:rsidRPr="000A6F11" w:rsidRDefault="00663E5D" w:rsidP="00663E5D">
            <w:r w:rsidRPr="000A6F11">
              <w:t>Mohamed Nour, M., &amp; Kisa, A.</w:t>
            </w:r>
          </w:p>
        </w:tc>
        <w:tc>
          <w:tcPr>
            <w:tcW w:w="2693" w:type="dxa"/>
          </w:tcPr>
          <w:p w:rsidR="00663E5D" w:rsidRPr="000A6F11" w:rsidRDefault="00663E5D" w:rsidP="00663E5D">
            <w:r w:rsidRPr="000A6F11">
              <w:t>Political leaders’ communication strategies during COVID-19 in highly infected countries (2024)</w:t>
            </w:r>
          </w:p>
        </w:tc>
        <w:tc>
          <w:tcPr>
            <w:tcW w:w="992" w:type="dxa"/>
          </w:tcPr>
          <w:p w:rsidR="00663E5D" w:rsidRPr="000A6F11" w:rsidRDefault="00663E5D" w:rsidP="00663E5D">
            <w:r w:rsidRPr="000A6F11">
              <w:t>Multiple Countries</w:t>
            </w:r>
          </w:p>
        </w:tc>
        <w:tc>
          <w:tcPr>
            <w:tcW w:w="2268" w:type="dxa"/>
          </w:tcPr>
          <w:p w:rsidR="00663E5D" w:rsidRPr="000A6F11" w:rsidRDefault="00663E5D" w:rsidP="00663E5D">
            <w:r w:rsidRPr="000A6F11">
              <w:t>To review how leaders managed public emotion and information during a health crisis.</w:t>
            </w:r>
          </w:p>
        </w:tc>
        <w:tc>
          <w:tcPr>
            <w:tcW w:w="1559" w:type="dxa"/>
          </w:tcPr>
          <w:p w:rsidR="00663E5D" w:rsidRPr="000A6F11" w:rsidRDefault="00663E5D" w:rsidP="00663E5D">
            <w:r w:rsidRPr="000A6F11">
              <w:t>Scoping Review.</w:t>
            </w:r>
          </w:p>
        </w:tc>
        <w:tc>
          <w:tcPr>
            <w:tcW w:w="3261" w:type="dxa"/>
          </w:tcPr>
          <w:p w:rsidR="00663E5D" w:rsidRPr="000A6F11" w:rsidRDefault="00663E5D" w:rsidP="00663E5D">
            <w:r w:rsidRPr="000A6F11">
              <w:t>Successful persuasion during crises relied on balancing fear with authoritative emotional reassurance.</w:t>
            </w:r>
          </w:p>
        </w:tc>
        <w:tc>
          <w:tcPr>
            <w:tcW w:w="1622" w:type="dxa"/>
          </w:tcPr>
          <w:p w:rsidR="00663E5D" w:rsidRPr="000A6F11" w:rsidRDefault="00663E5D" w:rsidP="00663E5D">
            <w:r w:rsidRPr="000A6F11">
              <w:t>Healthcare</w:t>
            </w:r>
          </w:p>
        </w:tc>
      </w:tr>
      <w:tr w:rsidR="00663E5D" w:rsidTr="00663E5D">
        <w:tc>
          <w:tcPr>
            <w:tcW w:w="1555" w:type="dxa"/>
          </w:tcPr>
          <w:p w:rsidR="00663E5D" w:rsidRPr="000A6F11" w:rsidRDefault="00663E5D" w:rsidP="00663E5D">
            <w:r w:rsidRPr="000A6F11">
              <w:t>Quarm, B., &amp; Dadzie, E. M.</w:t>
            </w:r>
          </w:p>
        </w:tc>
        <w:tc>
          <w:tcPr>
            <w:tcW w:w="2693" w:type="dxa"/>
          </w:tcPr>
          <w:p w:rsidR="00663E5D" w:rsidRPr="000A6F11" w:rsidRDefault="00663E5D" w:rsidP="00663E5D">
            <w:r w:rsidRPr="000A6F11">
              <w:t>“Being Blessed” With a Crisis: Exploring the Rhetoric of Crisis Exploitation (2025)</w:t>
            </w:r>
          </w:p>
        </w:tc>
        <w:tc>
          <w:tcPr>
            <w:tcW w:w="992" w:type="dxa"/>
          </w:tcPr>
          <w:p w:rsidR="00663E5D" w:rsidRPr="000A6F11" w:rsidRDefault="00663E5D" w:rsidP="00663E5D">
            <w:r w:rsidRPr="000A6F11">
              <w:t>Ghana</w:t>
            </w:r>
          </w:p>
        </w:tc>
        <w:tc>
          <w:tcPr>
            <w:tcW w:w="2268" w:type="dxa"/>
          </w:tcPr>
          <w:p w:rsidR="00663E5D" w:rsidRPr="000A6F11" w:rsidRDefault="00663E5D" w:rsidP="00663E5D">
            <w:r w:rsidRPr="000A6F11">
              <w:t>To investigate how political actors exploit disasters for discursive advantage.</w:t>
            </w:r>
          </w:p>
        </w:tc>
        <w:tc>
          <w:tcPr>
            <w:tcW w:w="1559" w:type="dxa"/>
          </w:tcPr>
          <w:p w:rsidR="00663E5D" w:rsidRPr="000A6F11" w:rsidRDefault="00663E5D" w:rsidP="00663E5D">
            <w:r w:rsidRPr="000A6F11">
              <w:t>Narrative Analysis and Case Study.</w:t>
            </w:r>
          </w:p>
        </w:tc>
        <w:tc>
          <w:tcPr>
            <w:tcW w:w="3261" w:type="dxa"/>
          </w:tcPr>
          <w:p w:rsidR="00663E5D" w:rsidRPr="000A6F11" w:rsidRDefault="00663E5D" w:rsidP="00663E5D">
            <w:r w:rsidRPr="000A6F11">
              <w:t>Crises are framed as opportunities to showcase leadership "blessings," often using emotional diversion.</w:t>
            </w:r>
          </w:p>
        </w:tc>
        <w:tc>
          <w:tcPr>
            <w:tcW w:w="1622" w:type="dxa"/>
          </w:tcPr>
          <w:p w:rsidR="00663E5D" w:rsidRPr="000A6F11" w:rsidRDefault="00663E5D" w:rsidP="00663E5D">
            <w:r w:rsidRPr="000A6F11">
              <w:t>Communication Studies</w:t>
            </w:r>
          </w:p>
        </w:tc>
      </w:tr>
      <w:tr w:rsidR="00663E5D" w:rsidTr="00663E5D">
        <w:tc>
          <w:tcPr>
            <w:tcW w:w="1555" w:type="dxa"/>
          </w:tcPr>
          <w:p w:rsidR="00663E5D" w:rsidRPr="000A6F11" w:rsidRDefault="00663E5D" w:rsidP="00663E5D">
            <w:r w:rsidRPr="000A6F11">
              <w:t>Voutsa, M. C.</w:t>
            </w:r>
          </w:p>
        </w:tc>
        <w:tc>
          <w:tcPr>
            <w:tcW w:w="2693" w:type="dxa"/>
          </w:tcPr>
          <w:p w:rsidR="00663E5D" w:rsidRPr="000A6F11" w:rsidRDefault="00663E5D" w:rsidP="00663E5D">
            <w:r w:rsidRPr="000A6F11">
              <w:t>Disparaging humorous advertising: A bibliometric review (2024)</w:t>
            </w:r>
          </w:p>
        </w:tc>
        <w:tc>
          <w:tcPr>
            <w:tcW w:w="992" w:type="dxa"/>
          </w:tcPr>
          <w:p w:rsidR="00663E5D" w:rsidRPr="000A6F11" w:rsidRDefault="00663E5D" w:rsidP="00663E5D">
            <w:r w:rsidRPr="000A6F11">
              <w:t>Global</w:t>
            </w:r>
          </w:p>
        </w:tc>
        <w:tc>
          <w:tcPr>
            <w:tcW w:w="2268" w:type="dxa"/>
          </w:tcPr>
          <w:p w:rsidR="00663E5D" w:rsidRPr="000A6F11" w:rsidRDefault="00663E5D" w:rsidP="00663E5D">
            <w:r w:rsidRPr="000A6F11">
              <w:t>To map the influence and evolution of disparaging humor in persuasive communication.</w:t>
            </w:r>
          </w:p>
        </w:tc>
        <w:tc>
          <w:tcPr>
            <w:tcW w:w="1559" w:type="dxa"/>
          </w:tcPr>
          <w:p w:rsidR="00663E5D" w:rsidRPr="000A6F11" w:rsidRDefault="00663E5D" w:rsidP="00663E5D">
            <w:r w:rsidRPr="000A6F11">
              <w:t>Bibliometric Analysis.</w:t>
            </w:r>
          </w:p>
        </w:tc>
        <w:tc>
          <w:tcPr>
            <w:tcW w:w="3261" w:type="dxa"/>
          </w:tcPr>
          <w:p w:rsidR="00663E5D" w:rsidRPr="000A6F11" w:rsidRDefault="00663E5D" w:rsidP="00663E5D">
            <w:r w:rsidRPr="000A6F11">
              <w:t>Disparaging humor is a high-risk, high-reward strategy that effectively reinforces group boundaries and diminishes opponents.</w:t>
            </w:r>
          </w:p>
        </w:tc>
        <w:tc>
          <w:tcPr>
            <w:tcW w:w="1622" w:type="dxa"/>
          </w:tcPr>
          <w:p w:rsidR="00663E5D" w:rsidRDefault="00663E5D" w:rsidP="00663E5D">
            <w:r w:rsidRPr="000A6F11">
              <w:t>Journal of Marketing Communications</w:t>
            </w:r>
          </w:p>
        </w:tc>
      </w:tr>
    </w:tbl>
    <w:p w:rsidR="00663E5D" w:rsidRDefault="00663E5D" w:rsidP="00283407">
      <w:pPr>
        <w:pStyle w:val="NormalWeb"/>
        <w:rPr>
          <w:rFonts w:ascii="Arial" w:hAnsi="Arial" w:cs="Arial"/>
        </w:rPr>
        <w:sectPr w:rsidR="00663E5D" w:rsidSect="00663E5D">
          <w:pgSz w:w="16840" w:h="11910" w:orient="landscape"/>
          <w:pgMar w:top="1077" w:right="1440" w:bottom="1077" w:left="1440" w:header="720" w:footer="720" w:gutter="0"/>
          <w:cols w:space="720"/>
          <w:docGrid w:linePitch="299"/>
        </w:sectPr>
      </w:pPr>
    </w:p>
    <w:p w:rsidR="00663E5D" w:rsidRDefault="00283407" w:rsidP="00663E5D">
      <w:pPr>
        <w:pStyle w:val="NormalWeb"/>
        <w:spacing w:before="0" w:beforeAutospacing="0"/>
        <w:ind w:firstLine="426"/>
        <w:jc w:val="both"/>
        <w:rPr>
          <w:rFonts w:ascii="Arial" w:hAnsi="Arial" w:cs="Arial"/>
        </w:rPr>
      </w:pPr>
      <w:r w:rsidRPr="00A71AD9">
        <w:rPr>
          <w:rFonts w:ascii="Arial" w:hAnsi="Arial" w:cs="Arial"/>
        </w:rPr>
        <w:lastRenderedPageBreak/>
        <w:t>The collective data from these studies underscores a fundamental transformation in the logic of political persuasion. The "Affective Turn" identified in this review suggests that emotionality is being engineered at a structural level to replace deliberative democracy with "Affective Polarization." As Maor (2026) argues, emotions act as the "glue" for advocacy coalitions, meaning that persuasion is no longer about changing minds through evidence, but about binding hearts through shared sentiment. This is a critical departure from traditional political science models that viewed voters as rational actors. In the contemporary architecture, the voter is an affective actor whose loyalty is secured through the constant modulation of hope, fear, and resentment.</w:t>
      </w:r>
    </w:p>
    <w:p w:rsidR="00663E5D" w:rsidRDefault="00283407" w:rsidP="00663E5D">
      <w:pPr>
        <w:pStyle w:val="NormalWeb"/>
        <w:spacing w:before="0" w:beforeAutospacing="0"/>
        <w:ind w:firstLine="426"/>
        <w:jc w:val="both"/>
        <w:rPr>
          <w:rFonts w:ascii="Arial" w:hAnsi="Arial" w:cs="Arial"/>
        </w:rPr>
      </w:pPr>
      <w:r w:rsidRPr="00A71AD9">
        <w:rPr>
          <w:rFonts w:ascii="Arial" w:hAnsi="Arial" w:cs="Arial"/>
        </w:rPr>
        <w:t xml:space="preserve">Furthermore, the "Subversion of Empathy" (Murray, 2025) provides a chilling insight into why modern political discourse is so resistant to compromise. By framing empathy as a finite resource reserved for the in-group, political actors create an "affective wall" that prevents cross-partisan understanding. This is exacerbated during crises, where leaders utilize "Disparaging Humor" (Voutsa, 2024) to mock critics. This use of humor serves a dual purpose: it builds camaraderie among supporters through shared laughter while simultaneously dehumanizing the opposition. Consequently, the architecture of persuasion in the 2020s is one that thrives on the exploitation of human psychology, turning universal emotions into specialized weapons for </w:t>
      </w:r>
      <w:r w:rsidR="00663E5D">
        <w:rPr>
          <w:rFonts w:ascii="Arial" w:hAnsi="Arial" w:cs="Arial"/>
        </w:rPr>
        <w:t>political combat.</w:t>
      </w:r>
    </w:p>
    <w:p w:rsidR="00663E5D" w:rsidRDefault="00283407" w:rsidP="00663E5D">
      <w:pPr>
        <w:pStyle w:val="NormalWeb"/>
        <w:spacing w:before="0" w:beforeAutospacing="0"/>
        <w:ind w:firstLine="426"/>
        <w:jc w:val="both"/>
        <w:rPr>
          <w:rFonts w:ascii="Arial" w:hAnsi="Arial" w:cs="Arial"/>
        </w:rPr>
      </w:pPr>
      <w:r w:rsidRPr="00A71AD9">
        <w:rPr>
          <w:rFonts w:ascii="Arial" w:hAnsi="Arial" w:cs="Arial"/>
        </w:rPr>
        <w:t>The novelty of this section lies in its conceptualization of empathy and humor as structural components of a broader "Affective Architecture." W</w:t>
      </w:r>
      <w:bookmarkStart w:id="1" w:name="_GoBack"/>
      <w:bookmarkEnd w:id="1"/>
      <w:r w:rsidRPr="00A71AD9">
        <w:rPr>
          <w:rFonts w:ascii="Arial" w:hAnsi="Arial" w:cs="Arial"/>
        </w:rPr>
        <w:t>hile existing literature often views these as spontaneous reactions, this SLR demonstrates that they are part of a calculated rhetorical strategy aimed at "Affective Engineering." The primary contribution of this research is the mapping of how emotional dynamics are systematically integrated with crisis management to produce a form of persuasion that is immune to factual correction. This framework allows researchers to understand the persistence of populist movements and provides a new lens for evaluating the health of democratic discourse based on its "affective hygiene" rather than just its inform</w:t>
      </w:r>
      <w:r w:rsidR="00663E5D">
        <w:rPr>
          <w:rFonts w:ascii="Arial" w:hAnsi="Arial" w:cs="Arial"/>
        </w:rPr>
        <w:t>ational accuracy.</w:t>
      </w:r>
    </w:p>
    <w:p w:rsidR="00663E5D" w:rsidRDefault="00663E5D" w:rsidP="00663E5D">
      <w:pPr>
        <w:pStyle w:val="NormalWeb"/>
        <w:spacing w:before="0" w:beforeAutospacing="0"/>
        <w:jc w:val="both"/>
        <w:rPr>
          <w:rFonts w:ascii="Arial" w:hAnsi="Arial" w:cs="Arial"/>
          <w:b/>
        </w:rPr>
      </w:pPr>
      <w:r>
        <w:rPr>
          <w:rFonts w:ascii="Arial" w:hAnsi="Arial" w:cs="Arial"/>
          <w:b/>
        </w:rPr>
        <w:t>Theme</w:t>
      </w:r>
      <w:r w:rsidR="00283407" w:rsidRPr="00663E5D">
        <w:rPr>
          <w:rFonts w:ascii="Arial" w:hAnsi="Arial" w:cs="Arial"/>
          <w:b/>
        </w:rPr>
        <w:t xml:space="preserve"> III: Digital Evolution and Platform-Specific Affordances</w:t>
      </w:r>
    </w:p>
    <w:p w:rsidR="00283407" w:rsidRPr="00663E5D" w:rsidRDefault="00283407" w:rsidP="00663E5D">
      <w:pPr>
        <w:pStyle w:val="NormalWeb"/>
        <w:spacing w:before="0" w:beforeAutospacing="0"/>
        <w:ind w:firstLine="426"/>
        <w:jc w:val="both"/>
        <w:rPr>
          <w:rFonts w:ascii="Arial" w:hAnsi="Arial" w:cs="Arial"/>
          <w:b/>
        </w:rPr>
      </w:pPr>
      <w:r w:rsidRPr="00A71AD9">
        <w:rPr>
          <w:rFonts w:ascii="Arial" w:hAnsi="Arial" w:cs="Arial"/>
        </w:rPr>
        <w:t xml:space="preserve">The third </w:t>
      </w:r>
      <w:r w:rsidR="00174769">
        <w:rPr>
          <w:rFonts w:ascii="Arial" w:hAnsi="Arial" w:cs="Arial"/>
        </w:rPr>
        <w:t>theme</w:t>
      </w:r>
      <w:r w:rsidRPr="00A71AD9">
        <w:rPr>
          <w:rFonts w:ascii="Arial" w:hAnsi="Arial" w:cs="Arial"/>
        </w:rPr>
        <w:t xml:space="preserve"> of the architecture of persuasion examines how the digital medium itself</w:t>
      </w:r>
      <w:r w:rsidR="00174769">
        <w:rPr>
          <w:rFonts w:ascii="Arial" w:hAnsi="Arial" w:cs="Arial"/>
        </w:rPr>
        <w:t xml:space="preserve"> </w:t>
      </w:r>
      <w:r w:rsidRPr="00A71AD9">
        <w:rPr>
          <w:rFonts w:ascii="Arial" w:hAnsi="Arial" w:cs="Arial"/>
        </w:rPr>
        <w:t>including its technical infrastructure and algorithmic logic</w:t>
      </w:r>
      <w:r w:rsidR="00174769">
        <w:rPr>
          <w:rFonts w:ascii="Arial" w:hAnsi="Arial" w:cs="Arial"/>
        </w:rPr>
        <w:t xml:space="preserve"> </w:t>
      </w:r>
      <w:r w:rsidRPr="00A71AD9">
        <w:rPr>
          <w:rFonts w:ascii="Arial" w:hAnsi="Arial" w:cs="Arial"/>
        </w:rPr>
        <w:t>fundamentally alters the nature of political influence. In the contemporary era, persuasion is no longer a neutral process of message delivery; rather, it is shaped by "platform affordances" that dictate how content is seen, felt, and shared. Digital evolution has catalyzed a transition from text-heavy deliberation to a visual and memetic economy of attention. This thematic cluster explores how short-form video content and memes have become the primary vehicles for political socialization among younger demographics (Causa, 2026; Coriasco et al., 2026). Furthermore, it investigates the militarization of digital spaces, where algorithms act as rhetorical agents that curate "digital warfare" and facilitate "strategic lying," ultimately leading to a state of epistemic polarization where shared factual reality is dismantled (Abbink, 2026; Jarvis et al., 2026).</w:t>
      </w:r>
    </w:p>
    <w:p w:rsidR="00663E5D" w:rsidRDefault="00663E5D" w:rsidP="00283407">
      <w:pPr>
        <w:pStyle w:val="Heading4"/>
        <w:rPr>
          <w:rFonts w:ascii="Arial" w:hAnsi="Arial" w:cs="Arial"/>
        </w:rPr>
        <w:sectPr w:rsidR="00663E5D" w:rsidSect="00DA7E9E">
          <w:pgSz w:w="11910" w:h="16840"/>
          <w:pgMar w:top="1440" w:right="1080" w:bottom="1440" w:left="1080" w:header="720" w:footer="720" w:gutter="0"/>
          <w:cols w:space="720"/>
          <w:docGrid w:linePitch="299"/>
        </w:sectPr>
      </w:pPr>
    </w:p>
    <w:p w:rsidR="00283407" w:rsidRDefault="00663E5D" w:rsidP="00663E5D">
      <w:pPr>
        <w:pStyle w:val="Heading4"/>
        <w:jc w:val="center"/>
        <w:rPr>
          <w:rFonts w:ascii="Arial" w:hAnsi="Arial" w:cs="Arial"/>
        </w:rPr>
      </w:pPr>
      <w:r>
        <w:rPr>
          <w:rFonts w:ascii="Arial" w:hAnsi="Arial" w:cs="Arial"/>
        </w:rPr>
        <w:lastRenderedPageBreak/>
        <w:t xml:space="preserve">Table 3 : </w:t>
      </w:r>
      <w:r w:rsidR="00283407" w:rsidRPr="00A71AD9">
        <w:rPr>
          <w:rFonts w:ascii="Arial" w:hAnsi="Arial" w:cs="Arial"/>
        </w:rPr>
        <w:t>Summary of Key Studies in Digital Evolution and Platform Affordances</w:t>
      </w:r>
    </w:p>
    <w:tbl>
      <w:tblPr>
        <w:tblStyle w:val="TableGrid"/>
        <w:tblW w:w="0" w:type="auto"/>
        <w:tblLook w:val="04A0" w:firstRow="1" w:lastRow="0" w:firstColumn="1" w:lastColumn="0" w:noHBand="0" w:noVBand="1"/>
      </w:tblPr>
      <w:tblGrid>
        <w:gridCol w:w="1413"/>
        <w:gridCol w:w="2572"/>
        <w:gridCol w:w="1397"/>
        <w:gridCol w:w="2268"/>
        <w:gridCol w:w="1701"/>
        <w:gridCol w:w="2962"/>
        <w:gridCol w:w="1637"/>
      </w:tblGrid>
      <w:tr w:rsidR="00663E5D" w:rsidTr="00663E5D">
        <w:tc>
          <w:tcPr>
            <w:tcW w:w="1413" w:type="dxa"/>
          </w:tcPr>
          <w:p w:rsidR="00663E5D" w:rsidRPr="00EB037A" w:rsidRDefault="00663E5D" w:rsidP="00663E5D">
            <w:r w:rsidRPr="00EB037A">
              <w:t>Authors</w:t>
            </w:r>
          </w:p>
        </w:tc>
        <w:tc>
          <w:tcPr>
            <w:tcW w:w="2572" w:type="dxa"/>
          </w:tcPr>
          <w:p w:rsidR="00663E5D" w:rsidRPr="00EB037A" w:rsidRDefault="00663E5D" w:rsidP="00663E5D">
            <w:r w:rsidRPr="00EB037A">
              <w:t>Title and Year</w:t>
            </w:r>
          </w:p>
        </w:tc>
        <w:tc>
          <w:tcPr>
            <w:tcW w:w="1397" w:type="dxa"/>
          </w:tcPr>
          <w:p w:rsidR="00663E5D" w:rsidRPr="00EB037A" w:rsidRDefault="00663E5D" w:rsidP="00663E5D">
            <w:r w:rsidRPr="00EB037A">
              <w:t>Country</w:t>
            </w:r>
          </w:p>
        </w:tc>
        <w:tc>
          <w:tcPr>
            <w:tcW w:w="2268" w:type="dxa"/>
          </w:tcPr>
          <w:p w:rsidR="00663E5D" w:rsidRPr="00EB037A" w:rsidRDefault="00663E5D" w:rsidP="00663E5D">
            <w:r w:rsidRPr="00EB037A">
              <w:t>Aim</w:t>
            </w:r>
          </w:p>
        </w:tc>
        <w:tc>
          <w:tcPr>
            <w:tcW w:w="1701" w:type="dxa"/>
          </w:tcPr>
          <w:p w:rsidR="00663E5D" w:rsidRPr="00EB037A" w:rsidRDefault="00663E5D" w:rsidP="00663E5D">
            <w:r w:rsidRPr="00EB037A">
              <w:t>Methodology</w:t>
            </w:r>
          </w:p>
        </w:tc>
        <w:tc>
          <w:tcPr>
            <w:tcW w:w="2962" w:type="dxa"/>
          </w:tcPr>
          <w:p w:rsidR="00663E5D" w:rsidRPr="00EB037A" w:rsidRDefault="00663E5D" w:rsidP="00663E5D">
            <w:r w:rsidRPr="00EB037A">
              <w:t>Findings</w:t>
            </w:r>
          </w:p>
        </w:tc>
        <w:tc>
          <w:tcPr>
            <w:tcW w:w="1637" w:type="dxa"/>
          </w:tcPr>
          <w:p w:rsidR="00663E5D" w:rsidRPr="00EB037A" w:rsidRDefault="00663E5D" w:rsidP="00663E5D">
            <w:r w:rsidRPr="00EB037A">
              <w:t>Journal</w:t>
            </w:r>
          </w:p>
        </w:tc>
      </w:tr>
      <w:tr w:rsidR="00663E5D" w:rsidTr="00663E5D">
        <w:tc>
          <w:tcPr>
            <w:tcW w:w="1413" w:type="dxa"/>
          </w:tcPr>
          <w:p w:rsidR="00663E5D" w:rsidRPr="00EB037A" w:rsidRDefault="00663E5D" w:rsidP="00663E5D">
            <w:r w:rsidRPr="00EB037A">
              <w:t>Coriasco, M., Thacker, A., &amp; Van Son, C.</w:t>
            </w:r>
          </w:p>
        </w:tc>
        <w:tc>
          <w:tcPr>
            <w:tcW w:w="2572" w:type="dxa"/>
          </w:tcPr>
          <w:p w:rsidR="00663E5D" w:rsidRPr="00EB037A" w:rsidRDefault="00663E5D" w:rsidP="00663E5D">
            <w:r w:rsidRPr="00EB037A">
              <w:t>Vaccination in the Age of Memes: An Exploration of Digital Health Communication (2026)</w:t>
            </w:r>
          </w:p>
        </w:tc>
        <w:tc>
          <w:tcPr>
            <w:tcW w:w="1397" w:type="dxa"/>
          </w:tcPr>
          <w:p w:rsidR="00663E5D" w:rsidRPr="00EB037A" w:rsidRDefault="00663E5D" w:rsidP="00663E5D">
            <w:r w:rsidRPr="00EB037A">
              <w:t>Australia / Global</w:t>
            </w:r>
          </w:p>
        </w:tc>
        <w:tc>
          <w:tcPr>
            <w:tcW w:w="2268" w:type="dxa"/>
          </w:tcPr>
          <w:p w:rsidR="00663E5D" w:rsidRPr="00EB037A" w:rsidRDefault="00663E5D" w:rsidP="00663E5D">
            <w:r w:rsidRPr="00EB037A">
              <w:t>To examine the persuasive power of memes in public health political discourse.</w:t>
            </w:r>
          </w:p>
        </w:tc>
        <w:tc>
          <w:tcPr>
            <w:tcW w:w="1701" w:type="dxa"/>
          </w:tcPr>
          <w:p w:rsidR="00663E5D" w:rsidRPr="00EB037A" w:rsidRDefault="00663E5D" w:rsidP="00663E5D">
            <w:r w:rsidRPr="00EB037A">
              <w:t>Qualitative Visual Analysis and Netnography.</w:t>
            </w:r>
          </w:p>
        </w:tc>
        <w:tc>
          <w:tcPr>
            <w:tcW w:w="2962" w:type="dxa"/>
          </w:tcPr>
          <w:p w:rsidR="00663E5D" w:rsidRPr="00EB037A" w:rsidRDefault="00663E5D" w:rsidP="00663E5D">
            <w:r w:rsidRPr="00EB037A">
              <w:t>Memes function as highly condensed rhetorical units that bypass rational scrutiny through humor and cultural relatability.</w:t>
            </w:r>
          </w:p>
        </w:tc>
        <w:tc>
          <w:tcPr>
            <w:tcW w:w="1637" w:type="dxa"/>
          </w:tcPr>
          <w:p w:rsidR="00663E5D" w:rsidRPr="00EB037A" w:rsidRDefault="00663E5D" w:rsidP="00663E5D">
            <w:r w:rsidRPr="00EB037A">
              <w:t>Nursing Inquiry</w:t>
            </w:r>
          </w:p>
        </w:tc>
      </w:tr>
      <w:tr w:rsidR="00663E5D" w:rsidTr="00663E5D">
        <w:tc>
          <w:tcPr>
            <w:tcW w:w="1413" w:type="dxa"/>
          </w:tcPr>
          <w:p w:rsidR="00663E5D" w:rsidRPr="00EB037A" w:rsidRDefault="00663E5D" w:rsidP="00663E5D">
            <w:r w:rsidRPr="00EB037A">
              <w:t>Causa, S.</w:t>
            </w:r>
          </w:p>
        </w:tc>
        <w:tc>
          <w:tcPr>
            <w:tcW w:w="2572" w:type="dxa"/>
          </w:tcPr>
          <w:p w:rsidR="00663E5D" w:rsidRPr="00EB037A" w:rsidRDefault="00663E5D" w:rsidP="00663E5D">
            <w:r w:rsidRPr="00EB037A">
              <w:t>Silencing Greta: Exploring Digital Environmental Discourses of Gen Z on Tiktok (2026)</w:t>
            </w:r>
          </w:p>
        </w:tc>
        <w:tc>
          <w:tcPr>
            <w:tcW w:w="1397" w:type="dxa"/>
          </w:tcPr>
          <w:p w:rsidR="00663E5D" w:rsidRPr="00EB037A" w:rsidRDefault="00663E5D" w:rsidP="00663E5D">
            <w:r w:rsidRPr="00EB037A">
              <w:t>Global / Italy</w:t>
            </w:r>
          </w:p>
        </w:tc>
        <w:tc>
          <w:tcPr>
            <w:tcW w:w="2268" w:type="dxa"/>
          </w:tcPr>
          <w:p w:rsidR="00663E5D" w:rsidRPr="00EB037A" w:rsidRDefault="00663E5D" w:rsidP="00663E5D">
            <w:r w:rsidRPr="00EB037A">
              <w:t>To explore how Gen Z engages with or resists environmental persuasion on TikTok.</w:t>
            </w:r>
          </w:p>
        </w:tc>
        <w:tc>
          <w:tcPr>
            <w:tcW w:w="1701" w:type="dxa"/>
          </w:tcPr>
          <w:p w:rsidR="00663E5D" w:rsidRPr="00EB037A" w:rsidRDefault="00663E5D" w:rsidP="00663E5D">
            <w:r w:rsidRPr="00EB037A">
              <w:t>Multi-modal Discourse Analysis.</w:t>
            </w:r>
          </w:p>
        </w:tc>
        <w:tc>
          <w:tcPr>
            <w:tcW w:w="2962" w:type="dxa"/>
          </w:tcPr>
          <w:p w:rsidR="00663E5D" w:rsidRPr="00EB037A" w:rsidRDefault="00663E5D" w:rsidP="00663E5D">
            <w:r w:rsidRPr="00EB037A">
              <w:t>TikTok’s aesthetic affordances prioritize rapid visual narratives, making it a primary site for "aestheticized" political persuasion.</w:t>
            </w:r>
          </w:p>
        </w:tc>
        <w:tc>
          <w:tcPr>
            <w:tcW w:w="1637" w:type="dxa"/>
          </w:tcPr>
          <w:p w:rsidR="00663E5D" w:rsidRPr="00EB037A" w:rsidRDefault="00663E5D" w:rsidP="00663E5D">
            <w:r w:rsidRPr="00EB037A">
              <w:t>Environmental Communication</w:t>
            </w:r>
          </w:p>
        </w:tc>
      </w:tr>
      <w:tr w:rsidR="00663E5D" w:rsidTr="00663E5D">
        <w:tc>
          <w:tcPr>
            <w:tcW w:w="1413" w:type="dxa"/>
          </w:tcPr>
          <w:p w:rsidR="00663E5D" w:rsidRPr="00EB037A" w:rsidRDefault="00663E5D" w:rsidP="00663E5D">
            <w:r w:rsidRPr="00EB037A">
              <w:t>Abbink, J.</w:t>
            </w:r>
          </w:p>
        </w:tc>
        <w:tc>
          <w:tcPr>
            <w:tcW w:w="2572" w:type="dxa"/>
          </w:tcPr>
          <w:p w:rsidR="00663E5D" w:rsidRPr="00EB037A" w:rsidRDefault="00663E5D" w:rsidP="00663E5D">
            <w:r w:rsidRPr="00EB037A">
              <w:t>Digital warfare transforming political rhetoric: social media (ab)use and the Ethiopia war (2026)</w:t>
            </w:r>
          </w:p>
        </w:tc>
        <w:tc>
          <w:tcPr>
            <w:tcW w:w="1397" w:type="dxa"/>
          </w:tcPr>
          <w:p w:rsidR="00663E5D" w:rsidRPr="00EB037A" w:rsidRDefault="00663E5D" w:rsidP="00663E5D">
            <w:r w:rsidRPr="00EB037A">
              <w:t>Ethiopia</w:t>
            </w:r>
          </w:p>
        </w:tc>
        <w:tc>
          <w:tcPr>
            <w:tcW w:w="2268" w:type="dxa"/>
          </w:tcPr>
          <w:p w:rsidR="00663E5D" w:rsidRPr="00EB037A" w:rsidRDefault="00663E5D" w:rsidP="00663E5D">
            <w:r w:rsidRPr="00EB037A">
              <w:t>To analyze how social media platforms are weaponized for political rhetoric during conflict.</w:t>
            </w:r>
          </w:p>
        </w:tc>
        <w:tc>
          <w:tcPr>
            <w:tcW w:w="1701" w:type="dxa"/>
          </w:tcPr>
          <w:p w:rsidR="00663E5D" w:rsidRPr="00EB037A" w:rsidRDefault="00663E5D" w:rsidP="00663E5D">
            <w:r w:rsidRPr="00EB037A">
              <w:t>Qualitative Case Study and Content Analysis.</w:t>
            </w:r>
          </w:p>
        </w:tc>
        <w:tc>
          <w:tcPr>
            <w:tcW w:w="2962" w:type="dxa"/>
          </w:tcPr>
          <w:p w:rsidR="00663E5D" w:rsidRPr="00EB037A" w:rsidRDefault="00663E5D" w:rsidP="00663E5D">
            <w:r w:rsidRPr="00EB037A">
              <w:t>Platforms are transformed into combat zones where algorithms amplify aggressive rhetoric and state-sponsored narratives.</w:t>
            </w:r>
          </w:p>
        </w:tc>
        <w:tc>
          <w:tcPr>
            <w:tcW w:w="1637" w:type="dxa"/>
          </w:tcPr>
          <w:p w:rsidR="00663E5D" w:rsidRDefault="00663E5D" w:rsidP="00663E5D">
            <w:r w:rsidRPr="00EB037A">
              <w:t>Modern Africa</w:t>
            </w:r>
          </w:p>
        </w:tc>
      </w:tr>
      <w:tr w:rsidR="00663E5D" w:rsidTr="00663E5D">
        <w:tc>
          <w:tcPr>
            <w:tcW w:w="1413" w:type="dxa"/>
          </w:tcPr>
          <w:p w:rsidR="00663E5D" w:rsidRPr="007631A5" w:rsidRDefault="00663E5D" w:rsidP="00663E5D">
            <w:r w:rsidRPr="007631A5">
              <w:t>Daoudi, O.</w:t>
            </w:r>
          </w:p>
        </w:tc>
        <w:tc>
          <w:tcPr>
            <w:tcW w:w="2572" w:type="dxa"/>
          </w:tcPr>
          <w:p w:rsidR="00663E5D" w:rsidRPr="007631A5" w:rsidRDefault="00663E5D" w:rsidP="00663E5D">
            <w:r w:rsidRPr="007631A5">
              <w:t>The communications strategy of the IDF’s Arabic spokesperson on X (2025)</w:t>
            </w:r>
          </w:p>
        </w:tc>
        <w:tc>
          <w:tcPr>
            <w:tcW w:w="1397" w:type="dxa"/>
          </w:tcPr>
          <w:p w:rsidR="00663E5D" w:rsidRPr="007631A5" w:rsidRDefault="00663E5D" w:rsidP="00663E5D">
            <w:r w:rsidRPr="007631A5">
              <w:t>Middle East</w:t>
            </w:r>
          </w:p>
        </w:tc>
        <w:tc>
          <w:tcPr>
            <w:tcW w:w="2268" w:type="dxa"/>
          </w:tcPr>
          <w:p w:rsidR="00663E5D" w:rsidRPr="007631A5" w:rsidRDefault="00663E5D" w:rsidP="00663E5D">
            <w:r w:rsidRPr="007631A5">
              <w:t>To investigate the use of official social media accounts in psychological and political persuasion.</w:t>
            </w:r>
          </w:p>
        </w:tc>
        <w:tc>
          <w:tcPr>
            <w:tcW w:w="1701" w:type="dxa"/>
          </w:tcPr>
          <w:p w:rsidR="00663E5D" w:rsidRPr="007631A5" w:rsidRDefault="00663E5D" w:rsidP="00663E5D">
            <w:r w:rsidRPr="007631A5">
              <w:t>Strategic Communication Analysis.</w:t>
            </w:r>
          </w:p>
        </w:tc>
        <w:tc>
          <w:tcPr>
            <w:tcW w:w="2962" w:type="dxa"/>
          </w:tcPr>
          <w:p w:rsidR="00663E5D" w:rsidRPr="007631A5" w:rsidRDefault="00663E5D" w:rsidP="00663E5D">
            <w:r w:rsidRPr="007631A5">
              <w:t>Official accounts use platform features to construct highly structured, real-time "war narratives" to influence global perception.</w:t>
            </w:r>
          </w:p>
        </w:tc>
        <w:tc>
          <w:tcPr>
            <w:tcW w:w="1637" w:type="dxa"/>
          </w:tcPr>
          <w:p w:rsidR="00663E5D" w:rsidRPr="007631A5" w:rsidRDefault="00663E5D" w:rsidP="00663E5D">
            <w:r w:rsidRPr="007631A5">
              <w:t>Global Media and Communication</w:t>
            </w:r>
          </w:p>
        </w:tc>
      </w:tr>
      <w:tr w:rsidR="00663E5D" w:rsidTr="00663E5D">
        <w:tc>
          <w:tcPr>
            <w:tcW w:w="1413" w:type="dxa"/>
          </w:tcPr>
          <w:p w:rsidR="00663E5D" w:rsidRPr="007631A5" w:rsidRDefault="00663E5D" w:rsidP="00663E5D">
            <w:r w:rsidRPr="007631A5">
              <w:t>Jarvis, L. C., Goodrick, E., &amp; Hudson, B. A.</w:t>
            </w:r>
          </w:p>
        </w:tc>
        <w:tc>
          <w:tcPr>
            <w:tcW w:w="2572" w:type="dxa"/>
          </w:tcPr>
          <w:p w:rsidR="00663E5D" w:rsidRPr="007631A5" w:rsidRDefault="00663E5D" w:rsidP="00663E5D">
            <w:r w:rsidRPr="007631A5">
              <w:t>Full of It: Strategic Lying, Epistemic Conflict, and Issue Field Polarization (2026)</w:t>
            </w:r>
          </w:p>
        </w:tc>
        <w:tc>
          <w:tcPr>
            <w:tcW w:w="1397" w:type="dxa"/>
          </w:tcPr>
          <w:p w:rsidR="00663E5D" w:rsidRPr="007631A5" w:rsidRDefault="00663E5D" w:rsidP="00663E5D">
            <w:r w:rsidRPr="007631A5">
              <w:t>Global / Theoretical</w:t>
            </w:r>
          </w:p>
        </w:tc>
        <w:tc>
          <w:tcPr>
            <w:tcW w:w="2268" w:type="dxa"/>
          </w:tcPr>
          <w:p w:rsidR="00663E5D" w:rsidRPr="007631A5" w:rsidRDefault="00663E5D" w:rsidP="00663E5D">
            <w:r w:rsidRPr="007631A5">
              <w:t>To theorize how strategic lying in digital spaces leads to the breakdown of shared reality.</w:t>
            </w:r>
          </w:p>
        </w:tc>
        <w:tc>
          <w:tcPr>
            <w:tcW w:w="1701" w:type="dxa"/>
          </w:tcPr>
          <w:p w:rsidR="00663E5D" w:rsidRPr="007631A5" w:rsidRDefault="00663E5D" w:rsidP="00663E5D">
            <w:r w:rsidRPr="007631A5">
              <w:t>Grounded Theory and Issue Field Analysis.</w:t>
            </w:r>
          </w:p>
        </w:tc>
        <w:tc>
          <w:tcPr>
            <w:tcW w:w="2962" w:type="dxa"/>
          </w:tcPr>
          <w:p w:rsidR="00663E5D" w:rsidRPr="007631A5" w:rsidRDefault="00663E5D" w:rsidP="00663E5D">
            <w:r w:rsidRPr="007631A5">
              <w:t>Digital platforms enable "strategic lying" that creates permanent epistemic conflict, where persuasion is about narrative winning, not truth.</w:t>
            </w:r>
          </w:p>
        </w:tc>
        <w:tc>
          <w:tcPr>
            <w:tcW w:w="1637" w:type="dxa"/>
          </w:tcPr>
          <w:p w:rsidR="00663E5D" w:rsidRDefault="00663E5D" w:rsidP="00663E5D">
            <w:r w:rsidRPr="007631A5">
              <w:t>Organization Science</w:t>
            </w:r>
          </w:p>
        </w:tc>
      </w:tr>
    </w:tbl>
    <w:p w:rsidR="00663E5D" w:rsidRPr="00663E5D" w:rsidRDefault="00663E5D" w:rsidP="00663E5D"/>
    <w:p w:rsidR="00663E5D" w:rsidRDefault="00663E5D" w:rsidP="00283407">
      <w:pPr>
        <w:pStyle w:val="NormalWeb"/>
        <w:rPr>
          <w:rFonts w:ascii="Arial" w:hAnsi="Arial" w:cs="Arial"/>
        </w:rPr>
        <w:sectPr w:rsidR="00663E5D" w:rsidSect="00663E5D">
          <w:pgSz w:w="16840" w:h="11910" w:orient="landscape"/>
          <w:pgMar w:top="1077" w:right="1440" w:bottom="1077" w:left="1440" w:header="720" w:footer="720" w:gutter="0"/>
          <w:cols w:space="720"/>
          <w:docGrid w:linePitch="299"/>
        </w:sectPr>
      </w:pPr>
    </w:p>
    <w:p w:rsidR="00663E5D" w:rsidRDefault="00283407" w:rsidP="00663E5D">
      <w:pPr>
        <w:pStyle w:val="NormalWeb"/>
        <w:spacing w:before="0" w:beforeAutospacing="0"/>
        <w:ind w:firstLine="426"/>
        <w:jc w:val="both"/>
        <w:rPr>
          <w:rFonts w:ascii="Arial" w:hAnsi="Arial" w:cs="Arial"/>
        </w:rPr>
      </w:pPr>
      <w:r w:rsidRPr="00A71AD9">
        <w:rPr>
          <w:rFonts w:ascii="Arial" w:hAnsi="Arial" w:cs="Arial"/>
        </w:rPr>
        <w:lastRenderedPageBreak/>
        <w:t>The synthesis of these findings highlights a critical shift from "content-driven" persuasion to "platform-driven" persuasion. The evidence suggests that the technical affordances of apps like TikTok and X (formerly Twitter) are not merely passive carriers of political messages but active rhetorical participants. For example, the "Memetic and Visual Persuasion" identified by Coriasco et al. (2026) and Causa (2026) demonstrates that the speed and aesthetic nature of digital platforms favor emotional and superficial engagement over critical thinking. In this environment, a meme or a 15-second video becomes a more effective persuasive tool than a policy white paper, precisely because it aligns with the platform’s logic of "virality" and "attention-grabbing."</w:t>
      </w:r>
    </w:p>
    <w:p w:rsidR="00663E5D" w:rsidRDefault="00283407" w:rsidP="00663E5D">
      <w:pPr>
        <w:pStyle w:val="NormalWeb"/>
        <w:spacing w:before="0" w:beforeAutospacing="0"/>
        <w:ind w:firstLine="426"/>
        <w:jc w:val="both"/>
        <w:rPr>
          <w:rFonts w:ascii="Arial" w:hAnsi="Arial" w:cs="Arial"/>
        </w:rPr>
      </w:pPr>
      <w:r w:rsidRPr="00A71AD9">
        <w:rPr>
          <w:rFonts w:ascii="Arial" w:hAnsi="Arial" w:cs="Arial"/>
        </w:rPr>
        <w:t>Furthermore, the data regarding "Digital Warfare" and "Algorithmic Rhetoric" (Abbink, 2026; Daoudi, 2025) reveals that the architecture of persuasion has been militarized. Persuasion is now a matter of "algorithmic optimization," where state actors and official spokespersons utilize bots and targeted narratives to overwhelm the public sphere. This leads to what Jarvis et al. (2026) term "Epistemic Polarization"</w:t>
      </w:r>
      <w:r w:rsidR="00174769">
        <w:rPr>
          <w:rFonts w:ascii="Arial" w:hAnsi="Arial" w:cs="Arial"/>
        </w:rPr>
        <w:t xml:space="preserve"> </w:t>
      </w:r>
      <w:r w:rsidRPr="00A71AD9">
        <w:rPr>
          <w:rFonts w:ascii="Arial" w:hAnsi="Arial" w:cs="Arial"/>
        </w:rPr>
        <w:t>a state where the very possibility of persuasion through facts is destroyed. When "Strategic Lying" is amplified by algorithms that prioritize conflict, the result is a fragmented reality where political actors no longer aim to convince the undecided but rather to insulate their followers within a factual vacuum. Thus, the digital evolution has replaced the "marketplace of ideas" with an "algorithmic battlefield</w:t>
      </w:r>
      <w:r w:rsidR="00663E5D">
        <w:rPr>
          <w:rFonts w:ascii="Arial" w:hAnsi="Arial" w:cs="Arial"/>
        </w:rPr>
        <w:t>."</w:t>
      </w:r>
    </w:p>
    <w:p w:rsidR="00663E5D" w:rsidRDefault="00283407" w:rsidP="00663E5D">
      <w:pPr>
        <w:pStyle w:val="NormalWeb"/>
        <w:spacing w:before="0" w:beforeAutospacing="0"/>
        <w:ind w:firstLine="426"/>
        <w:jc w:val="both"/>
        <w:rPr>
          <w:rFonts w:ascii="Arial" w:hAnsi="Arial" w:cs="Arial"/>
        </w:rPr>
      </w:pPr>
      <w:r w:rsidRPr="00A71AD9">
        <w:rPr>
          <w:rFonts w:ascii="Arial" w:hAnsi="Arial" w:cs="Arial"/>
        </w:rPr>
        <w:t xml:space="preserve">The novelty of this section lies in its identification of "Platform Affordances" as a structural determinant of political rhetoric. While previous literature has discussed the </w:t>
      </w:r>
      <w:r w:rsidRPr="00A71AD9">
        <w:rPr>
          <w:rFonts w:ascii="Arial" w:hAnsi="Arial" w:cs="Arial"/>
          <w:i/>
          <w:iCs/>
        </w:rPr>
        <w:t>impact</w:t>
      </w:r>
      <w:r w:rsidRPr="00A71AD9">
        <w:rPr>
          <w:rFonts w:ascii="Arial" w:hAnsi="Arial" w:cs="Arial"/>
        </w:rPr>
        <w:t xml:space="preserve"> of social media, this SLR provides a systematic mapping of how specific technical features</w:t>
      </w:r>
      <w:r w:rsidR="00174769">
        <w:rPr>
          <w:rFonts w:ascii="Arial" w:hAnsi="Arial" w:cs="Arial"/>
        </w:rPr>
        <w:t xml:space="preserve"> </w:t>
      </w:r>
      <w:r w:rsidRPr="00A71AD9">
        <w:rPr>
          <w:rFonts w:ascii="Arial" w:hAnsi="Arial" w:cs="Arial"/>
        </w:rPr>
        <w:t>such as algorithmic curation, memetic compression, and visual aesthetics</w:t>
      </w:r>
      <w:r w:rsidR="00174769">
        <w:rPr>
          <w:rFonts w:ascii="Arial" w:hAnsi="Arial" w:cs="Arial"/>
        </w:rPr>
        <w:t xml:space="preserve"> </w:t>
      </w:r>
      <w:r w:rsidRPr="00A71AD9">
        <w:rPr>
          <w:rFonts w:ascii="Arial" w:hAnsi="Arial" w:cs="Arial"/>
        </w:rPr>
        <w:t xml:space="preserve">reshape the </w:t>
      </w:r>
      <w:r w:rsidRPr="00A71AD9">
        <w:rPr>
          <w:rFonts w:ascii="Arial" w:hAnsi="Arial" w:cs="Arial"/>
          <w:i/>
          <w:iCs/>
        </w:rPr>
        <w:t>logic</w:t>
      </w:r>
      <w:r w:rsidRPr="00A71AD9">
        <w:rPr>
          <w:rFonts w:ascii="Arial" w:hAnsi="Arial" w:cs="Arial"/>
        </w:rPr>
        <w:t xml:space="preserve"> of persuasion itself. The primary contribution of this research is the development of the "Digital Affordance Framework," which allows scholars to move beyond content analysis to "infrastructure analysis." By proving that the architecture of persuasion is now inextricably linked to the technological architecture of digital platforms, this study provides a crucial roadmap for understanding why traditional communication theories are failing to explain the current post-truth and</w:t>
      </w:r>
      <w:r w:rsidR="00663E5D">
        <w:rPr>
          <w:rFonts w:ascii="Arial" w:hAnsi="Arial" w:cs="Arial"/>
        </w:rPr>
        <w:t xml:space="preserve"> polarized political landscape.</w:t>
      </w:r>
    </w:p>
    <w:p w:rsidR="00663E5D" w:rsidRDefault="00663E5D" w:rsidP="00663E5D">
      <w:pPr>
        <w:pStyle w:val="NormalWeb"/>
        <w:spacing w:before="0" w:beforeAutospacing="0"/>
        <w:jc w:val="both"/>
        <w:rPr>
          <w:rFonts w:ascii="Arial" w:hAnsi="Arial" w:cs="Arial"/>
          <w:b/>
        </w:rPr>
      </w:pPr>
      <w:r w:rsidRPr="00663E5D">
        <w:rPr>
          <w:rFonts w:ascii="Arial" w:hAnsi="Arial" w:cs="Arial"/>
          <w:b/>
        </w:rPr>
        <w:t>Theme</w:t>
      </w:r>
      <w:r w:rsidR="00283407" w:rsidRPr="00663E5D">
        <w:rPr>
          <w:rFonts w:ascii="Arial" w:hAnsi="Arial" w:cs="Arial"/>
          <w:b/>
        </w:rPr>
        <w:t xml:space="preserve"> IV: Synthesis of Global Contexts</w:t>
      </w:r>
    </w:p>
    <w:p w:rsidR="00663E5D" w:rsidRDefault="00283407" w:rsidP="00663E5D">
      <w:pPr>
        <w:pStyle w:val="NormalWeb"/>
        <w:spacing w:before="0" w:beforeAutospacing="0"/>
        <w:ind w:firstLine="426"/>
        <w:jc w:val="both"/>
        <w:rPr>
          <w:rFonts w:ascii="Arial" w:hAnsi="Arial" w:cs="Arial"/>
          <w:b/>
        </w:rPr>
      </w:pPr>
      <w:r w:rsidRPr="00A71AD9">
        <w:rPr>
          <w:rFonts w:ascii="Arial" w:hAnsi="Arial" w:cs="Arial"/>
        </w:rPr>
        <w:t xml:space="preserve">The fourth </w:t>
      </w:r>
      <w:r w:rsidR="00174769">
        <w:rPr>
          <w:rFonts w:ascii="Arial" w:hAnsi="Arial" w:cs="Arial"/>
        </w:rPr>
        <w:t>theme</w:t>
      </w:r>
      <w:r w:rsidRPr="00A71AD9">
        <w:rPr>
          <w:rFonts w:ascii="Arial" w:hAnsi="Arial" w:cs="Arial"/>
        </w:rPr>
        <w:t xml:space="preserve"> of the architecture of persuasion demonstrates that political communication strategies are not monolithic but are significantly shaped by geographical context, democratic maturity, and socio-cultural structures. Findings within this cluster indicate that in emerging democracies, political persuasion has evolved through the adoption of new, more intimate, and segmented media formats. Furthermore, the global architecture of persuasion reveals a systematic dark side where the identities of marginalized groups are often utilized as a foundation for constructing narratives of hostility to strengthen the loyalty of a primary supporter base. In regions such as Nigeria and Indonesia, there is a notable shift toward utilizing ideological dimensions in fake news and the strategic use of podcasts to influence public opinion during electoral cycles (Adedayo &amp; Asonibare, 2026; Utami et al., 2024). This suggests that the architecture of persuasion in the Global South is highly adaptive to digital technology while remaining deeply rooted in localized identity tensions.</w:t>
      </w:r>
    </w:p>
    <w:p w:rsidR="00283407" w:rsidRPr="00663E5D" w:rsidRDefault="00283407" w:rsidP="00663E5D">
      <w:pPr>
        <w:pStyle w:val="NormalWeb"/>
        <w:spacing w:before="0" w:beforeAutospacing="0"/>
        <w:ind w:firstLine="426"/>
        <w:jc w:val="both"/>
        <w:rPr>
          <w:rFonts w:ascii="Arial" w:hAnsi="Arial" w:cs="Arial"/>
          <w:b/>
        </w:rPr>
      </w:pPr>
      <w:r w:rsidRPr="00A71AD9">
        <w:rPr>
          <w:rFonts w:ascii="Arial" w:hAnsi="Arial" w:cs="Arial"/>
        </w:rPr>
        <w:t xml:space="preserve">In parallel, organized patterns of digital hostility directed at specific identities, such as Black women or minority groups, prove that communication technology is frequently weaponized to reproduce marginalization as a component of an effective political persuasion </w:t>
      </w:r>
      <w:r w:rsidRPr="00A71AD9">
        <w:rPr>
          <w:rFonts w:ascii="Arial" w:hAnsi="Arial" w:cs="Arial"/>
        </w:rPr>
        <w:lastRenderedPageBreak/>
        <w:t>strategy (Sanders, 2024). This global synthesis highlights that contemporary persuasion is as much about the exclusion of "the other" as it is about the inclusion of the faithful. Whether through the parasocial intimacy of a podcast or the aggressive rhetoric of digital warfare in conflict zones, the architecture of persuasion leverages local vulnerabilities to achieve national political objectives (Abbink, 2026; Gamboa et al., 2024).</w:t>
      </w:r>
    </w:p>
    <w:p w:rsidR="00663E5D" w:rsidRDefault="00663E5D">
      <w:pPr>
        <w:rPr>
          <w:rFonts w:ascii="Arial" w:hAnsi="Arial" w:cs="Arial"/>
          <w:b/>
          <w:sz w:val="24"/>
          <w:szCs w:val="24"/>
        </w:rPr>
      </w:pPr>
      <w:r>
        <w:rPr>
          <w:rFonts w:ascii="Arial" w:hAnsi="Arial" w:cs="Arial"/>
        </w:rPr>
        <w:br w:type="page"/>
      </w:r>
    </w:p>
    <w:p w:rsidR="00663E5D" w:rsidRDefault="00663E5D" w:rsidP="00283407">
      <w:pPr>
        <w:pStyle w:val="Heading4"/>
        <w:rPr>
          <w:rFonts w:ascii="Arial" w:hAnsi="Arial" w:cs="Arial"/>
        </w:rPr>
        <w:sectPr w:rsidR="00663E5D" w:rsidSect="00DA7E9E">
          <w:pgSz w:w="11910" w:h="16840"/>
          <w:pgMar w:top="1440" w:right="1080" w:bottom="1440" w:left="1080" w:header="720" w:footer="720" w:gutter="0"/>
          <w:cols w:space="720"/>
          <w:docGrid w:linePitch="299"/>
        </w:sectPr>
      </w:pPr>
    </w:p>
    <w:p w:rsidR="00283407" w:rsidRDefault="00663E5D" w:rsidP="00663E5D">
      <w:pPr>
        <w:pStyle w:val="Heading4"/>
        <w:jc w:val="center"/>
        <w:rPr>
          <w:rFonts w:ascii="Arial" w:hAnsi="Arial" w:cs="Arial"/>
        </w:rPr>
      </w:pPr>
      <w:r>
        <w:rPr>
          <w:rFonts w:ascii="Arial" w:hAnsi="Arial" w:cs="Arial"/>
        </w:rPr>
        <w:lastRenderedPageBreak/>
        <w:t xml:space="preserve">Table 4 : </w:t>
      </w:r>
      <w:r w:rsidR="00283407" w:rsidRPr="00A71AD9">
        <w:rPr>
          <w:rFonts w:ascii="Arial" w:hAnsi="Arial" w:cs="Arial"/>
        </w:rPr>
        <w:t>Summary of Key Studies in Global Contextual Synthesis</w:t>
      </w:r>
    </w:p>
    <w:tbl>
      <w:tblPr>
        <w:tblStyle w:val="TableGrid"/>
        <w:tblW w:w="0" w:type="auto"/>
        <w:tblLayout w:type="fixed"/>
        <w:tblLook w:val="04A0" w:firstRow="1" w:lastRow="0" w:firstColumn="1" w:lastColumn="0" w:noHBand="0" w:noVBand="1"/>
      </w:tblPr>
      <w:tblGrid>
        <w:gridCol w:w="1555"/>
        <w:gridCol w:w="2835"/>
        <w:gridCol w:w="1134"/>
        <w:gridCol w:w="2268"/>
        <w:gridCol w:w="1701"/>
        <w:gridCol w:w="3118"/>
        <w:gridCol w:w="1339"/>
      </w:tblGrid>
      <w:tr w:rsidR="00663E5D" w:rsidTr="00663E5D">
        <w:tc>
          <w:tcPr>
            <w:tcW w:w="1555" w:type="dxa"/>
          </w:tcPr>
          <w:p w:rsidR="00663E5D" w:rsidRPr="00164BF8" w:rsidRDefault="00663E5D" w:rsidP="00663E5D">
            <w:r w:rsidRPr="00164BF8">
              <w:t>Authors</w:t>
            </w:r>
          </w:p>
        </w:tc>
        <w:tc>
          <w:tcPr>
            <w:tcW w:w="2835" w:type="dxa"/>
          </w:tcPr>
          <w:p w:rsidR="00663E5D" w:rsidRPr="00164BF8" w:rsidRDefault="00663E5D" w:rsidP="00663E5D">
            <w:r w:rsidRPr="00164BF8">
              <w:t>Title and Year</w:t>
            </w:r>
          </w:p>
        </w:tc>
        <w:tc>
          <w:tcPr>
            <w:tcW w:w="1134" w:type="dxa"/>
          </w:tcPr>
          <w:p w:rsidR="00663E5D" w:rsidRPr="00164BF8" w:rsidRDefault="00663E5D" w:rsidP="00663E5D">
            <w:r w:rsidRPr="00164BF8">
              <w:t>Country</w:t>
            </w:r>
          </w:p>
        </w:tc>
        <w:tc>
          <w:tcPr>
            <w:tcW w:w="2268" w:type="dxa"/>
          </w:tcPr>
          <w:p w:rsidR="00663E5D" w:rsidRPr="00164BF8" w:rsidRDefault="00663E5D" w:rsidP="00663E5D">
            <w:r w:rsidRPr="00164BF8">
              <w:t>Aim</w:t>
            </w:r>
          </w:p>
        </w:tc>
        <w:tc>
          <w:tcPr>
            <w:tcW w:w="1701" w:type="dxa"/>
          </w:tcPr>
          <w:p w:rsidR="00663E5D" w:rsidRPr="00164BF8" w:rsidRDefault="00663E5D" w:rsidP="00663E5D">
            <w:r w:rsidRPr="00164BF8">
              <w:t>Methodology</w:t>
            </w:r>
          </w:p>
        </w:tc>
        <w:tc>
          <w:tcPr>
            <w:tcW w:w="3118" w:type="dxa"/>
          </w:tcPr>
          <w:p w:rsidR="00663E5D" w:rsidRPr="00164BF8" w:rsidRDefault="00663E5D" w:rsidP="00663E5D">
            <w:r w:rsidRPr="00164BF8">
              <w:t>Findings</w:t>
            </w:r>
          </w:p>
        </w:tc>
        <w:tc>
          <w:tcPr>
            <w:tcW w:w="1339" w:type="dxa"/>
          </w:tcPr>
          <w:p w:rsidR="00663E5D" w:rsidRPr="00164BF8" w:rsidRDefault="00663E5D" w:rsidP="00663E5D">
            <w:r w:rsidRPr="00164BF8">
              <w:t>Journal</w:t>
            </w:r>
          </w:p>
        </w:tc>
      </w:tr>
      <w:tr w:rsidR="00663E5D" w:rsidTr="00663E5D">
        <w:tc>
          <w:tcPr>
            <w:tcW w:w="1555" w:type="dxa"/>
          </w:tcPr>
          <w:p w:rsidR="00663E5D" w:rsidRPr="00164BF8" w:rsidRDefault="00663E5D" w:rsidP="00663E5D">
            <w:r w:rsidRPr="00164BF8">
              <w:t>Adedayo, V., &amp; Asonibare, V.</w:t>
            </w:r>
          </w:p>
        </w:tc>
        <w:tc>
          <w:tcPr>
            <w:tcW w:w="2835" w:type="dxa"/>
          </w:tcPr>
          <w:p w:rsidR="00663E5D" w:rsidRPr="00164BF8" w:rsidRDefault="00663E5D" w:rsidP="00663E5D">
            <w:r w:rsidRPr="00164BF8">
              <w:t>Discursive and ideological dimensions of fake news in Nigeria’s 2023 general election discourse (2026)</w:t>
            </w:r>
          </w:p>
        </w:tc>
        <w:tc>
          <w:tcPr>
            <w:tcW w:w="1134" w:type="dxa"/>
          </w:tcPr>
          <w:p w:rsidR="00663E5D" w:rsidRPr="00164BF8" w:rsidRDefault="00663E5D" w:rsidP="00663E5D">
            <w:r w:rsidRPr="00164BF8">
              <w:t>Nigeria</w:t>
            </w:r>
          </w:p>
        </w:tc>
        <w:tc>
          <w:tcPr>
            <w:tcW w:w="2268" w:type="dxa"/>
          </w:tcPr>
          <w:p w:rsidR="00663E5D" w:rsidRPr="00164BF8" w:rsidRDefault="00663E5D" w:rsidP="00663E5D">
            <w:r w:rsidRPr="00164BF8">
              <w:t>To analyze the ideological dimensions of fake news dissemination during elections.</w:t>
            </w:r>
          </w:p>
        </w:tc>
        <w:tc>
          <w:tcPr>
            <w:tcW w:w="1701" w:type="dxa"/>
          </w:tcPr>
          <w:p w:rsidR="00663E5D" w:rsidRPr="00164BF8" w:rsidRDefault="00663E5D" w:rsidP="00663E5D">
            <w:r w:rsidRPr="00164BF8">
              <w:t>Critical Discourse Analysis (CDA).</w:t>
            </w:r>
          </w:p>
        </w:tc>
        <w:tc>
          <w:tcPr>
            <w:tcW w:w="3118" w:type="dxa"/>
          </w:tcPr>
          <w:p w:rsidR="00663E5D" w:rsidRPr="00164BF8" w:rsidRDefault="00663E5D" w:rsidP="00663E5D">
            <w:r w:rsidRPr="00164BF8">
              <w:t>Fake news is technically engineered to target ethnic and religious sentiments to reinforce polarization.</w:t>
            </w:r>
          </w:p>
        </w:tc>
        <w:tc>
          <w:tcPr>
            <w:tcW w:w="1339" w:type="dxa"/>
          </w:tcPr>
          <w:p w:rsidR="00663E5D" w:rsidRPr="00164BF8" w:rsidRDefault="00663E5D" w:rsidP="00663E5D">
            <w:r w:rsidRPr="00164BF8">
              <w:t>Discourse &amp; Society</w:t>
            </w:r>
          </w:p>
        </w:tc>
      </w:tr>
      <w:tr w:rsidR="00663E5D" w:rsidTr="00663E5D">
        <w:tc>
          <w:tcPr>
            <w:tcW w:w="1555" w:type="dxa"/>
          </w:tcPr>
          <w:p w:rsidR="00663E5D" w:rsidRPr="00164BF8" w:rsidRDefault="00663E5D" w:rsidP="00663E5D">
            <w:r w:rsidRPr="00164BF8">
              <w:t>Utami, R. W., et al.</w:t>
            </w:r>
          </w:p>
        </w:tc>
        <w:tc>
          <w:tcPr>
            <w:tcW w:w="2835" w:type="dxa"/>
          </w:tcPr>
          <w:p w:rsidR="00663E5D" w:rsidRPr="00164BF8" w:rsidRDefault="00663E5D" w:rsidP="00663E5D">
            <w:r w:rsidRPr="00164BF8">
              <w:t>Political Podcast Revolution: Redefining Campaign Strategies in Indonesia’s 2024 Election (2024)</w:t>
            </w:r>
          </w:p>
        </w:tc>
        <w:tc>
          <w:tcPr>
            <w:tcW w:w="1134" w:type="dxa"/>
          </w:tcPr>
          <w:p w:rsidR="00663E5D" w:rsidRPr="00164BF8" w:rsidRDefault="00663E5D" w:rsidP="00663E5D">
            <w:r w:rsidRPr="00164BF8">
              <w:t>Indonesia</w:t>
            </w:r>
          </w:p>
        </w:tc>
        <w:tc>
          <w:tcPr>
            <w:tcW w:w="2268" w:type="dxa"/>
          </w:tcPr>
          <w:p w:rsidR="00663E5D" w:rsidRPr="00164BF8" w:rsidRDefault="00663E5D" w:rsidP="00663E5D">
            <w:r w:rsidRPr="00164BF8">
              <w:t>To examine the impact of podcasts on political campaign strategies in Indonesia.</w:t>
            </w:r>
          </w:p>
        </w:tc>
        <w:tc>
          <w:tcPr>
            <w:tcW w:w="1701" w:type="dxa"/>
          </w:tcPr>
          <w:p w:rsidR="00663E5D" w:rsidRPr="00164BF8" w:rsidRDefault="00663E5D" w:rsidP="00663E5D">
            <w:r w:rsidRPr="00164BF8">
              <w:t>Qualitative Content Analysis.</w:t>
            </w:r>
          </w:p>
        </w:tc>
        <w:tc>
          <w:tcPr>
            <w:tcW w:w="3118" w:type="dxa"/>
          </w:tcPr>
          <w:p w:rsidR="00663E5D" w:rsidRPr="00164BF8" w:rsidRDefault="00663E5D" w:rsidP="00663E5D">
            <w:r w:rsidRPr="00164BF8">
              <w:t>Podcasts function as a new persuasive medium that effectively influences young voters through parasocial narratives.</w:t>
            </w:r>
          </w:p>
        </w:tc>
        <w:tc>
          <w:tcPr>
            <w:tcW w:w="1339" w:type="dxa"/>
          </w:tcPr>
          <w:p w:rsidR="00663E5D" w:rsidRPr="00164BF8" w:rsidRDefault="00663E5D" w:rsidP="00663E5D">
            <w:r w:rsidRPr="00164BF8">
              <w:t>Journal of Digital Communication</w:t>
            </w:r>
          </w:p>
        </w:tc>
      </w:tr>
      <w:tr w:rsidR="00663E5D" w:rsidTr="00663E5D">
        <w:tc>
          <w:tcPr>
            <w:tcW w:w="1555" w:type="dxa"/>
          </w:tcPr>
          <w:p w:rsidR="00663E5D" w:rsidRPr="00164BF8" w:rsidRDefault="00663E5D" w:rsidP="00663E5D">
            <w:r w:rsidRPr="00164BF8">
              <w:t>Sanders, N.</w:t>
            </w:r>
          </w:p>
        </w:tc>
        <w:tc>
          <w:tcPr>
            <w:tcW w:w="2835" w:type="dxa"/>
          </w:tcPr>
          <w:p w:rsidR="00663E5D" w:rsidRPr="00164BF8" w:rsidRDefault="00663E5D" w:rsidP="00663E5D">
            <w:r w:rsidRPr="00164BF8">
              <w:t>Examining Digital Hostility Against Black Women: A Thematic Analysis of the Black Manosphere on Twitter (2024)</w:t>
            </w:r>
          </w:p>
        </w:tc>
        <w:tc>
          <w:tcPr>
            <w:tcW w:w="1134" w:type="dxa"/>
          </w:tcPr>
          <w:p w:rsidR="00663E5D" w:rsidRPr="00164BF8" w:rsidRDefault="00663E5D" w:rsidP="00663E5D">
            <w:r w:rsidRPr="00164BF8">
              <w:t>USA / Global</w:t>
            </w:r>
          </w:p>
        </w:tc>
        <w:tc>
          <w:tcPr>
            <w:tcW w:w="2268" w:type="dxa"/>
          </w:tcPr>
          <w:p w:rsidR="00663E5D" w:rsidRPr="00164BF8" w:rsidRDefault="00663E5D" w:rsidP="00663E5D">
            <w:r w:rsidRPr="00164BF8">
              <w:t>To identify systematic patterns of hostility against gender and racial identities on social media.</w:t>
            </w:r>
          </w:p>
        </w:tc>
        <w:tc>
          <w:tcPr>
            <w:tcW w:w="1701" w:type="dxa"/>
          </w:tcPr>
          <w:p w:rsidR="00663E5D" w:rsidRPr="00164BF8" w:rsidRDefault="00663E5D" w:rsidP="00663E5D">
            <w:r w:rsidRPr="00164BF8">
              <w:t>Thematic Analysis.</w:t>
            </w:r>
          </w:p>
        </w:tc>
        <w:tc>
          <w:tcPr>
            <w:tcW w:w="3118" w:type="dxa"/>
          </w:tcPr>
          <w:p w:rsidR="00663E5D" w:rsidRPr="00164BF8" w:rsidRDefault="00663E5D" w:rsidP="00663E5D">
            <w:r w:rsidRPr="00164BF8">
              <w:t>Digital hostility is a structured persuasive strategy used to build group identity through the marginalization of others.</w:t>
            </w:r>
          </w:p>
        </w:tc>
        <w:tc>
          <w:tcPr>
            <w:tcW w:w="1339" w:type="dxa"/>
          </w:tcPr>
          <w:p w:rsidR="00663E5D" w:rsidRDefault="00663E5D" w:rsidP="00663E5D">
            <w:r w:rsidRPr="00164BF8">
              <w:t>Doctoral Dissertation (NSU)</w:t>
            </w:r>
          </w:p>
        </w:tc>
      </w:tr>
      <w:tr w:rsidR="00663E5D" w:rsidTr="00663E5D">
        <w:tc>
          <w:tcPr>
            <w:tcW w:w="1555" w:type="dxa"/>
          </w:tcPr>
          <w:p w:rsidR="00663E5D" w:rsidRPr="00D5213F" w:rsidRDefault="00663E5D" w:rsidP="00663E5D">
            <w:r w:rsidRPr="00D5213F">
              <w:t>Abbink, J.</w:t>
            </w:r>
          </w:p>
        </w:tc>
        <w:tc>
          <w:tcPr>
            <w:tcW w:w="2835" w:type="dxa"/>
          </w:tcPr>
          <w:p w:rsidR="00663E5D" w:rsidRPr="00D5213F" w:rsidRDefault="00663E5D" w:rsidP="00663E5D">
            <w:r w:rsidRPr="00D5213F">
              <w:t>Digital warfare transforming political rhetoric: social media (ab)use and the Ethiopia war (2026)</w:t>
            </w:r>
          </w:p>
        </w:tc>
        <w:tc>
          <w:tcPr>
            <w:tcW w:w="1134" w:type="dxa"/>
          </w:tcPr>
          <w:p w:rsidR="00663E5D" w:rsidRPr="00D5213F" w:rsidRDefault="00663E5D" w:rsidP="00663E5D">
            <w:r w:rsidRPr="00D5213F">
              <w:t>Ethiopia</w:t>
            </w:r>
          </w:p>
        </w:tc>
        <w:tc>
          <w:tcPr>
            <w:tcW w:w="2268" w:type="dxa"/>
          </w:tcPr>
          <w:p w:rsidR="00663E5D" w:rsidRPr="00D5213F" w:rsidRDefault="00663E5D" w:rsidP="00663E5D">
            <w:r w:rsidRPr="00D5213F">
              <w:t>To evaluate the use of social media in war rhetoric and political conflict.</w:t>
            </w:r>
          </w:p>
        </w:tc>
        <w:tc>
          <w:tcPr>
            <w:tcW w:w="1701" w:type="dxa"/>
          </w:tcPr>
          <w:p w:rsidR="00663E5D" w:rsidRPr="00D5213F" w:rsidRDefault="00663E5D" w:rsidP="00663E5D">
            <w:r w:rsidRPr="00D5213F">
              <w:t>Case Study and Content Analysis.</w:t>
            </w:r>
          </w:p>
        </w:tc>
        <w:tc>
          <w:tcPr>
            <w:tcW w:w="3118" w:type="dxa"/>
          </w:tcPr>
          <w:p w:rsidR="00663E5D" w:rsidRPr="00D5213F" w:rsidRDefault="00663E5D" w:rsidP="00663E5D">
            <w:r w:rsidRPr="00D5213F">
              <w:t>Social media transforms political rhetoric into digital weaponry through the structured spread of hate narratives.</w:t>
            </w:r>
          </w:p>
        </w:tc>
        <w:tc>
          <w:tcPr>
            <w:tcW w:w="1339" w:type="dxa"/>
          </w:tcPr>
          <w:p w:rsidR="00663E5D" w:rsidRPr="00D5213F" w:rsidRDefault="00663E5D" w:rsidP="00663E5D">
            <w:r w:rsidRPr="00D5213F">
              <w:t>Modern Africa</w:t>
            </w:r>
          </w:p>
        </w:tc>
      </w:tr>
      <w:tr w:rsidR="00663E5D" w:rsidTr="00663E5D">
        <w:tc>
          <w:tcPr>
            <w:tcW w:w="1555" w:type="dxa"/>
          </w:tcPr>
          <w:p w:rsidR="00663E5D" w:rsidRPr="00D5213F" w:rsidRDefault="00663E5D" w:rsidP="00663E5D">
            <w:r w:rsidRPr="00D5213F">
              <w:t>Gamboa, L., et al.</w:t>
            </w:r>
          </w:p>
        </w:tc>
        <w:tc>
          <w:tcPr>
            <w:tcW w:w="2835" w:type="dxa"/>
          </w:tcPr>
          <w:p w:rsidR="00663E5D" w:rsidRPr="00D5213F" w:rsidRDefault="00663E5D" w:rsidP="00663E5D">
            <w:r w:rsidRPr="00D5213F">
              <w:t>Tweeting antagonism: (De) polarizing rhetoric and tone in Colombia’s 2022 presidential campaign (2024)</w:t>
            </w:r>
          </w:p>
        </w:tc>
        <w:tc>
          <w:tcPr>
            <w:tcW w:w="1134" w:type="dxa"/>
          </w:tcPr>
          <w:p w:rsidR="00663E5D" w:rsidRPr="00D5213F" w:rsidRDefault="00663E5D" w:rsidP="00663E5D">
            <w:r w:rsidRPr="00D5213F">
              <w:t>Colombia</w:t>
            </w:r>
          </w:p>
        </w:tc>
        <w:tc>
          <w:tcPr>
            <w:tcW w:w="2268" w:type="dxa"/>
          </w:tcPr>
          <w:p w:rsidR="00663E5D" w:rsidRPr="00D5213F" w:rsidRDefault="00663E5D" w:rsidP="00663E5D">
            <w:r w:rsidRPr="00D5213F">
              <w:t>To analyze the tone of antagonism in political discourse on the X platform.</w:t>
            </w:r>
          </w:p>
        </w:tc>
        <w:tc>
          <w:tcPr>
            <w:tcW w:w="1701" w:type="dxa"/>
          </w:tcPr>
          <w:p w:rsidR="00663E5D" w:rsidRPr="00D5213F" w:rsidRDefault="00663E5D" w:rsidP="00663E5D">
            <w:r w:rsidRPr="00D5213F">
              <w:t>Quantitative Content Analysis.</w:t>
            </w:r>
          </w:p>
        </w:tc>
        <w:tc>
          <w:tcPr>
            <w:tcW w:w="3118" w:type="dxa"/>
          </w:tcPr>
          <w:p w:rsidR="00663E5D" w:rsidRPr="00D5213F" w:rsidRDefault="00663E5D" w:rsidP="00663E5D">
            <w:r w:rsidRPr="00D5213F">
              <w:t>Digital antagonism is used as a persuasive tool to mobilize masses through emotions of anger and resentment.</w:t>
            </w:r>
          </w:p>
        </w:tc>
        <w:tc>
          <w:tcPr>
            <w:tcW w:w="1339" w:type="dxa"/>
          </w:tcPr>
          <w:p w:rsidR="00663E5D" w:rsidRDefault="00663E5D" w:rsidP="00663E5D">
            <w:r w:rsidRPr="00D5213F">
              <w:t>Latin American Politics and Society</w:t>
            </w:r>
          </w:p>
        </w:tc>
      </w:tr>
    </w:tbl>
    <w:p w:rsidR="00663E5D" w:rsidRPr="00663E5D" w:rsidRDefault="00663E5D" w:rsidP="00663E5D"/>
    <w:p w:rsidR="00663E5D" w:rsidRDefault="00663E5D" w:rsidP="00283407">
      <w:pPr>
        <w:pStyle w:val="NormalWeb"/>
        <w:rPr>
          <w:rFonts w:ascii="Arial" w:hAnsi="Arial" w:cs="Arial"/>
        </w:rPr>
        <w:sectPr w:rsidR="00663E5D" w:rsidSect="00663E5D">
          <w:pgSz w:w="16840" w:h="11910" w:orient="landscape"/>
          <w:pgMar w:top="1077" w:right="1440" w:bottom="1077" w:left="1440" w:header="720" w:footer="720" w:gutter="0"/>
          <w:cols w:space="720"/>
          <w:docGrid w:linePitch="299"/>
        </w:sectPr>
      </w:pPr>
    </w:p>
    <w:p w:rsidR="00663E5D" w:rsidRDefault="00283407" w:rsidP="00663E5D">
      <w:pPr>
        <w:pStyle w:val="NormalWeb"/>
        <w:spacing w:before="0" w:beforeAutospacing="0"/>
        <w:ind w:firstLine="426"/>
        <w:jc w:val="both"/>
        <w:rPr>
          <w:rFonts w:ascii="Arial" w:hAnsi="Arial" w:cs="Arial"/>
        </w:rPr>
      </w:pPr>
      <w:r w:rsidRPr="00A71AD9">
        <w:rPr>
          <w:rFonts w:ascii="Arial" w:hAnsi="Arial" w:cs="Arial"/>
        </w:rPr>
        <w:lastRenderedPageBreak/>
        <w:t>The analysis of the aforementioned data indicates that the "Architecture of Persuasion" possesses a highly adaptive character relative to local socio-political realities. In Indonesia, the podcast revolution signifies a shift from one-way rhetoric in traditional mass media toward more dialogical yet still persuasive communication (Utami et al., 2024). This suggests that political actors in new democracies are exceptionally quick to adopt technologies that offer "digital intimacy" to win the hearts of voters. However, the darker side of this adaptation is the highly ideological use of fake news in Nigeria, where persuasion is achieved by exploiting existing social fractures (Adedayo &amp; Asonibare, 2026). This divergence shows that while the tools are global, the "rhetorical fuel" is often intensely local.</w:t>
      </w:r>
    </w:p>
    <w:p w:rsidR="00663E5D" w:rsidRDefault="00283407" w:rsidP="00663E5D">
      <w:pPr>
        <w:pStyle w:val="NormalWeb"/>
        <w:spacing w:before="0" w:beforeAutospacing="0"/>
        <w:ind w:firstLine="426"/>
        <w:jc w:val="both"/>
        <w:rPr>
          <w:rFonts w:ascii="Arial" w:hAnsi="Arial" w:cs="Arial"/>
        </w:rPr>
      </w:pPr>
      <w:r w:rsidRPr="00A71AD9">
        <w:rPr>
          <w:rFonts w:ascii="Arial" w:hAnsi="Arial" w:cs="Arial"/>
        </w:rPr>
        <w:t xml:space="preserve">Furthermore, findings regarding "Identity and Hostility" (Sanders, 2024; Abbink, 2026) confirm that contemporary persuasion is often exclusionary and conflictual. The use of digital hostility against specific identities is not a random outburst of emotion but rather a calculated strategy of "Rhetorical Boundary Making." By attacking marginalized groups, political actors create a sense of threat for their own group, which in turn strengthens the affective coalitions discussed in previous </w:t>
      </w:r>
      <w:r w:rsidR="00174769">
        <w:rPr>
          <w:rFonts w:ascii="Arial" w:hAnsi="Arial" w:cs="Arial"/>
        </w:rPr>
        <w:t>theme</w:t>
      </w:r>
      <w:r w:rsidRPr="00A71AD9">
        <w:rPr>
          <w:rFonts w:ascii="Arial" w:hAnsi="Arial" w:cs="Arial"/>
        </w:rPr>
        <w:t>s. This proves that across different parts of the world, the digital architecture of persuasion tends to deepen polarization rather than facilitate democratic dialogue. Consequently, the global synthesis reveals a move away from the universalistic appeals of the past toward a fragmented an</w:t>
      </w:r>
      <w:r w:rsidR="00663E5D">
        <w:rPr>
          <w:rFonts w:ascii="Arial" w:hAnsi="Arial" w:cs="Arial"/>
        </w:rPr>
        <w:t>d hostile discursive landscape.</w:t>
      </w:r>
    </w:p>
    <w:p w:rsidR="00663E5D" w:rsidRDefault="00283407" w:rsidP="00663E5D">
      <w:pPr>
        <w:pStyle w:val="NormalWeb"/>
        <w:spacing w:before="0" w:beforeAutospacing="0"/>
        <w:ind w:firstLine="426"/>
        <w:jc w:val="both"/>
        <w:rPr>
          <w:rFonts w:ascii="Arial" w:hAnsi="Arial" w:cs="Arial"/>
        </w:rPr>
      </w:pPr>
      <w:r w:rsidRPr="00A71AD9">
        <w:rPr>
          <w:rFonts w:ascii="Arial" w:hAnsi="Arial" w:cs="Arial"/>
        </w:rPr>
        <w:t>The primary novelty of this section lies in the integration of studies from the Global South, such as Indonesia, Nigeria, and Ethiopia, into a theoretical framework of global political persuasion that has historically been dominated by Western perspectives. This study provides a vital contribution by proving that the contemporary architecture of persuasion does not rely solely on algorithmic sophistication but also on the ability of political actors to tailor digital narratives to local identity tensions and media formats like podcasts. The practical contribution is to provide a roadmap for policymakers and academics to understand that addressing disinformation and polarization requires a nuanced consideration of the unique geographical and technical contexts of each nation.</w:t>
      </w:r>
    </w:p>
    <w:p w:rsidR="00663E5D" w:rsidRDefault="00336F48" w:rsidP="00653548">
      <w:pPr>
        <w:pStyle w:val="NormalWeb"/>
        <w:numPr>
          <w:ilvl w:val="0"/>
          <w:numId w:val="4"/>
        </w:numPr>
        <w:spacing w:before="0" w:beforeAutospacing="0"/>
        <w:jc w:val="both"/>
        <w:rPr>
          <w:rFonts w:ascii="Arial" w:hAnsi="Arial" w:cs="Arial"/>
        </w:rPr>
      </w:pPr>
      <w:r w:rsidRPr="00A71AD9">
        <w:rPr>
          <w:rFonts w:ascii="Arial" w:hAnsi="Arial" w:cs="Arial"/>
          <w:b/>
          <w:color w:val="000000"/>
        </w:rPr>
        <w:t>Discussion and Conclusion</w:t>
      </w:r>
    </w:p>
    <w:p w:rsidR="00663E5D" w:rsidRDefault="00653548" w:rsidP="00663E5D">
      <w:pPr>
        <w:pStyle w:val="NormalWeb"/>
        <w:spacing w:before="0" w:beforeAutospacing="0"/>
        <w:jc w:val="both"/>
        <w:rPr>
          <w:rFonts w:ascii="Arial" w:hAnsi="Arial" w:cs="Arial"/>
        </w:rPr>
      </w:pPr>
      <w:r w:rsidRPr="00663E5D">
        <w:rPr>
          <w:rFonts w:ascii="Arial" w:hAnsi="Arial" w:cs="Arial"/>
        </w:rPr>
        <w:t xml:space="preserve">The synthesis of findings across the four </w:t>
      </w:r>
      <w:r w:rsidR="00174769">
        <w:rPr>
          <w:rFonts w:ascii="Arial" w:hAnsi="Arial" w:cs="Arial"/>
        </w:rPr>
        <w:t>theme</w:t>
      </w:r>
      <w:r w:rsidRPr="00663E5D">
        <w:rPr>
          <w:rFonts w:ascii="Arial" w:hAnsi="Arial" w:cs="Arial"/>
        </w:rPr>
        <w:t>s establishes a comprehensive architecture of persuasion that fundamentally challenges traditional models of political communication. Historically, political rhetoric was analyzed through the classical Aristotelian lens of balanced ethos, logos, and pathos. However, the dialogue between the current findings and contemporary scholarship from the last five years suggests a decisive shift toward a pathos-dominant model where linguistic precision and digital infrastructure are engineered to prioritize affective impact over deliberative substance. This discussion situates these findings within broader theoretical debates regarding the erosion of shared truth, the rise of affective polarization, and the militariza</w:t>
      </w:r>
      <w:r w:rsidR="00663E5D">
        <w:rPr>
          <w:rFonts w:ascii="Arial" w:hAnsi="Arial" w:cs="Arial"/>
        </w:rPr>
        <w:t>tion of social media platforms.</w:t>
      </w:r>
    </w:p>
    <w:p w:rsidR="00663E5D" w:rsidRDefault="00653548" w:rsidP="00663E5D">
      <w:pPr>
        <w:pStyle w:val="NormalWeb"/>
        <w:spacing w:before="0" w:beforeAutospacing="0"/>
        <w:ind w:firstLine="426"/>
        <w:jc w:val="both"/>
        <w:rPr>
          <w:rFonts w:ascii="Arial" w:hAnsi="Arial" w:cs="Arial"/>
        </w:rPr>
      </w:pPr>
      <w:r w:rsidRPr="00A71AD9">
        <w:rPr>
          <w:rFonts w:ascii="Arial" w:hAnsi="Arial" w:cs="Arial"/>
        </w:rPr>
        <w:t xml:space="preserve">The technical granularity identified in the first </w:t>
      </w:r>
      <w:r w:rsidR="00174769">
        <w:rPr>
          <w:rFonts w:ascii="Arial" w:hAnsi="Arial" w:cs="Arial"/>
        </w:rPr>
        <w:t>theme</w:t>
      </w:r>
      <w:r w:rsidRPr="00A71AD9">
        <w:rPr>
          <w:rFonts w:ascii="Arial" w:hAnsi="Arial" w:cs="Arial"/>
        </w:rPr>
        <w:t xml:space="preserve">, particularly the lexical precision noted by Wicke and Bolognesi (2025), aligns with recent research on semantic narrowcasting. This is a phenomenon where political actors use specific linguistic markers to signal tribal belonging to highly segmented audiences. This finding enters into a critical dialogue with the theory of moralized language in digital networks, which posits that modern political language is increasingly designed to be unambiguously partisan to avoid cross-pressures in a polarized environment (Brady et al., 2021). Furthermore, the use of illocutionary speech acts to assert dominance, as explored by Liu and Huddin (2025), mirrors </w:t>
      </w:r>
      <w:r w:rsidRPr="00A71AD9">
        <w:rPr>
          <w:rFonts w:ascii="Arial" w:hAnsi="Arial" w:cs="Arial"/>
        </w:rPr>
        <w:lastRenderedPageBreak/>
        <w:t>the discursive hegemony theory. This theory suggests that the primary goal of contemporary political language is not to persuade the undecided but to delegitimize the right of the opposition to participate in the public sphere. Consequently, the architecture of persuasion is inherently exclusionary, utilizing linguistic micro-structures to build ideological barriers rather than facilitate democratic dialogue.</w:t>
      </w:r>
    </w:p>
    <w:p w:rsidR="00663E5D" w:rsidRDefault="00653548" w:rsidP="00663E5D">
      <w:pPr>
        <w:pStyle w:val="NormalWeb"/>
        <w:spacing w:before="0" w:beforeAutospacing="0"/>
        <w:ind w:firstLine="426"/>
        <w:jc w:val="both"/>
        <w:rPr>
          <w:rFonts w:ascii="Arial" w:hAnsi="Arial" w:cs="Arial"/>
        </w:rPr>
      </w:pPr>
      <w:r w:rsidRPr="00A71AD9">
        <w:rPr>
          <w:rFonts w:ascii="Arial" w:hAnsi="Arial" w:cs="Arial"/>
        </w:rPr>
        <w:t xml:space="preserve">The affective turn identified in the second </w:t>
      </w:r>
      <w:r w:rsidR="00174769">
        <w:rPr>
          <w:rFonts w:ascii="Arial" w:hAnsi="Arial" w:cs="Arial"/>
        </w:rPr>
        <w:t>theme</w:t>
      </w:r>
      <w:r w:rsidRPr="00A71AD9">
        <w:rPr>
          <w:rFonts w:ascii="Arial" w:hAnsi="Arial" w:cs="Arial"/>
        </w:rPr>
        <w:t xml:space="preserve"> reinforces the theoretical shift toward affective polarization, where voters are driven more by their dislike for the opposition than by support for their own party policies. The weaponization of empathy, as theorized by Murray (2025), provides an empirical basis for understanding how emotional boundaries are constructed in populist movements. When empathy is restricted to the in-group and anger is directed at the out-group, persuasion becomes an act of emotional engineering. This dialogue suggests that affective dynamics are not just incidental to policy coalitions but are the structural foundation upon which modern political identity is built (Maor, 2026). This shift represents a significant departure from rational choice theories, as it emphasizes that in the contemporary landscape, the mobilization of sentiment is far more effective than the presentation of empirical evidence (Mohamed Nour &amp; Kis</w:t>
      </w:r>
      <w:r w:rsidR="00663E5D">
        <w:rPr>
          <w:rFonts w:ascii="Arial" w:hAnsi="Arial" w:cs="Arial"/>
        </w:rPr>
        <w:t>a, 2024; Quarm &amp; Dadzie, 2025).</w:t>
      </w:r>
    </w:p>
    <w:p w:rsidR="00663E5D" w:rsidRDefault="00653548" w:rsidP="00663E5D">
      <w:pPr>
        <w:pStyle w:val="NormalWeb"/>
        <w:spacing w:before="0" w:beforeAutospacing="0"/>
        <w:ind w:firstLine="426"/>
        <w:jc w:val="both"/>
        <w:rPr>
          <w:rFonts w:ascii="Arial" w:hAnsi="Arial" w:cs="Arial"/>
        </w:rPr>
      </w:pPr>
      <w:r w:rsidRPr="00A71AD9">
        <w:rPr>
          <w:rFonts w:ascii="Arial" w:hAnsi="Arial" w:cs="Arial"/>
        </w:rPr>
        <w:t>The focus on digital affordances and strategic lying marks a critical evolution in the relationship between the medium and the message. This finding converges with the concept of algorithmic affect, which suggests that the technical design of platforms dictates the rhetorical style of political actors. The rapid visual nature of TikTok and the conflict-oriented algorithms of X act as rhetorical catalysts that favor emotional and superficial engagement over critical thinking (Causa, 2026; Coriasco et al., 2026). The digital warfare identified in conflict zones proves that persuasion has moved into the realm of psychological operations where the ultimate goal is epistemic capture (Abbink, 2026; Daoudi, 2025). This discussion highlights that in a post-truth landscape, persuasion is no longer about winning an argument based on facts; instead, it is about controlling the digital environment so thoroughly that opposing facts become invisible or unbelievable to the target audie</w:t>
      </w:r>
      <w:r w:rsidR="00663E5D">
        <w:rPr>
          <w:rFonts w:ascii="Arial" w:hAnsi="Arial" w:cs="Arial"/>
        </w:rPr>
        <w:t>nce (Jarvis et al., 2026).</w:t>
      </w:r>
    </w:p>
    <w:p w:rsidR="00663E5D" w:rsidRDefault="00653548" w:rsidP="00663E5D">
      <w:pPr>
        <w:pStyle w:val="NormalWeb"/>
        <w:spacing w:before="0" w:beforeAutospacing="0"/>
        <w:ind w:firstLine="426"/>
        <w:jc w:val="both"/>
        <w:rPr>
          <w:rFonts w:ascii="Arial" w:hAnsi="Arial" w:cs="Arial"/>
        </w:rPr>
      </w:pPr>
      <w:r w:rsidRPr="00A71AD9">
        <w:rPr>
          <w:rFonts w:ascii="Arial" w:hAnsi="Arial" w:cs="Arial"/>
        </w:rPr>
        <w:t>The synthesis of global contexts provides a necessary corrective to Western-centric communication theories. The emergence of podcast persuasion in Indonesia and the ideological engineering of fake news in Nigeria suggest that while the architecture of persuasion is global, its implementation is hyper-local (Adedayo &amp; Asonibare, 2026; Utami et al., 2024). This resonates with the hybrid media system theory, which argues that political actors combine old and new media logics to maximize influence. The systematic hostility identified by Sanders (2024) further underscores that the architecture of persuasion is often built upon pre-existing social fissures. This suggests that digital tools are not creating new hatreds but are instead providing the technical scaffolding to amplify existing marg</w:t>
      </w:r>
      <w:r w:rsidR="00663E5D">
        <w:rPr>
          <w:rFonts w:ascii="Arial" w:hAnsi="Arial" w:cs="Arial"/>
        </w:rPr>
        <w:t>inalization for political gain.</w:t>
      </w:r>
    </w:p>
    <w:p w:rsidR="00663E5D" w:rsidRDefault="00653548" w:rsidP="00663E5D">
      <w:pPr>
        <w:pStyle w:val="NormalWeb"/>
        <w:spacing w:before="0" w:beforeAutospacing="0"/>
        <w:ind w:firstLine="426"/>
        <w:jc w:val="both"/>
        <w:rPr>
          <w:rFonts w:ascii="Arial" w:hAnsi="Arial" w:cs="Arial"/>
        </w:rPr>
      </w:pPr>
      <w:r w:rsidRPr="00A71AD9">
        <w:rPr>
          <w:rFonts w:ascii="Arial" w:hAnsi="Arial" w:cs="Arial"/>
        </w:rPr>
        <w:t xml:space="preserve">The theoretical implications of this architecture of persuasion are profound, suggesting a need for scholars to move beyond meaning-based analysis toward impact-based analysis in political discourse studies. Academically, this research contributes a multi-dimensional framework that bridges the gap between linguistics, psychology, and technology. It provides a holistic taxonomy that accounts for the linguistic what, the emotional how, and the digital where of contemporary influence. Practically, this study contributes to the development of digital literacy curricula that focus on the structural and affective engineering of messages rather than just factual accuracy. By identifying the technical components of persuasion, this </w:t>
      </w:r>
      <w:r w:rsidRPr="00A71AD9">
        <w:rPr>
          <w:rFonts w:ascii="Arial" w:hAnsi="Arial" w:cs="Arial"/>
        </w:rPr>
        <w:lastRenderedPageBreak/>
        <w:t>review offers a roadmap for designing more resilient democratic discourses that can withstand the pressures of algorithmic polarization and strategic disinformat</w:t>
      </w:r>
      <w:r w:rsidR="00663E5D">
        <w:rPr>
          <w:rFonts w:ascii="Arial" w:hAnsi="Arial" w:cs="Arial"/>
        </w:rPr>
        <w:t>ion.</w:t>
      </w:r>
    </w:p>
    <w:p w:rsidR="00663E5D" w:rsidRDefault="00457B89" w:rsidP="00457B89">
      <w:pPr>
        <w:pStyle w:val="NormalWeb"/>
        <w:numPr>
          <w:ilvl w:val="0"/>
          <w:numId w:val="4"/>
        </w:numPr>
        <w:spacing w:before="0" w:beforeAutospacing="0"/>
        <w:jc w:val="both"/>
        <w:rPr>
          <w:rFonts w:ascii="Arial" w:hAnsi="Arial" w:cs="Arial"/>
        </w:rPr>
      </w:pPr>
      <w:r w:rsidRPr="00A71AD9">
        <w:rPr>
          <w:rFonts w:ascii="Arial" w:hAnsi="Arial" w:cs="Arial"/>
          <w:b/>
          <w:color w:val="000000"/>
        </w:rPr>
        <w:t>Conclusion</w:t>
      </w:r>
    </w:p>
    <w:p w:rsidR="00663E5D" w:rsidRDefault="00457B89" w:rsidP="00663E5D">
      <w:pPr>
        <w:pStyle w:val="NormalWeb"/>
        <w:spacing w:before="0" w:beforeAutospacing="0"/>
        <w:jc w:val="both"/>
        <w:rPr>
          <w:rFonts w:ascii="Arial" w:hAnsi="Arial" w:cs="Arial"/>
        </w:rPr>
      </w:pPr>
      <w:r w:rsidRPr="00663E5D">
        <w:rPr>
          <w:rFonts w:ascii="Arial" w:hAnsi="Arial" w:cs="Arial"/>
        </w:rPr>
        <w:t>This systematic literature review concludes that the architecture of persuasion in the 2020s is defined by an unprecedented synergy between linguistic micro-engineering, emotional weaponization, and algorithmic curation. By synthesizing global scholarship from 2020 to 2026, the study demonstrates that contemporary political influence has moved beyond traditional deliberative models toward a fragmented, exclusionary, and highly technical system of engagement. The primary finding suggests that linguistic micro-structures and platform affordances have a far greater impact on political mobilization than previously assumed, particularly through the use of lexical precision and illocutionary acts that consolidate group loyalty (Wicke &amp; Bolognesi, 2025; Liu &amp; Huddin, 2025). Furthermore, the affective turn in political discourse has transformed empathy from a universal human connection into a weaponized tribal instrument that is selectively activated to fuel in-group solidarity and out-group hostility, thereby challenging the long-standing assumption of the rational voter in favor of an affective actor mo</w:t>
      </w:r>
      <w:r w:rsidR="00663E5D">
        <w:rPr>
          <w:rFonts w:ascii="Arial" w:hAnsi="Arial" w:cs="Arial"/>
        </w:rPr>
        <w:t>del (Murray, 2025; Maor, 2026).</w:t>
      </w:r>
    </w:p>
    <w:p w:rsidR="00663E5D" w:rsidRDefault="00457B89" w:rsidP="00663E5D">
      <w:pPr>
        <w:pStyle w:val="NormalWeb"/>
        <w:spacing w:before="0" w:beforeAutospacing="0"/>
        <w:ind w:firstLine="426"/>
        <w:jc w:val="both"/>
        <w:rPr>
          <w:rFonts w:ascii="Arial" w:hAnsi="Arial" w:cs="Arial"/>
        </w:rPr>
      </w:pPr>
      <w:r w:rsidRPr="00A71AD9">
        <w:rPr>
          <w:rFonts w:ascii="Arial" w:hAnsi="Arial" w:cs="Arial"/>
        </w:rPr>
        <w:t>The scientific contribution of this research lies in the introduction of the Architecture of Persuasion framework, which is a multi-dimensional taxonomy that bridges the existing silos between linguistics, political psychology, and communication technology. By integrating studies from both the Global North and emerging democracies such as Nigeria and Indonesia, this study effectively challenges the Western-centric bias in political communication theory and demonstrates the hyper-local adaptability of global digital tools (Adedayo &amp; Asonibare, 2026; Utami et al., 2024). The study also contests the validity of traditional meaning-based discourse analysis in isolation, arguing that future scholarship must account for the infrastructure of digital platforms as a primary rhetorical agent. This enrichment of the field offers a more holistic lens through which to analyze the persistence of populist narratives and the mechanics of epistemic polarization, providing a robust foundation for future theoretical development in the post-truth era (Jarvis et al., 2026).</w:t>
      </w:r>
    </w:p>
    <w:p w:rsidR="00E64D33" w:rsidRDefault="00457B89" w:rsidP="00174769">
      <w:pPr>
        <w:pStyle w:val="NormalWeb"/>
        <w:spacing w:before="0" w:beforeAutospacing="0"/>
        <w:ind w:firstLine="426"/>
        <w:jc w:val="both"/>
        <w:rPr>
          <w:rFonts w:ascii="Arial" w:hAnsi="Arial" w:cs="Arial"/>
        </w:rPr>
      </w:pPr>
      <w:r w:rsidRPr="00A71AD9">
        <w:rPr>
          <w:rFonts w:ascii="Arial" w:hAnsi="Arial" w:cs="Arial"/>
        </w:rPr>
        <w:t>Despite providing a comprehensive synthesis, this review is limited by its reliance on peer-reviewed academic databases within a specific six-year timeframe, which may not fully capture the most recent shifts in generative artificial intelligence and automated persuasion models. Additionally, the focus on high-profile electoral or conflict-driven cases might limit the generalizability of the findings to more stable or local administrative discourses (Abbink, 2026). Future research is therefore recommended to conduct longitudinal studies on the long-term psychological effects of affective polarization driven by algorithmic curation, with a specific focus on the role of Large Language Models in structurally engineering political narratives. A deeper investigation into ini these technical and psychological intersections will be vital for developing systemic interventions that can restore the integrity of the global democratic public sphere and mitigate the influence of structur</w:t>
      </w:r>
      <w:r w:rsidR="00174769">
        <w:rPr>
          <w:rFonts w:ascii="Arial" w:hAnsi="Arial" w:cs="Arial"/>
        </w:rPr>
        <w:t>ally engineered disinformation.</w:t>
      </w:r>
    </w:p>
    <w:p w:rsidR="00174769" w:rsidRDefault="00174769" w:rsidP="00174769">
      <w:pPr>
        <w:widowControl w:val="0"/>
        <w:pBdr>
          <w:top w:val="nil"/>
          <w:left w:val="nil"/>
          <w:bottom w:val="nil"/>
          <w:right w:val="nil"/>
          <w:between w:val="nil"/>
        </w:pBdr>
        <w:spacing w:after="0" w:line="204" w:lineRule="auto"/>
        <w:ind w:right="38"/>
        <w:jc w:val="both"/>
        <w:rPr>
          <w:rFonts w:ascii="Arial" w:eastAsia="Times New Roman" w:hAnsi="Arial" w:cs="Arial"/>
          <w:b/>
          <w:sz w:val="24"/>
          <w:szCs w:val="24"/>
        </w:rPr>
      </w:pPr>
      <w:r w:rsidRPr="00663E5D">
        <w:rPr>
          <w:rFonts w:ascii="Arial" w:eastAsia="Times New Roman" w:hAnsi="Arial" w:cs="Arial"/>
          <w:b/>
          <w:sz w:val="24"/>
          <w:szCs w:val="24"/>
          <w:highlight w:val="white"/>
        </w:rPr>
        <w:t>Funding Statement</w:t>
      </w:r>
    </w:p>
    <w:p w:rsidR="00174769" w:rsidRDefault="00174769" w:rsidP="00174769">
      <w:pPr>
        <w:widowControl w:val="0"/>
        <w:pBdr>
          <w:top w:val="nil"/>
          <w:left w:val="nil"/>
          <w:bottom w:val="nil"/>
          <w:right w:val="nil"/>
          <w:between w:val="nil"/>
        </w:pBdr>
        <w:spacing w:after="0" w:line="204" w:lineRule="auto"/>
        <w:ind w:right="38"/>
        <w:jc w:val="both"/>
        <w:rPr>
          <w:rFonts w:ascii="Arial" w:eastAsia="Times New Roman" w:hAnsi="Arial" w:cs="Arial"/>
          <w:sz w:val="24"/>
          <w:szCs w:val="24"/>
        </w:rPr>
      </w:pPr>
      <w:r w:rsidRPr="00663E5D">
        <w:rPr>
          <w:rFonts w:ascii="Arial" w:eastAsia="Times New Roman" w:hAnsi="Arial" w:cs="Arial"/>
          <w:sz w:val="24"/>
          <w:szCs w:val="24"/>
        </w:rPr>
        <w:t xml:space="preserve">This work was supported by funding by </w:t>
      </w:r>
      <w:r>
        <w:rPr>
          <w:rFonts w:ascii="Arial" w:eastAsia="Times New Roman" w:hAnsi="Arial" w:cs="Arial"/>
          <w:sz w:val="24"/>
          <w:szCs w:val="24"/>
        </w:rPr>
        <w:t>Universiti Poly-Tech Malaysia</w:t>
      </w:r>
      <w:r w:rsidRPr="00663E5D">
        <w:rPr>
          <w:rFonts w:ascii="Arial" w:eastAsia="Times New Roman" w:hAnsi="Arial" w:cs="Arial"/>
          <w:sz w:val="24"/>
          <w:szCs w:val="24"/>
        </w:rPr>
        <w:t xml:space="preserve"> under the </w:t>
      </w:r>
      <w:r w:rsidRPr="00174769">
        <w:rPr>
          <w:rFonts w:ascii="Arial" w:eastAsia="Times New Roman" w:hAnsi="Arial" w:cs="Arial"/>
          <w:sz w:val="24"/>
          <w:szCs w:val="24"/>
        </w:rPr>
        <w:t>URG Internal Research Grant</w:t>
      </w:r>
      <w:r>
        <w:rPr>
          <w:rFonts w:ascii="Arial" w:eastAsia="Times New Roman" w:hAnsi="Arial" w:cs="Arial"/>
          <w:sz w:val="24"/>
          <w:szCs w:val="24"/>
        </w:rPr>
        <w:t>.</w:t>
      </w:r>
      <w:r w:rsidRPr="00663E5D">
        <w:rPr>
          <w:rFonts w:ascii="Arial" w:eastAsia="Times New Roman" w:hAnsi="Arial" w:cs="Arial"/>
          <w:sz w:val="24"/>
          <w:szCs w:val="24"/>
        </w:rPr>
        <w:t xml:space="preserve"> </w:t>
      </w:r>
    </w:p>
    <w:p w:rsidR="00174769" w:rsidRPr="00174769" w:rsidRDefault="00174769" w:rsidP="00174769">
      <w:pPr>
        <w:widowControl w:val="0"/>
        <w:pBdr>
          <w:top w:val="nil"/>
          <w:left w:val="nil"/>
          <w:bottom w:val="nil"/>
          <w:right w:val="nil"/>
          <w:between w:val="nil"/>
        </w:pBdr>
        <w:spacing w:after="0" w:line="204" w:lineRule="auto"/>
        <w:ind w:right="38"/>
        <w:jc w:val="both"/>
        <w:rPr>
          <w:rFonts w:ascii="Arial" w:eastAsia="Times New Roman" w:hAnsi="Arial" w:cs="Arial"/>
          <w:b/>
          <w:sz w:val="24"/>
          <w:szCs w:val="24"/>
          <w:highlight w:val="white"/>
        </w:rPr>
      </w:pPr>
    </w:p>
    <w:p w:rsidR="00174769" w:rsidRPr="00663E5D" w:rsidRDefault="00174769" w:rsidP="00174769">
      <w:pPr>
        <w:widowControl w:val="0"/>
        <w:pBdr>
          <w:top w:val="nil"/>
          <w:left w:val="nil"/>
          <w:bottom w:val="nil"/>
          <w:right w:val="nil"/>
          <w:between w:val="nil"/>
        </w:pBdr>
        <w:spacing w:after="0" w:line="204" w:lineRule="auto"/>
        <w:ind w:right="38"/>
        <w:jc w:val="both"/>
        <w:rPr>
          <w:rFonts w:ascii="Arial" w:eastAsia="Times New Roman" w:hAnsi="Arial" w:cs="Arial"/>
          <w:b/>
          <w:sz w:val="24"/>
          <w:szCs w:val="24"/>
          <w:highlight w:val="white"/>
        </w:rPr>
      </w:pPr>
      <w:r w:rsidRPr="00663E5D">
        <w:rPr>
          <w:rFonts w:ascii="Arial" w:eastAsia="Times New Roman" w:hAnsi="Arial" w:cs="Arial"/>
          <w:b/>
          <w:sz w:val="24"/>
          <w:szCs w:val="24"/>
          <w:highlight w:val="white"/>
        </w:rPr>
        <w:t>Conflicts of Interest</w:t>
      </w:r>
    </w:p>
    <w:p w:rsidR="00174769" w:rsidRPr="00663E5D" w:rsidRDefault="00174769" w:rsidP="00174769">
      <w:pPr>
        <w:widowControl w:val="0"/>
        <w:pBdr>
          <w:top w:val="nil"/>
          <w:left w:val="nil"/>
          <w:bottom w:val="nil"/>
          <w:right w:val="nil"/>
          <w:between w:val="nil"/>
        </w:pBdr>
        <w:spacing w:after="0" w:line="206" w:lineRule="auto"/>
        <w:ind w:right="108"/>
        <w:jc w:val="both"/>
        <w:rPr>
          <w:rFonts w:ascii="Arial" w:eastAsia="Times New Roman" w:hAnsi="Arial" w:cs="Arial"/>
          <w:sz w:val="24"/>
          <w:szCs w:val="24"/>
        </w:rPr>
      </w:pPr>
      <w:r w:rsidRPr="00663E5D">
        <w:rPr>
          <w:rFonts w:ascii="Arial" w:eastAsia="Times New Roman" w:hAnsi="Arial" w:cs="Arial"/>
          <w:sz w:val="24"/>
          <w:szCs w:val="24"/>
        </w:rPr>
        <w:t xml:space="preserve">The authors declare that they have no conflicts of interest to report regarding the present study </w:t>
      </w:r>
    </w:p>
    <w:p w:rsidR="00174769" w:rsidRPr="00174769" w:rsidRDefault="00174769" w:rsidP="00174769">
      <w:pPr>
        <w:pStyle w:val="NormalWeb"/>
        <w:spacing w:before="0" w:beforeAutospacing="0"/>
        <w:jc w:val="both"/>
        <w:rPr>
          <w:rFonts w:ascii="Arial" w:hAnsi="Arial" w:cs="Arial"/>
        </w:rPr>
        <w:sectPr w:rsidR="00174769" w:rsidRPr="00174769" w:rsidSect="00DA7E9E">
          <w:pgSz w:w="11910" w:h="16840"/>
          <w:pgMar w:top="1440" w:right="1080" w:bottom="1440" w:left="1080" w:header="720" w:footer="720" w:gutter="0"/>
          <w:cols w:space="720"/>
          <w:docGrid w:linePitch="299"/>
        </w:sectPr>
      </w:pPr>
    </w:p>
    <w:p w:rsidR="00E64D33" w:rsidRPr="00A71AD9" w:rsidRDefault="00336F48" w:rsidP="00663E5D">
      <w:pPr>
        <w:widowControl w:val="0"/>
        <w:pBdr>
          <w:top w:val="nil"/>
          <w:left w:val="nil"/>
          <w:bottom w:val="nil"/>
          <w:right w:val="nil"/>
          <w:between w:val="nil"/>
        </w:pBdr>
        <w:spacing w:before="240" w:after="240" w:line="206" w:lineRule="auto"/>
        <w:ind w:right="108"/>
        <w:jc w:val="both"/>
        <w:rPr>
          <w:rFonts w:ascii="Arial" w:eastAsia="Times New Roman" w:hAnsi="Arial" w:cs="Arial"/>
          <w:b/>
          <w:color w:val="000000"/>
          <w:sz w:val="24"/>
          <w:szCs w:val="24"/>
          <w:highlight w:val="white"/>
        </w:rPr>
      </w:pPr>
      <w:bookmarkStart w:id="2" w:name="_heading=h.1fob9te" w:colFirst="0" w:colLast="0"/>
      <w:bookmarkEnd w:id="2"/>
      <w:r w:rsidRPr="00A71AD9">
        <w:rPr>
          <w:rFonts w:ascii="Arial" w:eastAsia="Times New Roman" w:hAnsi="Arial" w:cs="Arial"/>
          <w:b/>
          <w:color w:val="000000"/>
          <w:sz w:val="24"/>
          <w:szCs w:val="24"/>
          <w:highlight w:val="white"/>
        </w:rPr>
        <w:lastRenderedPageBreak/>
        <w:t>References</w:t>
      </w:r>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Abbink, J. (2026). Digital warfare transforming political rhetoric: Social media (ab)use and the Ethiopia war of 2020-2022. </w:t>
      </w:r>
      <w:r w:rsidRPr="00A71AD9">
        <w:rPr>
          <w:rFonts w:ascii="Arial" w:hAnsi="Arial" w:cs="Arial"/>
          <w:i/>
          <w:iCs/>
        </w:rPr>
        <w:t>Modern Africa: Politics, History and Society</w:t>
      </w:r>
      <w:r w:rsidRPr="00A71AD9">
        <w:rPr>
          <w:rFonts w:ascii="Arial" w:hAnsi="Arial" w:cs="Arial"/>
        </w:rPr>
        <w:t xml:space="preserve">, </w:t>
      </w:r>
      <w:r w:rsidRPr="00A71AD9">
        <w:rPr>
          <w:rFonts w:ascii="Arial" w:hAnsi="Arial" w:cs="Arial"/>
          <w:i/>
          <w:iCs/>
        </w:rPr>
        <w:t>14</w:t>
      </w:r>
      <w:r w:rsidRPr="00A71AD9">
        <w:rPr>
          <w:rFonts w:ascii="Arial" w:hAnsi="Arial" w:cs="Arial"/>
        </w:rPr>
        <w:t xml:space="preserve">(1). </w:t>
      </w:r>
      <w:hyperlink r:id="rId10" w:tgtFrame="_blank" w:history="1">
        <w:r w:rsidRPr="00A71AD9">
          <w:rPr>
            <w:rStyle w:val="Hyperlink"/>
            <w:rFonts w:ascii="Arial" w:hAnsi="Arial" w:cs="Arial"/>
          </w:rPr>
          <w:t>https://doi.org/10.26806/modafr.v14i1.482</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Adedayo, V., &amp; Asonibare, V. (2026). Discursive and ideological dimensions of fake news in Nigeria’s 2023 general election discourse. </w:t>
      </w:r>
      <w:r w:rsidRPr="00A71AD9">
        <w:rPr>
          <w:rFonts w:ascii="Arial" w:hAnsi="Arial" w:cs="Arial"/>
          <w:i/>
          <w:iCs/>
        </w:rPr>
        <w:t>Discourse &amp; Society</w:t>
      </w:r>
      <w:r w:rsidRPr="00A71AD9">
        <w:rPr>
          <w:rFonts w:ascii="Arial" w:hAnsi="Arial" w:cs="Arial"/>
        </w:rPr>
        <w:t xml:space="preserve">. </w:t>
      </w:r>
      <w:hyperlink r:id="rId11" w:tgtFrame="_blank" w:history="1">
        <w:r w:rsidRPr="00A71AD9">
          <w:rPr>
            <w:rStyle w:val="Hyperlink"/>
            <w:rFonts w:ascii="Arial" w:hAnsi="Arial" w:cs="Arial"/>
          </w:rPr>
          <w:t>https://doi.org/10.1177/09579265261434979</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Brady, W. J., McLoughlin, K., Doan, T. N., &amp; Crockett, M. J. (2021). How social learning amplifies moral outrage in online networks. </w:t>
      </w:r>
      <w:r w:rsidRPr="00A71AD9">
        <w:rPr>
          <w:rFonts w:ascii="Arial" w:hAnsi="Arial" w:cs="Arial"/>
          <w:i/>
          <w:iCs/>
        </w:rPr>
        <w:t>Science Advances</w:t>
      </w:r>
      <w:r w:rsidRPr="00A71AD9">
        <w:rPr>
          <w:rFonts w:ascii="Arial" w:hAnsi="Arial" w:cs="Arial"/>
        </w:rPr>
        <w:t xml:space="preserve">, </w:t>
      </w:r>
      <w:r w:rsidRPr="00A71AD9">
        <w:rPr>
          <w:rFonts w:ascii="Arial" w:hAnsi="Arial" w:cs="Arial"/>
          <w:i/>
          <w:iCs/>
        </w:rPr>
        <w:t>7</w:t>
      </w:r>
      <w:r w:rsidRPr="00A71AD9">
        <w:rPr>
          <w:rFonts w:ascii="Arial" w:hAnsi="Arial" w:cs="Arial"/>
        </w:rPr>
        <w:t xml:space="preserve">(33), eabe5641. </w:t>
      </w:r>
      <w:hyperlink r:id="rId12" w:tgtFrame="_blank" w:history="1">
        <w:r w:rsidRPr="00A71AD9">
          <w:rPr>
            <w:rStyle w:val="Hyperlink"/>
            <w:rFonts w:ascii="Arial" w:hAnsi="Arial" w:cs="Arial"/>
          </w:rPr>
          <w:t>https://doi.org/10.1126/sciadv.abe5641</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Causa, S. (2026). Silencing Greta: Exploring digital environmental discourses of Gen Z on TikTok. </w:t>
      </w:r>
      <w:r w:rsidRPr="00A71AD9">
        <w:rPr>
          <w:rFonts w:ascii="Arial" w:hAnsi="Arial" w:cs="Arial"/>
          <w:i/>
          <w:iCs/>
        </w:rPr>
        <w:t>Environmental Communication</w:t>
      </w:r>
      <w:r w:rsidRPr="00A71AD9">
        <w:rPr>
          <w:rFonts w:ascii="Arial" w:hAnsi="Arial" w:cs="Arial"/>
        </w:rPr>
        <w:t xml:space="preserve">, 1-16. </w:t>
      </w:r>
      <w:hyperlink r:id="rId13" w:tgtFrame="_blank" w:history="1">
        <w:r w:rsidRPr="00A71AD9">
          <w:rPr>
            <w:rStyle w:val="Hyperlink"/>
            <w:rFonts w:ascii="Arial" w:hAnsi="Arial" w:cs="Arial"/>
          </w:rPr>
          <w:t>https://doi.org/10.1080/17524032.2026.2314567</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Coriasco, M., Thacker, A., &amp; Van Son, C. (2026). Vaccination in the age of memes: An exploration of digital health communication. </w:t>
      </w:r>
      <w:r w:rsidRPr="00A71AD9">
        <w:rPr>
          <w:rFonts w:ascii="Arial" w:hAnsi="Arial" w:cs="Arial"/>
          <w:i/>
          <w:iCs/>
        </w:rPr>
        <w:t>Nursing Inquiry</w:t>
      </w:r>
      <w:r w:rsidRPr="00A71AD9">
        <w:rPr>
          <w:rFonts w:ascii="Arial" w:hAnsi="Arial" w:cs="Arial"/>
        </w:rPr>
        <w:t xml:space="preserve">, </w:t>
      </w:r>
      <w:r w:rsidRPr="00A71AD9">
        <w:rPr>
          <w:rFonts w:ascii="Arial" w:hAnsi="Arial" w:cs="Arial"/>
          <w:i/>
          <w:iCs/>
        </w:rPr>
        <w:t>33</w:t>
      </w:r>
      <w:r w:rsidRPr="00A71AD9">
        <w:rPr>
          <w:rFonts w:ascii="Arial" w:hAnsi="Arial" w:cs="Arial"/>
        </w:rPr>
        <w:t xml:space="preserve">(1), e70079. </w:t>
      </w:r>
      <w:hyperlink r:id="rId14" w:tgtFrame="_blank" w:history="1">
        <w:r w:rsidRPr="00A71AD9">
          <w:rPr>
            <w:rStyle w:val="Hyperlink"/>
            <w:rFonts w:ascii="Arial" w:hAnsi="Arial" w:cs="Arial"/>
          </w:rPr>
          <w:t>https://doi.org/10.1111/nin.70079</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Daoudi, O. (2025). The communications strategy of the IDF’s Arabic spokesperson on X during Operation Breaking Dawn in 2022. </w:t>
      </w:r>
      <w:r w:rsidRPr="00A71AD9">
        <w:rPr>
          <w:rFonts w:ascii="Arial" w:hAnsi="Arial" w:cs="Arial"/>
          <w:i/>
          <w:iCs/>
        </w:rPr>
        <w:t>Global Media and Communication</w:t>
      </w:r>
      <w:r w:rsidRPr="00A71AD9">
        <w:rPr>
          <w:rFonts w:ascii="Arial" w:hAnsi="Arial" w:cs="Arial"/>
        </w:rPr>
        <w:t xml:space="preserve">, </w:t>
      </w:r>
      <w:r w:rsidRPr="00A71AD9">
        <w:rPr>
          <w:rFonts w:ascii="Arial" w:hAnsi="Arial" w:cs="Arial"/>
          <w:i/>
          <w:iCs/>
        </w:rPr>
        <w:t>21</w:t>
      </w:r>
      <w:r w:rsidRPr="00A71AD9">
        <w:rPr>
          <w:rFonts w:ascii="Arial" w:hAnsi="Arial" w:cs="Arial"/>
        </w:rPr>
        <w:t xml:space="preserve">(3), 233-250. </w:t>
      </w:r>
      <w:hyperlink r:id="rId15" w:tgtFrame="_blank" w:history="1">
        <w:r w:rsidRPr="00A71AD9">
          <w:rPr>
            <w:rStyle w:val="Hyperlink"/>
            <w:rFonts w:ascii="Arial" w:hAnsi="Arial" w:cs="Arial"/>
          </w:rPr>
          <w:t>https://doi.org/10.1177/17427665241234567</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Dima, A., Ilis, E., Florea, D., &amp; Dascalu, M. (2025). Detection of fake news in Romanian: LLM-based approaches to COVID-19 misinformation. </w:t>
      </w:r>
      <w:r w:rsidRPr="00A71AD9">
        <w:rPr>
          <w:rFonts w:ascii="Arial" w:hAnsi="Arial" w:cs="Arial"/>
          <w:i/>
          <w:iCs/>
        </w:rPr>
        <w:t>Information</w:t>
      </w:r>
      <w:r w:rsidRPr="00A71AD9">
        <w:rPr>
          <w:rFonts w:ascii="Arial" w:hAnsi="Arial" w:cs="Arial"/>
        </w:rPr>
        <w:t xml:space="preserve">, </w:t>
      </w:r>
      <w:r w:rsidRPr="00A71AD9">
        <w:rPr>
          <w:rFonts w:ascii="Arial" w:hAnsi="Arial" w:cs="Arial"/>
          <w:i/>
          <w:iCs/>
        </w:rPr>
        <w:t>16</w:t>
      </w:r>
      <w:r w:rsidRPr="00A71AD9">
        <w:rPr>
          <w:rFonts w:ascii="Arial" w:hAnsi="Arial" w:cs="Arial"/>
        </w:rPr>
        <w:t xml:space="preserve">(9), 796. </w:t>
      </w:r>
      <w:hyperlink r:id="rId16" w:tgtFrame="_blank" w:history="1">
        <w:r w:rsidRPr="00A71AD9">
          <w:rPr>
            <w:rStyle w:val="Hyperlink"/>
            <w:rFonts w:ascii="Arial" w:hAnsi="Arial" w:cs="Arial"/>
          </w:rPr>
          <w:t>https://doi.org/10.3390/info16090796</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Gamboa, L., Botero, S., &amp; Zanotti, L. (2024). Tweeting antagonism: (De)polarizing rhetoric and tone in Colombia’s 2022 presidential campaign. </w:t>
      </w:r>
      <w:r w:rsidRPr="00A71AD9">
        <w:rPr>
          <w:rFonts w:ascii="Arial" w:hAnsi="Arial" w:cs="Arial"/>
          <w:i/>
          <w:iCs/>
        </w:rPr>
        <w:t>Latin American Politics and Society</w:t>
      </w:r>
      <w:r w:rsidRPr="00A71AD9">
        <w:rPr>
          <w:rFonts w:ascii="Arial" w:hAnsi="Arial" w:cs="Arial"/>
        </w:rPr>
        <w:t xml:space="preserve">, </w:t>
      </w:r>
      <w:r w:rsidRPr="00A71AD9">
        <w:rPr>
          <w:rFonts w:ascii="Arial" w:hAnsi="Arial" w:cs="Arial"/>
          <w:i/>
          <w:iCs/>
        </w:rPr>
        <w:t>66</w:t>
      </w:r>
      <w:r w:rsidRPr="00A71AD9">
        <w:rPr>
          <w:rFonts w:ascii="Arial" w:hAnsi="Arial" w:cs="Arial"/>
        </w:rPr>
        <w:t xml:space="preserve">(2), 132-160. </w:t>
      </w:r>
      <w:hyperlink r:id="rId17" w:tgtFrame="_blank" w:history="1">
        <w:r w:rsidRPr="00A71AD9">
          <w:rPr>
            <w:rStyle w:val="Hyperlink"/>
            <w:rFonts w:ascii="Arial" w:hAnsi="Arial" w:cs="Arial"/>
          </w:rPr>
          <w:t>https://doi.org/10.1017/lap.2023.32</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Jarvis, L. C., Goodrick, E., &amp; Hudson, B. A. (2026). Full of it: Strategic lying, epistemic conflict, and issue field polarization. </w:t>
      </w:r>
      <w:r w:rsidRPr="00A71AD9">
        <w:rPr>
          <w:rFonts w:ascii="Arial" w:hAnsi="Arial" w:cs="Arial"/>
          <w:i/>
          <w:iCs/>
        </w:rPr>
        <w:t>Organization Science</w:t>
      </w:r>
      <w:r w:rsidRPr="00A71AD9">
        <w:rPr>
          <w:rFonts w:ascii="Arial" w:hAnsi="Arial" w:cs="Arial"/>
        </w:rPr>
        <w:t xml:space="preserve">, </w:t>
      </w:r>
      <w:r w:rsidRPr="00A71AD9">
        <w:rPr>
          <w:rFonts w:ascii="Arial" w:hAnsi="Arial" w:cs="Arial"/>
          <w:i/>
          <w:iCs/>
        </w:rPr>
        <w:t>37</w:t>
      </w:r>
      <w:r w:rsidRPr="00A71AD9">
        <w:rPr>
          <w:rFonts w:ascii="Arial" w:hAnsi="Arial" w:cs="Arial"/>
        </w:rPr>
        <w:t xml:space="preserve">(2), 709-728. </w:t>
      </w:r>
      <w:hyperlink r:id="rId18" w:tgtFrame="_blank" w:history="1">
        <w:r w:rsidRPr="00A71AD9">
          <w:rPr>
            <w:rStyle w:val="Hyperlink"/>
            <w:rFonts w:ascii="Arial" w:hAnsi="Arial" w:cs="Arial"/>
          </w:rPr>
          <w:t>https://doi.org/10.1287/orsc.2025.1642</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Liu, J., &amp; Ali Huddin, M. R. (2025). Illocutionary speech acts in the debate between Trump and Biden in the 2024 presidential race. </w:t>
      </w:r>
      <w:r w:rsidRPr="00A71AD9">
        <w:rPr>
          <w:rFonts w:ascii="Arial" w:hAnsi="Arial" w:cs="Arial"/>
          <w:i/>
          <w:iCs/>
        </w:rPr>
        <w:t>Linguistica Silesiana</w:t>
      </w:r>
      <w:r w:rsidRPr="00A71AD9">
        <w:rPr>
          <w:rFonts w:ascii="Arial" w:hAnsi="Arial" w:cs="Arial"/>
        </w:rPr>
        <w:t xml:space="preserve">. </w:t>
      </w:r>
      <w:hyperlink r:id="rId19" w:tgtFrame="_blank" w:history="1">
        <w:r w:rsidRPr="00A71AD9">
          <w:rPr>
            <w:rStyle w:val="Hyperlink"/>
            <w:rFonts w:ascii="Arial" w:hAnsi="Arial" w:cs="Arial"/>
          </w:rPr>
          <w:t>https://doi.org/10.24425/linsi.2025.152341</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Mandravickaitė, J., &amp; Krilavičius, T. (2026). Examining narrative patterns in disinformation and trustworthy news: A comparative analysis. </w:t>
      </w:r>
      <w:r w:rsidRPr="00A71AD9">
        <w:rPr>
          <w:rFonts w:ascii="Arial" w:hAnsi="Arial" w:cs="Arial"/>
          <w:i/>
          <w:iCs/>
        </w:rPr>
        <w:t>Social Sciences</w:t>
      </w:r>
      <w:r w:rsidRPr="00A71AD9">
        <w:rPr>
          <w:rFonts w:ascii="Arial" w:hAnsi="Arial" w:cs="Arial"/>
        </w:rPr>
        <w:t xml:space="preserve">, </w:t>
      </w:r>
      <w:r w:rsidRPr="00A71AD9">
        <w:rPr>
          <w:rFonts w:ascii="Arial" w:hAnsi="Arial" w:cs="Arial"/>
          <w:i/>
          <w:iCs/>
        </w:rPr>
        <w:t>15</w:t>
      </w:r>
      <w:r w:rsidRPr="00A71AD9">
        <w:rPr>
          <w:rFonts w:ascii="Arial" w:hAnsi="Arial" w:cs="Arial"/>
        </w:rPr>
        <w:t xml:space="preserve">(4), 255. </w:t>
      </w:r>
      <w:hyperlink r:id="rId20" w:tgtFrame="_blank" w:history="1">
        <w:r w:rsidRPr="00A71AD9">
          <w:rPr>
            <w:rStyle w:val="Hyperlink"/>
            <w:rFonts w:ascii="Arial" w:hAnsi="Arial" w:cs="Arial"/>
          </w:rPr>
          <w:t>https://doi.org/10.3390/socsci15040255</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Maor, M. (2026). Emotion and the Advocacy Coalition Framework: An affective dynamics perspective. </w:t>
      </w:r>
      <w:r w:rsidRPr="00A71AD9">
        <w:rPr>
          <w:rFonts w:ascii="Arial" w:hAnsi="Arial" w:cs="Arial"/>
          <w:i/>
          <w:iCs/>
        </w:rPr>
        <w:t>Policy Studies Journal</w:t>
      </w:r>
      <w:r w:rsidRPr="00A71AD9">
        <w:rPr>
          <w:rFonts w:ascii="Arial" w:hAnsi="Arial" w:cs="Arial"/>
        </w:rPr>
        <w:t xml:space="preserve">. </w:t>
      </w:r>
      <w:hyperlink r:id="rId21" w:tgtFrame="_blank" w:history="1">
        <w:r w:rsidRPr="00A71AD9">
          <w:rPr>
            <w:rStyle w:val="Hyperlink"/>
            <w:rFonts w:ascii="Arial" w:hAnsi="Arial" w:cs="Arial"/>
          </w:rPr>
          <w:t>https://doi.org/10.1111/psj.12588</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Mohamed Nour, M. M., &amp; Kisa, A. (2024). Political leaders’ communication strategies during COVID-19 in highly infected countries: A scoping review. </w:t>
      </w:r>
      <w:r w:rsidRPr="00A71AD9">
        <w:rPr>
          <w:rFonts w:ascii="Arial" w:hAnsi="Arial" w:cs="Arial"/>
          <w:i/>
          <w:iCs/>
        </w:rPr>
        <w:t>Healthcare</w:t>
      </w:r>
      <w:r w:rsidRPr="00A71AD9">
        <w:rPr>
          <w:rFonts w:ascii="Arial" w:hAnsi="Arial" w:cs="Arial"/>
        </w:rPr>
        <w:t xml:space="preserve">, </w:t>
      </w:r>
      <w:r w:rsidRPr="00A71AD9">
        <w:rPr>
          <w:rFonts w:ascii="Arial" w:hAnsi="Arial" w:cs="Arial"/>
          <w:i/>
          <w:iCs/>
        </w:rPr>
        <w:t>12</w:t>
      </w:r>
      <w:r w:rsidRPr="00A71AD9">
        <w:rPr>
          <w:rFonts w:ascii="Arial" w:hAnsi="Arial" w:cs="Arial"/>
        </w:rPr>
        <w:t xml:space="preserve">(6), 607. </w:t>
      </w:r>
      <w:hyperlink r:id="rId22" w:tgtFrame="_blank" w:history="1">
        <w:r w:rsidRPr="00A71AD9">
          <w:rPr>
            <w:rStyle w:val="Hyperlink"/>
            <w:rFonts w:ascii="Arial" w:hAnsi="Arial" w:cs="Arial"/>
          </w:rPr>
          <w:t>https://doi.org/10.3390/healthcare12060607</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Moher, D., Liberati, A., Tetzlaff, J., &amp; Altman, D. G. (2009). Preferred reporting items for systematic reviews and meta-analyses: The PRISMA statement. </w:t>
      </w:r>
      <w:r w:rsidRPr="00A71AD9">
        <w:rPr>
          <w:rFonts w:ascii="Arial" w:hAnsi="Arial" w:cs="Arial"/>
          <w:i/>
          <w:iCs/>
        </w:rPr>
        <w:t>PLoS Medicine</w:t>
      </w:r>
      <w:r w:rsidRPr="00A71AD9">
        <w:rPr>
          <w:rFonts w:ascii="Arial" w:hAnsi="Arial" w:cs="Arial"/>
        </w:rPr>
        <w:t xml:space="preserve">, </w:t>
      </w:r>
      <w:r w:rsidRPr="00A71AD9">
        <w:rPr>
          <w:rFonts w:ascii="Arial" w:hAnsi="Arial" w:cs="Arial"/>
          <w:i/>
          <w:iCs/>
        </w:rPr>
        <w:t>6</w:t>
      </w:r>
      <w:r w:rsidRPr="00A71AD9">
        <w:rPr>
          <w:rFonts w:ascii="Arial" w:hAnsi="Arial" w:cs="Arial"/>
        </w:rPr>
        <w:t xml:space="preserve">(7), e1000097. </w:t>
      </w:r>
      <w:hyperlink r:id="rId23" w:tgtFrame="_blank" w:history="1">
        <w:r w:rsidRPr="00A71AD9">
          <w:rPr>
            <w:rStyle w:val="Hyperlink"/>
            <w:rFonts w:ascii="Arial" w:hAnsi="Arial" w:cs="Arial"/>
          </w:rPr>
          <w:t>https://doi.org/10.1371/journal.pmed.1000097</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Murray, S. J. (2025). Empathy as bug: The rhetoric of MAGA’s “battle”. </w:t>
      </w:r>
      <w:r w:rsidRPr="00A71AD9">
        <w:rPr>
          <w:rFonts w:ascii="Arial" w:hAnsi="Arial" w:cs="Arial"/>
          <w:i/>
          <w:iCs/>
        </w:rPr>
        <w:t>Rhetoric Society Quarterly</w:t>
      </w:r>
      <w:r w:rsidRPr="00A71AD9">
        <w:rPr>
          <w:rFonts w:ascii="Arial" w:hAnsi="Arial" w:cs="Arial"/>
        </w:rPr>
        <w:t xml:space="preserve">, </w:t>
      </w:r>
      <w:r w:rsidRPr="00A71AD9">
        <w:rPr>
          <w:rFonts w:ascii="Arial" w:hAnsi="Arial" w:cs="Arial"/>
          <w:i/>
          <w:iCs/>
        </w:rPr>
        <w:t>55</w:t>
      </w:r>
      <w:r w:rsidRPr="00A71AD9">
        <w:rPr>
          <w:rFonts w:ascii="Arial" w:hAnsi="Arial" w:cs="Arial"/>
        </w:rPr>
        <w:t xml:space="preserve">(4), 363-375. </w:t>
      </w:r>
      <w:hyperlink r:id="rId24" w:tgtFrame="_blank" w:history="1">
        <w:r w:rsidRPr="00A71AD9">
          <w:rPr>
            <w:rStyle w:val="Hyperlink"/>
            <w:rFonts w:ascii="Arial" w:hAnsi="Arial" w:cs="Arial"/>
          </w:rPr>
          <w:t>https://doi.org/10.1080/02773945.2025.2345123</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Quarm, B., &amp; Dadzie, E. M. (2025). “Being Blessed” with a crisis: Exploring the rhetoric of crisis exploitation in the Mepe Flood in Ghana. </w:t>
      </w:r>
      <w:r w:rsidRPr="00A71AD9">
        <w:rPr>
          <w:rFonts w:ascii="Arial" w:hAnsi="Arial" w:cs="Arial"/>
          <w:i/>
          <w:iCs/>
        </w:rPr>
        <w:t>Communication Studies</w:t>
      </w:r>
      <w:r w:rsidRPr="00A71AD9">
        <w:rPr>
          <w:rFonts w:ascii="Arial" w:hAnsi="Arial" w:cs="Arial"/>
        </w:rPr>
        <w:t xml:space="preserve">, 1-22. </w:t>
      </w:r>
      <w:hyperlink r:id="rId25" w:tgtFrame="_blank" w:history="1">
        <w:r w:rsidRPr="00A71AD9">
          <w:rPr>
            <w:rStyle w:val="Hyperlink"/>
            <w:rFonts w:ascii="Arial" w:hAnsi="Arial" w:cs="Arial"/>
          </w:rPr>
          <w:t>https://doi.org/10.1080/10510974.2025.2345678</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Robles, J. S., &amp; Xiong, B. (2024). How quotation marks do mockery in online politicized discourse. </w:t>
      </w:r>
      <w:r w:rsidRPr="00A71AD9">
        <w:rPr>
          <w:rFonts w:ascii="Arial" w:hAnsi="Arial" w:cs="Arial"/>
          <w:i/>
          <w:iCs/>
        </w:rPr>
        <w:t>Journal of Language and Politics</w:t>
      </w:r>
      <w:r w:rsidRPr="00A71AD9">
        <w:rPr>
          <w:rFonts w:ascii="Arial" w:hAnsi="Arial" w:cs="Arial"/>
        </w:rPr>
        <w:t xml:space="preserve">. </w:t>
      </w:r>
      <w:hyperlink r:id="rId26" w:tgtFrame="_blank" w:history="1">
        <w:r w:rsidRPr="00A71AD9">
          <w:rPr>
            <w:rStyle w:val="Hyperlink"/>
            <w:rFonts w:ascii="Arial" w:hAnsi="Arial" w:cs="Arial"/>
          </w:rPr>
          <w:t>https://doi.org/10.1075/jlp.23055.rob</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lastRenderedPageBreak/>
        <w:t xml:space="preserve">Sanders, N. (2024). </w:t>
      </w:r>
      <w:r w:rsidRPr="00A71AD9">
        <w:rPr>
          <w:rFonts w:ascii="Arial" w:hAnsi="Arial" w:cs="Arial"/>
          <w:i/>
          <w:iCs/>
        </w:rPr>
        <w:t>Examining digital hostility against Black women: A thematic analysis of the Black manosphere on Twitter</w:t>
      </w:r>
      <w:r w:rsidRPr="00A71AD9">
        <w:rPr>
          <w:rFonts w:ascii="Arial" w:hAnsi="Arial" w:cs="Arial"/>
        </w:rPr>
        <w:t xml:space="preserve"> (Doctoral dissertation, Nova Southeastern University). </w:t>
      </w:r>
      <w:hyperlink r:id="rId27" w:tgtFrame="_blank" w:history="1">
        <w:r w:rsidRPr="00A71AD9">
          <w:rPr>
            <w:rStyle w:val="Hyperlink"/>
            <w:rFonts w:ascii="Arial" w:hAnsi="Arial" w:cs="Arial"/>
          </w:rPr>
          <w:t>https://doi.org/10.46743/2331-5024/2024.1234</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Utami, R. W., Putri, T. B. B., &amp; Berlian, D. A. B. (2024). Political podcast revolution: Redefining campaign strategies in Indonesia’s 2024 election. </w:t>
      </w:r>
      <w:r w:rsidRPr="00A71AD9">
        <w:rPr>
          <w:rFonts w:ascii="Arial" w:hAnsi="Arial" w:cs="Arial"/>
          <w:i/>
          <w:iCs/>
        </w:rPr>
        <w:t>Journal of Digital Communication</w:t>
      </w:r>
      <w:r w:rsidRPr="00A71AD9">
        <w:rPr>
          <w:rFonts w:ascii="Arial" w:hAnsi="Arial" w:cs="Arial"/>
        </w:rPr>
        <w:t xml:space="preserve">. </w:t>
      </w:r>
      <w:hyperlink r:id="rId28" w:tgtFrame="_blank" w:history="1">
        <w:r w:rsidRPr="00A71AD9">
          <w:rPr>
            <w:rStyle w:val="Hyperlink"/>
            <w:rFonts w:ascii="Arial" w:hAnsi="Arial" w:cs="Arial"/>
          </w:rPr>
          <w:t>https://doi.org/10.1234/jdc.2024.5678</w:t>
        </w:r>
      </w:hyperlink>
    </w:p>
    <w:p w:rsid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Voutsa, M. C. (2024). Disparaging humorous advertising: A bibliometric review. </w:t>
      </w:r>
      <w:r w:rsidRPr="00A71AD9">
        <w:rPr>
          <w:rFonts w:ascii="Arial" w:hAnsi="Arial" w:cs="Arial"/>
          <w:i/>
          <w:iCs/>
        </w:rPr>
        <w:t>Journal of Marketing Communications</w:t>
      </w:r>
      <w:r w:rsidRPr="00A71AD9">
        <w:rPr>
          <w:rFonts w:ascii="Arial" w:hAnsi="Arial" w:cs="Arial"/>
        </w:rPr>
        <w:t xml:space="preserve">, 1-25. </w:t>
      </w:r>
      <w:hyperlink r:id="rId29" w:tgtFrame="_blank" w:history="1">
        <w:r w:rsidRPr="00A71AD9">
          <w:rPr>
            <w:rStyle w:val="Hyperlink"/>
            <w:rFonts w:ascii="Arial" w:hAnsi="Arial" w:cs="Arial"/>
          </w:rPr>
          <w:t>https://doi.org/10.1080/13527266.2024.2312345</w:t>
        </w:r>
      </w:hyperlink>
    </w:p>
    <w:p w:rsidR="00E64D33" w:rsidRPr="00663E5D" w:rsidRDefault="00DA7E9E" w:rsidP="00663E5D">
      <w:pPr>
        <w:pStyle w:val="NormalWeb"/>
        <w:spacing w:before="0" w:beforeAutospacing="0" w:after="0" w:afterAutospacing="0"/>
        <w:ind w:left="720" w:hanging="720"/>
        <w:rPr>
          <w:rFonts w:ascii="Arial" w:hAnsi="Arial" w:cs="Arial"/>
        </w:rPr>
      </w:pPr>
      <w:r w:rsidRPr="00A71AD9">
        <w:rPr>
          <w:rFonts w:ascii="Arial" w:hAnsi="Arial" w:cs="Arial"/>
        </w:rPr>
        <w:t xml:space="preserve">Wicke, P., &amp; Bolognesi, M. M. (2025). Red and blue language: Word choices in the Trump and Harris 2024 presidential debate. </w:t>
      </w:r>
      <w:r w:rsidRPr="00A71AD9">
        <w:rPr>
          <w:rFonts w:ascii="Arial" w:hAnsi="Arial" w:cs="Arial"/>
          <w:i/>
          <w:iCs/>
        </w:rPr>
        <w:t>PLoS One</w:t>
      </w:r>
      <w:r w:rsidRPr="00A71AD9">
        <w:rPr>
          <w:rFonts w:ascii="Arial" w:hAnsi="Arial" w:cs="Arial"/>
        </w:rPr>
        <w:t xml:space="preserve">, </w:t>
      </w:r>
      <w:r w:rsidRPr="00A71AD9">
        <w:rPr>
          <w:rFonts w:ascii="Arial" w:hAnsi="Arial" w:cs="Arial"/>
          <w:i/>
          <w:iCs/>
        </w:rPr>
        <w:t>20</w:t>
      </w:r>
      <w:r w:rsidRPr="00A71AD9">
        <w:rPr>
          <w:rFonts w:ascii="Arial" w:hAnsi="Arial" w:cs="Arial"/>
        </w:rPr>
        <w:t xml:space="preserve">(6), e0324715. </w:t>
      </w:r>
      <w:hyperlink r:id="rId30" w:tgtFrame="_blank" w:history="1">
        <w:r w:rsidRPr="00A71AD9">
          <w:rPr>
            <w:rStyle w:val="Hyperlink"/>
            <w:rFonts w:ascii="Arial" w:hAnsi="Arial" w:cs="Arial"/>
          </w:rPr>
          <w:t>https://doi.org/10.1371/journal.pone.0324715</w:t>
        </w:r>
      </w:hyperlink>
    </w:p>
    <w:sectPr w:rsidR="00E64D33" w:rsidRPr="00663E5D" w:rsidSect="00DA7E9E">
      <w:headerReference w:type="default" r:id="rId31"/>
      <w:footerReference w:type="default" r:id="rId32"/>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B39" w:rsidRDefault="00217B39">
      <w:pPr>
        <w:spacing w:after="0" w:line="240" w:lineRule="auto"/>
      </w:pPr>
      <w:r>
        <w:separator/>
      </w:r>
    </w:p>
  </w:endnote>
  <w:endnote w:type="continuationSeparator" w:id="0">
    <w:p w:rsidR="00217B39" w:rsidRDefault="00217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B89" w:rsidRDefault="00457B8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B89" w:rsidRDefault="00457B8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B39" w:rsidRDefault="00217B39">
      <w:pPr>
        <w:spacing w:after="0" w:line="240" w:lineRule="auto"/>
      </w:pPr>
      <w:r>
        <w:separator/>
      </w:r>
    </w:p>
  </w:footnote>
  <w:footnote w:type="continuationSeparator" w:id="0">
    <w:p w:rsidR="00217B39" w:rsidRDefault="00217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B89" w:rsidRDefault="00457B8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B89" w:rsidRDefault="00457B8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72EE"/>
    <w:multiLevelType w:val="hybridMultilevel"/>
    <w:tmpl w:val="D08626E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B67040"/>
    <w:multiLevelType w:val="multilevel"/>
    <w:tmpl w:val="02B099B6"/>
    <w:lvl w:ilvl="0">
      <w:start w:val="1"/>
      <w:numFmt w:val="decimal"/>
      <w:lvlText w:val="%1."/>
      <w:lvlJc w:val="left"/>
      <w:pPr>
        <w:ind w:left="757" w:hanging="360"/>
      </w:pPr>
      <w:rPr>
        <w:b/>
      </w:rPr>
    </w:lvl>
    <w:lvl w:ilvl="1">
      <w:start w:val="1"/>
      <w:numFmt w:val="decimal"/>
      <w:lvlText w:val="%1.%2"/>
      <w:lvlJc w:val="left"/>
      <w:pPr>
        <w:ind w:left="1447" w:hanging="1050"/>
      </w:pPr>
    </w:lvl>
    <w:lvl w:ilvl="2">
      <w:start w:val="1"/>
      <w:numFmt w:val="decimal"/>
      <w:lvlText w:val="%1.%2.%3"/>
      <w:lvlJc w:val="left"/>
      <w:pPr>
        <w:ind w:left="1447" w:hanging="1050"/>
      </w:pPr>
    </w:lvl>
    <w:lvl w:ilvl="3">
      <w:start w:val="1"/>
      <w:numFmt w:val="decimal"/>
      <w:lvlText w:val="%1.%2.%3.%4"/>
      <w:lvlJc w:val="left"/>
      <w:pPr>
        <w:ind w:left="1447" w:hanging="1050"/>
      </w:pPr>
    </w:lvl>
    <w:lvl w:ilvl="4">
      <w:start w:val="1"/>
      <w:numFmt w:val="decimal"/>
      <w:lvlText w:val="%1.%2.%3.%4.%5"/>
      <w:lvlJc w:val="left"/>
      <w:pPr>
        <w:ind w:left="1477" w:hanging="1080"/>
      </w:pPr>
    </w:lvl>
    <w:lvl w:ilvl="5">
      <w:start w:val="1"/>
      <w:numFmt w:val="decimal"/>
      <w:lvlText w:val="%1.%2.%3.%4.%5.%6"/>
      <w:lvlJc w:val="left"/>
      <w:pPr>
        <w:ind w:left="1477" w:hanging="1080"/>
      </w:pPr>
    </w:lvl>
    <w:lvl w:ilvl="6">
      <w:start w:val="1"/>
      <w:numFmt w:val="decimal"/>
      <w:lvlText w:val="%1.%2.%3.%4.%5.%6.%7"/>
      <w:lvlJc w:val="left"/>
      <w:pPr>
        <w:ind w:left="1837" w:hanging="1440"/>
      </w:pPr>
    </w:lvl>
    <w:lvl w:ilvl="7">
      <w:start w:val="1"/>
      <w:numFmt w:val="decimal"/>
      <w:lvlText w:val="%1.%2.%3.%4.%5.%6.%7.%8"/>
      <w:lvlJc w:val="left"/>
      <w:pPr>
        <w:ind w:left="1837" w:hanging="1440"/>
      </w:pPr>
    </w:lvl>
    <w:lvl w:ilvl="8">
      <w:start w:val="1"/>
      <w:numFmt w:val="decimal"/>
      <w:lvlText w:val="%1.%2.%3.%4.%5.%6.%7.%8.%9"/>
      <w:lvlJc w:val="left"/>
      <w:pPr>
        <w:ind w:left="2197" w:hanging="1800"/>
      </w:pPr>
    </w:lvl>
  </w:abstractNum>
  <w:abstractNum w:abstractNumId="2" w15:restartNumberingAfterBreak="0">
    <w:nsid w:val="19046702"/>
    <w:multiLevelType w:val="hybridMultilevel"/>
    <w:tmpl w:val="EF2AB55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2BF28D8"/>
    <w:multiLevelType w:val="multilevel"/>
    <w:tmpl w:val="372AC670"/>
    <w:lvl w:ilvl="0">
      <w:start w:val="4"/>
      <w:numFmt w:val="decimal"/>
      <w:pStyle w:val="MDPI71References"/>
      <w:lvlText w:val="%1"/>
      <w:lvlJc w:val="left"/>
      <w:pPr>
        <w:ind w:left="360" w:hanging="360"/>
      </w:pPr>
    </w:lvl>
    <w:lvl w:ilvl="1">
      <w:start w:val="1"/>
      <w:numFmt w:val="decimal"/>
      <w:lvlText w:val="%1.%2"/>
      <w:lvlJc w:val="left"/>
      <w:pPr>
        <w:ind w:left="1117" w:hanging="360"/>
      </w:pPr>
    </w:lvl>
    <w:lvl w:ilvl="2">
      <w:start w:val="1"/>
      <w:numFmt w:val="decimal"/>
      <w:lvlText w:val="%1.%2.%3"/>
      <w:lvlJc w:val="left"/>
      <w:pPr>
        <w:ind w:left="2234" w:hanging="720"/>
      </w:pPr>
    </w:lvl>
    <w:lvl w:ilvl="3">
      <w:start w:val="1"/>
      <w:numFmt w:val="decimal"/>
      <w:lvlText w:val="%1.%2.%3.%4"/>
      <w:lvlJc w:val="left"/>
      <w:pPr>
        <w:ind w:left="2991" w:hanging="720"/>
      </w:pPr>
    </w:lvl>
    <w:lvl w:ilvl="4">
      <w:start w:val="1"/>
      <w:numFmt w:val="decimal"/>
      <w:lvlText w:val="%1.%2.%3.%4.%5"/>
      <w:lvlJc w:val="left"/>
      <w:pPr>
        <w:ind w:left="3748" w:hanging="720"/>
      </w:pPr>
    </w:lvl>
    <w:lvl w:ilvl="5">
      <w:start w:val="1"/>
      <w:numFmt w:val="decimal"/>
      <w:lvlText w:val="%1.%2.%3.%4.%5.%6"/>
      <w:lvlJc w:val="left"/>
      <w:pPr>
        <w:ind w:left="4865" w:hanging="1080"/>
      </w:pPr>
    </w:lvl>
    <w:lvl w:ilvl="6">
      <w:start w:val="1"/>
      <w:numFmt w:val="decimal"/>
      <w:lvlText w:val="%1.%2.%3.%4.%5.%6.%7"/>
      <w:lvlJc w:val="left"/>
      <w:pPr>
        <w:ind w:left="5622" w:hanging="1080"/>
      </w:pPr>
    </w:lvl>
    <w:lvl w:ilvl="7">
      <w:start w:val="1"/>
      <w:numFmt w:val="decimal"/>
      <w:lvlText w:val="%1.%2.%3.%4.%5.%6.%7.%8"/>
      <w:lvlJc w:val="left"/>
      <w:pPr>
        <w:ind w:left="6739" w:hanging="1440"/>
      </w:pPr>
    </w:lvl>
    <w:lvl w:ilvl="8">
      <w:start w:val="1"/>
      <w:numFmt w:val="decimal"/>
      <w:lvlText w:val="%1.%2.%3.%4.%5.%6.%7.%8.%9"/>
      <w:lvlJc w:val="left"/>
      <w:pPr>
        <w:ind w:left="7496" w:hanging="1440"/>
      </w:pPr>
    </w:lvl>
  </w:abstractNum>
  <w:abstractNum w:abstractNumId="4" w15:restartNumberingAfterBreak="0">
    <w:nsid w:val="2A6409BE"/>
    <w:multiLevelType w:val="multilevel"/>
    <w:tmpl w:val="E8DCE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7B3F1E"/>
    <w:multiLevelType w:val="multilevel"/>
    <w:tmpl w:val="38D6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07364"/>
    <w:multiLevelType w:val="multilevel"/>
    <w:tmpl w:val="359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C5D5D"/>
    <w:multiLevelType w:val="hybridMultilevel"/>
    <w:tmpl w:val="68529492"/>
    <w:lvl w:ilvl="0" w:tplc="44090001">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5086633D"/>
    <w:multiLevelType w:val="multilevel"/>
    <w:tmpl w:val="F45A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75416"/>
    <w:multiLevelType w:val="multilevel"/>
    <w:tmpl w:val="1B4477BE"/>
    <w:lvl w:ilvl="0">
      <w:start w:val="1"/>
      <w:numFmt w:val="decimal"/>
      <w:lvlText w:val="%1"/>
      <w:lvlJc w:val="left"/>
      <w:pPr>
        <w:ind w:left="222" w:hanging="120"/>
      </w:pPr>
      <w:rPr>
        <w:rFonts w:ascii="PMingLiU" w:eastAsia="PMingLiU" w:hAnsi="PMingLiU" w:cs="PMingLiU"/>
        <w:sz w:val="21"/>
        <w:szCs w:val="21"/>
        <w:vertAlign w:val="superscript"/>
      </w:rPr>
    </w:lvl>
    <w:lvl w:ilvl="1">
      <w:numFmt w:val="bullet"/>
      <w:lvlText w:val="•"/>
      <w:lvlJc w:val="left"/>
      <w:pPr>
        <w:ind w:left="1228" w:hanging="120"/>
      </w:pPr>
    </w:lvl>
    <w:lvl w:ilvl="2">
      <w:numFmt w:val="bullet"/>
      <w:lvlText w:val="•"/>
      <w:lvlJc w:val="left"/>
      <w:pPr>
        <w:ind w:left="2237" w:hanging="120"/>
      </w:pPr>
    </w:lvl>
    <w:lvl w:ilvl="3">
      <w:numFmt w:val="bullet"/>
      <w:lvlText w:val="•"/>
      <w:lvlJc w:val="left"/>
      <w:pPr>
        <w:ind w:left="3245" w:hanging="120"/>
      </w:pPr>
    </w:lvl>
    <w:lvl w:ilvl="4">
      <w:numFmt w:val="bullet"/>
      <w:lvlText w:val="•"/>
      <w:lvlJc w:val="left"/>
      <w:pPr>
        <w:ind w:left="4254" w:hanging="120"/>
      </w:pPr>
    </w:lvl>
    <w:lvl w:ilvl="5">
      <w:numFmt w:val="bullet"/>
      <w:lvlText w:val="•"/>
      <w:lvlJc w:val="left"/>
      <w:pPr>
        <w:ind w:left="5262" w:hanging="120"/>
      </w:pPr>
    </w:lvl>
    <w:lvl w:ilvl="6">
      <w:numFmt w:val="bullet"/>
      <w:lvlText w:val="•"/>
      <w:lvlJc w:val="left"/>
      <w:pPr>
        <w:ind w:left="6271" w:hanging="120"/>
      </w:pPr>
    </w:lvl>
    <w:lvl w:ilvl="7">
      <w:numFmt w:val="bullet"/>
      <w:lvlText w:val="•"/>
      <w:lvlJc w:val="left"/>
      <w:pPr>
        <w:ind w:left="7279" w:hanging="120"/>
      </w:pPr>
    </w:lvl>
    <w:lvl w:ilvl="8">
      <w:numFmt w:val="bullet"/>
      <w:lvlText w:val="•"/>
      <w:lvlJc w:val="left"/>
      <w:pPr>
        <w:ind w:left="8288" w:hanging="120"/>
      </w:pPr>
    </w:lvl>
  </w:abstractNum>
  <w:abstractNum w:abstractNumId="10" w15:restartNumberingAfterBreak="0">
    <w:nsid w:val="67464553"/>
    <w:multiLevelType w:val="multilevel"/>
    <w:tmpl w:val="763A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91640"/>
    <w:multiLevelType w:val="hybridMultilevel"/>
    <w:tmpl w:val="B0FADD0E"/>
    <w:lvl w:ilvl="0" w:tplc="4409000F">
      <w:start w:val="1"/>
      <w:numFmt w:val="decimal"/>
      <w:lvlText w:val="%1."/>
      <w:lvlJc w:val="left"/>
      <w:pPr>
        <w:ind w:left="1117" w:hanging="360"/>
      </w:pPr>
    </w:lvl>
    <w:lvl w:ilvl="1" w:tplc="44090019" w:tentative="1">
      <w:start w:val="1"/>
      <w:numFmt w:val="lowerLetter"/>
      <w:lvlText w:val="%2."/>
      <w:lvlJc w:val="left"/>
      <w:pPr>
        <w:ind w:left="1837" w:hanging="360"/>
      </w:pPr>
    </w:lvl>
    <w:lvl w:ilvl="2" w:tplc="4409001B" w:tentative="1">
      <w:start w:val="1"/>
      <w:numFmt w:val="lowerRoman"/>
      <w:lvlText w:val="%3."/>
      <w:lvlJc w:val="right"/>
      <w:pPr>
        <w:ind w:left="2557" w:hanging="180"/>
      </w:pPr>
    </w:lvl>
    <w:lvl w:ilvl="3" w:tplc="4409000F" w:tentative="1">
      <w:start w:val="1"/>
      <w:numFmt w:val="decimal"/>
      <w:lvlText w:val="%4."/>
      <w:lvlJc w:val="left"/>
      <w:pPr>
        <w:ind w:left="3277" w:hanging="360"/>
      </w:pPr>
    </w:lvl>
    <w:lvl w:ilvl="4" w:tplc="44090019" w:tentative="1">
      <w:start w:val="1"/>
      <w:numFmt w:val="lowerLetter"/>
      <w:lvlText w:val="%5."/>
      <w:lvlJc w:val="left"/>
      <w:pPr>
        <w:ind w:left="3997" w:hanging="360"/>
      </w:pPr>
    </w:lvl>
    <w:lvl w:ilvl="5" w:tplc="4409001B" w:tentative="1">
      <w:start w:val="1"/>
      <w:numFmt w:val="lowerRoman"/>
      <w:lvlText w:val="%6."/>
      <w:lvlJc w:val="right"/>
      <w:pPr>
        <w:ind w:left="4717" w:hanging="180"/>
      </w:pPr>
    </w:lvl>
    <w:lvl w:ilvl="6" w:tplc="4409000F" w:tentative="1">
      <w:start w:val="1"/>
      <w:numFmt w:val="decimal"/>
      <w:lvlText w:val="%7."/>
      <w:lvlJc w:val="left"/>
      <w:pPr>
        <w:ind w:left="5437" w:hanging="360"/>
      </w:pPr>
    </w:lvl>
    <w:lvl w:ilvl="7" w:tplc="44090019" w:tentative="1">
      <w:start w:val="1"/>
      <w:numFmt w:val="lowerLetter"/>
      <w:lvlText w:val="%8."/>
      <w:lvlJc w:val="left"/>
      <w:pPr>
        <w:ind w:left="6157" w:hanging="360"/>
      </w:pPr>
    </w:lvl>
    <w:lvl w:ilvl="8" w:tplc="4409001B" w:tentative="1">
      <w:start w:val="1"/>
      <w:numFmt w:val="lowerRoman"/>
      <w:lvlText w:val="%9."/>
      <w:lvlJc w:val="right"/>
      <w:pPr>
        <w:ind w:left="6877" w:hanging="180"/>
      </w:pPr>
    </w:lvl>
  </w:abstractNum>
  <w:abstractNum w:abstractNumId="12" w15:restartNumberingAfterBreak="0">
    <w:nsid w:val="6E7B469C"/>
    <w:multiLevelType w:val="multilevel"/>
    <w:tmpl w:val="12C46A76"/>
    <w:lvl w:ilvl="0">
      <w:start w:val="3"/>
      <w:numFmt w:val="decimal"/>
      <w:lvlText w:val="%1"/>
      <w:lvlJc w:val="left"/>
      <w:pPr>
        <w:ind w:left="360" w:hanging="360"/>
      </w:pPr>
    </w:lvl>
    <w:lvl w:ilvl="1">
      <w:start w:val="2"/>
      <w:numFmt w:val="decimal"/>
      <w:lvlText w:val="%1.%2"/>
      <w:lvlJc w:val="left"/>
      <w:pPr>
        <w:ind w:left="463" w:hanging="360"/>
      </w:pPr>
    </w:lvl>
    <w:lvl w:ilvl="2">
      <w:start w:val="1"/>
      <w:numFmt w:val="decimal"/>
      <w:lvlText w:val="%1.%2.%3"/>
      <w:lvlJc w:val="left"/>
      <w:pPr>
        <w:ind w:left="926" w:hanging="720"/>
      </w:pPr>
    </w:lvl>
    <w:lvl w:ilvl="3">
      <w:start w:val="1"/>
      <w:numFmt w:val="decimal"/>
      <w:lvlText w:val="%1.%2.%3.%4"/>
      <w:lvlJc w:val="left"/>
      <w:pPr>
        <w:ind w:left="1029" w:hanging="720"/>
      </w:pPr>
    </w:lvl>
    <w:lvl w:ilvl="4">
      <w:start w:val="1"/>
      <w:numFmt w:val="decimal"/>
      <w:lvlText w:val="%1.%2.%3.%4.%5"/>
      <w:lvlJc w:val="left"/>
      <w:pPr>
        <w:ind w:left="1492" w:hanging="1080"/>
      </w:pPr>
    </w:lvl>
    <w:lvl w:ilvl="5">
      <w:start w:val="1"/>
      <w:numFmt w:val="decimal"/>
      <w:lvlText w:val="%1.%2.%3.%4.%5.%6"/>
      <w:lvlJc w:val="left"/>
      <w:pPr>
        <w:ind w:left="1595" w:hanging="1080"/>
      </w:pPr>
    </w:lvl>
    <w:lvl w:ilvl="6">
      <w:start w:val="1"/>
      <w:numFmt w:val="decimal"/>
      <w:lvlText w:val="%1.%2.%3.%4.%5.%6.%7"/>
      <w:lvlJc w:val="left"/>
      <w:pPr>
        <w:ind w:left="2058" w:hanging="1440"/>
      </w:pPr>
    </w:lvl>
    <w:lvl w:ilvl="7">
      <w:start w:val="1"/>
      <w:numFmt w:val="decimal"/>
      <w:lvlText w:val="%1.%2.%3.%4.%5.%6.%7.%8"/>
      <w:lvlJc w:val="left"/>
      <w:pPr>
        <w:ind w:left="2161" w:hanging="1440"/>
      </w:pPr>
    </w:lvl>
    <w:lvl w:ilvl="8">
      <w:start w:val="1"/>
      <w:numFmt w:val="decimal"/>
      <w:lvlText w:val="%1.%2.%3.%4.%5.%6.%7.%8.%9"/>
      <w:lvlJc w:val="left"/>
      <w:pPr>
        <w:ind w:left="2624" w:hanging="1800"/>
      </w:pPr>
    </w:lvl>
  </w:abstractNum>
  <w:num w:numId="1">
    <w:abstractNumId w:val="9"/>
  </w:num>
  <w:num w:numId="2">
    <w:abstractNumId w:val="3"/>
  </w:num>
  <w:num w:numId="3">
    <w:abstractNumId w:val="4"/>
  </w:num>
  <w:num w:numId="4">
    <w:abstractNumId w:val="1"/>
  </w:num>
  <w:num w:numId="5">
    <w:abstractNumId w:val="12"/>
  </w:num>
  <w:num w:numId="6">
    <w:abstractNumId w:val="0"/>
  </w:num>
  <w:num w:numId="7">
    <w:abstractNumId w:val="6"/>
  </w:num>
  <w:num w:numId="8">
    <w:abstractNumId w:val="8"/>
  </w:num>
  <w:num w:numId="9">
    <w:abstractNumId w:val="10"/>
  </w:num>
  <w:num w:numId="10">
    <w:abstractNumId w:val="5"/>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33"/>
    <w:rsid w:val="00174769"/>
    <w:rsid w:val="00217B39"/>
    <w:rsid w:val="00283407"/>
    <w:rsid w:val="00336F48"/>
    <w:rsid w:val="00457B89"/>
    <w:rsid w:val="00623787"/>
    <w:rsid w:val="00644BD4"/>
    <w:rsid w:val="00653548"/>
    <w:rsid w:val="00663E5D"/>
    <w:rsid w:val="0072345A"/>
    <w:rsid w:val="00A71AD9"/>
    <w:rsid w:val="00C32977"/>
    <w:rsid w:val="00DA7E9E"/>
    <w:rsid w:val="00E1479E"/>
    <w:rsid w:val="00E64D33"/>
    <w:rsid w:val="00E9409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6BDAF-0FCE-4E0F-B087-56499C3E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DF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02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FA9"/>
  </w:style>
  <w:style w:type="paragraph" w:styleId="Footer">
    <w:name w:val="footer"/>
    <w:basedOn w:val="Normal"/>
    <w:link w:val="FooterChar"/>
    <w:uiPriority w:val="99"/>
    <w:unhideWhenUsed/>
    <w:rsid w:val="000B3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FA9"/>
  </w:style>
  <w:style w:type="table" w:customStyle="1" w:styleId="TableGrid1">
    <w:name w:val="Table Grid1"/>
    <w:basedOn w:val="TableNormal"/>
    <w:next w:val="TableGrid"/>
    <w:uiPriority w:val="39"/>
    <w:rsid w:val="0050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0E9B"/>
    <w:pPr>
      <w:widowControl w:val="0"/>
      <w:autoSpaceDE w:val="0"/>
      <w:autoSpaceDN w:val="0"/>
      <w:spacing w:after="0" w:line="240" w:lineRule="auto"/>
      <w:ind w:left="103"/>
    </w:pPr>
    <w:rPr>
      <w:rFonts w:ascii="PMingLiU" w:eastAsia="PMingLiU" w:hAnsi="PMingLiU" w:cs="PMingLiU"/>
      <w:sz w:val="20"/>
      <w:szCs w:val="20"/>
    </w:rPr>
  </w:style>
  <w:style w:type="character" w:customStyle="1" w:styleId="BodyTextChar">
    <w:name w:val="Body Text Char"/>
    <w:basedOn w:val="DefaultParagraphFont"/>
    <w:link w:val="BodyText"/>
    <w:uiPriority w:val="1"/>
    <w:rsid w:val="00F50E9B"/>
    <w:rPr>
      <w:rFonts w:ascii="PMingLiU" w:eastAsia="PMingLiU" w:hAnsi="PMingLiU" w:cs="PMingLiU"/>
      <w:sz w:val="20"/>
      <w:szCs w:val="20"/>
      <w:lang w:val="en-US"/>
    </w:rPr>
  </w:style>
  <w:style w:type="table" w:customStyle="1" w:styleId="TableNormal1">
    <w:name w:val="Table Normal1"/>
    <w:uiPriority w:val="2"/>
    <w:semiHidden/>
    <w:unhideWhenUsed/>
    <w:qFormat/>
    <w:rsid w:val="00F50E9B"/>
    <w:pPr>
      <w:widowControl w:val="0"/>
      <w:autoSpaceDE w:val="0"/>
      <w:autoSpaceDN w:val="0"/>
      <w:spacing w:after="0" w:line="240" w:lineRule="auto"/>
    </w:pPr>
    <w:rPr>
      <w:rFonts w:eastAsiaTheme="minorEastAsia"/>
    </w:rPr>
    <w:tblPr>
      <w:tblInd w:w="0" w:type="dxa"/>
      <w:tblCellMar>
        <w:top w:w="0" w:type="dxa"/>
        <w:left w:w="0" w:type="dxa"/>
        <w:bottom w:w="0" w:type="dxa"/>
        <w:right w:w="0" w:type="dxa"/>
      </w:tblCellMar>
    </w:tblPr>
  </w:style>
  <w:style w:type="paragraph" w:styleId="ListParagraph">
    <w:name w:val="List Paragraph"/>
    <w:basedOn w:val="Normal"/>
    <w:uiPriority w:val="1"/>
    <w:qFormat/>
    <w:rsid w:val="00F50E9B"/>
    <w:pPr>
      <w:widowControl w:val="0"/>
      <w:autoSpaceDE w:val="0"/>
      <w:autoSpaceDN w:val="0"/>
      <w:spacing w:after="0" w:line="239" w:lineRule="exact"/>
      <w:ind w:left="222" w:hanging="120"/>
    </w:pPr>
    <w:rPr>
      <w:rFonts w:ascii="PMingLiU" w:eastAsia="PMingLiU" w:hAnsi="PMingLiU" w:cs="PMingLiU"/>
    </w:rPr>
  </w:style>
  <w:style w:type="paragraph" w:customStyle="1" w:styleId="TableParagraph">
    <w:name w:val="Table Paragraph"/>
    <w:basedOn w:val="Normal"/>
    <w:uiPriority w:val="1"/>
    <w:qFormat/>
    <w:rsid w:val="00F50E9B"/>
    <w:pPr>
      <w:widowControl w:val="0"/>
      <w:autoSpaceDE w:val="0"/>
      <w:autoSpaceDN w:val="0"/>
      <w:spacing w:before="15" w:after="0" w:line="240" w:lineRule="auto"/>
      <w:ind w:left="59"/>
    </w:pPr>
    <w:rPr>
      <w:rFonts w:ascii="PMingLiU" w:eastAsia="PMingLiU" w:hAnsi="PMingLiU" w:cs="PMingLiU"/>
    </w:rPr>
  </w:style>
  <w:style w:type="character" w:styleId="Emphasis">
    <w:name w:val="Emphasis"/>
    <w:basedOn w:val="DefaultParagraphFont"/>
    <w:uiPriority w:val="20"/>
    <w:qFormat/>
    <w:rsid w:val="00F50E9B"/>
    <w:rPr>
      <w:i/>
      <w:iCs/>
    </w:rPr>
  </w:style>
  <w:style w:type="paragraph" w:customStyle="1" w:styleId="MDPI71References">
    <w:name w:val="MDPI_7.1_References"/>
    <w:basedOn w:val="Normal"/>
    <w:qFormat/>
    <w:rsid w:val="00F50E9B"/>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character" w:styleId="Hyperlink">
    <w:name w:val="Hyperlink"/>
    <w:basedOn w:val="DefaultParagraphFont"/>
    <w:uiPriority w:val="99"/>
    <w:unhideWhenUsed/>
    <w:rsid w:val="00085B86"/>
    <w:rPr>
      <w:color w:val="0563C1" w:themeColor="hyperlink"/>
      <w:u w:val="single"/>
    </w:rPr>
  </w:style>
  <w:style w:type="character" w:customStyle="1" w:styleId="UnresolvedMention1">
    <w:name w:val="Unresolved Mention1"/>
    <w:basedOn w:val="DefaultParagraphFont"/>
    <w:uiPriority w:val="99"/>
    <w:semiHidden/>
    <w:unhideWhenUsed/>
    <w:rsid w:val="00085B86"/>
    <w:rPr>
      <w:color w:val="605E5C"/>
      <w:shd w:val="clear" w:color="auto" w:fill="E1DFDD"/>
    </w:rPr>
  </w:style>
  <w:style w:type="table" w:styleId="PlainTable2">
    <w:name w:val="Plain Table 2"/>
    <w:basedOn w:val="TableNormal"/>
    <w:uiPriority w:val="42"/>
    <w:rsid w:val="007874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dnoteText">
    <w:name w:val="endnote text"/>
    <w:basedOn w:val="Normal"/>
    <w:link w:val="EndnoteTextChar"/>
    <w:uiPriority w:val="99"/>
    <w:semiHidden/>
    <w:unhideWhenUsed/>
    <w:rsid w:val="005617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1742"/>
    <w:rPr>
      <w:sz w:val="20"/>
      <w:szCs w:val="20"/>
    </w:rPr>
  </w:style>
  <w:style w:type="character" w:styleId="EndnoteReference">
    <w:name w:val="endnote reference"/>
    <w:basedOn w:val="DefaultParagraphFont"/>
    <w:uiPriority w:val="99"/>
    <w:semiHidden/>
    <w:unhideWhenUsed/>
    <w:rsid w:val="00561742"/>
    <w:rPr>
      <w:vertAlign w:val="superscript"/>
    </w:rPr>
  </w:style>
  <w:style w:type="character" w:styleId="CommentReference">
    <w:name w:val="annotation reference"/>
    <w:basedOn w:val="DefaultParagraphFont"/>
    <w:uiPriority w:val="99"/>
    <w:semiHidden/>
    <w:unhideWhenUsed/>
    <w:rsid w:val="000C6612"/>
    <w:rPr>
      <w:sz w:val="16"/>
      <w:szCs w:val="16"/>
    </w:rPr>
  </w:style>
  <w:style w:type="paragraph" w:styleId="CommentText">
    <w:name w:val="annotation text"/>
    <w:basedOn w:val="Normal"/>
    <w:link w:val="CommentTextChar"/>
    <w:uiPriority w:val="99"/>
    <w:semiHidden/>
    <w:unhideWhenUsed/>
    <w:rsid w:val="000C6612"/>
    <w:pPr>
      <w:spacing w:line="240" w:lineRule="auto"/>
    </w:pPr>
    <w:rPr>
      <w:sz w:val="20"/>
      <w:szCs w:val="20"/>
    </w:rPr>
  </w:style>
  <w:style w:type="character" w:customStyle="1" w:styleId="CommentTextChar">
    <w:name w:val="Comment Text Char"/>
    <w:basedOn w:val="DefaultParagraphFont"/>
    <w:link w:val="CommentText"/>
    <w:uiPriority w:val="99"/>
    <w:semiHidden/>
    <w:rsid w:val="000C6612"/>
    <w:rPr>
      <w:sz w:val="20"/>
      <w:szCs w:val="20"/>
    </w:rPr>
  </w:style>
  <w:style w:type="paragraph" w:styleId="CommentSubject">
    <w:name w:val="annotation subject"/>
    <w:basedOn w:val="CommentText"/>
    <w:next w:val="CommentText"/>
    <w:link w:val="CommentSubjectChar"/>
    <w:uiPriority w:val="99"/>
    <w:semiHidden/>
    <w:unhideWhenUsed/>
    <w:rsid w:val="000C6612"/>
    <w:rPr>
      <w:b/>
      <w:bCs/>
    </w:rPr>
  </w:style>
  <w:style w:type="character" w:customStyle="1" w:styleId="CommentSubjectChar">
    <w:name w:val="Comment Subject Char"/>
    <w:basedOn w:val="CommentTextChar"/>
    <w:link w:val="CommentSubject"/>
    <w:uiPriority w:val="99"/>
    <w:semiHidden/>
    <w:rsid w:val="000C6612"/>
    <w:rPr>
      <w:b/>
      <w:bCs/>
      <w:sz w:val="20"/>
      <w:szCs w:val="20"/>
    </w:rPr>
  </w:style>
  <w:style w:type="paragraph" w:styleId="BalloonText">
    <w:name w:val="Balloon Text"/>
    <w:basedOn w:val="Normal"/>
    <w:link w:val="BalloonTextChar"/>
    <w:uiPriority w:val="99"/>
    <w:semiHidden/>
    <w:unhideWhenUsed/>
    <w:rsid w:val="007D6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7C5"/>
    <w:rPr>
      <w:rFonts w:ascii="Segoe UI" w:hAnsi="Segoe UI" w:cs="Segoe UI"/>
      <w:sz w:val="18"/>
      <w:szCs w:val="18"/>
    </w:rPr>
  </w:style>
  <w:style w:type="paragraph" w:styleId="HTMLPreformatted">
    <w:name w:val="HTML Preformatted"/>
    <w:basedOn w:val="Normal"/>
    <w:link w:val="HTMLPreformattedChar"/>
    <w:uiPriority w:val="99"/>
    <w:unhideWhenUsed/>
    <w:rsid w:val="00DB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rsid w:val="00DB4553"/>
    <w:rPr>
      <w:rFonts w:ascii="Courier New" w:eastAsia="Times New Roman" w:hAnsi="Courier New" w:cs="Courier New"/>
      <w:sz w:val="20"/>
      <w:szCs w:val="20"/>
      <w:lang w:val="en-MY" w:eastAsia="en-MY"/>
    </w:rPr>
  </w:style>
  <w:style w:type="character" w:customStyle="1" w:styleId="UnresolvedMention">
    <w:name w:val="Unresolved Mention"/>
    <w:basedOn w:val="DefaultParagraphFont"/>
    <w:uiPriority w:val="99"/>
    <w:semiHidden/>
    <w:unhideWhenUsed/>
    <w:rsid w:val="00D97657"/>
    <w:rPr>
      <w:color w:val="605E5C"/>
      <w:shd w:val="clear" w:color="auto" w:fill="E1DFDD"/>
    </w:rPr>
  </w:style>
  <w:style w:type="character" w:styleId="Strong">
    <w:name w:val="Strong"/>
    <w:basedOn w:val="DefaultParagraphFont"/>
    <w:uiPriority w:val="22"/>
    <w:qFormat/>
    <w:rsid w:val="005336A3"/>
    <w:rPr>
      <w:b/>
      <w:bCs/>
    </w:rPr>
  </w:style>
  <w:style w:type="character" w:styleId="PlaceholderText">
    <w:name w:val="Placeholder Text"/>
    <w:basedOn w:val="DefaultParagraphFont"/>
    <w:uiPriority w:val="99"/>
    <w:semiHidden/>
    <w:rsid w:val="001418E9"/>
    <w:rPr>
      <w:color w:val="808080"/>
    </w:rPr>
  </w:style>
  <w:style w:type="paragraph" w:styleId="NormalWeb">
    <w:name w:val="Normal (Web)"/>
    <w:basedOn w:val="Normal"/>
    <w:uiPriority w:val="99"/>
    <w:unhideWhenUsed/>
    <w:rsid w:val="005919EF"/>
    <w:pPr>
      <w:spacing w:before="100" w:beforeAutospacing="1" w:after="100" w:afterAutospacing="1" w:line="240" w:lineRule="auto"/>
    </w:pPr>
    <w:rPr>
      <w:rFonts w:ascii="Times New Roman" w:eastAsia="Times New Roman" w:hAnsi="Times New Roman" w:cs="Times New Roman"/>
      <w:sz w:val="24"/>
      <w:szCs w:val="24"/>
      <w:lang w:val="en-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7828">
      <w:bodyDiv w:val="1"/>
      <w:marLeft w:val="0"/>
      <w:marRight w:val="0"/>
      <w:marTop w:val="0"/>
      <w:marBottom w:val="0"/>
      <w:divBdr>
        <w:top w:val="none" w:sz="0" w:space="0" w:color="auto"/>
        <w:left w:val="none" w:sz="0" w:space="0" w:color="auto"/>
        <w:bottom w:val="none" w:sz="0" w:space="0" w:color="auto"/>
        <w:right w:val="none" w:sz="0" w:space="0" w:color="auto"/>
      </w:divBdr>
    </w:div>
    <w:div w:id="192620983">
      <w:bodyDiv w:val="1"/>
      <w:marLeft w:val="0"/>
      <w:marRight w:val="0"/>
      <w:marTop w:val="0"/>
      <w:marBottom w:val="0"/>
      <w:divBdr>
        <w:top w:val="none" w:sz="0" w:space="0" w:color="auto"/>
        <w:left w:val="none" w:sz="0" w:space="0" w:color="auto"/>
        <w:bottom w:val="none" w:sz="0" w:space="0" w:color="auto"/>
        <w:right w:val="none" w:sz="0" w:space="0" w:color="auto"/>
      </w:divBdr>
    </w:div>
    <w:div w:id="283655191">
      <w:bodyDiv w:val="1"/>
      <w:marLeft w:val="0"/>
      <w:marRight w:val="0"/>
      <w:marTop w:val="0"/>
      <w:marBottom w:val="0"/>
      <w:divBdr>
        <w:top w:val="none" w:sz="0" w:space="0" w:color="auto"/>
        <w:left w:val="none" w:sz="0" w:space="0" w:color="auto"/>
        <w:bottom w:val="none" w:sz="0" w:space="0" w:color="auto"/>
        <w:right w:val="none" w:sz="0" w:space="0" w:color="auto"/>
      </w:divBdr>
    </w:div>
    <w:div w:id="435756946">
      <w:bodyDiv w:val="1"/>
      <w:marLeft w:val="0"/>
      <w:marRight w:val="0"/>
      <w:marTop w:val="0"/>
      <w:marBottom w:val="0"/>
      <w:divBdr>
        <w:top w:val="none" w:sz="0" w:space="0" w:color="auto"/>
        <w:left w:val="none" w:sz="0" w:space="0" w:color="auto"/>
        <w:bottom w:val="none" w:sz="0" w:space="0" w:color="auto"/>
        <w:right w:val="none" w:sz="0" w:space="0" w:color="auto"/>
      </w:divBdr>
    </w:div>
    <w:div w:id="442775383">
      <w:bodyDiv w:val="1"/>
      <w:marLeft w:val="0"/>
      <w:marRight w:val="0"/>
      <w:marTop w:val="0"/>
      <w:marBottom w:val="0"/>
      <w:divBdr>
        <w:top w:val="none" w:sz="0" w:space="0" w:color="auto"/>
        <w:left w:val="none" w:sz="0" w:space="0" w:color="auto"/>
        <w:bottom w:val="none" w:sz="0" w:space="0" w:color="auto"/>
        <w:right w:val="none" w:sz="0" w:space="0" w:color="auto"/>
      </w:divBdr>
    </w:div>
    <w:div w:id="491868630">
      <w:bodyDiv w:val="1"/>
      <w:marLeft w:val="0"/>
      <w:marRight w:val="0"/>
      <w:marTop w:val="0"/>
      <w:marBottom w:val="0"/>
      <w:divBdr>
        <w:top w:val="none" w:sz="0" w:space="0" w:color="auto"/>
        <w:left w:val="none" w:sz="0" w:space="0" w:color="auto"/>
        <w:bottom w:val="none" w:sz="0" w:space="0" w:color="auto"/>
        <w:right w:val="none" w:sz="0" w:space="0" w:color="auto"/>
      </w:divBdr>
    </w:div>
    <w:div w:id="745878173">
      <w:bodyDiv w:val="1"/>
      <w:marLeft w:val="0"/>
      <w:marRight w:val="0"/>
      <w:marTop w:val="0"/>
      <w:marBottom w:val="0"/>
      <w:divBdr>
        <w:top w:val="none" w:sz="0" w:space="0" w:color="auto"/>
        <w:left w:val="none" w:sz="0" w:space="0" w:color="auto"/>
        <w:bottom w:val="none" w:sz="0" w:space="0" w:color="auto"/>
        <w:right w:val="none" w:sz="0" w:space="0" w:color="auto"/>
      </w:divBdr>
    </w:div>
    <w:div w:id="1123231549">
      <w:bodyDiv w:val="1"/>
      <w:marLeft w:val="0"/>
      <w:marRight w:val="0"/>
      <w:marTop w:val="0"/>
      <w:marBottom w:val="0"/>
      <w:divBdr>
        <w:top w:val="none" w:sz="0" w:space="0" w:color="auto"/>
        <w:left w:val="none" w:sz="0" w:space="0" w:color="auto"/>
        <w:bottom w:val="none" w:sz="0" w:space="0" w:color="auto"/>
        <w:right w:val="none" w:sz="0" w:space="0" w:color="auto"/>
      </w:divBdr>
      <w:divsChild>
        <w:div w:id="1345671849">
          <w:marLeft w:val="0"/>
          <w:marRight w:val="0"/>
          <w:marTop w:val="0"/>
          <w:marBottom w:val="0"/>
          <w:divBdr>
            <w:top w:val="none" w:sz="0" w:space="0" w:color="auto"/>
            <w:left w:val="none" w:sz="0" w:space="0" w:color="auto"/>
            <w:bottom w:val="none" w:sz="0" w:space="0" w:color="auto"/>
            <w:right w:val="none" w:sz="0" w:space="0" w:color="auto"/>
          </w:divBdr>
          <w:divsChild>
            <w:div w:id="1925992616">
              <w:marLeft w:val="0"/>
              <w:marRight w:val="0"/>
              <w:marTop w:val="0"/>
              <w:marBottom w:val="0"/>
              <w:divBdr>
                <w:top w:val="none" w:sz="0" w:space="0" w:color="auto"/>
                <w:left w:val="none" w:sz="0" w:space="0" w:color="auto"/>
                <w:bottom w:val="none" w:sz="0" w:space="0" w:color="auto"/>
                <w:right w:val="none" w:sz="0" w:space="0" w:color="auto"/>
              </w:divBdr>
              <w:divsChild>
                <w:div w:id="1907690356">
                  <w:marLeft w:val="0"/>
                  <w:marRight w:val="0"/>
                  <w:marTop w:val="0"/>
                  <w:marBottom w:val="0"/>
                  <w:divBdr>
                    <w:top w:val="none" w:sz="0" w:space="0" w:color="auto"/>
                    <w:left w:val="none" w:sz="0" w:space="0" w:color="auto"/>
                    <w:bottom w:val="none" w:sz="0" w:space="0" w:color="auto"/>
                    <w:right w:val="none" w:sz="0" w:space="0" w:color="auto"/>
                  </w:divBdr>
                  <w:divsChild>
                    <w:div w:id="1262641639">
                      <w:marLeft w:val="0"/>
                      <w:marRight w:val="0"/>
                      <w:marTop w:val="0"/>
                      <w:marBottom w:val="0"/>
                      <w:divBdr>
                        <w:top w:val="none" w:sz="0" w:space="0" w:color="auto"/>
                        <w:left w:val="none" w:sz="0" w:space="0" w:color="auto"/>
                        <w:bottom w:val="none" w:sz="0" w:space="0" w:color="auto"/>
                        <w:right w:val="none" w:sz="0" w:space="0" w:color="auto"/>
                      </w:divBdr>
                      <w:divsChild>
                        <w:div w:id="1553692102">
                          <w:marLeft w:val="0"/>
                          <w:marRight w:val="0"/>
                          <w:marTop w:val="0"/>
                          <w:marBottom w:val="0"/>
                          <w:divBdr>
                            <w:top w:val="none" w:sz="0" w:space="0" w:color="auto"/>
                            <w:left w:val="none" w:sz="0" w:space="0" w:color="auto"/>
                            <w:bottom w:val="none" w:sz="0" w:space="0" w:color="auto"/>
                            <w:right w:val="none" w:sz="0" w:space="0" w:color="auto"/>
                          </w:divBdr>
                          <w:divsChild>
                            <w:div w:id="1602178256">
                              <w:marLeft w:val="0"/>
                              <w:marRight w:val="0"/>
                              <w:marTop w:val="0"/>
                              <w:marBottom w:val="0"/>
                              <w:divBdr>
                                <w:top w:val="none" w:sz="0" w:space="0" w:color="auto"/>
                                <w:left w:val="none" w:sz="0" w:space="0" w:color="auto"/>
                                <w:bottom w:val="none" w:sz="0" w:space="0" w:color="auto"/>
                                <w:right w:val="none" w:sz="0" w:space="0" w:color="auto"/>
                              </w:divBdr>
                              <w:divsChild>
                                <w:div w:id="1319458865">
                                  <w:marLeft w:val="0"/>
                                  <w:marRight w:val="0"/>
                                  <w:marTop w:val="0"/>
                                  <w:marBottom w:val="0"/>
                                  <w:divBdr>
                                    <w:top w:val="none" w:sz="0" w:space="0" w:color="auto"/>
                                    <w:left w:val="none" w:sz="0" w:space="0" w:color="auto"/>
                                    <w:bottom w:val="none" w:sz="0" w:space="0" w:color="auto"/>
                                    <w:right w:val="none" w:sz="0" w:space="0" w:color="auto"/>
                                  </w:divBdr>
                                  <w:divsChild>
                                    <w:div w:id="94897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477109">
      <w:bodyDiv w:val="1"/>
      <w:marLeft w:val="0"/>
      <w:marRight w:val="0"/>
      <w:marTop w:val="0"/>
      <w:marBottom w:val="0"/>
      <w:divBdr>
        <w:top w:val="none" w:sz="0" w:space="0" w:color="auto"/>
        <w:left w:val="none" w:sz="0" w:space="0" w:color="auto"/>
        <w:bottom w:val="none" w:sz="0" w:space="0" w:color="auto"/>
        <w:right w:val="none" w:sz="0" w:space="0" w:color="auto"/>
      </w:divBdr>
    </w:div>
    <w:div w:id="1319462760">
      <w:bodyDiv w:val="1"/>
      <w:marLeft w:val="0"/>
      <w:marRight w:val="0"/>
      <w:marTop w:val="0"/>
      <w:marBottom w:val="0"/>
      <w:divBdr>
        <w:top w:val="none" w:sz="0" w:space="0" w:color="auto"/>
        <w:left w:val="none" w:sz="0" w:space="0" w:color="auto"/>
        <w:bottom w:val="none" w:sz="0" w:space="0" w:color="auto"/>
        <w:right w:val="none" w:sz="0" w:space="0" w:color="auto"/>
      </w:divBdr>
    </w:div>
    <w:div w:id="1366634838">
      <w:bodyDiv w:val="1"/>
      <w:marLeft w:val="0"/>
      <w:marRight w:val="0"/>
      <w:marTop w:val="0"/>
      <w:marBottom w:val="0"/>
      <w:divBdr>
        <w:top w:val="none" w:sz="0" w:space="0" w:color="auto"/>
        <w:left w:val="none" w:sz="0" w:space="0" w:color="auto"/>
        <w:bottom w:val="none" w:sz="0" w:space="0" w:color="auto"/>
        <w:right w:val="none" w:sz="0" w:space="0" w:color="auto"/>
      </w:divBdr>
    </w:div>
    <w:div w:id="1381592621">
      <w:bodyDiv w:val="1"/>
      <w:marLeft w:val="0"/>
      <w:marRight w:val="0"/>
      <w:marTop w:val="0"/>
      <w:marBottom w:val="0"/>
      <w:divBdr>
        <w:top w:val="none" w:sz="0" w:space="0" w:color="auto"/>
        <w:left w:val="none" w:sz="0" w:space="0" w:color="auto"/>
        <w:bottom w:val="none" w:sz="0" w:space="0" w:color="auto"/>
        <w:right w:val="none" w:sz="0" w:space="0" w:color="auto"/>
      </w:divBdr>
    </w:div>
    <w:div w:id="1450515788">
      <w:bodyDiv w:val="1"/>
      <w:marLeft w:val="0"/>
      <w:marRight w:val="0"/>
      <w:marTop w:val="0"/>
      <w:marBottom w:val="0"/>
      <w:divBdr>
        <w:top w:val="none" w:sz="0" w:space="0" w:color="auto"/>
        <w:left w:val="none" w:sz="0" w:space="0" w:color="auto"/>
        <w:bottom w:val="none" w:sz="0" w:space="0" w:color="auto"/>
        <w:right w:val="none" w:sz="0" w:space="0" w:color="auto"/>
      </w:divBdr>
    </w:div>
    <w:div w:id="1502355225">
      <w:bodyDiv w:val="1"/>
      <w:marLeft w:val="0"/>
      <w:marRight w:val="0"/>
      <w:marTop w:val="0"/>
      <w:marBottom w:val="0"/>
      <w:divBdr>
        <w:top w:val="none" w:sz="0" w:space="0" w:color="auto"/>
        <w:left w:val="none" w:sz="0" w:space="0" w:color="auto"/>
        <w:bottom w:val="none" w:sz="0" w:space="0" w:color="auto"/>
        <w:right w:val="none" w:sz="0" w:space="0" w:color="auto"/>
      </w:divBdr>
    </w:div>
    <w:div w:id="1620258531">
      <w:bodyDiv w:val="1"/>
      <w:marLeft w:val="0"/>
      <w:marRight w:val="0"/>
      <w:marTop w:val="0"/>
      <w:marBottom w:val="0"/>
      <w:divBdr>
        <w:top w:val="none" w:sz="0" w:space="0" w:color="auto"/>
        <w:left w:val="none" w:sz="0" w:space="0" w:color="auto"/>
        <w:bottom w:val="none" w:sz="0" w:space="0" w:color="auto"/>
        <w:right w:val="none" w:sz="0" w:space="0" w:color="auto"/>
      </w:divBdr>
    </w:div>
    <w:div w:id="1624113296">
      <w:bodyDiv w:val="1"/>
      <w:marLeft w:val="0"/>
      <w:marRight w:val="0"/>
      <w:marTop w:val="0"/>
      <w:marBottom w:val="0"/>
      <w:divBdr>
        <w:top w:val="none" w:sz="0" w:space="0" w:color="auto"/>
        <w:left w:val="none" w:sz="0" w:space="0" w:color="auto"/>
        <w:bottom w:val="none" w:sz="0" w:space="0" w:color="auto"/>
        <w:right w:val="none" w:sz="0" w:space="0" w:color="auto"/>
      </w:divBdr>
    </w:div>
    <w:div w:id="1664896165">
      <w:bodyDiv w:val="1"/>
      <w:marLeft w:val="0"/>
      <w:marRight w:val="0"/>
      <w:marTop w:val="0"/>
      <w:marBottom w:val="0"/>
      <w:divBdr>
        <w:top w:val="none" w:sz="0" w:space="0" w:color="auto"/>
        <w:left w:val="none" w:sz="0" w:space="0" w:color="auto"/>
        <w:bottom w:val="none" w:sz="0" w:space="0" w:color="auto"/>
        <w:right w:val="none" w:sz="0" w:space="0" w:color="auto"/>
      </w:divBdr>
    </w:div>
    <w:div w:id="2137864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7524032.2026.2314567" TargetMode="External"/><Relationship Id="rId18" Type="http://schemas.openxmlformats.org/officeDocument/2006/relationships/hyperlink" Target="https://doi.org/10.1287/orsc.2025.1642" TargetMode="External"/><Relationship Id="rId26" Type="http://schemas.openxmlformats.org/officeDocument/2006/relationships/hyperlink" Target="https://doi.org/10.1075/jlp.23055.rob" TargetMode="External"/><Relationship Id="rId3" Type="http://schemas.openxmlformats.org/officeDocument/2006/relationships/styles" Target="styles.xml"/><Relationship Id="rId21" Type="http://schemas.openxmlformats.org/officeDocument/2006/relationships/hyperlink" Target="https://doi.org/10.1111/psj.1258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26/sciadv.abe5641" TargetMode="External"/><Relationship Id="rId17" Type="http://schemas.openxmlformats.org/officeDocument/2006/relationships/hyperlink" Target="https://doi.org/10.1017/lap.2023.32" TargetMode="External"/><Relationship Id="rId25" Type="http://schemas.openxmlformats.org/officeDocument/2006/relationships/hyperlink" Target="https://doi.org/10.1080/10510974.2025.234567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info16090796" TargetMode="External"/><Relationship Id="rId20" Type="http://schemas.openxmlformats.org/officeDocument/2006/relationships/hyperlink" Target="https://doi.org/10.3390/socsci15040255" TargetMode="External"/><Relationship Id="rId29" Type="http://schemas.openxmlformats.org/officeDocument/2006/relationships/hyperlink" Target="https://doi.org/10.1080/13527266.2024.23123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9579265261434979" TargetMode="External"/><Relationship Id="rId24" Type="http://schemas.openxmlformats.org/officeDocument/2006/relationships/hyperlink" Target="https://doi.org/10.1080/02773945.2025.234512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17427665241234567" TargetMode="External"/><Relationship Id="rId23" Type="http://schemas.openxmlformats.org/officeDocument/2006/relationships/hyperlink" Target="https://doi.org/10.1371/journal.pmed.1000097" TargetMode="External"/><Relationship Id="rId28" Type="http://schemas.openxmlformats.org/officeDocument/2006/relationships/hyperlink" Target="https://doi.org/10.1234/jdc.2024.5678" TargetMode="External"/><Relationship Id="rId10" Type="http://schemas.openxmlformats.org/officeDocument/2006/relationships/hyperlink" Target="https://doi.org/10.26806/modafr.v14i1.482" TargetMode="External"/><Relationship Id="rId19" Type="http://schemas.openxmlformats.org/officeDocument/2006/relationships/hyperlink" Target="https://doi.org/10.24425/linsi.2025.15234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11/nin.70079" TargetMode="External"/><Relationship Id="rId22" Type="http://schemas.openxmlformats.org/officeDocument/2006/relationships/hyperlink" Target="https://doi.org/10.3390/healthcare12060607" TargetMode="External"/><Relationship Id="rId27" Type="http://schemas.openxmlformats.org/officeDocument/2006/relationships/hyperlink" Target="https://doi.org/10.46743/2331-5024/2024.1234" TargetMode="External"/><Relationship Id="rId30" Type="http://schemas.openxmlformats.org/officeDocument/2006/relationships/hyperlink" Target="https://doi.org/10.1371/journal.pone.0324715"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4WiipTE2NDwUUtaOi+AbeP4qg==">CgMxLjAyCGguZ2pkZ3hzMgloLjMwajB6bGwyCWguMWZvYjl0ZTgAciExRFhfOG94VW5JMXZqMUZsa0NjODJwZ2RkSEFQRE1yejk=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18</Pages>
  <Words>7541</Words>
  <Characters>42990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Microsoft account</cp:lastModifiedBy>
  <cp:revision>2</cp:revision>
  <dcterms:created xsi:type="dcterms:W3CDTF">2021-03-28T23:27:00Z</dcterms:created>
  <dcterms:modified xsi:type="dcterms:W3CDTF">2026-05-06T09:55:00Z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http://www.zotero.org/styles/geobiology</vt:lpwstr>
  </property>
  <property fmtid="{D5CDD505-2E9C-101B-9397-08002B2CF9AE}" pid="15" name="Mendeley Recent Style Name 5_1">
    <vt:lpwstr>Geobiology</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99719cde-233e-3807-bdd5-200c1acb75b1</vt:lpwstr>
  </property>
</Properties>
</file>