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8A61" w14:textId="77777777" w:rsidR="00DD0F58" w:rsidRDefault="00DD0F58" w:rsidP="008C62D3">
      <w:pPr>
        <w:pStyle w:val="ListParagraph"/>
        <w:bidi w:val="0"/>
        <w:spacing w:after="120" w:line="360" w:lineRule="auto"/>
        <w:ind w:left="0"/>
        <w:jc w:val="center"/>
        <w:rPr>
          <w:rFonts w:cs="Times New Roman"/>
          <w:b/>
          <w:bCs/>
          <w:lang w:bidi="ar-YE"/>
        </w:rPr>
      </w:pPr>
      <w:r w:rsidRPr="00DF557F">
        <w:rPr>
          <w:rFonts w:cs="Times New Roman"/>
          <w:b/>
          <w:bCs/>
          <w:lang w:bidi="ar-YE"/>
        </w:rPr>
        <w:t xml:space="preserve">Financial Inclusion: </w:t>
      </w:r>
      <w:r>
        <w:rPr>
          <w:rFonts w:cs="Times New Roman"/>
          <w:b/>
          <w:bCs/>
          <w:lang w:bidi="ar-YE"/>
        </w:rPr>
        <w:t>Introduction and Overview</w:t>
      </w:r>
    </w:p>
    <w:p w14:paraId="24D9CDBF" w14:textId="77777777" w:rsidR="00DF557F" w:rsidRDefault="00DF557F" w:rsidP="008C62D3">
      <w:pPr>
        <w:pStyle w:val="ListParagraph"/>
        <w:widowControl/>
        <w:bidi w:val="0"/>
        <w:spacing w:after="120" w:line="360" w:lineRule="auto"/>
        <w:ind w:left="0" w:firstLine="0"/>
        <w:jc w:val="left"/>
        <w:rPr>
          <w:rFonts w:cs="Times New Roman"/>
          <w:b/>
          <w:bCs/>
          <w:color w:val="auto"/>
          <w:sz w:val="24"/>
          <w:szCs w:val="24"/>
          <w:lang w:bidi="ar-YE"/>
        </w:rPr>
      </w:pPr>
    </w:p>
    <w:p w14:paraId="22668D35" w14:textId="05BDF6E2" w:rsidR="00F85F46" w:rsidRPr="00F85F46" w:rsidRDefault="00F85F46" w:rsidP="008C62D3">
      <w:pPr>
        <w:pStyle w:val="ListParagraph"/>
        <w:widowControl/>
        <w:bidi w:val="0"/>
        <w:spacing w:after="120" w:line="360" w:lineRule="auto"/>
        <w:ind w:left="0" w:firstLine="0"/>
        <w:jc w:val="left"/>
        <w:rPr>
          <w:rFonts w:cs="Times New Roman"/>
          <w:b/>
          <w:bCs/>
          <w:color w:val="auto"/>
          <w:sz w:val="24"/>
          <w:szCs w:val="24"/>
          <w:rtl/>
          <w:lang w:bidi="ar-YE"/>
        </w:rPr>
      </w:pPr>
      <w:r>
        <w:rPr>
          <w:rFonts w:cs="Times New Roman"/>
          <w:b/>
          <w:bCs/>
          <w:color w:val="auto"/>
          <w:sz w:val="24"/>
          <w:szCs w:val="24"/>
          <w:lang w:bidi="ar-YE"/>
        </w:rPr>
        <w:t>Abstract</w:t>
      </w:r>
    </w:p>
    <w:p w14:paraId="7B4D9B0D" w14:textId="68BE7DE9" w:rsidR="003042FA" w:rsidRPr="003042FA" w:rsidRDefault="003042FA" w:rsidP="008C62D3">
      <w:pPr>
        <w:bidi w:val="0"/>
        <w:spacing w:line="360" w:lineRule="auto"/>
        <w:rPr>
          <w:rFonts w:cs="Times New Roman"/>
          <w:color w:val="auto"/>
          <w:sz w:val="24"/>
          <w:szCs w:val="24"/>
          <w:lang w:bidi="ar-YE"/>
        </w:rPr>
      </w:pPr>
      <w:r w:rsidRPr="003042FA">
        <w:rPr>
          <w:rFonts w:cs="Times New Roman"/>
          <w:color w:val="auto"/>
          <w:sz w:val="24"/>
          <w:szCs w:val="24"/>
          <w:lang w:bidi="ar-YE"/>
        </w:rPr>
        <w:t xml:space="preserve">Financial inclusion has emerged as a critical pillar for promoting inclusive economic growth, reducing poverty, and ensuring social equity. This paper </w:t>
      </w:r>
      <w:r w:rsidR="00C62B1D">
        <w:rPr>
          <w:rFonts w:cs="Times New Roman"/>
          <w:color w:val="auto"/>
          <w:sz w:val="24"/>
          <w:szCs w:val="24"/>
          <w:lang w:bidi="ar-YE"/>
        </w:rPr>
        <w:t>examines the global initiatives undertaken by governments, international institutions, and financial regulators to bridge the financial gap and expand</w:t>
      </w:r>
      <w:r w:rsidRPr="003042FA">
        <w:rPr>
          <w:rFonts w:cs="Times New Roman"/>
          <w:color w:val="auto"/>
          <w:sz w:val="24"/>
          <w:szCs w:val="24"/>
          <w:lang w:bidi="ar-YE"/>
        </w:rPr>
        <w:t xml:space="preserve"> access to essential financial services</w:t>
      </w:r>
      <w:r w:rsidR="00C62B1D">
        <w:rPr>
          <w:rFonts w:cs="Times New Roman"/>
          <w:color w:val="auto"/>
          <w:sz w:val="24"/>
          <w:szCs w:val="24"/>
          <w:lang w:bidi="ar-YE"/>
        </w:rPr>
        <w:t xml:space="preserve">, </w:t>
      </w:r>
      <w:r w:rsidRPr="003042FA">
        <w:rPr>
          <w:rFonts w:cs="Times New Roman"/>
          <w:color w:val="auto"/>
          <w:sz w:val="24"/>
          <w:szCs w:val="24"/>
          <w:lang w:bidi="ar-YE"/>
        </w:rPr>
        <w:t>such as savings, credit, insurance, and digital payments</w:t>
      </w:r>
      <w:r w:rsidR="00C62B1D">
        <w:rPr>
          <w:rFonts w:cs="Times New Roman"/>
          <w:color w:val="auto"/>
          <w:sz w:val="24"/>
          <w:szCs w:val="24"/>
          <w:lang w:bidi="ar-YE"/>
        </w:rPr>
        <w:t xml:space="preserve">, </w:t>
      </w:r>
      <w:r w:rsidRPr="003042FA">
        <w:rPr>
          <w:rFonts w:cs="Times New Roman"/>
          <w:color w:val="auto"/>
          <w:sz w:val="24"/>
          <w:szCs w:val="24"/>
          <w:lang w:bidi="ar-YE"/>
        </w:rPr>
        <w:t xml:space="preserve">to underserved populations. Drawing on a wide range of country case studies, including Kenya, Jordan, Brazil, the Philippines, and others, the study highlights how innovative tools like mobile banking, agent banking, and digital finance platforms have helped reach remote and low-income communities. The research also underscores the role of coordinated national strategies, regulatory reforms, and financial education in advancing inclusion, particularly for women, youth, refugees, and micro-enterprises. Despite the progress made, significant barriers remain, including </w:t>
      </w:r>
      <w:r w:rsidR="00C62B1D">
        <w:rPr>
          <w:rFonts w:cs="Times New Roman"/>
          <w:color w:val="auto"/>
          <w:sz w:val="24"/>
          <w:szCs w:val="24"/>
          <w:lang w:bidi="ar-YE"/>
        </w:rPr>
        <w:t xml:space="preserve">a </w:t>
      </w:r>
      <w:r w:rsidRPr="003042FA">
        <w:rPr>
          <w:rFonts w:cs="Times New Roman"/>
          <w:color w:val="auto"/>
          <w:sz w:val="24"/>
          <w:szCs w:val="24"/>
          <w:lang w:bidi="ar-YE"/>
        </w:rPr>
        <w:t>lack of awareness, limited digital infrastructure, and socio-economic inequalities. The paper concludes by advocating for evidence-based policies, stronger public-private partnerships, and the integration of financial inclusion into broader sustainable development frameworks. By learning from global best practices, countries can build resilient, inclusive financial ecosystems that empower individuals and drive long-term economic prosperity</w:t>
      </w:r>
      <w:r w:rsidRPr="003042FA">
        <w:rPr>
          <w:rFonts w:cs="Times New Roman"/>
          <w:color w:val="auto"/>
          <w:sz w:val="24"/>
          <w:szCs w:val="24"/>
          <w:rtl/>
          <w:lang w:bidi="ar-YE"/>
        </w:rPr>
        <w:t>.</w:t>
      </w:r>
    </w:p>
    <w:p w14:paraId="682FCF89" w14:textId="77777777" w:rsidR="003042FA" w:rsidRDefault="003042FA" w:rsidP="00F85F46">
      <w:pPr>
        <w:widowControl/>
        <w:bidi w:val="0"/>
        <w:spacing w:after="120" w:line="360" w:lineRule="auto"/>
        <w:ind w:firstLine="0"/>
        <w:rPr>
          <w:rFonts w:cs="Times New Roman"/>
          <w:b/>
          <w:bCs/>
          <w:color w:val="auto"/>
          <w:sz w:val="24"/>
          <w:szCs w:val="24"/>
          <w:lang w:bidi="ar-YE"/>
        </w:rPr>
      </w:pPr>
    </w:p>
    <w:p w14:paraId="314BDDE9" w14:textId="77777777" w:rsidR="00BE4601" w:rsidRDefault="00F85F46" w:rsidP="00BE4601">
      <w:pPr>
        <w:widowControl/>
        <w:bidi w:val="0"/>
        <w:spacing w:after="120" w:line="360" w:lineRule="auto"/>
        <w:ind w:firstLine="0"/>
        <w:rPr>
          <w:rFonts w:cs="Times New Roman"/>
          <w:i/>
          <w:iCs/>
          <w:color w:val="auto"/>
          <w:sz w:val="24"/>
          <w:szCs w:val="24"/>
          <w:lang w:bidi="ar-YE"/>
        </w:rPr>
      </w:pPr>
      <w:r w:rsidRPr="00F85F46">
        <w:rPr>
          <w:rFonts w:cs="Times New Roman"/>
          <w:b/>
          <w:bCs/>
          <w:color w:val="auto"/>
          <w:sz w:val="24"/>
          <w:szCs w:val="24"/>
          <w:lang w:bidi="ar-YE"/>
        </w:rPr>
        <w:t>Keywords</w:t>
      </w:r>
      <w:r w:rsidRPr="00F85F46">
        <w:rPr>
          <w:rFonts w:cs="Times New Roman"/>
          <w:color w:val="auto"/>
          <w:sz w:val="24"/>
          <w:szCs w:val="24"/>
          <w:lang w:bidi="ar-YE"/>
        </w:rPr>
        <w:t xml:space="preserve">: </w:t>
      </w:r>
      <w:r w:rsidRPr="00F85F46">
        <w:rPr>
          <w:rFonts w:cs="Times New Roman"/>
          <w:i/>
          <w:iCs/>
          <w:color w:val="auto"/>
          <w:sz w:val="24"/>
          <w:szCs w:val="24"/>
          <w:lang w:bidi="ar-YE"/>
        </w:rPr>
        <w:t xml:space="preserve">Financial Inclusion, Economic Growth, Poverty Reduction, Financial Literacy, Digital Financial Services, Mobile Banking, Financial Exclusion, Sustainable Development Goals </w:t>
      </w:r>
    </w:p>
    <w:p w14:paraId="79E465B4" w14:textId="0577F9C6" w:rsidR="0025500A" w:rsidRPr="00F16343" w:rsidRDefault="0025500A" w:rsidP="00BE4601">
      <w:pPr>
        <w:widowControl/>
        <w:bidi w:val="0"/>
        <w:spacing w:after="120" w:line="360" w:lineRule="auto"/>
        <w:ind w:firstLine="0"/>
        <w:rPr>
          <w:rFonts w:cs="Times New Roman"/>
          <w:b/>
          <w:bCs/>
          <w:color w:val="auto"/>
          <w:sz w:val="24"/>
          <w:szCs w:val="24"/>
          <w:lang w:bidi="ar-YE"/>
        </w:rPr>
      </w:pPr>
      <w:r>
        <w:rPr>
          <w:rFonts w:cs="Times New Roman"/>
          <w:b/>
          <w:bCs/>
          <w:color w:val="auto"/>
          <w:sz w:val="24"/>
          <w:szCs w:val="24"/>
          <w:lang w:bidi="ar-YE"/>
        </w:rPr>
        <w:t>Introduction</w:t>
      </w:r>
    </w:p>
    <w:p w14:paraId="4A1EB695" w14:textId="5003709A"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Pr>
          <w:rFonts w:cs="Times New Roman"/>
          <w:color w:val="auto"/>
          <w:sz w:val="24"/>
          <w:szCs w:val="24"/>
          <w:lang w:bidi="ar-YE"/>
        </w:rPr>
        <w:t xml:space="preserve">The basic tenet of financial inclusion is to offer affordable banking services to low-income and underprivileged populations. For individuals who are now excluded, this includes simple access to credit, insurance, payments, and transfers via the official financial system. When everyone in society has access to formal financial services, regardless of income level, this is known as financial inclusion. It includes a variety of financial services, including insurance, equity products, and pension plans, in addition to banking services. The phrase "inclusion" highlights the </w:t>
      </w:r>
      <w:r>
        <w:rPr>
          <w:rFonts w:cs="Times New Roman"/>
          <w:color w:val="auto"/>
          <w:sz w:val="24"/>
          <w:szCs w:val="24"/>
          <w:lang w:bidi="ar-YE"/>
        </w:rPr>
        <w:lastRenderedPageBreak/>
        <w:t>need for these services to be accessible to all community members, guaranteeing equitable and reasonably priced access to financial services.</w:t>
      </w:r>
    </w:p>
    <w:p w14:paraId="174F4647" w14:textId="7FB37AF3" w:rsidR="0025500A"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Pr>
          <w:rFonts w:cs="Times New Roman"/>
          <w:color w:val="auto"/>
          <w:sz w:val="24"/>
          <w:szCs w:val="24"/>
          <w:lang w:bidi="ar-YE"/>
        </w:rPr>
        <w:t xml:space="preserve">Financial exclusion, on the other hand, is a relatively recent idea that was introduced in 1994. This idea describes people's incapacity to get or </w:t>
      </w:r>
      <w:r w:rsidR="00C62B1D">
        <w:rPr>
          <w:rFonts w:cs="Times New Roman"/>
          <w:color w:val="auto"/>
          <w:sz w:val="24"/>
          <w:szCs w:val="24"/>
          <w:lang w:bidi="ar-YE"/>
        </w:rPr>
        <w:t>utilise</w:t>
      </w:r>
      <w:r>
        <w:rPr>
          <w:rFonts w:cs="Times New Roman"/>
          <w:color w:val="auto"/>
          <w:sz w:val="24"/>
          <w:szCs w:val="24"/>
          <w:lang w:bidi="ar-YE"/>
        </w:rPr>
        <w:t xml:space="preserve"> financial items that enable them to engage in a variety of everyday activities. Low-paid people, the unemployed, the elderly, young people not engaged in school or vocational training, and people with physical disabilities are among the social categories most at risk of financial exclusion. Concerns and perceptions of the restricted physical access to banking services brought about by bank branch closures led to the creation of the phrase "financial exclusion." The phrase started to be used more broadly in 1999 to refer to those who had little access to traditional financial institutions. Research on the barriers that some groups of people have when trying to use contemporary payment methods, other banking services, consumer credit, and insurance has also grown.</w:t>
      </w:r>
    </w:p>
    <w:p w14:paraId="5471F687" w14:textId="77777777" w:rsidR="0057354F" w:rsidRPr="0057354F" w:rsidRDefault="0057354F" w:rsidP="0057354F">
      <w:pPr>
        <w:widowControl/>
        <w:bidi w:val="0"/>
        <w:spacing w:after="120" w:line="360" w:lineRule="auto"/>
        <w:ind w:firstLine="0"/>
        <w:rPr>
          <w:rFonts w:cs="Times New Roman"/>
          <w:b/>
          <w:bCs/>
          <w:color w:val="auto"/>
          <w:sz w:val="24"/>
          <w:szCs w:val="24"/>
          <w:lang w:bidi="ar-YE"/>
        </w:rPr>
      </w:pPr>
      <w:r w:rsidRPr="0057354F">
        <w:rPr>
          <w:rFonts w:cs="Times New Roman"/>
          <w:b/>
          <w:bCs/>
          <w:color w:val="auto"/>
          <w:sz w:val="24"/>
          <w:szCs w:val="24"/>
          <w:lang w:bidi="ar-YE"/>
        </w:rPr>
        <w:t>Issue Definition</w:t>
      </w:r>
    </w:p>
    <w:p w14:paraId="5B0F0514" w14:textId="2974D0DC" w:rsidR="0057354F" w:rsidRPr="0057354F" w:rsidRDefault="0057354F" w:rsidP="0057354F">
      <w:pPr>
        <w:widowControl/>
        <w:bidi w:val="0"/>
        <w:spacing w:after="120" w:line="360" w:lineRule="auto"/>
        <w:ind w:firstLine="0"/>
        <w:rPr>
          <w:rFonts w:cs="Times New Roman"/>
          <w:color w:val="auto"/>
          <w:sz w:val="24"/>
          <w:szCs w:val="24"/>
          <w:rtl/>
          <w:lang w:bidi="ar-YE"/>
        </w:rPr>
      </w:pPr>
      <w:r w:rsidRPr="0057354F">
        <w:rPr>
          <w:rFonts w:cs="Times New Roman"/>
          <w:color w:val="auto"/>
          <w:sz w:val="24"/>
          <w:szCs w:val="24"/>
          <w:lang w:bidi="ar-YE"/>
        </w:rPr>
        <w:t xml:space="preserve">Despite significant advancements in global financial systems, a large portion of the world’s population, especially those in low-income, </w:t>
      </w:r>
      <w:r w:rsidR="00C62B1D">
        <w:rPr>
          <w:rFonts w:cs="Times New Roman"/>
          <w:color w:val="auto"/>
          <w:sz w:val="24"/>
          <w:szCs w:val="24"/>
          <w:lang w:bidi="ar-YE"/>
        </w:rPr>
        <w:t>marginalised</w:t>
      </w:r>
      <w:r w:rsidRPr="0057354F">
        <w:rPr>
          <w:rFonts w:cs="Times New Roman"/>
          <w:color w:val="auto"/>
          <w:sz w:val="24"/>
          <w:szCs w:val="24"/>
          <w:lang w:bidi="ar-YE"/>
        </w:rPr>
        <w:t>, and rural communities, remains excluded from formal financial services. This exclusion limits their ability to save, invest, manage risks, and access credit, thereby constraining economic growth, increasing poverty, and widening social inequalities. The challenge lies in designing and implementing effective frameworks, policies, and innovative solutions that ensure affordable, accessible, and sustainable financial services for all.</w:t>
      </w:r>
    </w:p>
    <w:p w14:paraId="6A42C8D3" w14:textId="77777777" w:rsidR="0057354F" w:rsidRPr="0057354F" w:rsidRDefault="0057354F" w:rsidP="0057354F">
      <w:pPr>
        <w:widowControl/>
        <w:bidi w:val="0"/>
        <w:spacing w:after="120" w:line="360" w:lineRule="auto"/>
        <w:ind w:firstLine="0"/>
        <w:rPr>
          <w:rFonts w:cs="Times New Roman"/>
          <w:b/>
          <w:bCs/>
          <w:color w:val="auto"/>
          <w:sz w:val="24"/>
          <w:szCs w:val="24"/>
          <w:lang w:bidi="ar-YE"/>
        </w:rPr>
      </w:pPr>
      <w:r w:rsidRPr="0057354F">
        <w:rPr>
          <w:rFonts w:cs="Times New Roman"/>
          <w:b/>
          <w:bCs/>
          <w:color w:val="auto"/>
          <w:sz w:val="24"/>
          <w:szCs w:val="24"/>
          <w:lang w:bidi="ar-YE"/>
        </w:rPr>
        <w:t>Research Objectives</w:t>
      </w:r>
    </w:p>
    <w:p w14:paraId="09ACA240" w14:textId="43B2E8D2" w:rsidR="0057354F" w:rsidRPr="0057354F" w:rsidRDefault="0057354F" w:rsidP="0057354F">
      <w:pPr>
        <w:pStyle w:val="ListParagraph"/>
        <w:widowControl/>
        <w:numPr>
          <w:ilvl w:val="0"/>
          <w:numId w:val="8"/>
        </w:numPr>
        <w:bidi w:val="0"/>
        <w:spacing w:after="120" w:line="360" w:lineRule="auto"/>
        <w:rPr>
          <w:rFonts w:cs="Times New Roman"/>
          <w:color w:val="auto"/>
          <w:sz w:val="24"/>
          <w:szCs w:val="24"/>
          <w:rtl/>
          <w:lang w:bidi="ar-YE"/>
        </w:rPr>
      </w:pPr>
      <w:r w:rsidRPr="0057354F">
        <w:rPr>
          <w:rFonts w:cs="Times New Roman"/>
          <w:color w:val="auto"/>
          <w:sz w:val="24"/>
          <w:szCs w:val="24"/>
          <w:lang w:bidi="ar-YE"/>
        </w:rPr>
        <w:t>To analyse the global frameworks and initiatives aimed at promoting financial inclusion in developing and developed countries.</w:t>
      </w:r>
    </w:p>
    <w:p w14:paraId="29AAF908" w14:textId="419A87C5" w:rsidR="0057354F" w:rsidRPr="0057354F" w:rsidRDefault="0057354F" w:rsidP="0057354F">
      <w:pPr>
        <w:pStyle w:val="ListParagraph"/>
        <w:widowControl/>
        <w:numPr>
          <w:ilvl w:val="0"/>
          <w:numId w:val="8"/>
        </w:numPr>
        <w:bidi w:val="0"/>
        <w:spacing w:after="120" w:line="360" w:lineRule="auto"/>
        <w:rPr>
          <w:rFonts w:cs="Times New Roman"/>
          <w:color w:val="auto"/>
          <w:sz w:val="24"/>
          <w:szCs w:val="24"/>
          <w:rtl/>
          <w:lang w:bidi="ar-YE"/>
        </w:rPr>
      </w:pPr>
      <w:r w:rsidRPr="0057354F">
        <w:rPr>
          <w:rFonts w:cs="Times New Roman"/>
          <w:color w:val="auto"/>
          <w:sz w:val="24"/>
          <w:szCs w:val="24"/>
          <w:lang w:bidi="ar-YE"/>
        </w:rPr>
        <w:t>To examine the socio-economic benefits of financial inclusion, including poverty reduction, empowerment of women, and economic stability.</w:t>
      </w:r>
    </w:p>
    <w:p w14:paraId="39CE5436" w14:textId="60577558" w:rsidR="0057354F" w:rsidRPr="0057354F" w:rsidRDefault="0057354F" w:rsidP="0057354F">
      <w:pPr>
        <w:pStyle w:val="ListParagraph"/>
        <w:widowControl/>
        <w:numPr>
          <w:ilvl w:val="0"/>
          <w:numId w:val="8"/>
        </w:numPr>
        <w:bidi w:val="0"/>
        <w:spacing w:after="120" w:line="360" w:lineRule="auto"/>
        <w:rPr>
          <w:rFonts w:cs="Times New Roman"/>
          <w:color w:val="auto"/>
          <w:sz w:val="24"/>
          <w:szCs w:val="24"/>
          <w:rtl/>
          <w:lang w:bidi="ar-YE"/>
        </w:rPr>
      </w:pPr>
      <w:r w:rsidRPr="0057354F">
        <w:rPr>
          <w:rFonts w:cs="Times New Roman"/>
          <w:color w:val="auto"/>
          <w:sz w:val="24"/>
          <w:szCs w:val="24"/>
          <w:lang w:bidi="ar-YE"/>
        </w:rPr>
        <w:t>To identify the barriers and challenges that hinder financial inclusion, such as infrastructural limitations, regulatory gaps, and socio-cultural factors.</w:t>
      </w:r>
    </w:p>
    <w:p w14:paraId="6EA99083" w14:textId="0D8FC943" w:rsidR="0057354F" w:rsidRPr="0057354F" w:rsidRDefault="0057354F" w:rsidP="0057354F">
      <w:pPr>
        <w:pStyle w:val="ListParagraph"/>
        <w:widowControl/>
        <w:numPr>
          <w:ilvl w:val="0"/>
          <w:numId w:val="8"/>
        </w:numPr>
        <w:bidi w:val="0"/>
        <w:spacing w:after="120" w:line="360" w:lineRule="auto"/>
        <w:rPr>
          <w:rFonts w:cs="Times New Roman"/>
          <w:color w:val="auto"/>
          <w:sz w:val="24"/>
          <w:szCs w:val="24"/>
          <w:rtl/>
          <w:lang w:bidi="ar-YE"/>
        </w:rPr>
      </w:pPr>
      <w:r w:rsidRPr="0057354F">
        <w:rPr>
          <w:rFonts w:cs="Times New Roman"/>
          <w:color w:val="auto"/>
          <w:sz w:val="24"/>
          <w:szCs w:val="24"/>
          <w:lang w:bidi="ar-YE"/>
        </w:rPr>
        <w:t>To evaluate innovative financial tools and delivery channels, such as digital finance, mobile banking, and agent banking, in expanding access to underserved populations.</w:t>
      </w:r>
    </w:p>
    <w:p w14:paraId="7A19E6C6" w14:textId="77777777" w:rsidR="0057354F" w:rsidRPr="0057354F" w:rsidRDefault="0057354F" w:rsidP="0057354F">
      <w:pPr>
        <w:pStyle w:val="ListParagraph"/>
        <w:widowControl/>
        <w:numPr>
          <w:ilvl w:val="0"/>
          <w:numId w:val="8"/>
        </w:numPr>
        <w:bidi w:val="0"/>
        <w:spacing w:after="120" w:line="360" w:lineRule="auto"/>
        <w:rPr>
          <w:rFonts w:cs="Times New Roman"/>
          <w:color w:val="auto"/>
          <w:sz w:val="24"/>
          <w:szCs w:val="24"/>
          <w:lang w:bidi="ar-YE"/>
        </w:rPr>
      </w:pPr>
      <w:r w:rsidRPr="0057354F">
        <w:rPr>
          <w:rFonts w:cs="Times New Roman"/>
          <w:color w:val="auto"/>
          <w:sz w:val="24"/>
          <w:szCs w:val="24"/>
          <w:lang w:bidi="ar-YE"/>
        </w:rPr>
        <w:lastRenderedPageBreak/>
        <w:t>To propose evidence-based policy recommendations for governments, regulators, and financial institutions to foster inclusive financial ecosystems aligned with sustainable development goals.</w:t>
      </w:r>
    </w:p>
    <w:p w14:paraId="4EB73D6E" w14:textId="77777777" w:rsidR="0057354F" w:rsidRPr="0057354F" w:rsidRDefault="0057354F" w:rsidP="0057354F">
      <w:pPr>
        <w:widowControl/>
        <w:bidi w:val="0"/>
        <w:spacing w:after="120" w:line="360" w:lineRule="auto"/>
        <w:ind w:firstLine="0"/>
        <w:rPr>
          <w:rFonts w:cs="Times New Roman"/>
          <w:color w:val="auto"/>
          <w:sz w:val="24"/>
          <w:szCs w:val="24"/>
          <w:rtl/>
          <w:lang w:bidi="ar-YE"/>
        </w:rPr>
      </w:pPr>
    </w:p>
    <w:p w14:paraId="66BC7668" w14:textId="77777777" w:rsidR="0057354F" w:rsidRPr="0057354F" w:rsidRDefault="0057354F" w:rsidP="0057354F">
      <w:pPr>
        <w:widowControl/>
        <w:bidi w:val="0"/>
        <w:spacing w:after="120" w:line="360" w:lineRule="auto"/>
        <w:ind w:firstLine="0"/>
        <w:rPr>
          <w:rFonts w:cs="Times New Roman"/>
          <w:b/>
          <w:bCs/>
          <w:color w:val="auto"/>
          <w:sz w:val="24"/>
          <w:szCs w:val="24"/>
          <w:lang w:bidi="ar-YE"/>
        </w:rPr>
      </w:pPr>
      <w:r w:rsidRPr="0057354F">
        <w:rPr>
          <w:rFonts w:cs="Times New Roman"/>
          <w:b/>
          <w:bCs/>
          <w:color w:val="auto"/>
          <w:sz w:val="24"/>
          <w:szCs w:val="24"/>
          <w:lang w:bidi="ar-YE"/>
        </w:rPr>
        <w:t>Research Questions</w:t>
      </w:r>
    </w:p>
    <w:p w14:paraId="06962115" w14:textId="1385F794" w:rsidR="0057354F" w:rsidRPr="0057354F" w:rsidRDefault="0057354F" w:rsidP="0057354F">
      <w:pPr>
        <w:pStyle w:val="ListParagraph"/>
        <w:widowControl/>
        <w:numPr>
          <w:ilvl w:val="0"/>
          <w:numId w:val="9"/>
        </w:numPr>
        <w:bidi w:val="0"/>
        <w:spacing w:after="120" w:line="360" w:lineRule="auto"/>
        <w:rPr>
          <w:rFonts w:cs="Times New Roman"/>
          <w:color w:val="auto"/>
          <w:sz w:val="24"/>
          <w:szCs w:val="24"/>
          <w:rtl/>
          <w:lang w:bidi="ar-YE"/>
        </w:rPr>
      </w:pPr>
      <w:r w:rsidRPr="0057354F">
        <w:rPr>
          <w:rFonts w:cs="Times New Roman"/>
          <w:color w:val="auto"/>
          <w:sz w:val="24"/>
          <w:szCs w:val="24"/>
          <w:lang w:bidi="ar-YE"/>
        </w:rPr>
        <w:t>What are the key global initiatives and national strategies implemented to advance financial inclusion?</w:t>
      </w:r>
    </w:p>
    <w:p w14:paraId="68FE15BB" w14:textId="1577928B" w:rsidR="0057354F" w:rsidRPr="0057354F" w:rsidRDefault="0057354F" w:rsidP="0057354F">
      <w:pPr>
        <w:pStyle w:val="ListParagraph"/>
        <w:widowControl/>
        <w:numPr>
          <w:ilvl w:val="0"/>
          <w:numId w:val="9"/>
        </w:numPr>
        <w:bidi w:val="0"/>
        <w:spacing w:after="120" w:line="360" w:lineRule="auto"/>
        <w:rPr>
          <w:rFonts w:cs="Times New Roman"/>
          <w:color w:val="auto"/>
          <w:sz w:val="24"/>
          <w:szCs w:val="24"/>
          <w:rtl/>
          <w:lang w:bidi="ar-YE"/>
        </w:rPr>
      </w:pPr>
      <w:r w:rsidRPr="0057354F">
        <w:rPr>
          <w:rFonts w:cs="Times New Roman"/>
          <w:color w:val="auto"/>
          <w:sz w:val="24"/>
          <w:szCs w:val="24"/>
          <w:lang w:bidi="ar-YE"/>
        </w:rPr>
        <w:t>How does financial inclusion contribute to poverty alleviation, economic growth, and social empowerment?</w:t>
      </w:r>
    </w:p>
    <w:p w14:paraId="3EAEE8F7" w14:textId="0857D572" w:rsidR="0057354F" w:rsidRPr="0057354F" w:rsidRDefault="0057354F" w:rsidP="0057354F">
      <w:pPr>
        <w:pStyle w:val="ListParagraph"/>
        <w:widowControl/>
        <w:numPr>
          <w:ilvl w:val="0"/>
          <w:numId w:val="9"/>
        </w:numPr>
        <w:bidi w:val="0"/>
        <w:spacing w:after="120" w:line="360" w:lineRule="auto"/>
        <w:rPr>
          <w:rFonts w:cs="Times New Roman"/>
          <w:color w:val="auto"/>
          <w:sz w:val="24"/>
          <w:szCs w:val="24"/>
          <w:rtl/>
          <w:lang w:bidi="ar-YE"/>
        </w:rPr>
      </w:pPr>
      <w:r w:rsidRPr="0057354F">
        <w:rPr>
          <w:rFonts w:cs="Times New Roman"/>
          <w:color w:val="auto"/>
          <w:sz w:val="24"/>
          <w:szCs w:val="24"/>
          <w:lang w:bidi="ar-YE"/>
        </w:rPr>
        <w:t xml:space="preserve">What are the main challenges and barriers faced by </w:t>
      </w:r>
      <w:r w:rsidR="00C62B1D">
        <w:rPr>
          <w:rFonts w:cs="Times New Roman"/>
          <w:color w:val="auto"/>
          <w:sz w:val="24"/>
          <w:szCs w:val="24"/>
          <w:lang w:bidi="ar-YE"/>
        </w:rPr>
        <w:t>marginalised</w:t>
      </w:r>
      <w:r w:rsidRPr="0057354F">
        <w:rPr>
          <w:rFonts w:cs="Times New Roman"/>
          <w:color w:val="auto"/>
          <w:sz w:val="24"/>
          <w:szCs w:val="24"/>
          <w:lang w:bidi="ar-YE"/>
        </w:rPr>
        <w:t xml:space="preserve"> groups in accessing formal financial services?</w:t>
      </w:r>
    </w:p>
    <w:p w14:paraId="5536D1DD" w14:textId="7EBB6EB6" w:rsidR="0057354F" w:rsidRPr="0057354F" w:rsidRDefault="0057354F" w:rsidP="0057354F">
      <w:pPr>
        <w:pStyle w:val="ListParagraph"/>
        <w:widowControl/>
        <w:numPr>
          <w:ilvl w:val="0"/>
          <w:numId w:val="9"/>
        </w:numPr>
        <w:bidi w:val="0"/>
        <w:spacing w:after="120" w:line="360" w:lineRule="auto"/>
        <w:rPr>
          <w:rFonts w:cs="Times New Roman"/>
          <w:color w:val="auto"/>
          <w:sz w:val="24"/>
          <w:szCs w:val="24"/>
          <w:rtl/>
          <w:lang w:bidi="ar-YE"/>
        </w:rPr>
      </w:pPr>
      <w:r w:rsidRPr="0057354F">
        <w:rPr>
          <w:rFonts w:cs="Times New Roman"/>
          <w:color w:val="auto"/>
          <w:sz w:val="24"/>
          <w:szCs w:val="24"/>
          <w:lang w:bidi="ar-YE"/>
        </w:rPr>
        <w:t>How effective are digital financial services and agent banking models in increasing financial access in remote and underserved areas?</w:t>
      </w:r>
    </w:p>
    <w:p w14:paraId="331DEB6B" w14:textId="77777777" w:rsidR="0057354F" w:rsidRDefault="0057354F" w:rsidP="0057354F">
      <w:pPr>
        <w:pStyle w:val="ListParagraph"/>
        <w:widowControl/>
        <w:numPr>
          <w:ilvl w:val="0"/>
          <w:numId w:val="9"/>
        </w:numPr>
        <w:bidi w:val="0"/>
        <w:spacing w:after="120" w:line="360" w:lineRule="auto"/>
        <w:rPr>
          <w:rFonts w:cs="Times New Roman"/>
          <w:color w:val="auto"/>
          <w:sz w:val="24"/>
          <w:szCs w:val="24"/>
          <w:lang w:bidi="ar-YE"/>
        </w:rPr>
      </w:pPr>
      <w:r w:rsidRPr="0057354F">
        <w:rPr>
          <w:rFonts w:cs="Times New Roman"/>
          <w:color w:val="auto"/>
          <w:sz w:val="24"/>
          <w:szCs w:val="24"/>
          <w:lang w:bidi="ar-YE"/>
        </w:rPr>
        <w:t>What policy and regulatory measures can best support the expansion and sustainability of financial inclusion initiatives?</w:t>
      </w:r>
    </w:p>
    <w:p w14:paraId="663EBF77" w14:textId="16622B95" w:rsidR="0057354F" w:rsidRPr="0057354F" w:rsidRDefault="0057354F" w:rsidP="00BE4601">
      <w:pPr>
        <w:widowControl/>
        <w:bidi w:val="0"/>
        <w:spacing w:after="120" w:line="360" w:lineRule="auto"/>
        <w:ind w:firstLine="0"/>
        <w:rPr>
          <w:rFonts w:cs="Times New Roman"/>
          <w:b/>
          <w:bCs/>
          <w:color w:val="auto"/>
          <w:sz w:val="24"/>
          <w:szCs w:val="24"/>
          <w:lang w:bidi="ar-YE"/>
        </w:rPr>
      </w:pPr>
      <w:r w:rsidRPr="0057354F">
        <w:rPr>
          <w:rFonts w:cs="Times New Roman"/>
          <w:b/>
          <w:bCs/>
          <w:color w:val="auto"/>
          <w:sz w:val="24"/>
          <w:szCs w:val="24"/>
          <w:lang w:bidi="ar-YE"/>
        </w:rPr>
        <w:t>Literature Review</w:t>
      </w:r>
    </w:p>
    <w:p w14:paraId="74632219" w14:textId="6EA69FDF" w:rsidR="0057354F" w:rsidRPr="00520450" w:rsidRDefault="0057354F" w:rsidP="0057354F">
      <w:pPr>
        <w:tabs>
          <w:tab w:val="left" w:pos="720"/>
        </w:tabs>
        <w:bidi w:val="0"/>
        <w:spacing w:after="120" w:line="360" w:lineRule="auto"/>
        <w:ind w:firstLine="0"/>
        <w:rPr>
          <w:rFonts w:cs="Times New Roman"/>
          <w:sz w:val="24"/>
          <w:szCs w:val="24"/>
        </w:rPr>
      </w:pPr>
      <w:r w:rsidRPr="00520450">
        <w:rPr>
          <w:rFonts w:cs="Times New Roman"/>
          <w:b/>
          <w:bCs/>
          <w:sz w:val="24"/>
          <w:szCs w:val="24"/>
        </w:rPr>
        <w:tab/>
        <w:t>Kashif Iqbal</w:t>
      </w:r>
      <w:r>
        <w:rPr>
          <w:rFonts w:cs="Times New Roman"/>
          <w:b/>
          <w:bCs/>
          <w:sz w:val="24"/>
          <w:szCs w:val="24"/>
        </w:rPr>
        <w:t xml:space="preserve"> </w:t>
      </w:r>
      <w:r w:rsidRPr="00520450">
        <w:rPr>
          <w:rFonts w:cs="Times New Roman"/>
          <w:b/>
          <w:bCs/>
          <w:sz w:val="24"/>
          <w:szCs w:val="24"/>
        </w:rPr>
        <w:t xml:space="preserve">(2021) </w:t>
      </w:r>
      <w:r w:rsidRPr="00520450">
        <w:rPr>
          <w:rFonts w:cs="Times New Roman"/>
          <w:sz w:val="24"/>
          <w:szCs w:val="24"/>
        </w:rPr>
        <w:t>has published his work on “Modelling Relationship between Financial and Social Inclusion”</w:t>
      </w:r>
      <w:r>
        <w:rPr>
          <w:rFonts w:cs="Times New Roman"/>
          <w:sz w:val="24"/>
          <w:szCs w:val="24"/>
        </w:rPr>
        <w:t xml:space="preserve"> </w:t>
      </w:r>
      <w:r w:rsidRPr="00520450">
        <w:rPr>
          <w:rFonts w:cs="Times New Roman"/>
          <w:sz w:val="24"/>
          <w:szCs w:val="24"/>
        </w:rPr>
        <w:t xml:space="preserve">in </w:t>
      </w:r>
      <w:r w:rsidR="00C62B1D">
        <w:rPr>
          <w:rFonts w:cs="Times New Roman"/>
          <w:sz w:val="24"/>
          <w:szCs w:val="24"/>
        </w:rPr>
        <w:t xml:space="preserve">the </w:t>
      </w:r>
      <w:r w:rsidRPr="00520450">
        <w:rPr>
          <w:rFonts w:cs="Times New Roman"/>
          <w:sz w:val="24"/>
          <w:szCs w:val="24"/>
        </w:rPr>
        <w:t xml:space="preserve">Centre </w:t>
      </w:r>
      <w:r>
        <w:rPr>
          <w:rFonts w:cs="Times New Roman"/>
          <w:sz w:val="24"/>
          <w:szCs w:val="24"/>
        </w:rPr>
        <w:t>f</w:t>
      </w:r>
      <w:r w:rsidRPr="00520450">
        <w:rPr>
          <w:rFonts w:cs="Times New Roman"/>
          <w:sz w:val="24"/>
          <w:szCs w:val="24"/>
        </w:rPr>
        <w:t>or Management Studies, Jamia Millia Islamia in 2021. Kashif</w:t>
      </w:r>
      <w:r>
        <w:rPr>
          <w:rFonts w:cs="Times New Roman"/>
          <w:sz w:val="24"/>
          <w:szCs w:val="24"/>
        </w:rPr>
        <w:t xml:space="preserve"> </w:t>
      </w:r>
      <w:r w:rsidRPr="00520450">
        <w:rPr>
          <w:rFonts w:cs="Times New Roman"/>
          <w:sz w:val="24"/>
          <w:szCs w:val="24"/>
        </w:rPr>
        <w:t>aimed to investigate the connections between financial and social inclusion in India. The research employed multistage random sampling to gather data from 601 respondents through a structured questionnaire, with 300 respondents coming from Bihar and 301 from Delhi. The findings indicated a significant relationship between financial and social inclusion and identified the dimensions of this relationship. However, the small sample size of 601 may limit the generali</w:t>
      </w:r>
      <w:r>
        <w:rPr>
          <w:rFonts w:cs="Times New Roman"/>
          <w:sz w:val="24"/>
          <w:szCs w:val="24"/>
        </w:rPr>
        <w:t>s</w:t>
      </w:r>
      <w:r w:rsidRPr="00520450">
        <w:rPr>
          <w:rFonts w:cs="Times New Roman"/>
          <w:sz w:val="24"/>
          <w:szCs w:val="24"/>
        </w:rPr>
        <w:t>ability of the results</w:t>
      </w:r>
      <w:r w:rsidR="00C62B1D">
        <w:rPr>
          <w:rFonts w:cs="Times New Roman"/>
          <w:sz w:val="24"/>
          <w:szCs w:val="24"/>
        </w:rPr>
        <w:t>,</w:t>
      </w:r>
      <w:r w:rsidRPr="006C6F64">
        <w:rPr>
          <w:rFonts w:cs="Times New Roman"/>
          <w:sz w:val="24"/>
          <w:szCs w:val="24"/>
        </w:rPr>
        <w:t xml:space="preserve"> and </w:t>
      </w:r>
      <w:r w:rsidRPr="00520450">
        <w:rPr>
          <w:rFonts w:cs="Times New Roman"/>
          <w:sz w:val="24"/>
          <w:szCs w:val="24"/>
        </w:rPr>
        <w:t xml:space="preserve">Iqbal recommends </w:t>
      </w:r>
      <w:r w:rsidR="000B0F07">
        <w:rPr>
          <w:rFonts w:cs="Times New Roman"/>
          <w:sz w:val="24"/>
          <w:szCs w:val="24"/>
        </w:rPr>
        <w:t xml:space="preserve">that </w:t>
      </w:r>
      <w:r w:rsidRPr="00520450">
        <w:rPr>
          <w:rFonts w:cs="Times New Roman"/>
          <w:sz w:val="24"/>
          <w:szCs w:val="24"/>
        </w:rPr>
        <w:t>future studies use a larger sample size to strengthen the reliability of the findings.</w:t>
      </w:r>
    </w:p>
    <w:p w14:paraId="1A200641" w14:textId="397F44E9" w:rsidR="0057354F" w:rsidRPr="00520450" w:rsidRDefault="0057354F" w:rsidP="0057354F">
      <w:pPr>
        <w:tabs>
          <w:tab w:val="left" w:pos="720"/>
        </w:tabs>
        <w:bidi w:val="0"/>
        <w:spacing w:after="120" w:line="360" w:lineRule="auto"/>
        <w:ind w:firstLine="0"/>
        <w:rPr>
          <w:rFonts w:cs="Times New Roman"/>
          <w:sz w:val="24"/>
          <w:szCs w:val="24"/>
        </w:rPr>
      </w:pPr>
      <w:r w:rsidRPr="00520450">
        <w:rPr>
          <w:rFonts w:cs="Times New Roman"/>
          <w:b/>
          <w:bCs/>
          <w:noProof/>
          <w:sz w:val="24"/>
          <w:szCs w:val="24"/>
        </w:rPr>
        <w:tab/>
        <w:t>Naveen (2014</w:t>
      </w:r>
      <w:r w:rsidRPr="00520450">
        <w:rPr>
          <w:rFonts w:cs="Times New Roman"/>
          <w:sz w:val="24"/>
          <w:szCs w:val="24"/>
        </w:rPr>
        <w:t xml:space="preserve">) has published his work on “Micro-Finance </w:t>
      </w:r>
      <w:r>
        <w:rPr>
          <w:rFonts w:cs="Times New Roman"/>
          <w:sz w:val="24"/>
          <w:szCs w:val="24"/>
        </w:rPr>
        <w:t>a</w:t>
      </w:r>
      <w:r w:rsidRPr="00520450">
        <w:rPr>
          <w:rFonts w:cs="Times New Roman"/>
          <w:sz w:val="24"/>
          <w:szCs w:val="24"/>
        </w:rPr>
        <w:t xml:space="preserve">nd Financial Inclusion – A Case Study </w:t>
      </w:r>
      <w:r>
        <w:rPr>
          <w:rFonts w:cs="Times New Roman"/>
          <w:sz w:val="24"/>
          <w:szCs w:val="24"/>
        </w:rPr>
        <w:t>o</w:t>
      </w:r>
      <w:r w:rsidRPr="00520450">
        <w:rPr>
          <w:rFonts w:cs="Times New Roman"/>
          <w:sz w:val="24"/>
          <w:szCs w:val="24"/>
        </w:rPr>
        <w:t xml:space="preserve">f Mysore </w:t>
      </w:r>
      <w:r>
        <w:rPr>
          <w:rFonts w:cs="Times New Roman"/>
          <w:sz w:val="24"/>
          <w:szCs w:val="24"/>
        </w:rPr>
        <w:t>a</w:t>
      </w:r>
      <w:r w:rsidRPr="00520450">
        <w:rPr>
          <w:rFonts w:cs="Times New Roman"/>
          <w:sz w:val="24"/>
          <w:szCs w:val="24"/>
        </w:rPr>
        <w:t xml:space="preserve">nd Chamarajanagar Districts” </w:t>
      </w:r>
      <w:r w:rsidR="00C62B1D">
        <w:rPr>
          <w:rFonts w:cs="Times New Roman"/>
          <w:sz w:val="24"/>
          <w:szCs w:val="24"/>
        </w:rPr>
        <w:t>at</w:t>
      </w:r>
      <w:r w:rsidRPr="00520450">
        <w:rPr>
          <w:rFonts w:cs="Times New Roman"/>
          <w:sz w:val="24"/>
          <w:szCs w:val="24"/>
        </w:rPr>
        <w:t xml:space="preserve"> </w:t>
      </w:r>
      <w:r w:rsidR="00C62B1D">
        <w:rPr>
          <w:rFonts w:cs="Times New Roman"/>
          <w:sz w:val="24"/>
          <w:szCs w:val="24"/>
        </w:rPr>
        <w:t xml:space="preserve">the </w:t>
      </w:r>
      <w:r w:rsidRPr="00520450">
        <w:rPr>
          <w:rFonts w:cs="Times New Roman"/>
          <w:sz w:val="24"/>
          <w:szCs w:val="24"/>
        </w:rPr>
        <w:t xml:space="preserve">University </w:t>
      </w:r>
      <w:r>
        <w:rPr>
          <w:rFonts w:cs="Times New Roman"/>
          <w:sz w:val="24"/>
          <w:szCs w:val="24"/>
        </w:rPr>
        <w:t>o</w:t>
      </w:r>
      <w:r w:rsidRPr="00520450">
        <w:rPr>
          <w:rFonts w:cs="Times New Roman"/>
          <w:sz w:val="24"/>
          <w:szCs w:val="24"/>
        </w:rPr>
        <w:t>f Mysor</w:t>
      </w:r>
      <w:r>
        <w:rPr>
          <w:rFonts w:cs="Times New Roman"/>
          <w:sz w:val="24"/>
          <w:szCs w:val="24"/>
        </w:rPr>
        <w:t>e</w:t>
      </w:r>
      <w:r w:rsidRPr="00520450">
        <w:rPr>
          <w:rFonts w:cs="Times New Roman"/>
          <w:sz w:val="24"/>
          <w:szCs w:val="24"/>
        </w:rPr>
        <w:t xml:space="preserve"> in 2014. </w:t>
      </w:r>
      <w:r w:rsidR="00C62B1D">
        <w:rPr>
          <w:rFonts w:cs="Times New Roman"/>
          <w:sz w:val="24"/>
          <w:szCs w:val="24"/>
        </w:rPr>
        <w:t>Naveen's</w:t>
      </w:r>
      <w:r w:rsidRPr="00520450">
        <w:rPr>
          <w:rFonts w:cs="Times New Roman"/>
          <w:sz w:val="24"/>
          <w:szCs w:val="24"/>
        </w:rPr>
        <w:t xml:space="preserve"> study </w:t>
      </w:r>
      <w:r w:rsidR="00C62B1D">
        <w:rPr>
          <w:rFonts w:cs="Times New Roman"/>
          <w:sz w:val="24"/>
          <w:szCs w:val="24"/>
        </w:rPr>
        <w:t>examined</w:t>
      </w:r>
      <w:r w:rsidRPr="00520450">
        <w:rPr>
          <w:rFonts w:cs="Times New Roman"/>
          <w:sz w:val="24"/>
          <w:szCs w:val="24"/>
        </w:rPr>
        <w:t xml:space="preserve"> the function of </w:t>
      </w:r>
      <w:r w:rsidRPr="00E77774">
        <w:rPr>
          <w:rFonts w:cs="Times New Roman"/>
          <w:sz w:val="24"/>
          <w:szCs w:val="24"/>
        </w:rPr>
        <w:t>micro-finance</w:t>
      </w:r>
      <w:r w:rsidRPr="00520450">
        <w:rPr>
          <w:rFonts w:cs="Times New Roman"/>
          <w:sz w:val="24"/>
          <w:szCs w:val="24"/>
        </w:rPr>
        <w:t xml:space="preserve"> organisations in enabling financial inclusion for the underprivileged. These institutions offer a range of products, including micro</w:t>
      </w:r>
      <w:r>
        <w:rPr>
          <w:rFonts w:cs="Times New Roman"/>
          <w:sz w:val="24"/>
          <w:szCs w:val="24"/>
        </w:rPr>
        <w:t>-</w:t>
      </w:r>
      <w:r w:rsidRPr="00520450">
        <w:rPr>
          <w:rFonts w:cs="Times New Roman"/>
          <w:sz w:val="24"/>
          <w:szCs w:val="24"/>
        </w:rPr>
        <w:lastRenderedPageBreak/>
        <w:t>credit, micro-savings, micro-insurance</w:t>
      </w:r>
      <w:r w:rsidRPr="006C6F64">
        <w:rPr>
          <w:rFonts w:cs="Times New Roman"/>
          <w:sz w:val="24"/>
          <w:szCs w:val="24"/>
        </w:rPr>
        <w:t xml:space="preserve"> and </w:t>
      </w:r>
      <w:r w:rsidRPr="00E77774">
        <w:rPr>
          <w:rFonts w:cs="Times New Roman"/>
          <w:sz w:val="24"/>
          <w:szCs w:val="24"/>
        </w:rPr>
        <w:t>micro-finance</w:t>
      </w:r>
      <w:r w:rsidRPr="00520450">
        <w:rPr>
          <w:rFonts w:cs="Times New Roman"/>
          <w:sz w:val="24"/>
          <w:szCs w:val="24"/>
        </w:rPr>
        <w:t xml:space="preserve"> training to meet the diverse needs of their clients. The researcher found that </w:t>
      </w:r>
      <w:r w:rsidRPr="00E77774">
        <w:rPr>
          <w:rFonts w:cs="Times New Roman"/>
          <w:sz w:val="24"/>
          <w:szCs w:val="24"/>
        </w:rPr>
        <w:t>micro-finance</w:t>
      </w:r>
      <w:r w:rsidRPr="00520450">
        <w:rPr>
          <w:rFonts w:cs="Times New Roman"/>
          <w:sz w:val="24"/>
          <w:szCs w:val="24"/>
        </w:rPr>
        <w:t xml:space="preserve"> institutions can help bridge the gap between exclusion and inclusion in access to financial services and reduce reliance on informal, costly borrowing sources. Additionally, the study found that savings can help mitigate the impact of economic shocks and absorb severe shocks. As a result, the researcher recommended that the government encourage banks to promote financial inclusion through advertising, financial assistance</w:t>
      </w:r>
      <w:r w:rsidRPr="006C6F64">
        <w:rPr>
          <w:rFonts w:cs="Times New Roman"/>
          <w:sz w:val="24"/>
          <w:szCs w:val="24"/>
        </w:rPr>
        <w:t xml:space="preserve"> and </w:t>
      </w:r>
      <w:r w:rsidRPr="00520450">
        <w:rPr>
          <w:rFonts w:cs="Times New Roman"/>
          <w:sz w:val="24"/>
          <w:szCs w:val="24"/>
        </w:rPr>
        <w:t>awareness programs to achieve inclusive growth in India.</w:t>
      </w:r>
    </w:p>
    <w:p w14:paraId="599CB81D" w14:textId="10F714F0" w:rsidR="0057354F" w:rsidRPr="00520450" w:rsidRDefault="0057354F" w:rsidP="0057354F">
      <w:pPr>
        <w:tabs>
          <w:tab w:val="left" w:pos="720"/>
        </w:tabs>
        <w:bidi w:val="0"/>
        <w:spacing w:after="120" w:line="360" w:lineRule="auto"/>
        <w:ind w:firstLine="0"/>
        <w:rPr>
          <w:rFonts w:cs="Times New Roman"/>
          <w:sz w:val="24"/>
          <w:szCs w:val="24"/>
        </w:rPr>
      </w:pPr>
      <w:r w:rsidRPr="00520450">
        <w:rPr>
          <w:rFonts w:cs="Times New Roman"/>
          <w:b/>
          <w:bCs/>
          <w:noProof/>
          <w:sz w:val="24"/>
          <w:szCs w:val="24"/>
        </w:rPr>
        <w:tab/>
        <w:t>K. Thirumamagal (2016</w:t>
      </w:r>
      <w:r w:rsidRPr="00520450">
        <w:rPr>
          <w:rFonts w:cs="Times New Roman"/>
          <w:sz w:val="24"/>
          <w:szCs w:val="24"/>
        </w:rPr>
        <w:t>) has published his work on “</w:t>
      </w:r>
      <w:r w:rsidRPr="00520450">
        <w:rPr>
          <w:rFonts w:cs="Times New Roman"/>
          <w:noProof/>
          <w:sz w:val="24"/>
          <w:szCs w:val="24"/>
        </w:rPr>
        <w:t xml:space="preserve">Issues </w:t>
      </w:r>
      <w:r>
        <w:rPr>
          <w:rFonts w:cs="Times New Roman"/>
          <w:noProof/>
          <w:sz w:val="24"/>
          <w:szCs w:val="24"/>
        </w:rPr>
        <w:t>a</w:t>
      </w:r>
      <w:r w:rsidRPr="00520450">
        <w:rPr>
          <w:rFonts w:cs="Times New Roman"/>
          <w:noProof/>
          <w:sz w:val="24"/>
          <w:szCs w:val="24"/>
        </w:rPr>
        <w:t xml:space="preserve">nd Challenges </w:t>
      </w:r>
      <w:r>
        <w:rPr>
          <w:rFonts w:cs="Times New Roman"/>
          <w:noProof/>
          <w:sz w:val="24"/>
          <w:szCs w:val="24"/>
        </w:rPr>
        <w:t>o</w:t>
      </w:r>
      <w:r w:rsidRPr="00520450">
        <w:rPr>
          <w:rFonts w:cs="Times New Roman"/>
          <w:noProof/>
          <w:sz w:val="24"/>
          <w:szCs w:val="24"/>
        </w:rPr>
        <w:t xml:space="preserve">f Financial Inclusion – A Study Concerning Rural Areas </w:t>
      </w:r>
      <w:r>
        <w:rPr>
          <w:rFonts w:cs="Times New Roman"/>
          <w:noProof/>
          <w:sz w:val="24"/>
          <w:szCs w:val="24"/>
        </w:rPr>
        <w:t>i</w:t>
      </w:r>
      <w:r w:rsidRPr="00520450">
        <w:rPr>
          <w:rFonts w:cs="Times New Roman"/>
          <w:noProof/>
          <w:sz w:val="24"/>
          <w:szCs w:val="24"/>
        </w:rPr>
        <w:t>n Tamil Nadu”</w:t>
      </w:r>
      <w:r>
        <w:rPr>
          <w:rFonts w:cs="Times New Roman"/>
          <w:noProof/>
          <w:sz w:val="24"/>
          <w:szCs w:val="24"/>
        </w:rPr>
        <w:t xml:space="preserve"> </w:t>
      </w:r>
      <w:r w:rsidRPr="00520450">
        <w:rPr>
          <w:rFonts w:cs="Times New Roman"/>
          <w:noProof/>
          <w:sz w:val="24"/>
          <w:szCs w:val="24"/>
        </w:rPr>
        <w:t xml:space="preserve">University </w:t>
      </w:r>
      <w:r>
        <w:rPr>
          <w:rFonts w:cs="Times New Roman"/>
          <w:noProof/>
          <w:sz w:val="24"/>
          <w:szCs w:val="24"/>
        </w:rPr>
        <w:t>o</w:t>
      </w:r>
      <w:r w:rsidRPr="00520450">
        <w:rPr>
          <w:rFonts w:cs="Times New Roman"/>
          <w:noProof/>
          <w:sz w:val="24"/>
          <w:szCs w:val="24"/>
        </w:rPr>
        <w:t>f Madras in 2016. The study examined the problems faced by financial institutions</w:t>
      </w:r>
      <w:r w:rsidRPr="00520450">
        <w:rPr>
          <w:rFonts w:cs="Times New Roman"/>
          <w:sz w:val="24"/>
          <w:szCs w:val="24"/>
        </w:rPr>
        <w:t xml:space="preserve"> in implementing financial inclusion, including stagnant banking services, technological issues, inadequate infrastructure</w:t>
      </w:r>
      <w:r w:rsidRPr="006C6F64">
        <w:rPr>
          <w:rFonts w:cs="Times New Roman"/>
          <w:sz w:val="24"/>
          <w:szCs w:val="24"/>
        </w:rPr>
        <w:t xml:space="preserve"> and </w:t>
      </w:r>
      <w:r w:rsidRPr="00520450">
        <w:rPr>
          <w:rFonts w:cs="Times New Roman"/>
          <w:sz w:val="24"/>
          <w:szCs w:val="24"/>
        </w:rPr>
        <w:t>changing regulatory policies. The research also identified measures banks should take to promote inclusive growth and discussed linking individuals’ income-generating activities to banking transactions through multiple channels. The government’s decentralisation approach to financial inclusion, which involves banks and other financial institutions, was also discussed to promote financial inclusion for all individuals. Overall, the study concluded that the primary goal of financial inclusion is to ensure that all individuals have access to financial services.</w:t>
      </w:r>
    </w:p>
    <w:p w14:paraId="4CF0CC03" w14:textId="5547B9D7" w:rsidR="0057354F" w:rsidRDefault="0057354F" w:rsidP="0057354F">
      <w:pPr>
        <w:widowControl/>
        <w:bidi w:val="0"/>
        <w:spacing w:after="120" w:line="360" w:lineRule="auto"/>
        <w:rPr>
          <w:rFonts w:cs="Times New Roman"/>
          <w:sz w:val="24"/>
          <w:szCs w:val="24"/>
        </w:rPr>
      </w:pPr>
      <w:r w:rsidRPr="002A0D99">
        <w:rPr>
          <w:rFonts w:cs="Times New Roman"/>
          <w:b/>
          <w:sz w:val="24"/>
          <w:szCs w:val="24"/>
        </w:rPr>
        <w:tab/>
      </w:r>
      <w:r w:rsidRPr="002A0D99">
        <w:rPr>
          <w:rFonts w:cs="Times New Roman"/>
          <w:b/>
          <w:bCs/>
          <w:noProof/>
          <w:sz w:val="24"/>
          <w:szCs w:val="24"/>
        </w:rPr>
        <w:t>Garg</w:t>
      </w:r>
      <w:r>
        <w:rPr>
          <w:rFonts w:cs="Times New Roman"/>
          <w:b/>
          <w:bCs/>
          <w:noProof/>
          <w:sz w:val="24"/>
          <w:szCs w:val="24"/>
        </w:rPr>
        <w:t xml:space="preserve"> </w:t>
      </w:r>
      <w:r w:rsidRPr="002A0D99">
        <w:rPr>
          <w:rFonts w:cs="Times New Roman"/>
          <w:b/>
          <w:bCs/>
          <w:noProof/>
          <w:sz w:val="24"/>
          <w:szCs w:val="24"/>
        </w:rPr>
        <w:t>(2019</w:t>
      </w:r>
      <w:r w:rsidRPr="002A0D99">
        <w:rPr>
          <w:rFonts w:cs="Times New Roman"/>
          <w:b/>
          <w:sz w:val="24"/>
          <w:szCs w:val="24"/>
        </w:rPr>
        <w:t>)</w:t>
      </w:r>
      <w:r w:rsidR="00BE4601">
        <w:rPr>
          <w:rFonts w:cs="Times New Roman"/>
          <w:b/>
          <w:bCs/>
          <w:sz w:val="24"/>
          <w:szCs w:val="24"/>
          <w:vertAlign w:val="superscript"/>
        </w:rPr>
        <w:t xml:space="preserve"> </w:t>
      </w:r>
      <w:r w:rsidRPr="00520450">
        <w:rPr>
          <w:rFonts w:cs="Times New Roman"/>
          <w:sz w:val="24"/>
          <w:szCs w:val="24"/>
        </w:rPr>
        <w:t xml:space="preserve">has published his work on “Financial Inclusion </w:t>
      </w:r>
      <w:r>
        <w:rPr>
          <w:rFonts w:cs="Times New Roman"/>
          <w:sz w:val="24"/>
          <w:szCs w:val="24"/>
        </w:rPr>
        <w:t>o</w:t>
      </w:r>
      <w:r w:rsidRPr="00520450">
        <w:rPr>
          <w:rFonts w:cs="Times New Roman"/>
          <w:sz w:val="24"/>
          <w:szCs w:val="24"/>
        </w:rPr>
        <w:t xml:space="preserve">f Urban Poor </w:t>
      </w:r>
      <w:r>
        <w:rPr>
          <w:rFonts w:cs="Times New Roman"/>
          <w:sz w:val="24"/>
          <w:szCs w:val="24"/>
        </w:rPr>
        <w:t>i</w:t>
      </w:r>
      <w:r w:rsidRPr="00520450">
        <w:rPr>
          <w:rFonts w:cs="Times New Roman"/>
          <w:sz w:val="24"/>
          <w:szCs w:val="24"/>
        </w:rPr>
        <w:t>n India</w:t>
      </w:r>
      <w:r>
        <w:rPr>
          <w:rFonts w:cs="Times New Roman"/>
          <w:sz w:val="24"/>
          <w:szCs w:val="24"/>
        </w:rPr>
        <w:t xml:space="preserve"> w</w:t>
      </w:r>
      <w:r w:rsidRPr="00520450">
        <w:rPr>
          <w:rFonts w:cs="Times New Roman"/>
          <w:sz w:val="24"/>
          <w:szCs w:val="24"/>
        </w:rPr>
        <w:t xml:space="preserve">ith </w:t>
      </w:r>
      <w:r>
        <w:rPr>
          <w:rFonts w:cs="Times New Roman"/>
          <w:sz w:val="24"/>
          <w:szCs w:val="24"/>
        </w:rPr>
        <w:t>S</w:t>
      </w:r>
      <w:r w:rsidRPr="00520450">
        <w:rPr>
          <w:rFonts w:cs="Times New Roman"/>
          <w:sz w:val="24"/>
          <w:szCs w:val="24"/>
        </w:rPr>
        <w:t xml:space="preserve">pecial </w:t>
      </w:r>
      <w:r>
        <w:rPr>
          <w:rFonts w:cs="Times New Roman"/>
          <w:sz w:val="24"/>
          <w:szCs w:val="24"/>
        </w:rPr>
        <w:t>r</w:t>
      </w:r>
      <w:r w:rsidRPr="00520450">
        <w:rPr>
          <w:rFonts w:cs="Times New Roman"/>
          <w:sz w:val="24"/>
          <w:szCs w:val="24"/>
        </w:rPr>
        <w:t xml:space="preserve">eference </w:t>
      </w:r>
      <w:r>
        <w:rPr>
          <w:rFonts w:cs="Times New Roman"/>
          <w:sz w:val="24"/>
          <w:szCs w:val="24"/>
        </w:rPr>
        <w:t>t</w:t>
      </w:r>
      <w:r w:rsidRPr="00520450">
        <w:rPr>
          <w:rFonts w:cs="Times New Roman"/>
          <w:sz w:val="24"/>
          <w:szCs w:val="24"/>
        </w:rPr>
        <w:t>o Delhi Slums” in Maharshi Dayanand University in 2019.</w:t>
      </w:r>
      <w:r>
        <w:rPr>
          <w:rFonts w:cs="Times New Roman"/>
          <w:sz w:val="24"/>
          <w:szCs w:val="24"/>
        </w:rPr>
        <w:t xml:space="preserve"> </w:t>
      </w:r>
      <w:r w:rsidRPr="00520450">
        <w:rPr>
          <w:rFonts w:cs="Times New Roman"/>
          <w:sz w:val="24"/>
          <w:szCs w:val="24"/>
        </w:rPr>
        <w:t>The main objective of the study was to examine the level of financial inclusion among slum dwellers in Delhi and to identify any challenges faced by commercial banks in achieving financial inclusion in these communities. The study results showed a significant increase in commercial banks in both urban and rural areas in India over the years. However, the researchers recommend that similar studies be conducted in other states to validate the findings of this study and facilitate the generalisation of the results. This research aimed to improve the financial inclusion of marginalised communities in India, particularly in Delhi’s slums.</w:t>
      </w:r>
    </w:p>
    <w:p w14:paraId="267D851C" w14:textId="5E8DABC0" w:rsidR="0057354F" w:rsidRPr="0057354F" w:rsidRDefault="0057354F" w:rsidP="0057354F">
      <w:pPr>
        <w:widowControl/>
        <w:bidi w:val="0"/>
        <w:spacing w:after="120" w:line="360" w:lineRule="auto"/>
        <w:ind w:firstLine="0"/>
        <w:rPr>
          <w:rFonts w:cs="Times New Roman"/>
          <w:b/>
          <w:bCs/>
          <w:color w:val="auto"/>
          <w:sz w:val="24"/>
          <w:szCs w:val="24"/>
          <w:lang w:bidi="ar-YE"/>
        </w:rPr>
      </w:pPr>
      <w:r w:rsidRPr="0057354F">
        <w:rPr>
          <w:rFonts w:cs="Times New Roman"/>
          <w:b/>
          <w:bCs/>
          <w:color w:val="auto"/>
          <w:sz w:val="24"/>
          <w:szCs w:val="24"/>
          <w:lang w:bidi="ar-YE"/>
        </w:rPr>
        <w:t>Methodology</w:t>
      </w:r>
    </w:p>
    <w:p w14:paraId="11C02793" w14:textId="1427CC8F" w:rsidR="0057354F" w:rsidRPr="0057354F" w:rsidRDefault="0057354F" w:rsidP="0057354F">
      <w:pPr>
        <w:widowControl/>
        <w:bidi w:val="0"/>
        <w:spacing w:after="120" w:line="360" w:lineRule="auto"/>
        <w:ind w:firstLine="0"/>
        <w:rPr>
          <w:rFonts w:cs="Times New Roman"/>
          <w:color w:val="auto"/>
          <w:sz w:val="24"/>
          <w:szCs w:val="24"/>
          <w:rtl/>
          <w:lang w:bidi="ar-YE"/>
        </w:rPr>
      </w:pPr>
      <w:r w:rsidRPr="0057354F">
        <w:rPr>
          <w:rFonts w:cs="Times New Roman"/>
          <w:color w:val="auto"/>
          <w:sz w:val="24"/>
          <w:szCs w:val="24"/>
          <w:lang w:bidi="ar-YE"/>
        </w:rPr>
        <w:t xml:space="preserve">This study adopts a conceptual and comparative research methodology combined with case-based analysis to explore the multifaceted dimensions of financial inclusion globally. The research is primarily qualitative, drawing upon existing literature, policy documents, international reports, and </w:t>
      </w:r>
      <w:r w:rsidRPr="0057354F">
        <w:rPr>
          <w:rFonts w:cs="Times New Roman"/>
          <w:color w:val="auto"/>
          <w:sz w:val="24"/>
          <w:szCs w:val="24"/>
          <w:lang w:bidi="ar-YE"/>
        </w:rPr>
        <w:lastRenderedPageBreak/>
        <w:t>empirical studies to develop a comprehensive understanding of financial inclusion frameworks, challenges, and socio-economic impacts.</w:t>
      </w:r>
    </w:p>
    <w:p w14:paraId="69CB8636" w14:textId="77777777" w:rsidR="0057354F" w:rsidRPr="0057354F" w:rsidRDefault="0057354F" w:rsidP="0057354F">
      <w:pPr>
        <w:widowControl/>
        <w:bidi w:val="0"/>
        <w:spacing w:after="120" w:line="360" w:lineRule="auto"/>
        <w:ind w:firstLine="0"/>
        <w:rPr>
          <w:rFonts w:cs="Times New Roman"/>
          <w:b/>
          <w:bCs/>
          <w:color w:val="auto"/>
          <w:sz w:val="24"/>
          <w:szCs w:val="24"/>
          <w:lang w:bidi="ar-YE"/>
        </w:rPr>
      </w:pPr>
      <w:r w:rsidRPr="0057354F">
        <w:rPr>
          <w:rFonts w:cs="Times New Roman"/>
          <w:b/>
          <w:bCs/>
          <w:color w:val="auto"/>
          <w:sz w:val="24"/>
          <w:szCs w:val="24"/>
          <w:lang w:bidi="ar-YE"/>
        </w:rPr>
        <w:t>Conceptual Analysis:</w:t>
      </w:r>
    </w:p>
    <w:p w14:paraId="01FC6536" w14:textId="78FCA867" w:rsidR="0057354F" w:rsidRPr="0057354F" w:rsidRDefault="0057354F" w:rsidP="0057354F">
      <w:pPr>
        <w:widowControl/>
        <w:bidi w:val="0"/>
        <w:spacing w:after="120" w:line="360" w:lineRule="auto"/>
        <w:ind w:firstLine="0"/>
        <w:rPr>
          <w:rFonts w:cs="Times New Roman"/>
          <w:color w:val="auto"/>
          <w:sz w:val="24"/>
          <w:szCs w:val="24"/>
          <w:rtl/>
          <w:lang w:bidi="ar-YE"/>
        </w:rPr>
      </w:pPr>
      <w:r w:rsidRPr="0057354F">
        <w:rPr>
          <w:rFonts w:cs="Times New Roman"/>
          <w:color w:val="auto"/>
          <w:sz w:val="24"/>
          <w:szCs w:val="24"/>
          <w:lang w:bidi="ar-YE"/>
        </w:rPr>
        <w:t xml:space="preserve">The study first establishes a theoretical foundation by reviewing key definitions, goals, and frameworks of financial inclusion from academic and institutional sources. It </w:t>
      </w:r>
      <w:r w:rsidR="00C62B1D">
        <w:rPr>
          <w:rFonts w:cs="Times New Roman"/>
          <w:color w:val="auto"/>
          <w:sz w:val="24"/>
          <w:szCs w:val="24"/>
          <w:lang w:bidi="ar-YE"/>
        </w:rPr>
        <w:t>synthesises</w:t>
      </w:r>
      <w:r w:rsidRPr="0057354F">
        <w:rPr>
          <w:rFonts w:cs="Times New Roman"/>
          <w:color w:val="auto"/>
          <w:sz w:val="24"/>
          <w:szCs w:val="24"/>
          <w:lang w:bidi="ar-YE"/>
        </w:rPr>
        <w:t xml:space="preserve"> various theories and models related to financial access, inclusion policies, and economic development.</w:t>
      </w:r>
    </w:p>
    <w:p w14:paraId="4AC3719A" w14:textId="77777777" w:rsidR="0057354F" w:rsidRPr="0057354F" w:rsidRDefault="0057354F" w:rsidP="0057354F">
      <w:pPr>
        <w:widowControl/>
        <w:bidi w:val="0"/>
        <w:spacing w:after="120" w:line="360" w:lineRule="auto"/>
        <w:ind w:firstLine="0"/>
        <w:rPr>
          <w:rFonts w:cs="Times New Roman"/>
          <w:b/>
          <w:bCs/>
          <w:color w:val="auto"/>
          <w:sz w:val="24"/>
          <w:szCs w:val="24"/>
          <w:lang w:bidi="ar-YE"/>
        </w:rPr>
      </w:pPr>
      <w:r w:rsidRPr="0057354F">
        <w:rPr>
          <w:rFonts w:cs="Times New Roman"/>
          <w:b/>
          <w:bCs/>
          <w:color w:val="auto"/>
          <w:sz w:val="24"/>
          <w:szCs w:val="24"/>
          <w:lang w:bidi="ar-YE"/>
        </w:rPr>
        <w:t>Comparative Approach:</w:t>
      </w:r>
    </w:p>
    <w:p w14:paraId="1B54E208" w14:textId="6039181D" w:rsidR="0057354F" w:rsidRPr="0057354F" w:rsidRDefault="0057354F" w:rsidP="0057354F">
      <w:pPr>
        <w:widowControl/>
        <w:bidi w:val="0"/>
        <w:spacing w:after="120" w:line="360" w:lineRule="auto"/>
        <w:ind w:firstLine="0"/>
        <w:rPr>
          <w:rFonts w:cs="Times New Roman"/>
          <w:color w:val="auto"/>
          <w:sz w:val="24"/>
          <w:szCs w:val="24"/>
          <w:rtl/>
          <w:lang w:bidi="ar-YE"/>
        </w:rPr>
      </w:pPr>
      <w:r w:rsidRPr="0057354F">
        <w:rPr>
          <w:rFonts w:cs="Times New Roman"/>
          <w:color w:val="auto"/>
          <w:sz w:val="24"/>
          <w:szCs w:val="24"/>
          <w:lang w:bidi="ar-YE"/>
        </w:rPr>
        <w:t>The research compares different national and international financial inclusion initiatives, highlighting variations in strategies, implementation, and outcomes. This comparative analysis includes examples from countries such as Kenya, Mexico, Jordan, the Philippines, Nigeria, and others, illustrating diverse approaches to expanding financial access.</w:t>
      </w:r>
    </w:p>
    <w:p w14:paraId="227003FB" w14:textId="77777777" w:rsidR="0057354F" w:rsidRPr="0057354F" w:rsidRDefault="0057354F" w:rsidP="0057354F">
      <w:pPr>
        <w:widowControl/>
        <w:bidi w:val="0"/>
        <w:spacing w:after="120" w:line="360" w:lineRule="auto"/>
        <w:ind w:firstLine="0"/>
        <w:rPr>
          <w:rFonts w:cs="Times New Roman"/>
          <w:b/>
          <w:bCs/>
          <w:color w:val="auto"/>
          <w:sz w:val="24"/>
          <w:szCs w:val="24"/>
          <w:lang w:bidi="ar-YE"/>
        </w:rPr>
      </w:pPr>
      <w:r w:rsidRPr="0057354F">
        <w:rPr>
          <w:rFonts w:cs="Times New Roman"/>
          <w:b/>
          <w:bCs/>
          <w:color w:val="auto"/>
          <w:sz w:val="24"/>
          <w:szCs w:val="24"/>
          <w:lang w:bidi="ar-YE"/>
        </w:rPr>
        <w:t>Case-Based Analysis:</w:t>
      </w:r>
    </w:p>
    <w:p w14:paraId="705F0E91" w14:textId="095F025B" w:rsidR="0057354F" w:rsidRPr="0057354F" w:rsidRDefault="0057354F" w:rsidP="0057354F">
      <w:pPr>
        <w:widowControl/>
        <w:bidi w:val="0"/>
        <w:spacing w:after="120" w:line="360" w:lineRule="auto"/>
        <w:ind w:firstLine="0"/>
        <w:rPr>
          <w:rFonts w:cs="Times New Roman"/>
          <w:color w:val="auto"/>
          <w:sz w:val="24"/>
          <w:szCs w:val="24"/>
          <w:rtl/>
          <w:lang w:bidi="ar-YE"/>
        </w:rPr>
      </w:pPr>
      <w:r w:rsidRPr="0057354F">
        <w:rPr>
          <w:rFonts w:cs="Times New Roman"/>
          <w:color w:val="auto"/>
          <w:sz w:val="24"/>
          <w:szCs w:val="24"/>
          <w:lang w:bidi="ar-YE"/>
        </w:rPr>
        <w:t>Specific case studies are examined to illustrate the practical application of financial inclusion policies and innovations. These include Kenya’s agency banking system, the UK’s Post Office Current Account scheme, and Jordan’s national financial inclusion strategy. The cases provide insights into effective mechanisms, challenges encountered, and lessons learned.</w:t>
      </w:r>
    </w:p>
    <w:p w14:paraId="09BED740" w14:textId="77777777" w:rsidR="0057354F" w:rsidRPr="0057354F" w:rsidRDefault="0057354F" w:rsidP="0057354F">
      <w:pPr>
        <w:widowControl/>
        <w:bidi w:val="0"/>
        <w:spacing w:after="120" w:line="360" w:lineRule="auto"/>
        <w:ind w:firstLine="0"/>
        <w:rPr>
          <w:rFonts w:cs="Times New Roman"/>
          <w:b/>
          <w:bCs/>
          <w:color w:val="auto"/>
          <w:sz w:val="24"/>
          <w:szCs w:val="24"/>
          <w:lang w:bidi="ar-YE"/>
        </w:rPr>
      </w:pPr>
      <w:r w:rsidRPr="0057354F">
        <w:rPr>
          <w:rFonts w:cs="Times New Roman"/>
          <w:b/>
          <w:bCs/>
          <w:color w:val="auto"/>
          <w:sz w:val="24"/>
          <w:szCs w:val="24"/>
          <w:lang w:bidi="ar-YE"/>
        </w:rPr>
        <w:t>Data Sources:</w:t>
      </w:r>
    </w:p>
    <w:p w14:paraId="371CD33E" w14:textId="1CEA0D2A" w:rsidR="0057354F" w:rsidRPr="0057354F" w:rsidRDefault="0057354F" w:rsidP="0057354F">
      <w:pPr>
        <w:widowControl/>
        <w:bidi w:val="0"/>
        <w:spacing w:after="120" w:line="360" w:lineRule="auto"/>
        <w:ind w:firstLine="0"/>
        <w:rPr>
          <w:rFonts w:cs="Times New Roman"/>
          <w:color w:val="auto"/>
          <w:sz w:val="24"/>
          <w:szCs w:val="24"/>
          <w:rtl/>
          <w:lang w:bidi="ar-YE"/>
        </w:rPr>
      </w:pPr>
      <w:r w:rsidRPr="0057354F">
        <w:rPr>
          <w:rFonts w:cs="Times New Roman"/>
          <w:color w:val="auto"/>
          <w:sz w:val="24"/>
          <w:szCs w:val="24"/>
          <w:lang w:bidi="ar-YE"/>
        </w:rPr>
        <w:t>Secondary data is collected from global databases such as the Global Findex, World Bank reports, IMF publications, and peer-reviewed articles. This data supports the evaluation of progress in financial inclusion and the identification of gaps in access.</w:t>
      </w:r>
    </w:p>
    <w:p w14:paraId="67E0B961" w14:textId="77777777" w:rsidR="0057354F" w:rsidRPr="0057354F" w:rsidRDefault="0057354F" w:rsidP="0057354F">
      <w:pPr>
        <w:widowControl/>
        <w:bidi w:val="0"/>
        <w:spacing w:after="120" w:line="360" w:lineRule="auto"/>
        <w:ind w:firstLine="0"/>
        <w:rPr>
          <w:rFonts w:cs="Times New Roman"/>
          <w:b/>
          <w:bCs/>
          <w:color w:val="auto"/>
          <w:sz w:val="24"/>
          <w:szCs w:val="24"/>
          <w:lang w:bidi="ar-YE"/>
        </w:rPr>
      </w:pPr>
      <w:r w:rsidRPr="0057354F">
        <w:rPr>
          <w:rFonts w:cs="Times New Roman"/>
          <w:b/>
          <w:bCs/>
          <w:color w:val="auto"/>
          <w:sz w:val="24"/>
          <w:szCs w:val="24"/>
          <w:lang w:bidi="ar-YE"/>
        </w:rPr>
        <w:t>Limitations:</w:t>
      </w:r>
    </w:p>
    <w:p w14:paraId="04D79C23" w14:textId="2D5D3993" w:rsidR="0057354F" w:rsidRPr="0057354F" w:rsidRDefault="0057354F" w:rsidP="00BE4601">
      <w:pPr>
        <w:widowControl/>
        <w:bidi w:val="0"/>
        <w:spacing w:after="120" w:line="360" w:lineRule="auto"/>
        <w:ind w:firstLine="0"/>
        <w:rPr>
          <w:rFonts w:cs="Times New Roman"/>
          <w:color w:val="auto"/>
          <w:sz w:val="24"/>
          <w:szCs w:val="24"/>
          <w:lang w:bidi="ar-YE"/>
        </w:rPr>
      </w:pPr>
      <w:r w:rsidRPr="0057354F">
        <w:rPr>
          <w:rFonts w:cs="Times New Roman"/>
          <w:color w:val="auto"/>
          <w:sz w:val="24"/>
          <w:szCs w:val="24"/>
          <w:lang w:bidi="ar-YE"/>
        </w:rPr>
        <w:t xml:space="preserve">While the study provides broad insights, it relies on secondary data and published case studies, which may limit the depth of </w:t>
      </w:r>
      <w:r w:rsidR="00C62B1D">
        <w:rPr>
          <w:rFonts w:cs="Times New Roman"/>
          <w:color w:val="auto"/>
          <w:sz w:val="24"/>
          <w:szCs w:val="24"/>
          <w:lang w:bidi="ar-YE"/>
        </w:rPr>
        <w:t>localised</w:t>
      </w:r>
      <w:r w:rsidRPr="0057354F">
        <w:rPr>
          <w:rFonts w:cs="Times New Roman"/>
          <w:color w:val="auto"/>
          <w:sz w:val="24"/>
          <w:szCs w:val="24"/>
          <w:lang w:bidi="ar-YE"/>
        </w:rPr>
        <w:t xml:space="preserve"> or real-time analysis. Future research could incorporate primary data collection to enhance empirical robustness.</w:t>
      </w:r>
      <w:r w:rsidR="00BE4601">
        <w:rPr>
          <w:rFonts w:cs="Times New Roman"/>
          <w:color w:val="auto"/>
          <w:sz w:val="24"/>
          <w:szCs w:val="24"/>
          <w:lang w:bidi="ar-YE"/>
        </w:rPr>
        <w:t xml:space="preserve"> </w:t>
      </w:r>
      <w:r w:rsidRPr="0057354F">
        <w:rPr>
          <w:rFonts w:cs="Times New Roman"/>
          <w:color w:val="auto"/>
          <w:sz w:val="24"/>
          <w:szCs w:val="24"/>
          <w:lang w:bidi="ar-YE"/>
        </w:rPr>
        <w:t>This mixed methodological approach allows for a rich, contextual understanding of financial inclusion efforts across different socio-economic environments, providing a basis for informed policy recommendations.</w:t>
      </w:r>
    </w:p>
    <w:p w14:paraId="304D480E" w14:textId="77777777" w:rsidR="0057354F" w:rsidRPr="0057354F" w:rsidRDefault="0057354F" w:rsidP="0057354F">
      <w:pPr>
        <w:widowControl/>
        <w:bidi w:val="0"/>
        <w:spacing w:after="120" w:line="360" w:lineRule="auto"/>
        <w:ind w:firstLine="0"/>
        <w:rPr>
          <w:rFonts w:cs="Times New Roman"/>
          <w:color w:val="auto"/>
          <w:sz w:val="24"/>
          <w:szCs w:val="24"/>
          <w:lang w:bidi="ar-YE"/>
        </w:rPr>
      </w:pPr>
    </w:p>
    <w:p w14:paraId="5747C498" w14:textId="0A38BDC0" w:rsidR="0025500A" w:rsidRPr="00F16343" w:rsidRDefault="0025500A" w:rsidP="0025500A">
      <w:pPr>
        <w:widowControl/>
        <w:bidi w:val="0"/>
        <w:spacing w:after="120" w:line="360" w:lineRule="auto"/>
        <w:ind w:firstLine="0"/>
        <w:rPr>
          <w:rFonts w:cs="Times New Roman"/>
          <w:color w:val="auto"/>
          <w:sz w:val="24"/>
          <w:szCs w:val="24"/>
          <w:lang w:bidi="ar-YE"/>
        </w:rPr>
      </w:pPr>
      <w:r>
        <w:rPr>
          <w:rFonts w:cs="Times New Roman"/>
          <w:b/>
          <w:bCs/>
          <w:color w:val="auto"/>
          <w:sz w:val="24"/>
          <w:szCs w:val="24"/>
          <w:lang w:bidi="ar-YE"/>
        </w:rPr>
        <w:br w:type="page"/>
      </w:r>
      <w:r w:rsidRPr="00F16343">
        <w:rPr>
          <w:rFonts w:cs="Times New Roman"/>
          <w:b/>
          <w:bCs/>
          <w:color w:val="auto"/>
          <w:sz w:val="24"/>
          <w:szCs w:val="24"/>
          <w:lang w:bidi="ar-YE"/>
        </w:rPr>
        <w:lastRenderedPageBreak/>
        <w:t>Background of the Study</w:t>
      </w:r>
    </w:p>
    <w:p w14:paraId="774DDAE6" w14:textId="1DA82E79" w:rsidR="0025500A" w:rsidRPr="00F16343" w:rsidRDefault="0025500A" w:rsidP="00BE4601">
      <w:pPr>
        <w:widowControl/>
        <w:bidi w:val="0"/>
        <w:spacing w:after="120" w:line="360" w:lineRule="auto"/>
        <w:ind w:firstLine="720"/>
        <w:rPr>
          <w:rFonts w:cs="Times New Roman"/>
          <w:color w:val="auto"/>
          <w:sz w:val="24"/>
          <w:szCs w:val="24"/>
          <w:lang w:bidi="ar-YE"/>
        </w:rPr>
      </w:pPr>
      <w:r w:rsidRPr="00F16343">
        <w:rPr>
          <w:rFonts w:cs="Times New Roman"/>
          <w:b/>
          <w:bCs/>
          <w:color w:val="auto"/>
          <w:sz w:val="24"/>
          <w:szCs w:val="24"/>
          <w:lang w:bidi="ar-YE"/>
        </w:rPr>
        <w:t>Financial Development and Economy</w:t>
      </w:r>
    </w:p>
    <w:p w14:paraId="00D3A80A" w14:textId="1955B521"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Pr>
          <w:rFonts w:cs="Times New Roman"/>
          <w:color w:val="auto"/>
          <w:sz w:val="24"/>
          <w:szCs w:val="24"/>
          <w:lang w:bidi="ar-YE"/>
        </w:rPr>
        <w:t>An entrepreneurial spirit can be encouraged among the populace by offering formal credit alternatives and guaranteeing sufficient and transparent credit availability through financial institutions and conventional channels, which will boost output and wealth in the nation. As a result, unbanked people will be less reliant on unofficial funding sources</w:t>
      </w:r>
      <w:r w:rsidR="00C62B1D">
        <w:rPr>
          <w:rFonts w:cs="Times New Roman"/>
          <w:color w:val="auto"/>
          <w:sz w:val="24"/>
          <w:szCs w:val="24"/>
          <w:lang w:bidi="ar-YE"/>
        </w:rPr>
        <w:t>,</w:t>
      </w:r>
      <w:r>
        <w:rPr>
          <w:rFonts w:cs="Times New Roman"/>
          <w:color w:val="auto"/>
          <w:sz w:val="24"/>
          <w:szCs w:val="24"/>
          <w:lang w:bidi="ar-YE"/>
        </w:rPr>
        <w:t xml:space="preserve"> including loans from friends, family, and moneylenders.</w:t>
      </w:r>
      <w:r w:rsidRPr="00F16343">
        <w:rPr>
          <w:rFonts w:cs="Times New Roman"/>
          <w:color w:val="auto"/>
          <w:sz w:val="24"/>
          <w:szCs w:val="24"/>
          <w:lang w:bidi="ar-YE"/>
        </w:rPr>
        <w:t xml:space="preserve"> </w:t>
      </w:r>
      <w:r w:rsidR="007F0735">
        <w:rPr>
          <w:rFonts w:cs="Times New Roman"/>
          <w:color w:val="auto"/>
          <w:sz w:val="24"/>
          <w:szCs w:val="24"/>
          <w:lang w:bidi="ar-YE"/>
        </w:rPr>
        <w:t>In 90% of economies, the primary financial regulator is in charge of at least some components of the financial inclusion agenda, according to Financial Access's 2010 CGAP study. However, financial authorities in low- and middle-income nations are more likely to concentrate on promoting access to deposit and credit services.</w:t>
      </w:r>
    </w:p>
    <w:p w14:paraId="52E22C1F" w14:textId="4445558A"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 xml:space="preserve">Sharma (2014) asserts that based on each nation's degree of development, different areas have varied interpretations of economic progress. Every nation prioritises economic growth and employs different strategies based on its unique situation. In order to prevent a product or program from failing, economic growth must be inclusive and beneficial to all members of society. The usage of electronic bill payment methods and digital channels may be viewed as a type of financial exclusion in industrialised nations. However, in developing countries, where the financial sector does not offer sophisticated services, this perspective may not be valid. As a result, it is difficult to compare nations based on economic development, and care should be </w:t>
      </w:r>
      <w:r w:rsidR="00C62B1D">
        <w:rPr>
          <w:rFonts w:cs="Times New Roman"/>
          <w:color w:val="auto"/>
          <w:sz w:val="24"/>
          <w:szCs w:val="24"/>
          <w:lang w:bidi="ar-YE"/>
        </w:rPr>
        <w:t>taken</w:t>
      </w:r>
      <w:r w:rsidR="007F0735">
        <w:rPr>
          <w:rFonts w:cs="Times New Roman"/>
          <w:color w:val="auto"/>
          <w:sz w:val="24"/>
          <w:szCs w:val="24"/>
          <w:lang w:bidi="ar-YE"/>
        </w:rPr>
        <w:t>. A key element of total economic growth and an important factor in an economy's development is financial development.</w:t>
      </w:r>
    </w:p>
    <w:p w14:paraId="49C38CB6" w14:textId="3AD89101"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b/>
          <w:bCs/>
          <w:color w:val="auto"/>
          <w:sz w:val="24"/>
          <w:szCs w:val="24"/>
          <w:lang w:bidi="ar-YE"/>
        </w:rPr>
        <w:t>Promoting Global Financial Literacy</w:t>
      </w:r>
    </w:p>
    <w:p w14:paraId="6DF9F330" w14:textId="66E2E2B5"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With the help of OECD/INFE, the World Bank</w:t>
      </w:r>
      <w:r w:rsidR="00C62B1D">
        <w:rPr>
          <w:rFonts w:cs="Times New Roman"/>
          <w:color w:val="auto"/>
          <w:sz w:val="24"/>
          <w:szCs w:val="24"/>
          <w:lang w:bidi="ar-YE"/>
        </w:rPr>
        <w:t>,</w:t>
      </w:r>
      <w:r w:rsidR="007F0735">
        <w:rPr>
          <w:rFonts w:cs="Times New Roman"/>
          <w:color w:val="auto"/>
          <w:sz w:val="24"/>
          <w:szCs w:val="24"/>
          <w:lang w:bidi="ar-YE"/>
        </w:rPr>
        <w:t xml:space="preserve"> and G20 nations have been actively promoting financial inclusion and financial literacy among people worldwide since 2010. 515 million adults globally opened a bank account between 2014 and 2017, according to the Findex 2017 study. Nonetheless, 1.7 billion adults are still unbanked, out of the 2 billion people who lack access to banking globally. Interestingly, women make up 56% of the unbanked population. </w:t>
      </w:r>
    </w:p>
    <w:p w14:paraId="28F366CF" w14:textId="188266A0"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 xml:space="preserve">Approximately 38% of bank accounts in India, although over 80% of people have one, are not active. Therefore, it is essential to create a comprehensive financial system that gives the underprivileged segments of society the ability to easily engage in personal financial planning </w:t>
      </w:r>
      <w:r w:rsidR="007F0735">
        <w:rPr>
          <w:rFonts w:cs="Times New Roman"/>
          <w:color w:val="auto"/>
          <w:sz w:val="24"/>
          <w:szCs w:val="24"/>
          <w:lang w:bidi="ar-YE"/>
        </w:rPr>
        <w:lastRenderedPageBreak/>
        <w:t>activities while fostering confidence and trust. The underprivileged should have their needs met by updating and customising this system.</w:t>
      </w:r>
    </w:p>
    <w:p w14:paraId="1CBBDC1B" w14:textId="0847ECBB"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However, financial inclusion is not ensured by merely opening a bank account. Encouraging the underprivileged population to use the formal financial system for financial services and establishing and maintaining banking habits are the real challenges. Dhillon (2019) highlights the significance of giving low-income households basic financial education and information. They must have access to trustworthy investment sources that can yield future returns, concentrate on building wealth through prudent saving, and comprehend the risks involved in the financial industry.</w:t>
      </w:r>
    </w:p>
    <w:p w14:paraId="6DF7C788" w14:textId="077D9E5B"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bookmarkStart w:id="0" w:name="_Hlk112495942"/>
      <w:r w:rsidR="007F0735">
        <w:rPr>
          <w:rFonts w:cs="Times New Roman"/>
          <w:color w:val="auto"/>
          <w:sz w:val="24"/>
          <w:szCs w:val="24"/>
          <w:lang w:bidi="ar-YE"/>
        </w:rPr>
        <w:t>Poor people should have access to funds that are solely intended for future use as part of the financial system's contingency planning sector, which is where financial inclusion operates. It has been noted that merely enhancing one's lifestyle through financial inclusion is insufficient; people also need to have the right tools and resources to properly plan for their later years. Many impoverished people are unaware of retirement planning and lack the requisite expertise. Therefore, it is crucial to offer them reasonably priced retirement plans to guarantee they obtain beneficial returns in their later years.</w:t>
      </w:r>
    </w:p>
    <w:p w14:paraId="55AE906F" w14:textId="30F82C4D" w:rsidR="0025500A" w:rsidRPr="00F16343" w:rsidRDefault="0025500A" w:rsidP="0025500A">
      <w:pPr>
        <w:widowControl/>
        <w:bidi w:val="0"/>
        <w:spacing w:after="120" w:line="360" w:lineRule="auto"/>
        <w:ind w:firstLine="0"/>
        <w:jc w:val="left"/>
        <w:rPr>
          <w:rFonts w:cs="Times New Roman"/>
          <w:b/>
          <w:bCs/>
          <w:color w:val="auto"/>
          <w:sz w:val="24"/>
          <w:szCs w:val="24"/>
          <w:lang w:bidi="ar-YE"/>
        </w:rPr>
      </w:pPr>
      <w:r w:rsidRPr="00F16343">
        <w:rPr>
          <w:rFonts w:cs="Times New Roman"/>
          <w:b/>
          <w:bCs/>
          <w:color w:val="auto"/>
          <w:sz w:val="24"/>
          <w:szCs w:val="24"/>
          <w:lang w:bidi="ar-YE"/>
        </w:rPr>
        <w:t>Financial Inclusion</w:t>
      </w:r>
    </w:p>
    <w:p w14:paraId="24E7DF0C" w14:textId="7C32F2C8"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In recent years, financial inclusion has gained a lot of attention, particularly when it comes to fostering economic growth and lowering poverty. In essence, it entails making sure that a range of financial services and products, such as credit, insurance, savings accounts, and payment systems, are easily and reasonably accessible to both individuals and enterprises. Nonetheless, the notion of financial inclusion is multifaceted and subject to several interpretations. We will examine several definitions, conceptualisations, and viewpoints regarding financial inclusion in this conversation.</w:t>
      </w:r>
    </w:p>
    <w:p w14:paraId="2435184D" w14:textId="350DA374"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 xml:space="preserve">All societal segments must be included in the financial sector and have equitable access to banking and other financial services, according to </w:t>
      </w:r>
      <w:proofErr w:type="spellStart"/>
      <w:r w:rsidR="007F0735">
        <w:rPr>
          <w:rFonts w:cs="Times New Roman"/>
          <w:color w:val="auto"/>
          <w:sz w:val="24"/>
          <w:szCs w:val="24"/>
          <w:lang w:bidi="ar-YE"/>
        </w:rPr>
        <w:t>Bhagwandas</w:t>
      </w:r>
      <w:proofErr w:type="spellEnd"/>
      <w:r w:rsidR="007F0735">
        <w:rPr>
          <w:rFonts w:cs="Times New Roman"/>
          <w:color w:val="auto"/>
          <w:sz w:val="24"/>
          <w:szCs w:val="24"/>
          <w:lang w:bidi="ar-YE"/>
        </w:rPr>
        <w:t xml:space="preserve"> (2018</w:t>
      </w:r>
      <w:proofErr w:type="gramStart"/>
      <w:r w:rsidR="007F0735">
        <w:rPr>
          <w:rFonts w:cs="Times New Roman"/>
          <w:color w:val="auto"/>
          <w:sz w:val="24"/>
          <w:szCs w:val="24"/>
          <w:lang w:bidi="ar-YE"/>
        </w:rPr>
        <w:t>).Universal</w:t>
      </w:r>
      <w:proofErr w:type="gramEnd"/>
      <w:r w:rsidR="007F0735">
        <w:rPr>
          <w:rFonts w:cs="Times New Roman"/>
          <w:color w:val="auto"/>
          <w:sz w:val="24"/>
          <w:szCs w:val="24"/>
          <w:lang w:bidi="ar-YE"/>
        </w:rPr>
        <w:t xml:space="preserve"> access to a variety of financial services at affordable prices, including equity and insurance products, is referred to as financial inclusion. The World Bank defines financial inclusion as the availability of practical, reasonably priced financial services and products that satisfy the needs of people and </w:t>
      </w:r>
      <w:r w:rsidR="007F0735">
        <w:rPr>
          <w:rFonts w:cs="Times New Roman"/>
          <w:color w:val="auto"/>
          <w:sz w:val="24"/>
          <w:szCs w:val="24"/>
          <w:lang w:bidi="ar-YE"/>
        </w:rPr>
        <w:lastRenderedPageBreak/>
        <w:t xml:space="preserve">enterprises, including credit, insurance, savings, payments, and transactions, and that are provided </w:t>
      </w:r>
      <w:r w:rsidR="00C62B1D">
        <w:rPr>
          <w:rFonts w:cs="Times New Roman"/>
          <w:color w:val="auto"/>
          <w:sz w:val="24"/>
          <w:szCs w:val="24"/>
          <w:lang w:bidi="ar-YE"/>
        </w:rPr>
        <w:t>ethically and sustainably</w:t>
      </w:r>
      <w:r w:rsidR="007F0735">
        <w:rPr>
          <w:rFonts w:cs="Times New Roman"/>
          <w:color w:val="auto"/>
          <w:sz w:val="24"/>
          <w:szCs w:val="24"/>
          <w:lang w:bidi="ar-YE"/>
        </w:rPr>
        <w:t>.</w:t>
      </w:r>
    </w:p>
    <w:p w14:paraId="23F1FB98" w14:textId="4B02E31A"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Established financial institutions effectively and transparently carry out the goal of providing accessible and affordable financial products and services to economically disadvantaged, underserved, underprivileged, and below-poverty vulnerable groups in compliance with the guidelines established by the RBI.</w:t>
      </w:r>
    </w:p>
    <w:p w14:paraId="154DC3D9" w14:textId="7A843457"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 xml:space="preserve">Ahmed Al-Bakle claims that a broad range of excellent public financial services and products are included in financial inclusion. Payments, current and savings accounts, transfers, credit, loans, financing, insurance, and more are all included in this category. Regulations supporting these services and goods are designed to increase their accessibility and use by all societal groups. The goal of financial inclusion is to offer these services and goods in a timely, equitable, transparent, affordable, and suitable quality manner. It should be customised to fit each person's demands and guarantee efficient use. </w:t>
      </w:r>
      <w:r w:rsidR="00C62B1D">
        <w:rPr>
          <w:rFonts w:cs="Times New Roman"/>
          <w:color w:val="auto"/>
          <w:sz w:val="24"/>
          <w:szCs w:val="24"/>
          <w:lang w:bidi="ar-YE"/>
        </w:rPr>
        <w:t>These services must be</w:t>
      </w:r>
      <w:r w:rsidR="007F0735">
        <w:rPr>
          <w:rFonts w:cs="Times New Roman"/>
          <w:color w:val="auto"/>
          <w:sz w:val="24"/>
          <w:szCs w:val="24"/>
          <w:lang w:bidi="ar-YE"/>
        </w:rPr>
        <w:t xml:space="preserve"> provided responsibly, sustainably, and in accordance with the relevant legal and regulatory framework via the official financial system channels.</w:t>
      </w:r>
    </w:p>
    <w:p w14:paraId="635F1633" w14:textId="759FCBCA" w:rsidR="0025500A" w:rsidRPr="00F16343" w:rsidRDefault="0025500A" w:rsidP="0025500A">
      <w:pPr>
        <w:widowControl/>
        <w:bidi w:val="0"/>
        <w:spacing w:after="120" w:line="360" w:lineRule="auto"/>
        <w:ind w:firstLine="0"/>
        <w:rPr>
          <w:rFonts w:cs="Times New Roman"/>
          <w:color w:val="auto"/>
          <w:sz w:val="24"/>
          <w:szCs w:val="24"/>
          <w:rtl/>
          <w:lang w:bidi="ar-YE"/>
        </w:rPr>
      </w:pPr>
      <w:r w:rsidRPr="00F16343">
        <w:rPr>
          <w:rFonts w:cs="Times New Roman"/>
          <w:color w:val="auto"/>
          <w:sz w:val="24"/>
          <w:szCs w:val="24"/>
          <w:lang w:bidi="ar-YE"/>
        </w:rPr>
        <w:tab/>
      </w:r>
      <w:bookmarkEnd w:id="0"/>
      <w:r w:rsidR="007F0735">
        <w:rPr>
          <w:rFonts w:cs="Times New Roman"/>
          <w:color w:val="auto"/>
          <w:sz w:val="24"/>
          <w:szCs w:val="24"/>
          <w:lang w:bidi="ar-YE"/>
        </w:rPr>
        <w:t>According to Priyanka Sharma, financial inclusion is the process of making sure that everyone in an economy can easily access, use, and utilise the official financial system. According to Lakhwinder Kaur Dhillon's research, financial inclusion is a system that provides banking services to a larger percentage of low-income and disadvantaged populations at a fair and accessible price. According to The Rangarajan Committee (2008), "the process of ensuring access to financial services and timely and adequate credit needed by vulnerable groups such as weaker segments and low-income groups at an affordable cost" is the definition of an inclusive financial system, also referred to as financial inclusion.</w:t>
      </w:r>
    </w:p>
    <w:p w14:paraId="51E38F79" w14:textId="1E13C4E3" w:rsidR="0025500A" w:rsidRPr="000B0F07" w:rsidRDefault="0025500A" w:rsidP="0025500A">
      <w:pPr>
        <w:widowControl/>
        <w:bidi w:val="0"/>
        <w:spacing w:after="120" w:line="360" w:lineRule="auto"/>
        <w:ind w:firstLine="0"/>
        <w:rPr>
          <w:rFonts w:cs="Times New Roman"/>
          <w:b/>
          <w:bCs/>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"A financial sector that provides credit to all bankable people and firms</w:t>
      </w:r>
      <w:r w:rsidR="00C62B1D">
        <w:rPr>
          <w:rFonts w:cs="Times New Roman"/>
          <w:color w:val="auto"/>
          <w:sz w:val="24"/>
          <w:szCs w:val="24"/>
          <w:lang w:bidi="ar-YE"/>
        </w:rPr>
        <w:t>,</w:t>
      </w:r>
      <w:r w:rsidR="007F0735">
        <w:rPr>
          <w:rFonts w:cs="Times New Roman"/>
          <w:color w:val="auto"/>
          <w:sz w:val="24"/>
          <w:szCs w:val="24"/>
          <w:lang w:bidi="ar-YE"/>
        </w:rPr>
        <w:t xml:space="preserve"> as well as savings and payment services to everyone" is how the UN defines financial inclusion. While not everyone must be able to use all services for inclusive finance, they should have the option to do so if they so choose</w:t>
      </w:r>
      <w:r w:rsidRPr="00F16343">
        <w:rPr>
          <w:rFonts w:cs="Times New Roman"/>
          <w:color w:val="auto"/>
          <w:sz w:val="24"/>
          <w:szCs w:val="24"/>
          <w:lang w:bidi="ar-YE"/>
        </w:rPr>
        <w:t>.</w:t>
      </w:r>
      <w:sdt>
        <w:sdtPr>
          <w:rPr>
            <w:rFonts w:cs="Times New Roman"/>
            <w:sz w:val="24"/>
            <w:szCs w:val="24"/>
            <w:lang w:bidi="ar-YE"/>
          </w:rPr>
          <w:tag w:val="MENDELEY_CITATION_v3_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"/>
          <w:id w:val="461388323"/>
          <w:placeholder>
            <w:docPart w:val="DefaultPlaceholder_-1854013440"/>
          </w:placeholder>
        </w:sdtPr>
        <w:sdtContent>
          <w:r w:rsidR="00C62B1D" w:rsidRPr="00C62B1D">
            <w:rPr>
              <w:sz w:val="24"/>
            </w:rPr>
            <w:t>(</w:t>
          </w:r>
          <w:proofErr w:type="spellStart"/>
          <w:r w:rsidR="00C62B1D" w:rsidRPr="00C62B1D">
            <w:rPr>
              <w:sz w:val="24"/>
            </w:rPr>
            <w:t>Raihanath</w:t>
          </w:r>
          <w:proofErr w:type="spellEnd"/>
          <w:r w:rsidR="00C62B1D" w:rsidRPr="00C62B1D">
            <w:rPr>
              <w:sz w:val="24"/>
            </w:rPr>
            <w:t xml:space="preserve"> &amp; Pavithran, 2019)</w:t>
          </w:r>
        </w:sdtContent>
      </w:sdt>
      <w:r w:rsidRPr="00F16343">
        <w:rPr>
          <w:rFonts w:cs="Times New Roman"/>
          <w:color w:val="auto"/>
          <w:sz w:val="24"/>
          <w:szCs w:val="24"/>
          <w:lang w:bidi="ar-YE"/>
        </w:rPr>
        <w:t xml:space="preserve"> </w:t>
      </w:r>
      <w:r w:rsidR="007F0735">
        <w:rPr>
          <w:rFonts w:cs="Times New Roman"/>
          <w:color w:val="auto"/>
          <w:sz w:val="24"/>
          <w:szCs w:val="24"/>
          <w:lang w:bidi="ar-YE"/>
        </w:rPr>
        <w:t>According to ADB (2000), financial inclusion offers low-income and impoverished households and their microbusinesses a wide range of financial services, including deposits, loans, payment services, money transfers, and insurance.</w:t>
      </w:r>
      <w:sdt>
        <w:sdtPr>
          <w:rPr>
            <w:rFonts w:cs="Times New Roman"/>
            <w:bCs/>
            <w:sz w:val="24"/>
            <w:szCs w:val="24"/>
            <w:lang w:bidi="ar-YE"/>
          </w:rPr>
          <w:tag w:val="MENDELEY_CITATION_v3_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"/>
          <w:id w:val="-469816363"/>
          <w:placeholder>
            <w:docPart w:val="DefaultPlaceholder_-1854013440"/>
          </w:placeholder>
        </w:sdtPr>
        <w:sdtContent>
          <w:r w:rsidR="00C62B1D" w:rsidRPr="00C62B1D">
            <w:rPr>
              <w:rFonts w:cs="Times New Roman"/>
              <w:bCs/>
              <w:sz w:val="24"/>
              <w:szCs w:val="24"/>
              <w:lang w:bidi="ar-YE"/>
            </w:rPr>
            <w:t>(Lin et al., 2023)</w:t>
          </w:r>
        </w:sdtContent>
      </w:sdt>
    </w:p>
    <w:p w14:paraId="0C8812CD" w14:textId="2A700E54"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lastRenderedPageBreak/>
        <w:tab/>
      </w:r>
      <w:r w:rsidR="007F0735">
        <w:rPr>
          <w:rFonts w:cs="Times New Roman"/>
          <w:color w:val="auto"/>
          <w:sz w:val="24"/>
          <w:szCs w:val="24"/>
          <w:lang w:bidi="ar-YE"/>
        </w:rPr>
        <w:t xml:space="preserve">Renuka </w:t>
      </w:r>
      <w:proofErr w:type="spellStart"/>
      <w:r w:rsidR="007F0735">
        <w:rPr>
          <w:rFonts w:cs="Times New Roman"/>
          <w:color w:val="auto"/>
          <w:sz w:val="24"/>
          <w:szCs w:val="24"/>
          <w:lang w:bidi="ar-YE"/>
        </w:rPr>
        <w:t>Bacharaju</w:t>
      </w:r>
      <w:proofErr w:type="spellEnd"/>
      <w:r w:rsidR="007F0735">
        <w:rPr>
          <w:rFonts w:cs="Times New Roman"/>
          <w:color w:val="auto"/>
          <w:sz w:val="24"/>
          <w:szCs w:val="24"/>
          <w:lang w:bidi="ar-YE"/>
        </w:rPr>
        <w:t xml:space="preserve"> defines financial inclusion as giving vulnerable groups</w:t>
      </w:r>
      <w:r w:rsidR="00C62B1D">
        <w:rPr>
          <w:rFonts w:cs="Times New Roman"/>
          <w:color w:val="auto"/>
          <w:sz w:val="24"/>
          <w:szCs w:val="24"/>
          <w:lang w:bidi="ar-YE"/>
        </w:rPr>
        <w:t xml:space="preserve">, </w:t>
      </w:r>
      <w:r w:rsidR="007F0735">
        <w:rPr>
          <w:rFonts w:cs="Times New Roman"/>
          <w:color w:val="auto"/>
          <w:sz w:val="24"/>
          <w:szCs w:val="24"/>
          <w:lang w:bidi="ar-YE"/>
        </w:rPr>
        <w:t>such as those in lower-income and weaker segments</w:t>
      </w:r>
      <w:r w:rsidR="00C62B1D">
        <w:rPr>
          <w:rFonts w:cs="Times New Roman"/>
          <w:color w:val="auto"/>
          <w:sz w:val="24"/>
          <w:szCs w:val="24"/>
          <w:lang w:bidi="ar-YE"/>
        </w:rPr>
        <w:t xml:space="preserve">, </w:t>
      </w:r>
      <w:r w:rsidR="007F0735">
        <w:rPr>
          <w:rFonts w:cs="Times New Roman"/>
          <w:color w:val="auto"/>
          <w:sz w:val="24"/>
          <w:szCs w:val="24"/>
          <w:lang w:bidi="ar-YE"/>
        </w:rPr>
        <w:t>timely access to financial services and reasonably priced credit. Making banking services accessible to all people in order to satisfy their demands for credit, savings, remittances, and other financial goods and services is the main objective of financial inclusion</w:t>
      </w:r>
      <w:r w:rsidRPr="00F16343">
        <w:rPr>
          <w:rFonts w:cs="Times New Roman"/>
          <w:color w:val="auto"/>
          <w:sz w:val="24"/>
          <w:szCs w:val="24"/>
          <w:lang w:bidi="ar-YE"/>
        </w:rPr>
        <w:t>.</w:t>
      </w:r>
      <w:r w:rsidRPr="00D05A90">
        <w:rPr>
          <w:rStyle w:val="EndnoteReference"/>
          <w:rFonts w:eastAsiaTheme="majorEastAsia"/>
          <w:b/>
          <w:color w:val="auto"/>
          <w:sz w:val="24"/>
          <w:szCs w:val="24"/>
          <w:lang w:bidi="ar-YE"/>
        </w:rPr>
        <w:endnoteReference w:id="1"/>
      </w:r>
    </w:p>
    <w:p w14:paraId="5B45FD24" w14:textId="6F2CA7E1" w:rsidR="0025500A" w:rsidRPr="000B0F07" w:rsidRDefault="0025500A" w:rsidP="0025500A">
      <w:pPr>
        <w:widowControl/>
        <w:bidi w:val="0"/>
        <w:spacing w:after="120" w:line="360" w:lineRule="auto"/>
        <w:ind w:firstLine="0"/>
        <w:rPr>
          <w:rFonts w:cs="Times New Roman"/>
          <w:b/>
          <w:bCs/>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 xml:space="preserve">Reema Rabha claims that financial inclusion enables all societal groups to have access to fundamental financial services like credit, insurance, and savings </w:t>
      </w:r>
      <w:r w:rsidR="00C62B1D">
        <w:rPr>
          <w:rFonts w:cs="Times New Roman"/>
          <w:color w:val="auto"/>
          <w:sz w:val="24"/>
          <w:szCs w:val="24"/>
          <w:lang w:bidi="ar-YE"/>
        </w:rPr>
        <w:t>opportunities</w:t>
      </w:r>
      <w:r w:rsidRPr="00F16343">
        <w:rPr>
          <w:rFonts w:cs="Times New Roman"/>
          <w:color w:val="auto"/>
          <w:sz w:val="24"/>
          <w:szCs w:val="24"/>
          <w:lang w:bidi="ar-YE"/>
        </w:rPr>
        <w:t>.</w:t>
      </w:r>
      <w:sdt>
        <w:sdtPr>
          <w:rPr>
            <w:rFonts w:cs="Times New Roman"/>
            <w:bCs/>
            <w:sz w:val="24"/>
            <w:szCs w:val="24"/>
            <w:lang w:bidi="ar-YE"/>
          </w:rPr>
          <w:tag w:val="MENDELEY_CITATION_v3_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"/>
          <w:id w:val="1936629622"/>
          <w:placeholder>
            <w:docPart w:val="DefaultPlaceholder_-1854013440"/>
          </w:placeholder>
        </w:sdtPr>
        <w:sdtContent>
          <w:r w:rsidR="00C62B1D" w:rsidRPr="00C62B1D">
            <w:rPr>
              <w:sz w:val="24"/>
            </w:rPr>
            <w:t>(Kumar &amp; Manjunath, 2014)</w:t>
          </w:r>
        </w:sdtContent>
      </w:sdt>
    </w:p>
    <w:p w14:paraId="270D3089" w14:textId="1DB92613" w:rsidR="0025500A" w:rsidRPr="00F16343" w:rsidRDefault="0025500A" w:rsidP="0025500A">
      <w:pPr>
        <w:widowControl/>
        <w:bidi w:val="0"/>
        <w:spacing w:after="120" w:line="360" w:lineRule="auto"/>
        <w:ind w:firstLine="0"/>
        <w:jc w:val="left"/>
        <w:rPr>
          <w:rFonts w:cs="Times New Roman"/>
          <w:b/>
          <w:bCs/>
          <w:color w:val="auto"/>
          <w:sz w:val="24"/>
          <w:szCs w:val="24"/>
          <w:lang w:bidi="ar-YE"/>
        </w:rPr>
      </w:pPr>
      <w:r w:rsidRPr="00F16343">
        <w:rPr>
          <w:rFonts w:cs="Times New Roman"/>
          <w:b/>
          <w:bCs/>
          <w:color w:val="auto"/>
          <w:sz w:val="24"/>
          <w:szCs w:val="24"/>
          <w:lang w:bidi="ar-YE"/>
        </w:rPr>
        <w:tab/>
        <w:t>Financial Exclusion</w:t>
      </w:r>
    </w:p>
    <w:p w14:paraId="400BC52C" w14:textId="0ED90448"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 xml:space="preserve">Lack of access to financial services and goods for both individuals and communities is known as financial exclusion. The capacity of people and enterprises to frequently and affordably use financial services is known as financial inclusion; the opposite of this is financial exclusion. Lack of access to bank accounts, credit, insurance, and payment services </w:t>
      </w:r>
      <w:r w:rsidR="00C62B1D">
        <w:rPr>
          <w:rFonts w:cs="Times New Roman"/>
          <w:color w:val="auto"/>
          <w:sz w:val="24"/>
          <w:szCs w:val="24"/>
          <w:lang w:bidi="ar-YE"/>
        </w:rPr>
        <w:t>is</w:t>
      </w:r>
      <w:r w:rsidR="007F0735">
        <w:rPr>
          <w:rFonts w:cs="Times New Roman"/>
          <w:color w:val="auto"/>
          <w:sz w:val="24"/>
          <w:szCs w:val="24"/>
          <w:lang w:bidi="ar-YE"/>
        </w:rPr>
        <w:t xml:space="preserve"> just a few examples of the many ways that people might be financially excluded. Inadequate financial infrastructure, discriminatory practices, and excessive transaction costs are some further ways it may show up. </w:t>
      </w:r>
    </w:p>
    <w:p w14:paraId="1E97F4D0" w14:textId="7E4D2876"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Financial exclusion, according to Guar, is the inability of large populations, particularly the less fortunate and economically disadvantaged, to obtain beneficial banking services</w:t>
      </w:r>
      <w:r w:rsidR="00DD0F58">
        <w:rPr>
          <w:rFonts w:cs="Times New Roman"/>
          <w:color w:val="auto"/>
          <w:sz w:val="24"/>
          <w:szCs w:val="24"/>
          <w:lang w:bidi="ar-YE"/>
        </w:rPr>
        <w:t>.</w:t>
      </w:r>
      <w:sdt>
        <w:sdtPr>
          <w:rPr>
            <w:rFonts w:cs="Times New Roman"/>
            <w:bCs/>
            <w:sz w:val="24"/>
            <w:szCs w:val="24"/>
            <w:lang w:bidi="ar-YE"/>
          </w:rPr>
          <w:tag w:val="MENDELEY_CITATION_v3_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"/>
          <w:id w:val="-1831673417"/>
          <w:placeholder>
            <w:docPart w:val="DefaultPlaceholder_-1854013440"/>
          </w:placeholder>
        </w:sdtPr>
        <w:sdtContent>
          <w:r w:rsidR="00C62B1D" w:rsidRPr="00C62B1D">
            <w:rPr>
              <w:rFonts w:cs="Times New Roman"/>
              <w:bCs/>
              <w:sz w:val="24"/>
              <w:szCs w:val="24"/>
              <w:lang w:bidi="ar-YE"/>
            </w:rPr>
            <w:t>(Mohana et al., 2023)</w:t>
          </w:r>
        </w:sdtContent>
      </w:sdt>
      <w:r w:rsidRPr="00F16343">
        <w:rPr>
          <w:rFonts w:cs="Times New Roman"/>
          <w:color w:val="auto"/>
          <w:sz w:val="24"/>
          <w:szCs w:val="24"/>
          <w:lang w:bidi="ar-YE"/>
        </w:rPr>
        <w:t xml:space="preserve">. </w:t>
      </w:r>
      <w:r w:rsidR="007F0735">
        <w:rPr>
          <w:rFonts w:cs="Times New Roman"/>
          <w:color w:val="auto"/>
          <w:sz w:val="24"/>
          <w:szCs w:val="24"/>
          <w:lang w:bidi="ar-YE"/>
        </w:rPr>
        <w:t xml:space="preserve">Financial exclusions, according to Leyshon &amp; Thrift, are procedures used to keep members of particular social groups and individuals from having access to the official financial system. Financial exclusion, according to Sinclair, is the inability to obtain essential financial services. </w:t>
      </w:r>
    </w:p>
    <w:p w14:paraId="424231FD" w14:textId="0B5B28FF"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7F0735">
        <w:rPr>
          <w:rFonts w:cs="Times New Roman"/>
          <w:color w:val="auto"/>
          <w:sz w:val="24"/>
          <w:szCs w:val="24"/>
          <w:lang w:bidi="ar-YE"/>
        </w:rPr>
        <w:t>Financial exclusion, according to Stephen P. Sinclair (2001), is the inability to access necessary financial services. Problems with conditions, pricing, promotion, access, or self-exclusion as a result of unfavourable experiences or opinions can all lead to exclusion.</w:t>
      </w:r>
      <w:r w:rsidR="000B0F07">
        <w:rPr>
          <w:rFonts w:cs="Times New Roman"/>
          <w:color w:val="auto"/>
          <w:sz w:val="24"/>
          <w:szCs w:val="24"/>
          <w:lang w:bidi="ar-YE"/>
        </w:rPr>
        <w:t xml:space="preserve"> </w:t>
      </w:r>
      <w:r w:rsidR="007F0735">
        <w:rPr>
          <w:rFonts w:cs="Times New Roman"/>
          <w:color w:val="auto"/>
          <w:sz w:val="24"/>
          <w:szCs w:val="24"/>
          <w:lang w:bidi="ar-YE"/>
        </w:rPr>
        <w:t>When financial exclusion impacts low-income consumers and those going through financial difficulties, it becomes a communal concern</w:t>
      </w:r>
      <w:r w:rsidRPr="00F16343">
        <w:rPr>
          <w:rFonts w:cs="Times New Roman"/>
          <w:color w:val="auto"/>
          <w:sz w:val="24"/>
          <w:szCs w:val="24"/>
          <w:lang w:bidi="ar-YE"/>
        </w:rPr>
        <w:t>.</w:t>
      </w:r>
      <w:sdt>
        <w:sdtPr>
          <w:rPr>
            <w:rFonts w:cs="Times New Roman"/>
            <w:bCs/>
            <w:sz w:val="24"/>
            <w:szCs w:val="24"/>
            <w:lang w:bidi="ar-YE"/>
          </w:rPr>
          <w:tag w:val="MENDELEY_CITATION_v3_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"/>
          <w:id w:val="-2011127448"/>
          <w:placeholder>
            <w:docPart w:val="DefaultPlaceholder_-1854013440"/>
          </w:placeholder>
        </w:sdtPr>
        <w:sdtContent>
          <w:r w:rsidR="00C62B1D" w:rsidRPr="00C62B1D">
            <w:rPr>
              <w:sz w:val="24"/>
            </w:rPr>
            <w:t>(Priti &amp; Aggarwal, 2019)</w:t>
          </w:r>
        </w:sdtContent>
      </w:sdt>
    </w:p>
    <w:p w14:paraId="00848BCF" w14:textId="77777777" w:rsidR="0025500A" w:rsidRPr="00F16343" w:rsidRDefault="0025500A" w:rsidP="0025500A">
      <w:pPr>
        <w:pStyle w:val="Caption"/>
        <w:keepNext/>
        <w:widowControl/>
        <w:bidi w:val="0"/>
        <w:spacing w:before="0"/>
        <w:rPr>
          <w:rFonts w:cs="Times New Roman"/>
          <w:b/>
          <w:bCs/>
          <w:color w:val="auto"/>
          <w:sz w:val="24"/>
          <w:szCs w:val="24"/>
        </w:rPr>
      </w:pPr>
      <w:r w:rsidRPr="00F16343">
        <w:rPr>
          <w:rFonts w:cs="Times New Roman"/>
          <w:b/>
          <w:bCs/>
          <w:color w:val="auto"/>
          <w:sz w:val="24"/>
          <w:szCs w:val="24"/>
        </w:rPr>
        <w:lastRenderedPageBreak/>
        <w:t>Table 1.1</w:t>
      </w:r>
      <w:r w:rsidRPr="00F16343">
        <w:rPr>
          <w:rFonts w:cs="Times New Roman"/>
          <w:b/>
          <w:bCs/>
          <w:noProof/>
          <w:color w:val="auto"/>
          <w:sz w:val="24"/>
          <w:szCs w:val="24"/>
        </w:rPr>
        <w:t xml:space="preserve">: Financial Inclusion vs Financial Exclusion </w:t>
      </w:r>
    </w:p>
    <w:tbl>
      <w:tblPr>
        <w:tblW w:w="8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69"/>
        <w:gridCol w:w="3659"/>
        <w:gridCol w:w="3260"/>
      </w:tblGrid>
      <w:tr w:rsidR="0025500A" w:rsidRPr="00F16343" w14:paraId="2711C120" w14:textId="77777777" w:rsidTr="00B771B8">
        <w:trPr>
          <w:tblHeader/>
        </w:trPr>
        <w:tc>
          <w:tcPr>
            <w:tcW w:w="1269" w:type="dxa"/>
          </w:tcPr>
          <w:p w14:paraId="77F42FF4" w14:textId="77777777" w:rsidR="0025500A" w:rsidRPr="00F16343" w:rsidRDefault="0025500A" w:rsidP="00B771B8">
            <w:pPr>
              <w:widowControl/>
              <w:bidi w:val="0"/>
              <w:spacing w:before="60" w:after="60"/>
              <w:ind w:firstLine="0"/>
              <w:jc w:val="center"/>
              <w:rPr>
                <w:rFonts w:cs="Times New Roman"/>
                <w:b/>
                <w:color w:val="auto"/>
                <w:sz w:val="24"/>
                <w:szCs w:val="24"/>
                <w:lang w:bidi="ar-YE"/>
              </w:rPr>
            </w:pPr>
            <w:r w:rsidRPr="00F16343">
              <w:rPr>
                <w:rFonts w:cs="Times New Roman"/>
                <w:b/>
                <w:color w:val="auto"/>
                <w:sz w:val="24"/>
                <w:szCs w:val="24"/>
                <w:lang w:bidi="ar-YE"/>
              </w:rPr>
              <w:t>Elements</w:t>
            </w:r>
          </w:p>
        </w:tc>
        <w:tc>
          <w:tcPr>
            <w:tcW w:w="3659" w:type="dxa"/>
          </w:tcPr>
          <w:p w14:paraId="6DE0A6D7" w14:textId="77777777" w:rsidR="0025500A" w:rsidRPr="00F16343" w:rsidRDefault="0025500A" w:rsidP="00B771B8">
            <w:pPr>
              <w:widowControl/>
              <w:bidi w:val="0"/>
              <w:spacing w:before="60" w:after="60"/>
              <w:ind w:firstLine="0"/>
              <w:jc w:val="center"/>
              <w:rPr>
                <w:rFonts w:cs="Times New Roman"/>
                <w:b/>
                <w:color w:val="auto"/>
                <w:sz w:val="24"/>
                <w:szCs w:val="24"/>
                <w:lang w:bidi="ar-YE"/>
              </w:rPr>
            </w:pPr>
            <w:r w:rsidRPr="00F16343">
              <w:rPr>
                <w:rFonts w:cs="Times New Roman"/>
                <w:b/>
                <w:color w:val="auto"/>
                <w:sz w:val="24"/>
                <w:szCs w:val="24"/>
                <w:lang w:bidi="ar-YE"/>
              </w:rPr>
              <w:t>Financial Inclusion</w:t>
            </w:r>
          </w:p>
        </w:tc>
        <w:tc>
          <w:tcPr>
            <w:tcW w:w="3260" w:type="dxa"/>
          </w:tcPr>
          <w:p w14:paraId="5E6D6D94" w14:textId="77777777" w:rsidR="0025500A" w:rsidRPr="00F16343" w:rsidRDefault="0025500A" w:rsidP="00B771B8">
            <w:pPr>
              <w:widowControl/>
              <w:bidi w:val="0"/>
              <w:spacing w:before="60" w:after="60"/>
              <w:ind w:firstLine="0"/>
              <w:jc w:val="center"/>
              <w:rPr>
                <w:rFonts w:cs="Times New Roman"/>
                <w:b/>
                <w:color w:val="auto"/>
                <w:sz w:val="24"/>
                <w:szCs w:val="24"/>
                <w:lang w:bidi="ar-YE"/>
              </w:rPr>
            </w:pPr>
            <w:r w:rsidRPr="00F16343">
              <w:rPr>
                <w:rFonts w:cs="Times New Roman"/>
                <w:b/>
                <w:color w:val="auto"/>
                <w:sz w:val="24"/>
                <w:szCs w:val="24"/>
                <w:lang w:bidi="ar-YE"/>
              </w:rPr>
              <w:t>Financial Exclusion</w:t>
            </w:r>
          </w:p>
        </w:tc>
      </w:tr>
      <w:tr w:rsidR="0025500A" w:rsidRPr="00F16343" w14:paraId="700ABA9E" w14:textId="77777777" w:rsidTr="00B771B8">
        <w:tc>
          <w:tcPr>
            <w:tcW w:w="1269" w:type="dxa"/>
          </w:tcPr>
          <w:p w14:paraId="6F2AB3DA" w14:textId="77777777" w:rsidR="0025500A" w:rsidRPr="00F16343" w:rsidRDefault="0025500A" w:rsidP="00B771B8">
            <w:pPr>
              <w:widowControl/>
              <w:bidi w:val="0"/>
              <w:spacing w:before="60" w:after="60"/>
              <w:ind w:firstLine="0"/>
              <w:rPr>
                <w:rFonts w:cs="Times New Roman"/>
                <w:color w:val="auto"/>
                <w:sz w:val="24"/>
                <w:szCs w:val="24"/>
                <w:lang w:bidi="ar-YE"/>
              </w:rPr>
            </w:pPr>
            <w:r w:rsidRPr="00F16343">
              <w:rPr>
                <w:rFonts w:cs="Times New Roman"/>
                <w:color w:val="auto"/>
                <w:sz w:val="24"/>
                <w:szCs w:val="24"/>
                <w:lang w:bidi="ar-YE"/>
              </w:rPr>
              <w:t xml:space="preserve">Product </w:t>
            </w:r>
          </w:p>
        </w:tc>
        <w:tc>
          <w:tcPr>
            <w:tcW w:w="3659" w:type="dxa"/>
          </w:tcPr>
          <w:p w14:paraId="56C60370" w14:textId="10106A47" w:rsidR="007F0735" w:rsidRDefault="007F0735" w:rsidP="00B771B8">
            <w:pPr>
              <w:widowControl/>
              <w:bidi w:val="0"/>
              <w:spacing w:before="60" w:after="60"/>
              <w:ind w:left="216" w:hanging="216"/>
              <w:jc w:val="left"/>
              <w:rPr>
                <w:rFonts w:cs="Times New Roman"/>
                <w:color w:val="auto"/>
                <w:sz w:val="24"/>
                <w:szCs w:val="24"/>
                <w:lang w:bidi="ar-YE"/>
              </w:rPr>
            </w:pPr>
            <w:r>
              <w:rPr>
                <w:rFonts w:cs="Times New Roman"/>
                <w:color w:val="auto"/>
                <w:sz w:val="24"/>
                <w:szCs w:val="24"/>
                <w:lang w:bidi="ar-YE"/>
              </w:rPr>
              <w:t>Access to sensible, practical, and transparent goods</w:t>
            </w:r>
            <w:r w:rsidR="00C62B1D">
              <w:rPr>
                <w:rFonts w:cs="Times New Roman"/>
                <w:color w:val="auto"/>
                <w:sz w:val="24"/>
                <w:szCs w:val="24"/>
                <w:lang w:bidi="ar-YE"/>
              </w:rPr>
              <w:t>,</w:t>
            </w:r>
            <w:r>
              <w:rPr>
                <w:rFonts w:cs="Times New Roman"/>
                <w:color w:val="auto"/>
                <w:sz w:val="24"/>
                <w:szCs w:val="24"/>
                <w:lang w:bidi="ar-YE"/>
              </w:rPr>
              <w:t xml:space="preserve"> as well as additional financial services like </w:t>
            </w:r>
            <w:proofErr w:type="spellStart"/>
            <w:r>
              <w:rPr>
                <w:rFonts w:cs="Times New Roman"/>
                <w:color w:val="auto"/>
                <w:sz w:val="24"/>
                <w:szCs w:val="24"/>
                <w:lang w:bidi="ar-YE"/>
              </w:rPr>
              <w:t>micropensions</w:t>
            </w:r>
            <w:proofErr w:type="spellEnd"/>
            <w:r w:rsidR="00C62B1D">
              <w:rPr>
                <w:rFonts w:cs="Times New Roman"/>
                <w:color w:val="auto"/>
                <w:sz w:val="24"/>
                <w:szCs w:val="24"/>
                <w:lang w:bidi="ar-YE"/>
              </w:rPr>
              <w:t>,</w:t>
            </w:r>
            <w:r>
              <w:rPr>
                <w:rFonts w:cs="Times New Roman"/>
                <w:color w:val="auto"/>
                <w:sz w:val="24"/>
                <w:szCs w:val="24"/>
                <w:lang w:bidi="ar-YE"/>
              </w:rPr>
              <w:t xml:space="preserve"> is guaranteed by the variety of offerings.</w:t>
            </w:r>
          </w:p>
          <w:p w14:paraId="42E6C841" w14:textId="6CD93C99" w:rsidR="0025500A" w:rsidRPr="00F16343" w:rsidRDefault="007F0735" w:rsidP="00B771B8">
            <w:pPr>
              <w:widowControl/>
              <w:bidi w:val="0"/>
              <w:spacing w:before="60" w:after="60"/>
              <w:ind w:left="216" w:hanging="216"/>
              <w:jc w:val="left"/>
              <w:rPr>
                <w:rFonts w:cs="Times New Roman"/>
                <w:color w:val="auto"/>
                <w:sz w:val="24"/>
                <w:szCs w:val="24"/>
                <w:lang w:bidi="ar-YE"/>
              </w:rPr>
            </w:pPr>
            <w:r>
              <w:rPr>
                <w:rFonts w:cs="Times New Roman"/>
                <w:color w:val="auto"/>
                <w:sz w:val="24"/>
                <w:szCs w:val="24"/>
                <w:lang w:bidi="ar-YE"/>
              </w:rPr>
              <w:t>They offer high-quality services and products that are adaptable and configurable, and they have access to goods that help them establish a steady income.</w:t>
            </w:r>
          </w:p>
        </w:tc>
        <w:tc>
          <w:tcPr>
            <w:tcW w:w="3260" w:type="dxa"/>
          </w:tcPr>
          <w:p w14:paraId="2A9D4FCA" w14:textId="77777777" w:rsidR="0025500A" w:rsidRPr="00F16343" w:rsidRDefault="0025500A" w:rsidP="00B771B8">
            <w:pPr>
              <w:widowControl/>
              <w:bidi w:val="0"/>
              <w:spacing w:before="60" w:after="60"/>
              <w:ind w:firstLine="0"/>
              <w:jc w:val="left"/>
              <w:rPr>
                <w:rFonts w:cs="Times New Roman"/>
                <w:color w:val="auto"/>
                <w:sz w:val="24"/>
                <w:szCs w:val="24"/>
                <w:lang w:bidi="ar-YE"/>
              </w:rPr>
            </w:pPr>
            <w:r w:rsidRPr="00F16343">
              <w:rPr>
                <w:rFonts w:cs="Times New Roman"/>
                <w:color w:val="auto"/>
                <w:sz w:val="24"/>
                <w:szCs w:val="24"/>
                <w:lang w:bidi="ar-YE"/>
              </w:rPr>
              <w:t xml:space="preserve">Exclusion may occur when products are inconvenient, rigid, </w:t>
            </w:r>
            <w:proofErr w:type="spellStart"/>
            <w:r w:rsidRPr="00F16343">
              <w:rPr>
                <w:rFonts w:cs="Times New Roman"/>
                <w:color w:val="auto"/>
                <w:sz w:val="24"/>
                <w:szCs w:val="24"/>
                <w:lang w:bidi="ar-YE"/>
              </w:rPr>
              <w:t>uncustomisable</w:t>
            </w:r>
            <w:proofErr w:type="spellEnd"/>
            <w:r w:rsidRPr="00F16343">
              <w:rPr>
                <w:rFonts w:cs="Times New Roman"/>
                <w:color w:val="auto"/>
                <w:sz w:val="24"/>
                <w:szCs w:val="24"/>
                <w:lang w:bidi="ar-YE"/>
              </w:rPr>
              <w:t>, or of poor quality.</w:t>
            </w:r>
          </w:p>
        </w:tc>
      </w:tr>
      <w:tr w:rsidR="0025500A" w:rsidRPr="00F16343" w14:paraId="1F654687" w14:textId="77777777" w:rsidTr="00B771B8">
        <w:tc>
          <w:tcPr>
            <w:tcW w:w="1269" w:type="dxa"/>
          </w:tcPr>
          <w:p w14:paraId="66A62F1D" w14:textId="77777777" w:rsidR="0025500A" w:rsidRPr="00F16343" w:rsidRDefault="0025500A" w:rsidP="00B771B8">
            <w:pPr>
              <w:widowControl/>
              <w:bidi w:val="0"/>
              <w:spacing w:before="60" w:after="60"/>
              <w:ind w:firstLine="0"/>
              <w:rPr>
                <w:rFonts w:cs="Times New Roman"/>
                <w:color w:val="auto"/>
                <w:sz w:val="24"/>
                <w:szCs w:val="24"/>
                <w:lang w:bidi="ar-YE"/>
              </w:rPr>
            </w:pPr>
            <w:r w:rsidRPr="00F16343">
              <w:rPr>
                <w:rFonts w:cs="Times New Roman"/>
                <w:color w:val="auto"/>
                <w:sz w:val="24"/>
                <w:szCs w:val="24"/>
                <w:lang w:bidi="ar-YE"/>
              </w:rPr>
              <w:t>Price</w:t>
            </w:r>
          </w:p>
        </w:tc>
        <w:tc>
          <w:tcPr>
            <w:tcW w:w="3659" w:type="dxa"/>
          </w:tcPr>
          <w:p w14:paraId="3646A610" w14:textId="77777777" w:rsidR="00F6043F" w:rsidRDefault="0025500A" w:rsidP="00B771B8">
            <w:pPr>
              <w:widowControl/>
              <w:bidi w:val="0"/>
              <w:spacing w:before="60" w:after="60"/>
              <w:ind w:left="216" w:hanging="216"/>
              <w:jc w:val="left"/>
              <w:rPr>
                <w:rFonts w:cs="Times New Roman"/>
                <w:color w:val="auto"/>
                <w:sz w:val="24"/>
                <w:szCs w:val="24"/>
                <w:lang w:bidi="ar-YE"/>
              </w:rPr>
            </w:pPr>
            <w:r w:rsidRPr="00F16343">
              <w:rPr>
                <w:rFonts w:cs="Times New Roman"/>
                <w:color w:val="auto"/>
                <w:sz w:val="24"/>
                <w:szCs w:val="24"/>
                <w:lang w:bidi="ar-YE"/>
              </w:rPr>
              <w:t>•</w:t>
            </w:r>
            <w:r>
              <w:rPr>
                <w:rFonts w:cs="Times New Roman"/>
                <w:color w:val="auto"/>
                <w:sz w:val="24"/>
                <w:szCs w:val="24"/>
                <w:lang w:bidi="ar-YE"/>
              </w:rPr>
              <w:tab/>
            </w:r>
            <w:r w:rsidR="00F6043F">
              <w:rPr>
                <w:rFonts w:cs="Times New Roman"/>
                <w:color w:val="auto"/>
                <w:sz w:val="24"/>
                <w:szCs w:val="24"/>
                <w:lang w:bidi="ar-YE"/>
              </w:rPr>
              <w:t>Their products and mechanisms are competitive and fairly priced.</w:t>
            </w:r>
          </w:p>
          <w:p w14:paraId="75BC46E3" w14:textId="6567885F" w:rsidR="0025500A" w:rsidRPr="00F16343" w:rsidRDefault="00F6043F" w:rsidP="00B771B8">
            <w:pPr>
              <w:widowControl/>
              <w:bidi w:val="0"/>
              <w:spacing w:before="60" w:after="60"/>
              <w:ind w:left="216" w:hanging="216"/>
              <w:jc w:val="left"/>
              <w:rPr>
                <w:rFonts w:cs="Times New Roman"/>
                <w:color w:val="auto"/>
                <w:sz w:val="24"/>
                <w:szCs w:val="24"/>
                <w:lang w:bidi="ar-YE"/>
              </w:rPr>
            </w:pPr>
            <w:r>
              <w:rPr>
                <w:rFonts w:cs="Times New Roman"/>
                <w:color w:val="auto"/>
                <w:sz w:val="24"/>
                <w:szCs w:val="24"/>
                <w:lang w:bidi="ar-YE"/>
              </w:rPr>
              <w:t>• The product's effective cost is not seen as being excessively expensive or usurious.</w:t>
            </w:r>
            <w:r w:rsidR="00DD0F58">
              <w:rPr>
                <w:rFonts w:cs="Times New Roman"/>
                <w:color w:val="auto"/>
                <w:sz w:val="24"/>
                <w:szCs w:val="24"/>
                <w:lang w:bidi="ar-YE"/>
              </w:rPr>
              <w:t xml:space="preserve"> </w:t>
            </w:r>
            <w:r>
              <w:rPr>
                <w:rFonts w:cs="Times New Roman"/>
                <w:color w:val="auto"/>
                <w:sz w:val="24"/>
                <w:szCs w:val="24"/>
                <w:lang w:bidi="ar-YE"/>
              </w:rPr>
              <w:t>The customer is not impacted by inefficiencies.</w:t>
            </w:r>
          </w:p>
        </w:tc>
        <w:tc>
          <w:tcPr>
            <w:tcW w:w="3260" w:type="dxa"/>
          </w:tcPr>
          <w:p w14:paraId="52F86C73" w14:textId="77777777" w:rsidR="0025500A" w:rsidRPr="00F16343" w:rsidRDefault="0025500A" w:rsidP="00B771B8">
            <w:pPr>
              <w:widowControl/>
              <w:bidi w:val="0"/>
              <w:spacing w:before="60" w:after="60"/>
              <w:ind w:firstLine="0"/>
              <w:jc w:val="left"/>
              <w:rPr>
                <w:rFonts w:cs="Times New Roman"/>
                <w:color w:val="auto"/>
                <w:sz w:val="24"/>
                <w:szCs w:val="24"/>
                <w:lang w:bidi="ar-YE"/>
              </w:rPr>
            </w:pPr>
            <w:r w:rsidRPr="00F16343">
              <w:rPr>
                <w:rFonts w:cs="Times New Roman"/>
                <w:color w:val="auto"/>
                <w:sz w:val="24"/>
                <w:szCs w:val="24"/>
                <w:lang w:bidi="ar-YE"/>
              </w:rPr>
              <w:t>When products are unaffordable, they may be excluded.</w:t>
            </w:r>
          </w:p>
        </w:tc>
      </w:tr>
      <w:tr w:rsidR="0025500A" w:rsidRPr="00F16343" w14:paraId="361F49D1" w14:textId="77777777" w:rsidTr="00B771B8">
        <w:tc>
          <w:tcPr>
            <w:tcW w:w="1269" w:type="dxa"/>
          </w:tcPr>
          <w:p w14:paraId="0B4F7F37" w14:textId="77777777" w:rsidR="0025500A" w:rsidRPr="00F16343" w:rsidRDefault="0025500A" w:rsidP="00B771B8">
            <w:pPr>
              <w:widowControl/>
              <w:bidi w:val="0"/>
              <w:spacing w:before="60" w:after="60"/>
              <w:ind w:firstLine="0"/>
              <w:rPr>
                <w:rFonts w:cs="Times New Roman"/>
                <w:color w:val="auto"/>
                <w:sz w:val="24"/>
                <w:szCs w:val="24"/>
                <w:lang w:bidi="ar-YE"/>
              </w:rPr>
            </w:pPr>
            <w:r w:rsidRPr="00F16343">
              <w:rPr>
                <w:rFonts w:cs="Times New Roman"/>
                <w:color w:val="auto"/>
                <w:sz w:val="24"/>
                <w:szCs w:val="24"/>
                <w:lang w:bidi="ar-YE"/>
              </w:rPr>
              <w:t>Awareness</w:t>
            </w:r>
          </w:p>
        </w:tc>
        <w:tc>
          <w:tcPr>
            <w:tcW w:w="3659" w:type="dxa"/>
          </w:tcPr>
          <w:p w14:paraId="7BEAB0F5" w14:textId="77777777" w:rsidR="00F6043F" w:rsidRDefault="0025500A" w:rsidP="00B771B8">
            <w:pPr>
              <w:widowControl/>
              <w:bidi w:val="0"/>
              <w:spacing w:before="60" w:after="60"/>
              <w:ind w:left="216" w:hanging="216"/>
              <w:rPr>
                <w:rFonts w:cs="Times New Roman"/>
                <w:color w:val="auto"/>
                <w:sz w:val="24"/>
                <w:szCs w:val="24"/>
                <w:lang w:bidi="ar-YE"/>
              </w:rPr>
            </w:pPr>
            <w:r w:rsidRPr="00F16343">
              <w:rPr>
                <w:rFonts w:cs="Times New Roman"/>
                <w:color w:val="auto"/>
                <w:sz w:val="24"/>
                <w:szCs w:val="24"/>
                <w:lang w:bidi="ar-YE"/>
              </w:rPr>
              <w:t>•</w:t>
            </w:r>
            <w:r w:rsidR="00F6043F">
              <w:rPr>
                <w:rFonts w:cs="Times New Roman"/>
                <w:color w:val="auto"/>
                <w:sz w:val="24"/>
                <w:szCs w:val="24"/>
                <w:lang w:bidi="ar-YE"/>
              </w:rPr>
              <w:t>Active promotion of the product is required.</w:t>
            </w:r>
          </w:p>
          <w:p w14:paraId="3B99988D" w14:textId="77777777" w:rsidR="00F6043F" w:rsidRDefault="00F6043F" w:rsidP="00B771B8">
            <w:pPr>
              <w:widowControl/>
              <w:bidi w:val="0"/>
              <w:spacing w:before="60" w:after="60"/>
              <w:ind w:left="216" w:hanging="216"/>
              <w:rPr>
                <w:rFonts w:cs="Times New Roman"/>
                <w:color w:val="auto"/>
                <w:sz w:val="24"/>
                <w:szCs w:val="24"/>
                <w:lang w:bidi="ar-YE"/>
              </w:rPr>
            </w:pPr>
            <w:r>
              <w:rPr>
                <w:rFonts w:cs="Times New Roman"/>
                <w:color w:val="auto"/>
                <w:sz w:val="24"/>
                <w:szCs w:val="24"/>
                <w:lang w:bidi="ar-YE"/>
              </w:rPr>
              <w:t xml:space="preserve">• Every term and condition </w:t>
            </w:r>
            <w:proofErr w:type="gramStart"/>
            <w:r>
              <w:rPr>
                <w:rFonts w:cs="Times New Roman"/>
                <w:color w:val="auto"/>
                <w:sz w:val="24"/>
                <w:szCs w:val="24"/>
                <w:lang w:bidi="ar-YE"/>
              </w:rPr>
              <w:t>needs</w:t>
            </w:r>
            <w:proofErr w:type="gramEnd"/>
            <w:r>
              <w:rPr>
                <w:rFonts w:cs="Times New Roman"/>
                <w:color w:val="auto"/>
                <w:sz w:val="24"/>
                <w:szCs w:val="24"/>
                <w:lang w:bidi="ar-YE"/>
              </w:rPr>
              <w:t xml:space="preserve"> to be fully and openly defined.</w:t>
            </w:r>
          </w:p>
          <w:p w14:paraId="03A60015" w14:textId="0E7E352A" w:rsidR="0025500A" w:rsidRPr="00F16343" w:rsidRDefault="00F6043F" w:rsidP="00B771B8">
            <w:pPr>
              <w:widowControl/>
              <w:bidi w:val="0"/>
              <w:spacing w:before="60" w:after="60"/>
              <w:ind w:left="216" w:hanging="216"/>
              <w:rPr>
                <w:rFonts w:cs="Times New Roman"/>
                <w:color w:val="auto"/>
                <w:sz w:val="24"/>
                <w:szCs w:val="24"/>
                <w:lang w:bidi="ar-YE"/>
              </w:rPr>
            </w:pPr>
            <w:r>
              <w:rPr>
                <w:rFonts w:cs="Times New Roman"/>
                <w:color w:val="auto"/>
                <w:sz w:val="24"/>
                <w:szCs w:val="24"/>
                <w:lang w:bidi="ar-YE"/>
              </w:rPr>
              <w:t>• Security, education, and customer service are prioritised.</w:t>
            </w:r>
          </w:p>
        </w:tc>
        <w:tc>
          <w:tcPr>
            <w:tcW w:w="3260" w:type="dxa"/>
          </w:tcPr>
          <w:p w14:paraId="125DDE21" w14:textId="77777777" w:rsidR="0025500A" w:rsidRPr="00F16343" w:rsidRDefault="0025500A" w:rsidP="00B771B8">
            <w:pPr>
              <w:widowControl/>
              <w:bidi w:val="0"/>
              <w:spacing w:before="60" w:after="60"/>
              <w:ind w:firstLine="0"/>
              <w:jc w:val="left"/>
              <w:rPr>
                <w:rFonts w:cs="Times New Roman"/>
                <w:color w:val="auto"/>
                <w:sz w:val="24"/>
                <w:szCs w:val="24"/>
                <w:lang w:bidi="ar-YE"/>
              </w:rPr>
            </w:pPr>
            <w:r w:rsidRPr="00F16343">
              <w:rPr>
                <w:rFonts w:cs="Times New Roman"/>
                <w:color w:val="auto"/>
                <w:sz w:val="24"/>
                <w:szCs w:val="24"/>
                <w:lang w:bidi="ar-YE"/>
              </w:rPr>
              <w:t>When clients are unaware, they may be excluded.</w:t>
            </w:r>
          </w:p>
        </w:tc>
      </w:tr>
      <w:tr w:rsidR="0025500A" w:rsidRPr="00F16343" w14:paraId="573C9378" w14:textId="77777777" w:rsidTr="00B771B8">
        <w:tc>
          <w:tcPr>
            <w:tcW w:w="1269" w:type="dxa"/>
          </w:tcPr>
          <w:p w14:paraId="695FA8BF" w14:textId="77777777" w:rsidR="0025500A" w:rsidRPr="00F16343" w:rsidRDefault="0025500A" w:rsidP="00B771B8">
            <w:pPr>
              <w:widowControl/>
              <w:bidi w:val="0"/>
              <w:spacing w:before="60" w:after="60"/>
              <w:ind w:firstLine="0"/>
              <w:rPr>
                <w:rFonts w:cs="Times New Roman"/>
                <w:color w:val="auto"/>
                <w:sz w:val="24"/>
                <w:szCs w:val="24"/>
                <w:lang w:bidi="ar-YE"/>
              </w:rPr>
            </w:pPr>
            <w:r w:rsidRPr="00F16343">
              <w:rPr>
                <w:rFonts w:cs="Times New Roman"/>
                <w:color w:val="auto"/>
                <w:sz w:val="24"/>
                <w:szCs w:val="24"/>
                <w:lang w:bidi="ar-YE"/>
              </w:rPr>
              <w:t>Delivery</w:t>
            </w:r>
          </w:p>
        </w:tc>
        <w:tc>
          <w:tcPr>
            <w:tcW w:w="3659" w:type="dxa"/>
          </w:tcPr>
          <w:p w14:paraId="27CB49BC" w14:textId="28BD372C" w:rsidR="0025500A" w:rsidRPr="00F16343" w:rsidRDefault="0025500A" w:rsidP="00B771B8">
            <w:pPr>
              <w:widowControl/>
              <w:bidi w:val="0"/>
              <w:spacing w:before="60" w:after="60"/>
              <w:ind w:left="216" w:hanging="216"/>
              <w:rPr>
                <w:rFonts w:cs="Times New Roman"/>
                <w:color w:val="auto"/>
                <w:sz w:val="24"/>
                <w:szCs w:val="24"/>
                <w:lang w:bidi="ar-YE"/>
              </w:rPr>
            </w:pPr>
            <w:r w:rsidRPr="00F16343">
              <w:rPr>
                <w:rFonts w:cs="Times New Roman"/>
                <w:color w:val="auto"/>
                <w:sz w:val="24"/>
                <w:szCs w:val="24"/>
                <w:lang w:bidi="ar-YE"/>
              </w:rPr>
              <w:t>•</w:t>
            </w:r>
            <w:r>
              <w:rPr>
                <w:rFonts w:cs="Times New Roman"/>
                <w:color w:val="auto"/>
                <w:sz w:val="24"/>
                <w:szCs w:val="24"/>
                <w:lang w:bidi="ar-YE"/>
              </w:rPr>
              <w:tab/>
            </w:r>
            <w:r w:rsidR="00F6043F">
              <w:rPr>
                <w:rFonts w:cs="Times New Roman"/>
                <w:color w:val="auto"/>
                <w:sz w:val="24"/>
                <w:szCs w:val="24"/>
                <w:lang w:bidi="ar-YE"/>
              </w:rPr>
              <w:t>It is accessible in remote locations, has a straightforward and practical distribution mechanism, and lowers client transaction costs.</w:t>
            </w:r>
          </w:p>
        </w:tc>
        <w:tc>
          <w:tcPr>
            <w:tcW w:w="3260" w:type="dxa"/>
          </w:tcPr>
          <w:p w14:paraId="3CD8763B" w14:textId="77777777" w:rsidR="0025500A" w:rsidRPr="00F16343" w:rsidRDefault="0025500A" w:rsidP="00B771B8">
            <w:pPr>
              <w:widowControl/>
              <w:bidi w:val="0"/>
              <w:spacing w:before="60" w:after="60"/>
              <w:ind w:firstLine="0"/>
              <w:jc w:val="left"/>
              <w:rPr>
                <w:rFonts w:cs="Times New Roman"/>
                <w:color w:val="auto"/>
                <w:sz w:val="24"/>
                <w:szCs w:val="24"/>
                <w:lang w:bidi="ar-YE"/>
              </w:rPr>
            </w:pPr>
            <w:r w:rsidRPr="00F16343">
              <w:rPr>
                <w:rFonts w:cs="Times New Roman"/>
                <w:color w:val="auto"/>
                <w:sz w:val="24"/>
                <w:szCs w:val="24"/>
                <w:lang w:bidi="ar-YE"/>
              </w:rPr>
              <w:t>Exclusion may occur when clients are difficult to reach and have a low transaction cost.</w:t>
            </w:r>
          </w:p>
        </w:tc>
      </w:tr>
    </w:tbl>
    <w:p w14:paraId="49F23ADC" w14:textId="6A78F2F5" w:rsidR="0025500A" w:rsidRPr="003718A9" w:rsidRDefault="0025500A" w:rsidP="0025500A">
      <w:pPr>
        <w:widowControl/>
        <w:bidi w:val="0"/>
        <w:spacing w:after="120" w:line="360" w:lineRule="auto"/>
        <w:ind w:firstLine="0"/>
        <w:rPr>
          <w:rFonts w:cs="Times New Roman"/>
          <w:color w:val="auto"/>
          <w:sz w:val="20"/>
          <w:szCs w:val="24"/>
          <w:lang w:bidi="ar-YE"/>
        </w:rPr>
      </w:pPr>
      <w:r w:rsidRPr="003718A9">
        <w:rPr>
          <w:rFonts w:cs="Times New Roman"/>
          <w:color w:val="auto"/>
          <w:sz w:val="20"/>
          <w:szCs w:val="24"/>
          <w:lang w:bidi="ar-YE"/>
        </w:rPr>
        <w:t>Source</w:t>
      </w:r>
      <w:r w:rsidRPr="000B0F07">
        <w:rPr>
          <w:rFonts w:cs="Times New Roman"/>
          <w:b/>
          <w:bCs/>
          <w:color w:val="auto"/>
          <w:sz w:val="20"/>
          <w:szCs w:val="24"/>
          <w:lang w:bidi="ar-YE"/>
        </w:rPr>
        <w:t xml:space="preserve">: </w:t>
      </w:r>
      <w:sdt>
        <w:sdtPr>
          <w:rPr>
            <w:rFonts w:cs="Times New Roman"/>
            <w:bCs/>
            <w:sz w:val="20"/>
            <w:szCs w:val="24"/>
            <w:lang w:bidi="ar-YE"/>
          </w:rPr>
          <w:tag w:val="MENDELEY_CITATION_v3_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"/>
          <w:id w:val="-348567682"/>
          <w:placeholder>
            <w:docPart w:val="DefaultPlaceholder_-1854013440"/>
          </w:placeholder>
        </w:sdtPr>
        <w:sdtContent>
          <w:r w:rsidR="00C62B1D" w:rsidRPr="00C62B1D">
            <w:rPr>
              <w:sz w:val="20"/>
            </w:rPr>
            <w:t>(Renjith Jose &amp; Thomas Com, 2019)</w:t>
          </w:r>
        </w:sdtContent>
      </w:sdt>
    </w:p>
    <w:p w14:paraId="6CC8E2B6" w14:textId="25C0D8AF" w:rsidR="0025500A" w:rsidRPr="00F16343" w:rsidRDefault="0025500A" w:rsidP="0025500A">
      <w:pPr>
        <w:widowControl/>
        <w:bidi w:val="0"/>
        <w:spacing w:after="120" w:line="360" w:lineRule="auto"/>
        <w:ind w:firstLine="0"/>
        <w:jc w:val="left"/>
        <w:rPr>
          <w:rFonts w:cs="Times New Roman"/>
          <w:b/>
          <w:bCs/>
          <w:color w:val="auto"/>
          <w:sz w:val="24"/>
          <w:szCs w:val="24"/>
          <w:lang w:bidi="ar-YE"/>
        </w:rPr>
      </w:pPr>
      <w:r w:rsidRPr="00F16343">
        <w:rPr>
          <w:rFonts w:cs="Times New Roman"/>
          <w:b/>
          <w:bCs/>
          <w:color w:val="auto"/>
          <w:sz w:val="24"/>
          <w:szCs w:val="24"/>
          <w:lang w:bidi="ar-YE"/>
        </w:rPr>
        <w:t>Importance and Need of Financial Inclusion</w:t>
      </w:r>
    </w:p>
    <w:p w14:paraId="71AE4352" w14:textId="46E916A0"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b/>
          <w:bCs/>
          <w:color w:val="auto"/>
          <w:sz w:val="24"/>
          <w:szCs w:val="24"/>
          <w:lang w:bidi="ar-YE"/>
        </w:rPr>
        <w:tab/>
      </w:r>
      <w:r w:rsidR="00F6043F">
        <w:rPr>
          <w:rFonts w:cs="Times New Roman"/>
          <w:color w:val="auto"/>
          <w:sz w:val="24"/>
          <w:szCs w:val="24"/>
          <w:lang w:bidi="ar-YE"/>
        </w:rPr>
        <w:t>All societal sectors can access financial inclusion services thanks to the reliable and effective frameworks</w:t>
      </w:r>
      <w:sdt>
        <w:sdtPr>
          <w:rPr>
            <w:rFonts w:cs="Times New Roman"/>
            <w:sz w:val="24"/>
            <w:szCs w:val="24"/>
            <w:lang w:bidi="ar-YE"/>
          </w:rPr>
          <w:tag w:val="MENDELEY_CITATION_v3_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"/>
          <w:id w:val="125286665"/>
          <w:placeholder>
            <w:docPart w:val="DefaultPlaceholder_-1854013440"/>
          </w:placeholder>
        </w:sdtPr>
        <w:sdtContent>
          <w:r w:rsidR="00C62B1D" w:rsidRPr="00C62B1D">
            <w:rPr>
              <w:rFonts w:cs="Times New Roman"/>
              <w:sz w:val="24"/>
              <w:szCs w:val="24"/>
              <w:lang w:bidi="ar-YE"/>
            </w:rPr>
            <w:t>(Kumari et al., 2023)</w:t>
          </w:r>
        </w:sdtContent>
      </w:sdt>
      <w:r w:rsidR="00F6043F">
        <w:rPr>
          <w:rFonts w:cs="Times New Roman"/>
          <w:color w:val="auto"/>
          <w:sz w:val="24"/>
          <w:szCs w:val="24"/>
          <w:lang w:bidi="ar-YE"/>
        </w:rPr>
        <w:t>.</w:t>
      </w:r>
      <w:r w:rsidRPr="00F16343">
        <w:rPr>
          <w:rFonts w:cs="Times New Roman"/>
          <w:color w:val="auto"/>
          <w:sz w:val="24"/>
          <w:szCs w:val="24"/>
          <w:lang w:bidi="ar-YE"/>
        </w:rPr>
        <w:t xml:space="preserve"> </w:t>
      </w:r>
      <w:r w:rsidR="00F6043F">
        <w:rPr>
          <w:rFonts w:cs="Times New Roman"/>
          <w:color w:val="auto"/>
          <w:sz w:val="24"/>
          <w:szCs w:val="24"/>
          <w:lang w:bidi="ar-YE"/>
        </w:rPr>
        <w:t xml:space="preserve">It is crucial to provide investments, digital payments, lending, and deposits. More resources and a wider range of financial administration solutions are made available through financial inclusion. Programs for education regarding the functions of infrastructure, bank services, and promising development prospects are also included. This feature creates a setting in which people can readily access the financial institutions' services and goods. </w:t>
      </w:r>
      <w:r w:rsidR="00F6043F">
        <w:rPr>
          <w:rFonts w:cs="Times New Roman"/>
          <w:color w:val="auto"/>
          <w:sz w:val="24"/>
          <w:szCs w:val="24"/>
          <w:lang w:bidi="ar-YE"/>
        </w:rPr>
        <w:lastRenderedPageBreak/>
        <w:t>Financial inclusion is growing and receiving attention in many contemporary nations since it is crucial to uplifting those who are financially excluded.</w:t>
      </w:r>
      <w:r w:rsidRPr="00F16343">
        <w:rPr>
          <w:rFonts w:cs="Times New Roman"/>
          <w:color w:val="auto"/>
          <w:sz w:val="24"/>
          <w:szCs w:val="24"/>
          <w:lang w:bidi="ar-YE"/>
        </w:rPr>
        <w:t xml:space="preserve"> </w:t>
      </w:r>
      <w:r w:rsidR="00F6043F">
        <w:rPr>
          <w:rFonts w:cs="Times New Roman"/>
          <w:color w:val="auto"/>
          <w:sz w:val="24"/>
          <w:szCs w:val="24"/>
          <w:lang w:bidi="ar-YE"/>
        </w:rPr>
        <w:t>Universal access to a variety of reasonably priced financial services is referred to as financial inclusion. It ensures that everyone, including those with modest incomes, has fair and uncomplicated access to financial goods and services at affordable rates. It also entails educating people about the use of financial goods and providing debt counselling and money management guidance.</w:t>
      </w:r>
    </w:p>
    <w:p w14:paraId="45598D83" w14:textId="7BAFFAF6"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F6043F">
        <w:rPr>
          <w:rFonts w:cs="Times New Roman"/>
          <w:color w:val="auto"/>
          <w:sz w:val="24"/>
          <w:szCs w:val="24"/>
          <w:lang w:bidi="ar-YE"/>
        </w:rPr>
        <w:t>76% of people worldwide and 71% of individuals in developing nations now own an account. For many years, the gender disparity in account ownership in developing nations was 9%, but it has since shrunk to 6%. Getting digital payments like government transfers, wage payments, or domestic transfers encourages people to use other financial services like borrowing, saving, and holding money</w:t>
      </w:r>
      <w:r w:rsidRPr="00F16343">
        <w:rPr>
          <w:rFonts w:cs="Times New Roman"/>
          <w:color w:val="auto"/>
          <w:sz w:val="24"/>
          <w:szCs w:val="24"/>
          <w:lang w:bidi="ar-YE"/>
        </w:rPr>
        <w:t xml:space="preserve">. </w:t>
      </w:r>
      <w:r w:rsidR="00F6043F">
        <w:rPr>
          <w:rFonts w:cs="Times New Roman"/>
          <w:color w:val="auto"/>
          <w:sz w:val="24"/>
          <w:szCs w:val="24"/>
          <w:lang w:bidi="ar-YE"/>
        </w:rPr>
        <w:t xml:space="preserve">In developing nations, 18% of individuals, or 40% of those who paid utility bills, did so straight from their bank accounts. Only 20% of adults in other developing nations are paid using digital business payments, compared to 80% in China. The adoption of digital financial services has increased as a result of the coronavirus pandemic; 40% of adults in developing economies (apart from China) paid a digital merchant online, over the phone, or with a card, and 33% of adults in developing economies who paid a utility bill straight from their account did so for the first time since the pandemic started. Because it encourages account ownership and </w:t>
      </w:r>
      <w:proofErr w:type="gramStart"/>
      <w:r w:rsidR="00F6043F">
        <w:rPr>
          <w:rFonts w:cs="Times New Roman"/>
          <w:color w:val="auto"/>
          <w:sz w:val="24"/>
          <w:szCs w:val="24"/>
          <w:lang w:bidi="ar-YE"/>
        </w:rPr>
        <w:t>use</w:t>
      </w:r>
      <w:proofErr w:type="gramEnd"/>
      <w:r w:rsidR="00F6043F">
        <w:rPr>
          <w:rFonts w:cs="Times New Roman"/>
          <w:color w:val="auto"/>
          <w:sz w:val="24"/>
          <w:szCs w:val="24"/>
          <w:lang w:bidi="ar-YE"/>
        </w:rPr>
        <w:t xml:space="preserve"> through mobile payments, savings, and borrowing, mobile money has emerged as a crucial facilitator of financial inclusion in sub-Saharan Africa, especially for women. In developing economies, over 50% of adults can get more money within 30 days if they have unforeseen expenses</w:t>
      </w:r>
      <w:r w:rsidR="00DD0F58">
        <w:rPr>
          <w:rFonts w:cs="Times New Roman"/>
          <w:color w:val="auto"/>
          <w:sz w:val="24"/>
          <w:szCs w:val="24"/>
          <w:lang w:bidi="ar-YE"/>
        </w:rPr>
        <w:t>.</w:t>
      </w:r>
      <w:sdt>
        <w:sdtPr>
          <w:rPr>
            <w:rFonts w:cs="Times New Roman"/>
            <w:bCs/>
            <w:sz w:val="24"/>
            <w:szCs w:val="24"/>
            <w:lang w:bidi="ar-YE"/>
          </w:rPr>
          <w:tag w:val="MENDELEY_CITATION_v3_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"/>
          <w:id w:val="-59873550"/>
          <w:placeholder>
            <w:docPart w:val="DefaultPlaceholder_-1854013440"/>
          </w:placeholder>
        </w:sdtPr>
        <w:sdtContent>
          <w:r w:rsidR="00C62B1D" w:rsidRPr="00C62B1D">
            <w:rPr>
              <w:rFonts w:cs="Times New Roman"/>
              <w:bCs/>
              <w:sz w:val="24"/>
              <w:szCs w:val="24"/>
              <w:lang w:bidi="ar-YE"/>
            </w:rPr>
            <w:t>(</w:t>
          </w:r>
          <w:proofErr w:type="spellStart"/>
          <w:r w:rsidR="00C62B1D" w:rsidRPr="00C62B1D">
            <w:rPr>
              <w:rFonts w:cs="Times New Roman"/>
              <w:bCs/>
              <w:sz w:val="24"/>
              <w:szCs w:val="24"/>
              <w:lang w:bidi="ar-YE"/>
            </w:rPr>
            <w:t>Demirguc</w:t>
          </w:r>
          <w:proofErr w:type="spellEnd"/>
          <w:r w:rsidR="00C62B1D" w:rsidRPr="00C62B1D">
            <w:rPr>
              <w:rFonts w:cs="Times New Roman"/>
              <w:bCs/>
              <w:sz w:val="24"/>
              <w:szCs w:val="24"/>
              <w:lang w:bidi="ar-YE"/>
            </w:rPr>
            <w:t>-Kunt et al., 2018)</w:t>
          </w:r>
        </w:sdtContent>
      </w:sdt>
      <w:r w:rsidRPr="000B0F07">
        <w:rPr>
          <w:rFonts w:cs="Times New Roman"/>
          <w:b/>
          <w:bCs/>
          <w:color w:val="auto"/>
          <w:sz w:val="24"/>
          <w:szCs w:val="24"/>
          <w:lang w:bidi="ar-YE"/>
        </w:rPr>
        <w:t>.</w:t>
      </w:r>
    </w:p>
    <w:p w14:paraId="1796A3A6" w14:textId="77777777" w:rsidR="0025500A" w:rsidRPr="00F16343" w:rsidRDefault="0025500A" w:rsidP="0025500A">
      <w:pPr>
        <w:widowControl/>
        <w:bidi w:val="0"/>
        <w:spacing w:after="120" w:line="360" w:lineRule="auto"/>
        <w:ind w:firstLine="0"/>
        <w:rPr>
          <w:rFonts w:cs="Times New Roman"/>
          <w:color w:val="auto"/>
          <w:sz w:val="24"/>
          <w:szCs w:val="24"/>
          <w:rtl/>
          <w:lang w:bidi="ar-YE"/>
        </w:rPr>
      </w:pPr>
      <w:r w:rsidRPr="00F16343">
        <w:rPr>
          <w:rFonts w:cs="Times New Roman"/>
          <w:color w:val="auto"/>
          <w:sz w:val="24"/>
          <w:szCs w:val="24"/>
          <w:lang w:bidi="ar-YE"/>
        </w:rPr>
        <w:tab/>
        <w:t>The main aims of inclusive finance, according to the United Nations, are:</w:t>
      </w:r>
    </w:p>
    <w:p w14:paraId="0910CE9B" w14:textId="5910F386" w:rsidR="0025500A" w:rsidRPr="00F16343" w:rsidRDefault="00F6043F" w:rsidP="0025500A">
      <w:pPr>
        <w:pStyle w:val="ListParagraph"/>
        <w:widowControl/>
        <w:numPr>
          <w:ilvl w:val="0"/>
          <w:numId w:val="6"/>
        </w:numPr>
        <w:bidi w:val="0"/>
        <w:spacing w:after="120" w:line="360" w:lineRule="auto"/>
        <w:ind w:left="720" w:hanging="720"/>
        <w:contextualSpacing w:val="0"/>
        <w:rPr>
          <w:rFonts w:cs="Times New Roman"/>
          <w:color w:val="auto"/>
          <w:sz w:val="24"/>
          <w:szCs w:val="24"/>
          <w:lang w:bidi="ar-YE"/>
        </w:rPr>
      </w:pPr>
      <w:r>
        <w:rPr>
          <w:rFonts w:cs="Times New Roman"/>
          <w:color w:val="auto"/>
          <w:sz w:val="24"/>
          <w:szCs w:val="24"/>
          <w:lang w:bidi="ar-YE"/>
        </w:rPr>
        <w:t>Market monitoring, industry performance values, and an appropriate management system can all help create sound financial institutions.</w:t>
      </w:r>
    </w:p>
    <w:p w14:paraId="64D2C5BB" w14:textId="6DFFDFA6" w:rsidR="0025500A" w:rsidRPr="00F16343" w:rsidRDefault="00F6043F" w:rsidP="0025500A">
      <w:pPr>
        <w:pStyle w:val="ListParagraph"/>
        <w:widowControl/>
        <w:numPr>
          <w:ilvl w:val="0"/>
          <w:numId w:val="6"/>
        </w:numPr>
        <w:bidi w:val="0"/>
        <w:spacing w:after="120" w:line="360" w:lineRule="auto"/>
        <w:ind w:left="720" w:hanging="720"/>
        <w:contextualSpacing w:val="0"/>
        <w:rPr>
          <w:rFonts w:cs="Times New Roman"/>
          <w:color w:val="auto"/>
          <w:sz w:val="24"/>
          <w:szCs w:val="24"/>
          <w:rtl/>
          <w:lang w:bidi="ar-YE"/>
        </w:rPr>
      </w:pPr>
      <w:r>
        <w:rPr>
          <w:rFonts w:cs="Times New Roman"/>
          <w:color w:val="auto"/>
          <w:sz w:val="24"/>
          <w:szCs w:val="24"/>
          <w:lang w:bidi="ar-YE"/>
        </w:rPr>
        <w:t>It should be possible to use financial services appropriately by ensuring institutional and financial sustainability.</w:t>
      </w:r>
    </w:p>
    <w:p w14:paraId="04F88455" w14:textId="7DA8CAE1" w:rsidR="0025500A" w:rsidRPr="00F16343" w:rsidRDefault="00F6043F" w:rsidP="0025500A">
      <w:pPr>
        <w:pStyle w:val="ListParagraph"/>
        <w:widowControl/>
        <w:numPr>
          <w:ilvl w:val="0"/>
          <w:numId w:val="6"/>
        </w:numPr>
        <w:bidi w:val="0"/>
        <w:spacing w:after="120" w:line="360" w:lineRule="auto"/>
        <w:ind w:left="720" w:hanging="720"/>
        <w:contextualSpacing w:val="0"/>
        <w:rPr>
          <w:rFonts w:cs="Times New Roman"/>
          <w:color w:val="auto"/>
          <w:sz w:val="24"/>
          <w:szCs w:val="24"/>
          <w:lang w:bidi="ar-YE"/>
        </w:rPr>
      </w:pPr>
      <w:r>
        <w:rPr>
          <w:rFonts w:cs="Times New Roman"/>
          <w:color w:val="auto"/>
          <w:sz w:val="24"/>
          <w:szCs w:val="24"/>
          <w:lang w:bidi="ar-YE"/>
        </w:rPr>
        <w:t>Where necessary, more financial service providers should be present to give clients a wide range of choices.</w:t>
      </w:r>
    </w:p>
    <w:p w14:paraId="4CF96BD9" w14:textId="63B0DC60"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lastRenderedPageBreak/>
        <w:tab/>
        <w:t xml:space="preserve">The policymakers have been emphasising financial inclusion of the </w:t>
      </w:r>
      <w:r w:rsidRPr="003E25B8">
        <w:rPr>
          <w:rFonts w:cs="Times New Roman"/>
          <w:color w:val="auto"/>
          <w:sz w:val="24"/>
          <w:szCs w:val="24"/>
          <w:lang w:bidi="ar-YE"/>
        </w:rPr>
        <w:t>country’s</w:t>
      </w:r>
      <w:r w:rsidRPr="00F16343">
        <w:rPr>
          <w:rFonts w:cs="Times New Roman"/>
          <w:color w:val="auto"/>
          <w:sz w:val="24"/>
          <w:szCs w:val="24"/>
          <w:lang w:bidi="ar-YE"/>
        </w:rPr>
        <w:t xml:space="preserve"> rural and semi-rural areas primarily for the three most critical imperative needs:</w:t>
      </w:r>
    </w:p>
    <w:p w14:paraId="17AB3BCD" w14:textId="552D02DC" w:rsidR="0025500A" w:rsidRPr="00F16343" w:rsidRDefault="00F6043F" w:rsidP="0025500A">
      <w:pPr>
        <w:pStyle w:val="ListParagraph"/>
        <w:widowControl/>
        <w:numPr>
          <w:ilvl w:val="0"/>
          <w:numId w:val="3"/>
        </w:numPr>
        <w:bidi w:val="0"/>
        <w:spacing w:after="120" w:line="360" w:lineRule="auto"/>
        <w:ind w:left="720" w:hanging="720"/>
        <w:contextualSpacing w:val="0"/>
        <w:rPr>
          <w:rFonts w:cs="Times New Roman"/>
          <w:color w:val="auto"/>
          <w:sz w:val="24"/>
          <w:szCs w:val="24"/>
          <w:lang w:bidi="ar-YE"/>
        </w:rPr>
      </w:pPr>
      <w:r>
        <w:rPr>
          <w:rFonts w:cs="Times New Roman"/>
          <w:color w:val="auto"/>
          <w:sz w:val="24"/>
          <w:szCs w:val="24"/>
          <w:lang w:bidi="ar-YE"/>
        </w:rPr>
        <w:t>Developing saving habits: People in poverty are more susceptible when they don't have any savings. Due to a lack of protection, this low-income group has always been under financial strain. The goal of banking services and products is to offer a valuable instrument to promote saving. People will shift away from traditional savings strategies</w:t>
      </w:r>
      <w:r w:rsidR="00DD0F58">
        <w:rPr>
          <w:rFonts w:cs="Times New Roman"/>
          <w:color w:val="auto"/>
          <w:sz w:val="24"/>
          <w:szCs w:val="24"/>
          <w:lang w:bidi="ar-YE"/>
        </w:rPr>
        <w:t>,</w:t>
      </w:r>
      <w:r>
        <w:rPr>
          <w:rFonts w:cs="Times New Roman"/>
          <w:color w:val="auto"/>
          <w:sz w:val="24"/>
          <w:szCs w:val="24"/>
          <w:lang w:bidi="ar-YE"/>
        </w:rPr>
        <w:t xml:space="preserve"> including investing in real estate, buildings, and bullion</w:t>
      </w:r>
      <w:r w:rsidR="00DD0F58">
        <w:rPr>
          <w:rFonts w:cs="Times New Roman"/>
          <w:color w:val="auto"/>
          <w:sz w:val="24"/>
          <w:szCs w:val="24"/>
          <w:lang w:bidi="ar-YE"/>
        </w:rPr>
        <w:t>,</w:t>
      </w:r>
      <w:r>
        <w:rPr>
          <w:rFonts w:cs="Times New Roman"/>
          <w:color w:val="auto"/>
          <w:sz w:val="24"/>
          <w:szCs w:val="24"/>
          <w:lang w:bidi="ar-YE"/>
        </w:rPr>
        <w:t xml:space="preserve"> as a result of financial inclusion. This action will raise the nation's capital formation and, after financial inclusion policies are implemented, should strengthen the economy.</w:t>
      </w:r>
    </w:p>
    <w:p w14:paraId="1F21E464" w14:textId="77921671" w:rsidR="0025500A" w:rsidRPr="00F16343" w:rsidRDefault="0025500A" w:rsidP="0025500A">
      <w:pPr>
        <w:pStyle w:val="ListParagraph"/>
        <w:widowControl/>
        <w:bidi w:val="0"/>
        <w:spacing w:after="120" w:line="360" w:lineRule="auto"/>
        <w:ind w:hanging="720"/>
        <w:rPr>
          <w:rFonts w:cs="Times New Roman"/>
          <w:color w:val="auto"/>
          <w:sz w:val="24"/>
          <w:szCs w:val="24"/>
          <w:lang w:bidi="ar-YE"/>
        </w:rPr>
      </w:pPr>
      <w:r w:rsidRPr="00F16343">
        <w:rPr>
          <w:rFonts w:cs="Times New Roman"/>
          <w:color w:val="auto"/>
          <w:sz w:val="24"/>
          <w:szCs w:val="24"/>
          <w:lang w:bidi="ar-YE"/>
        </w:rPr>
        <w:tab/>
      </w:r>
      <w:r w:rsidRPr="00F16343">
        <w:rPr>
          <w:rFonts w:cs="Times New Roman"/>
          <w:color w:val="auto"/>
          <w:sz w:val="24"/>
          <w:szCs w:val="24"/>
          <w:lang w:bidi="ar-YE"/>
        </w:rPr>
        <w:tab/>
      </w:r>
      <w:r w:rsidR="00F6043F">
        <w:rPr>
          <w:rFonts w:cs="Times New Roman"/>
          <w:color w:val="auto"/>
          <w:sz w:val="24"/>
          <w:szCs w:val="24"/>
          <w:lang w:bidi="ar-YE"/>
        </w:rPr>
        <w:t>Offering formal credit options: By making sure that sufficient and transparent financing is available through financial institutions and conventional channels, people will be more inclined to start their businesses, which will boost national output and wealth. Consequently, it will lessen the reliance of unbanked people on unofficial funding sources</w:t>
      </w:r>
      <w:r w:rsidR="00DD0F58">
        <w:rPr>
          <w:rFonts w:cs="Times New Roman"/>
          <w:color w:val="auto"/>
          <w:sz w:val="24"/>
          <w:szCs w:val="24"/>
          <w:lang w:bidi="ar-YE"/>
        </w:rPr>
        <w:t>,</w:t>
      </w:r>
      <w:r w:rsidR="00F6043F">
        <w:rPr>
          <w:rFonts w:cs="Times New Roman"/>
          <w:color w:val="auto"/>
          <w:sz w:val="24"/>
          <w:szCs w:val="24"/>
          <w:lang w:bidi="ar-YE"/>
        </w:rPr>
        <w:t xml:space="preserve"> including loans from friends, relatives, and moneylenders. One of the best instances of offering credit at a convenient and reasonable cost is microfinance.</w:t>
      </w:r>
    </w:p>
    <w:p w14:paraId="2703FAE4" w14:textId="1B0547F8" w:rsidR="0025500A" w:rsidRPr="00F16343" w:rsidRDefault="00F6043F" w:rsidP="0025500A">
      <w:pPr>
        <w:widowControl/>
        <w:bidi w:val="0"/>
        <w:spacing w:after="120" w:line="360" w:lineRule="auto"/>
        <w:ind w:firstLine="0"/>
        <w:rPr>
          <w:rFonts w:cs="Times New Roman"/>
          <w:color w:val="auto"/>
          <w:sz w:val="24"/>
          <w:szCs w:val="24"/>
          <w:lang w:bidi="ar-YE"/>
        </w:rPr>
      </w:pPr>
      <w:r>
        <w:rPr>
          <w:rFonts w:cs="Times New Roman"/>
          <w:color w:val="auto"/>
          <w:sz w:val="24"/>
          <w:szCs w:val="24"/>
          <w:lang w:bidi="ar-YE"/>
        </w:rPr>
        <w:t xml:space="preserve">Resolving public subsidy and welfare program leaks: The development and well-being of the impoverished are the goals of government programs and initiatives. But a sizable portion of funds intended for the impoverished do not make it to them. On the other hand, a large portion of the funds </w:t>
      </w:r>
      <w:r w:rsidR="000B0F07">
        <w:rPr>
          <w:rFonts w:cs="Times New Roman"/>
          <w:color w:val="auto"/>
          <w:sz w:val="24"/>
          <w:szCs w:val="24"/>
          <w:lang w:bidi="ar-YE"/>
        </w:rPr>
        <w:t>is</w:t>
      </w:r>
      <w:r>
        <w:rPr>
          <w:rFonts w:cs="Times New Roman"/>
          <w:color w:val="auto"/>
          <w:sz w:val="24"/>
          <w:szCs w:val="24"/>
          <w:lang w:bidi="ar-YE"/>
        </w:rPr>
        <w:t xml:space="preserve"> leaked and </w:t>
      </w:r>
      <w:r w:rsidR="000B0F07">
        <w:rPr>
          <w:rFonts w:cs="Times New Roman"/>
          <w:color w:val="auto"/>
          <w:sz w:val="24"/>
          <w:szCs w:val="24"/>
          <w:lang w:bidi="ar-YE"/>
        </w:rPr>
        <w:t>fails</w:t>
      </w:r>
      <w:r>
        <w:rPr>
          <w:rFonts w:cs="Times New Roman"/>
          <w:color w:val="auto"/>
          <w:sz w:val="24"/>
          <w:szCs w:val="24"/>
          <w:lang w:bidi="ar-YE"/>
        </w:rPr>
        <w:t xml:space="preserve"> to reach the intended recipients due to a complex system of government administration. By allowing the government to send benefits straight to the recipients' bank accounts rather than through cash payments, subsidies, or concessions, financial inclusion has assisted in resolving this problem. The real beneficiaries have benefited from this admirable endeavour, which has also decreased the government's subsidy expense and stopped money from leaking before it reaches its intended users. Establishing a transaction system where the impoverished can directly profit from an economical and effective financial system is crucial to achieving this. Consequently, financial inclusion must be given top priority.</w:t>
      </w:r>
      <w:r w:rsidR="000B0F07">
        <w:rPr>
          <w:rFonts w:cs="Times New Roman"/>
          <w:color w:val="auto"/>
          <w:sz w:val="24"/>
          <w:szCs w:val="24"/>
          <w:lang w:bidi="ar-YE"/>
        </w:rPr>
        <w:t xml:space="preserve"> </w:t>
      </w:r>
      <w:r>
        <w:rPr>
          <w:rFonts w:cs="Times New Roman"/>
          <w:color w:val="auto"/>
          <w:sz w:val="24"/>
          <w:szCs w:val="24"/>
          <w:lang w:bidi="ar-YE"/>
        </w:rPr>
        <w:t xml:space="preserve">The official financial system must address two issues: Using financial counsellors to raise farmers' financial literacy and </w:t>
      </w:r>
      <w:r w:rsidR="000B0F07">
        <w:rPr>
          <w:rFonts w:cs="Times New Roman"/>
          <w:color w:val="auto"/>
          <w:sz w:val="24"/>
          <w:szCs w:val="24"/>
          <w:lang w:bidi="ar-YE"/>
        </w:rPr>
        <w:t>emphasising</w:t>
      </w:r>
      <w:r>
        <w:rPr>
          <w:rFonts w:cs="Times New Roman"/>
          <w:color w:val="auto"/>
          <w:sz w:val="24"/>
          <w:szCs w:val="24"/>
          <w:lang w:bidi="ar-YE"/>
        </w:rPr>
        <w:t xml:space="preserve"> their financial inclusion</w:t>
      </w:r>
      <w:r w:rsidR="0025500A" w:rsidRPr="00F16343">
        <w:rPr>
          <w:rFonts w:cs="Times New Roman"/>
          <w:color w:val="auto"/>
          <w:sz w:val="24"/>
          <w:szCs w:val="24"/>
          <w:lang w:bidi="ar-YE"/>
        </w:rPr>
        <w:t xml:space="preserve">. </w:t>
      </w:r>
      <w:r>
        <w:rPr>
          <w:rFonts w:cs="Times New Roman"/>
          <w:color w:val="auto"/>
          <w:sz w:val="24"/>
          <w:szCs w:val="24"/>
          <w:lang w:bidi="ar-YE"/>
        </w:rPr>
        <w:t xml:space="preserve">Indian banks and other financial market participants should aggressively promote initiatives that raise understanding of loan consequences, interest computations, and other unique banking aspects so that consumers can make educated decisions </w:t>
      </w:r>
      <w:r>
        <w:rPr>
          <w:rFonts w:cs="Times New Roman"/>
          <w:color w:val="auto"/>
          <w:sz w:val="24"/>
          <w:szCs w:val="24"/>
          <w:lang w:bidi="ar-YE"/>
        </w:rPr>
        <w:lastRenderedPageBreak/>
        <w:t>as part of their CSR. Small borrowers, particularly farmers, should have access to full-day counselling sessions offered by banks. It takes a lot of work and engagement in this area.</w:t>
      </w:r>
    </w:p>
    <w:p w14:paraId="5EBCD3F8" w14:textId="0E6B8863"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F6043F">
        <w:rPr>
          <w:rFonts w:cs="Times New Roman"/>
          <w:color w:val="auto"/>
          <w:sz w:val="24"/>
          <w:szCs w:val="24"/>
          <w:lang w:bidi="ar-YE"/>
        </w:rPr>
        <w:t>Establishing a bank account is not the end goal of financial inclusion; it is only the first step. Accounts must be actively used; simply establishing an account is not enough. Understanding the lives, needs, production, and vulnerabilities of the impoverished is essential to inclusion. They can gradually stabilise, reduce risk, boost earnings, acquire assets, and eventually become self-sufficient when banks step in and open accounts. By meeting their financial needs, fostering savings, and advancing financial awareness, financial inclusion is viewed as a way to empower the targeted group. Treating account holders as clients rather than as beneficiaries is essential.</w:t>
      </w:r>
    </w:p>
    <w:p w14:paraId="0D1CB474" w14:textId="5EFCF88F"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F6043F">
        <w:rPr>
          <w:rFonts w:cs="Times New Roman"/>
          <w:color w:val="auto"/>
          <w:sz w:val="24"/>
          <w:szCs w:val="24"/>
          <w:lang w:bidi="ar-YE"/>
        </w:rPr>
        <w:t>A larger portion of the economy is encouraged to interact with the official financial system through financial inclusion. It facilitates the shift to bank accounts, which are easily monitored, from a cash-based economy. Additionally, it makes it easier to monitor suspicious transactions by facilitating the application of Anti-Money Laundering and Combating the Financing of Terrorism (AML/CFT) rules.</w:t>
      </w:r>
    </w:p>
    <w:p w14:paraId="21437413" w14:textId="42733AB1" w:rsidR="0025500A" w:rsidRPr="00F16343" w:rsidRDefault="0025500A" w:rsidP="0025500A">
      <w:pPr>
        <w:widowControl/>
        <w:bidi w:val="0"/>
        <w:spacing w:after="120" w:line="360" w:lineRule="auto"/>
        <w:ind w:firstLine="0"/>
        <w:jc w:val="left"/>
        <w:rPr>
          <w:rFonts w:cs="Times New Roman"/>
          <w:b/>
          <w:bCs/>
          <w:color w:val="auto"/>
          <w:sz w:val="24"/>
          <w:szCs w:val="24"/>
          <w:lang w:bidi="ar-YE"/>
        </w:rPr>
      </w:pPr>
      <w:r w:rsidRPr="00F16343">
        <w:rPr>
          <w:rFonts w:cs="Times New Roman"/>
          <w:b/>
          <w:bCs/>
          <w:color w:val="auto"/>
          <w:sz w:val="24"/>
          <w:szCs w:val="24"/>
          <w:lang w:bidi="ar-YE"/>
        </w:rPr>
        <w:tab/>
        <w:t>Advantages of Financial Inclusion</w:t>
      </w:r>
    </w:p>
    <w:p w14:paraId="33C8BDA4" w14:textId="2F60EC24" w:rsidR="0025500A" w:rsidRPr="00F16343" w:rsidRDefault="0025500A" w:rsidP="0025500A">
      <w:pPr>
        <w:widowControl/>
        <w:bidi w:val="0"/>
        <w:spacing w:after="120" w:line="360" w:lineRule="auto"/>
        <w:ind w:firstLine="0"/>
        <w:jc w:val="left"/>
        <w:rPr>
          <w:rFonts w:cs="Times New Roman"/>
          <w:color w:val="auto"/>
          <w:sz w:val="24"/>
          <w:szCs w:val="24"/>
          <w:lang w:bidi="ar-YE"/>
        </w:rPr>
      </w:pPr>
      <w:r w:rsidRPr="00F16343">
        <w:rPr>
          <w:rFonts w:cs="Times New Roman"/>
          <w:b/>
          <w:bCs/>
          <w:color w:val="auto"/>
          <w:sz w:val="24"/>
          <w:szCs w:val="24"/>
          <w:lang w:bidi="ar-YE"/>
        </w:rPr>
        <w:tab/>
      </w:r>
      <w:r w:rsidR="00F6043F">
        <w:rPr>
          <w:rFonts w:cs="Times New Roman"/>
          <w:color w:val="auto"/>
          <w:sz w:val="24"/>
          <w:szCs w:val="24"/>
          <w:lang w:bidi="ar-YE"/>
        </w:rPr>
        <w:t>First, financial inclusion contributes to economic growth to a certain extent. Research suggests that when credit is issued without adequate management, the dangers to financial stability increase. Financial stability is unaffected by expanding access to other forms of financial services, in contrast to credit. Financial independence can only be attained by people who have investments, insurance, and retirement plans. Only until impoverished households and isolated regions are financially included will all of this be feasible.</w:t>
      </w:r>
    </w:p>
    <w:p w14:paraId="37201405" w14:textId="34A6C891"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F6043F">
        <w:rPr>
          <w:rFonts w:cs="Times New Roman"/>
          <w:color w:val="auto"/>
          <w:sz w:val="24"/>
          <w:szCs w:val="24"/>
          <w:lang w:bidi="ar-YE"/>
        </w:rPr>
        <w:t xml:space="preserve">Another benefit of financial inclusion is that it opens up new avenues for private-sector company models that put social service first and offer a fresh approach to growth. For instance, M-PESA and other mobile money services have reached around 80% of Kenyans, and innovative use cases and business models are finding their way into the infrastructure. Additionally, M-KOPA and </w:t>
      </w:r>
      <w:proofErr w:type="spellStart"/>
      <w:r w:rsidR="00F6043F">
        <w:rPr>
          <w:rFonts w:cs="Times New Roman"/>
          <w:color w:val="auto"/>
          <w:sz w:val="24"/>
          <w:szCs w:val="24"/>
          <w:lang w:bidi="ar-YE"/>
        </w:rPr>
        <w:t>Mobisol</w:t>
      </w:r>
      <w:proofErr w:type="spellEnd"/>
      <w:r w:rsidR="00F6043F">
        <w:rPr>
          <w:rFonts w:cs="Times New Roman"/>
          <w:color w:val="auto"/>
          <w:sz w:val="24"/>
          <w:szCs w:val="24"/>
          <w:lang w:bidi="ar-YE"/>
        </w:rPr>
        <w:t xml:space="preserve"> have created </w:t>
      </w:r>
      <w:proofErr w:type="spellStart"/>
      <w:r w:rsidR="00F6043F">
        <w:rPr>
          <w:rFonts w:cs="Times New Roman"/>
          <w:color w:val="auto"/>
          <w:sz w:val="24"/>
          <w:szCs w:val="24"/>
          <w:lang w:bidi="ar-YE"/>
        </w:rPr>
        <w:t>microleasing</w:t>
      </w:r>
      <w:proofErr w:type="spellEnd"/>
      <w:r w:rsidR="00F6043F">
        <w:rPr>
          <w:rFonts w:cs="Times New Roman"/>
          <w:color w:val="auto"/>
          <w:sz w:val="24"/>
          <w:szCs w:val="24"/>
          <w:lang w:bidi="ar-YE"/>
        </w:rPr>
        <w:t xml:space="preserve"> for community-based, off-grid solar electricity in Tanzania, which is a great illustration of innovation in the context of climate change adaptation. The effect on household wellbeing has not yet been confirmed.</w:t>
      </w:r>
    </w:p>
    <w:p w14:paraId="64ACDCAE" w14:textId="60402A04"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lastRenderedPageBreak/>
        <w:tab/>
      </w:r>
      <w:r w:rsidR="00F6043F">
        <w:rPr>
          <w:rFonts w:cs="Times New Roman"/>
          <w:color w:val="auto"/>
          <w:sz w:val="24"/>
          <w:szCs w:val="24"/>
          <w:lang w:bidi="ar-YE"/>
        </w:rPr>
        <w:t xml:space="preserve">Global poverty can be reduced with the help of financial inclusion, especially in developing and impoverished nations. It accomplishes this by giving those in need prompt, affordable access to better credit and thrift savings. Because many individuals lack access to financial services and are forced to rely on their </w:t>
      </w:r>
      <w:r w:rsidR="00C62B1D">
        <w:rPr>
          <w:rFonts w:cs="Times New Roman"/>
          <w:color w:val="auto"/>
          <w:sz w:val="24"/>
          <w:szCs w:val="24"/>
          <w:lang w:bidi="ar-YE"/>
        </w:rPr>
        <w:t xml:space="preserve">own </w:t>
      </w:r>
      <w:r w:rsidR="00F6043F">
        <w:rPr>
          <w:rFonts w:cs="Times New Roman"/>
          <w:color w:val="auto"/>
          <w:sz w:val="24"/>
          <w:szCs w:val="24"/>
          <w:lang w:bidi="ar-YE"/>
        </w:rPr>
        <w:t xml:space="preserve">resources or unofficial sources of financial services, financial inclusion has become a global concern. All nations are working together to get a sizable portion of the </w:t>
      </w:r>
      <w:r w:rsidR="00DD0F58">
        <w:rPr>
          <w:rFonts w:cs="Times New Roman"/>
          <w:color w:val="auto"/>
          <w:sz w:val="24"/>
          <w:szCs w:val="24"/>
          <w:lang w:bidi="ar-YE"/>
        </w:rPr>
        <w:t xml:space="preserve">population, </w:t>
      </w:r>
      <w:r w:rsidR="00F6043F">
        <w:rPr>
          <w:rFonts w:cs="Times New Roman"/>
          <w:color w:val="auto"/>
          <w:sz w:val="24"/>
          <w:szCs w:val="24"/>
          <w:lang w:bidi="ar-YE"/>
        </w:rPr>
        <w:t>especially the disadvantaged groups in both rural and urban areas</w:t>
      </w:r>
      <w:r w:rsidR="00DD0F58">
        <w:rPr>
          <w:rFonts w:cs="Times New Roman"/>
          <w:color w:val="auto"/>
          <w:sz w:val="24"/>
          <w:szCs w:val="24"/>
          <w:lang w:bidi="ar-YE"/>
        </w:rPr>
        <w:t xml:space="preserve">, </w:t>
      </w:r>
      <w:r w:rsidR="00F6043F">
        <w:rPr>
          <w:rFonts w:cs="Times New Roman"/>
          <w:color w:val="auto"/>
          <w:sz w:val="24"/>
          <w:szCs w:val="24"/>
          <w:lang w:bidi="ar-YE"/>
        </w:rPr>
        <w:t>into the banking industry.</w:t>
      </w:r>
    </w:p>
    <w:p w14:paraId="569AE962" w14:textId="77777777"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t>Financial empowerment is also a set of results proven to improve the economic well-being of impoverished people. It offers many advantages, including:</w:t>
      </w:r>
    </w:p>
    <w:p w14:paraId="0FF83D34" w14:textId="4E5004BD" w:rsidR="0025500A" w:rsidRPr="00F16343" w:rsidRDefault="0025500A" w:rsidP="0025500A">
      <w:pPr>
        <w:pStyle w:val="ListParagraph"/>
        <w:widowControl/>
        <w:numPr>
          <w:ilvl w:val="0"/>
          <w:numId w:val="4"/>
        </w:numPr>
        <w:bidi w:val="0"/>
        <w:spacing w:after="120" w:line="360" w:lineRule="auto"/>
        <w:ind w:left="720"/>
        <w:contextualSpacing w:val="0"/>
        <w:rPr>
          <w:rFonts w:cs="Times New Roman"/>
          <w:color w:val="auto"/>
          <w:sz w:val="24"/>
          <w:szCs w:val="24"/>
          <w:lang w:bidi="ar-YE"/>
        </w:rPr>
      </w:pPr>
      <w:r w:rsidRPr="00F16343">
        <w:rPr>
          <w:rFonts w:cs="Times New Roman"/>
          <w:color w:val="auto"/>
          <w:sz w:val="24"/>
          <w:szCs w:val="24"/>
          <w:lang w:bidi="ar-YE"/>
        </w:rPr>
        <w:t xml:space="preserve">Financial literacy education and </w:t>
      </w:r>
      <w:r w:rsidR="00C62B1D">
        <w:rPr>
          <w:rFonts w:cs="Times New Roman"/>
          <w:color w:val="auto"/>
          <w:sz w:val="24"/>
          <w:szCs w:val="24"/>
          <w:lang w:bidi="ar-YE"/>
        </w:rPr>
        <w:t>counselling</w:t>
      </w:r>
    </w:p>
    <w:p w14:paraId="4150BD3F" w14:textId="77777777" w:rsidR="0025500A" w:rsidRPr="00F16343" w:rsidRDefault="0025500A" w:rsidP="0025500A">
      <w:pPr>
        <w:pStyle w:val="ListParagraph"/>
        <w:widowControl/>
        <w:numPr>
          <w:ilvl w:val="0"/>
          <w:numId w:val="4"/>
        </w:numPr>
        <w:bidi w:val="0"/>
        <w:spacing w:after="120" w:line="360" w:lineRule="auto"/>
        <w:ind w:left="720"/>
        <w:contextualSpacing w:val="0"/>
        <w:rPr>
          <w:rFonts w:cs="Times New Roman"/>
          <w:color w:val="auto"/>
          <w:sz w:val="24"/>
          <w:szCs w:val="24"/>
          <w:lang w:bidi="ar-YE"/>
        </w:rPr>
      </w:pPr>
      <w:r w:rsidRPr="00F16343">
        <w:rPr>
          <w:rFonts w:cs="Times New Roman"/>
          <w:color w:val="auto"/>
          <w:sz w:val="24"/>
          <w:szCs w:val="24"/>
          <w:lang w:bidi="ar-YE"/>
        </w:rPr>
        <w:t>Assistance with receiving government benefits and tax credits</w:t>
      </w:r>
    </w:p>
    <w:p w14:paraId="5178ED0E" w14:textId="77777777" w:rsidR="0025500A" w:rsidRPr="00F16343" w:rsidRDefault="0025500A" w:rsidP="0025500A">
      <w:pPr>
        <w:pStyle w:val="ListParagraph"/>
        <w:widowControl/>
        <w:numPr>
          <w:ilvl w:val="0"/>
          <w:numId w:val="4"/>
        </w:numPr>
        <w:bidi w:val="0"/>
        <w:spacing w:after="120" w:line="360" w:lineRule="auto"/>
        <w:ind w:left="720"/>
        <w:contextualSpacing w:val="0"/>
        <w:rPr>
          <w:rFonts w:cs="Times New Roman"/>
          <w:color w:val="auto"/>
          <w:sz w:val="24"/>
          <w:szCs w:val="24"/>
          <w:lang w:bidi="ar-YE"/>
        </w:rPr>
      </w:pPr>
      <w:r w:rsidRPr="00F16343">
        <w:rPr>
          <w:rFonts w:cs="Times New Roman"/>
          <w:color w:val="auto"/>
          <w:sz w:val="24"/>
          <w:szCs w:val="24"/>
          <w:lang w:bidi="ar-YE"/>
        </w:rPr>
        <w:t>Access to safe and affordable financial products and services</w:t>
      </w:r>
    </w:p>
    <w:p w14:paraId="272B23C1" w14:textId="77777777" w:rsidR="0025500A" w:rsidRPr="00F16343" w:rsidRDefault="0025500A" w:rsidP="0025500A">
      <w:pPr>
        <w:pStyle w:val="ListParagraph"/>
        <w:widowControl/>
        <w:numPr>
          <w:ilvl w:val="0"/>
          <w:numId w:val="4"/>
        </w:numPr>
        <w:bidi w:val="0"/>
        <w:spacing w:after="120" w:line="360" w:lineRule="auto"/>
        <w:ind w:left="720"/>
        <w:contextualSpacing w:val="0"/>
        <w:rPr>
          <w:rFonts w:cs="Times New Roman"/>
          <w:color w:val="auto"/>
          <w:sz w:val="24"/>
          <w:szCs w:val="24"/>
          <w:lang w:bidi="ar-YE"/>
        </w:rPr>
      </w:pPr>
      <w:r w:rsidRPr="00F16343">
        <w:rPr>
          <w:rFonts w:cs="Times New Roman"/>
          <w:color w:val="auto"/>
          <w:sz w:val="24"/>
          <w:szCs w:val="24"/>
          <w:lang w:bidi="ar-YE"/>
        </w:rPr>
        <w:t>Opportunities for savings, asset building, and investment</w:t>
      </w:r>
    </w:p>
    <w:p w14:paraId="3D076BA5" w14:textId="77777777" w:rsidR="0025500A" w:rsidRPr="00F16343" w:rsidRDefault="0025500A" w:rsidP="0025500A">
      <w:pPr>
        <w:pStyle w:val="ListParagraph"/>
        <w:widowControl/>
        <w:numPr>
          <w:ilvl w:val="0"/>
          <w:numId w:val="4"/>
        </w:numPr>
        <w:bidi w:val="0"/>
        <w:spacing w:after="120" w:line="360" w:lineRule="auto"/>
        <w:ind w:left="720"/>
        <w:contextualSpacing w:val="0"/>
        <w:rPr>
          <w:rFonts w:cs="Times New Roman"/>
          <w:color w:val="auto"/>
          <w:sz w:val="24"/>
          <w:szCs w:val="24"/>
          <w:lang w:bidi="ar-YE"/>
        </w:rPr>
      </w:pPr>
      <w:r w:rsidRPr="00F16343">
        <w:rPr>
          <w:rFonts w:cs="Times New Roman"/>
          <w:color w:val="auto"/>
          <w:sz w:val="24"/>
          <w:szCs w:val="24"/>
          <w:lang w:bidi="ar-YE"/>
        </w:rPr>
        <w:t>Consumer education and safety</w:t>
      </w:r>
    </w:p>
    <w:p w14:paraId="60B96C2F" w14:textId="77777777" w:rsidR="0025500A" w:rsidRPr="00F16343" w:rsidRDefault="0025500A" w:rsidP="0025500A">
      <w:pPr>
        <w:pStyle w:val="ListParagraph"/>
        <w:widowControl/>
        <w:numPr>
          <w:ilvl w:val="0"/>
          <w:numId w:val="4"/>
        </w:numPr>
        <w:bidi w:val="0"/>
        <w:spacing w:after="120" w:line="360" w:lineRule="auto"/>
        <w:ind w:left="720"/>
        <w:contextualSpacing w:val="0"/>
        <w:rPr>
          <w:rFonts w:cs="Times New Roman"/>
          <w:color w:val="auto"/>
          <w:sz w:val="24"/>
          <w:szCs w:val="24"/>
          <w:lang w:bidi="ar-YE"/>
        </w:rPr>
      </w:pPr>
      <w:r w:rsidRPr="00F16343">
        <w:rPr>
          <w:rFonts w:cs="Times New Roman"/>
          <w:color w:val="auto"/>
          <w:sz w:val="24"/>
          <w:szCs w:val="24"/>
          <w:lang w:bidi="ar-YE"/>
        </w:rPr>
        <w:t>The removal of financial barriers and connection to opportunities to increase incomes quickly and begin saving and building assets for a secure future will enable people with low incomes to improve their financial outcomes.</w:t>
      </w:r>
    </w:p>
    <w:p w14:paraId="44783FB5" w14:textId="5BD67747"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F6043F">
        <w:rPr>
          <w:rFonts w:cs="Times New Roman"/>
          <w:color w:val="auto"/>
          <w:sz w:val="24"/>
          <w:szCs w:val="24"/>
          <w:lang w:bidi="ar-YE"/>
        </w:rPr>
        <w:t xml:space="preserve">In recent years, financial inclusion has also been seen as a growth factor. Financial inclusion expands the total amount of savings and investment options available to society at large. The literature claims that many European nations adopted universal banking systems because of </w:t>
      </w:r>
      <w:r w:rsidR="00DD0F58">
        <w:rPr>
          <w:rFonts w:cs="Times New Roman"/>
          <w:color w:val="auto"/>
          <w:sz w:val="24"/>
          <w:szCs w:val="24"/>
          <w:lang w:bidi="ar-YE"/>
        </w:rPr>
        <w:t xml:space="preserve">the </w:t>
      </w:r>
      <w:r w:rsidR="00F6043F">
        <w:rPr>
          <w:rFonts w:cs="Times New Roman"/>
          <w:color w:val="auto"/>
          <w:sz w:val="24"/>
          <w:szCs w:val="24"/>
          <w:lang w:bidi="ar-YE"/>
        </w:rPr>
        <w:t>concern that market-based competitive banking would fail to deliver the social advantages of full financial inclusion.</w:t>
      </w:r>
    </w:p>
    <w:p w14:paraId="5430ED87" w14:textId="6DCEAE98" w:rsidR="0025500A" w:rsidRPr="00F16343" w:rsidRDefault="0025500A" w:rsidP="0025500A">
      <w:pPr>
        <w:widowControl/>
        <w:shd w:val="clear" w:color="auto" w:fill="FFFFFF"/>
        <w:bidi w:val="0"/>
        <w:spacing w:after="120" w:line="360" w:lineRule="auto"/>
        <w:ind w:firstLine="0"/>
        <w:jc w:val="left"/>
        <w:rPr>
          <w:rFonts w:cs="Times New Roman"/>
          <w:noProof/>
          <w:color w:val="auto"/>
          <w:sz w:val="24"/>
          <w:szCs w:val="24"/>
          <w:lang w:bidi="ar-YE"/>
        </w:rPr>
      </w:pPr>
      <w:r w:rsidRPr="00F16343">
        <w:rPr>
          <w:rFonts w:cs="Times New Roman"/>
          <w:b/>
          <w:bCs/>
          <w:color w:val="auto"/>
          <w:sz w:val="24"/>
          <w:szCs w:val="24"/>
          <w:lang w:bidi="ar-YE"/>
        </w:rPr>
        <w:tab/>
        <w:t>Indicators of Financial Inclusion</w:t>
      </w:r>
    </w:p>
    <w:p w14:paraId="741527A9" w14:textId="04AA9505"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F6043F">
        <w:rPr>
          <w:rFonts w:cs="Times New Roman"/>
          <w:color w:val="auto"/>
          <w:sz w:val="24"/>
          <w:szCs w:val="24"/>
          <w:lang w:bidi="ar-YE"/>
        </w:rPr>
        <w:t xml:space="preserve">Three factors—access to financial services, use of financial services, product quality, and service delivery—can be used to gauge financial inclusion. The indicators are set by the G20. Point of sale services, ATMs, opening accounts, department cards, and complaints are some of the signs. Three factors—access to financial services, use of financial services, product quality, and service </w:t>
      </w:r>
      <w:r w:rsidR="00F6043F">
        <w:rPr>
          <w:rFonts w:cs="Times New Roman"/>
          <w:color w:val="auto"/>
          <w:sz w:val="24"/>
          <w:szCs w:val="24"/>
          <w:lang w:bidi="ar-YE"/>
        </w:rPr>
        <w:lastRenderedPageBreak/>
        <w:t>delivery—can be used to gauge financial inclusion. The indicators are set by the G20. Point of sale services, ATMs, opening accounts, department cards, and complaints are some of the signs.</w:t>
      </w:r>
    </w:p>
    <w:p w14:paraId="6A9F7381" w14:textId="77777777"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t>Each definition has key terms that distinguish it from the others. The following are the key terms identified and described in the definitions:</w:t>
      </w:r>
    </w:p>
    <w:p w14:paraId="021F1879" w14:textId="7C5629A2" w:rsidR="0025500A" w:rsidRPr="00F16343" w:rsidRDefault="0025500A" w:rsidP="0025500A">
      <w:pPr>
        <w:pStyle w:val="ListParagraph"/>
        <w:widowControl/>
        <w:numPr>
          <w:ilvl w:val="0"/>
          <w:numId w:val="2"/>
        </w:numPr>
        <w:bidi w:val="0"/>
        <w:spacing w:after="120" w:line="360" w:lineRule="auto"/>
        <w:ind w:left="720"/>
        <w:contextualSpacing w:val="0"/>
        <w:rPr>
          <w:rFonts w:cs="Times New Roman"/>
          <w:color w:val="auto"/>
          <w:sz w:val="24"/>
          <w:szCs w:val="24"/>
          <w:lang w:bidi="ar-YE"/>
        </w:rPr>
      </w:pPr>
      <w:r w:rsidRPr="00F16343">
        <w:rPr>
          <w:rFonts w:cs="Times New Roman"/>
          <w:b/>
          <w:bCs/>
          <w:color w:val="auto"/>
          <w:sz w:val="24"/>
          <w:szCs w:val="24"/>
          <w:lang w:bidi="ar-YE"/>
        </w:rPr>
        <w:t>ACCESS</w:t>
      </w:r>
      <w:r w:rsidRPr="00F16343">
        <w:rPr>
          <w:rFonts w:cs="Times New Roman"/>
          <w:color w:val="auto"/>
          <w:sz w:val="24"/>
          <w:szCs w:val="24"/>
          <w:lang w:bidi="ar-YE"/>
        </w:rPr>
        <w:t xml:space="preserve">: </w:t>
      </w:r>
      <w:r w:rsidR="00F6043F">
        <w:rPr>
          <w:rFonts w:cs="Times New Roman"/>
          <w:color w:val="auto"/>
          <w:sz w:val="24"/>
          <w:szCs w:val="24"/>
          <w:lang w:bidi="ar-YE"/>
        </w:rPr>
        <w:t>Permission to utilise a product or service is known as access. Financial products and services are referred to as financial inclusion services in terms of accessibility.</w:t>
      </w:r>
    </w:p>
    <w:p w14:paraId="7DFA900D" w14:textId="23175582" w:rsidR="0025500A" w:rsidRPr="00F16343" w:rsidRDefault="0025500A" w:rsidP="0025500A">
      <w:pPr>
        <w:pStyle w:val="ListParagraph"/>
        <w:widowControl/>
        <w:numPr>
          <w:ilvl w:val="0"/>
          <w:numId w:val="2"/>
        </w:numPr>
        <w:bidi w:val="0"/>
        <w:spacing w:after="120" w:line="360" w:lineRule="auto"/>
        <w:ind w:left="720"/>
        <w:contextualSpacing w:val="0"/>
        <w:rPr>
          <w:rFonts w:cs="Times New Roman"/>
          <w:color w:val="auto"/>
          <w:sz w:val="24"/>
          <w:szCs w:val="24"/>
          <w:lang w:bidi="ar-YE"/>
        </w:rPr>
      </w:pPr>
      <w:r w:rsidRPr="00F16343">
        <w:rPr>
          <w:rFonts w:cs="Times New Roman"/>
          <w:b/>
          <w:bCs/>
          <w:color w:val="auto"/>
          <w:sz w:val="24"/>
          <w:szCs w:val="24"/>
          <w:lang w:bidi="ar-YE"/>
        </w:rPr>
        <w:t>USE</w:t>
      </w:r>
      <w:r w:rsidRPr="00F16343">
        <w:rPr>
          <w:rFonts w:cs="Times New Roman"/>
          <w:color w:val="auto"/>
          <w:sz w:val="24"/>
          <w:szCs w:val="24"/>
          <w:lang w:bidi="ar-YE"/>
        </w:rPr>
        <w:t xml:space="preserve">: </w:t>
      </w:r>
      <w:r w:rsidR="00F6043F">
        <w:rPr>
          <w:rFonts w:cs="Times New Roman"/>
          <w:color w:val="auto"/>
          <w:sz w:val="24"/>
          <w:szCs w:val="24"/>
          <w:lang w:bidi="ar-YE"/>
        </w:rPr>
        <w:t xml:space="preserve">Utilising is the act of carrying out a plan. </w:t>
      </w:r>
      <w:r w:rsidR="00DD0F58">
        <w:rPr>
          <w:rFonts w:cs="Times New Roman"/>
          <w:color w:val="auto"/>
          <w:sz w:val="24"/>
          <w:szCs w:val="24"/>
          <w:lang w:bidi="ar-YE"/>
        </w:rPr>
        <w:t>Usage</w:t>
      </w:r>
      <w:r w:rsidR="00F6043F">
        <w:rPr>
          <w:rFonts w:cs="Times New Roman"/>
          <w:color w:val="auto"/>
          <w:sz w:val="24"/>
          <w:szCs w:val="24"/>
          <w:lang w:bidi="ar-YE"/>
        </w:rPr>
        <w:t xml:space="preserve"> refers to the usage of financial services and products that have been approved by official authorities in order to access financial institutions in the context of financial inclusion.</w:t>
      </w:r>
    </w:p>
    <w:p w14:paraId="1075487A" w14:textId="77777777" w:rsidR="0025500A" w:rsidRPr="00F16343" w:rsidRDefault="0025500A" w:rsidP="0025500A">
      <w:pPr>
        <w:pStyle w:val="ListParagraph"/>
        <w:widowControl/>
        <w:numPr>
          <w:ilvl w:val="0"/>
          <w:numId w:val="2"/>
        </w:numPr>
        <w:bidi w:val="0"/>
        <w:spacing w:after="120" w:line="360" w:lineRule="auto"/>
        <w:ind w:left="720"/>
        <w:contextualSpacing w:val="0"/>
        <w:rPr>
          <w:rFonts w:cs="Times New Roman"/>
          <w:color w:val="auto"/>
          <w:sz w:val="24"/>
          <w:szCs w:val="24"/>
          <w:lang w:bidi="ar-YE"/>
        </w:rPr>
      </w:pPr>
      <w:r w:rsidRPr="00F16343">
        <w:rPr>
          <w:rFonts w:cs="Times New Roman"/>
          <w:b/>
          <w:bCs/>
          <w:color w:val="auto"/>
          <w:sz w:val="24"/>
          <w:szCs w:val="24"/>
          <w:lang w:bidi="ar-YE"/>
        </w:rPr>
        <w:t>Financial Products</w:t>
      </w:r>
      <w:r w:rsidRPr="00F16343">
        <w:rPr>
          <w:rFonts w:cs="Times New Roman"/>
          <w:color w:val="auto"/>
          <w:sz w:val="24"/>
          <w:szCs w:val="24"/>
          <w:lang w:bidi="ar-YE"/>
        </w:rPr>
        <w:t>: Financial products include small savings accounts. Examples of schemes include savings accounts, public provident funds, and national savings.</w:t>
      </w:r>
    </w:p>
    <w:p w14:paraId="7E6A1D33" w14:textId="1429272E"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F6043F">
        <w:rPr>
          <w:rFonts w:cs="Times New Roman"/>
          <w:color w:val="auto"/>
          <w:sz w:val="24"/>
          <w:szCs w:val="24"/>
          <w:lang w:bidi="ar-YE"/>
        </w:rPr>
        <w:t>Data plays a crucial part in the policymaking process, from design and execution to monitoring and assessment, and policymakers are becoming more aware of the significance of evidence-based policymaking. With rigorous, unbiased, and trustworthy data, policymakers can precisely diagnose the state of financial inclusion, set reasonable goals, pinpoint current obstacles, create efficient policies, and track and evaluate the effects of those policies.</w:t>
      </w:r>
    </w:p>
    <w:p w14:paraId="47EF2629" w14:textId="386B977E"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645BE6">
        <w:rPr>
          <w:rFonts w:cs="Times New Roman"/>
          <w:color w:val="auto"/>
          <w:sz w:val="24"/>
          <w:szCs w:val="24"/>
          <w:lang w:bidi="ar-YE"/>
        </w:rPr>
        <w:t xml:space="preserve">Although the need </w:t>
      </w:r>
      <w:r w:rsidR="00DD0F58">
        <w:rPr>
          <w:rFonts w:cs="Times New Roman"/>
          <w:color w:val="auto"/>
          <w:sz w:val="24"/>
          <w:szCs w:val="24"/>
          <w:lang w:bidi="ar-YE"/>
        </w:rPr>
        <w:t>to gather</w:t>
      </w:r>
      <w:r w:rsidR="00645BE6">
        <w:rPr>
          <w:rFonts w:cs="Times New Roman"/>
          <w:color w:val="auto"/>
          <w:sz w:val="24"/>
          <w:szCs w:val="24"/>
          <w:lang w:bidi="ar-YE"/>
        </w:rPr>
        <w:t xml:space="preserve"> statistics on financial inclusion is widely acknowledged, there is no consensus on what should be measured or how. At the moment, several nations employ various metrics and approaches to accomplish comparable objectives. While some nations have advanced systems for gathering data, others do not.</w:t>
      </w:r>
    </w:p>
    <w:p w14:paraId="29257C7C" w14:textId="24125248"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645BE6">
        <w:rPr>
          <w:rFonts w:cs="Times New Roman"/>
          <w:color w:val="auto"/>
          <w:sz w:val="24"/>
          <w:szCs w:val="24"/>
          <w:lang w:bidi="ar-YE"/>
        </w:rPr>
        <w:t xml:space="preserve">To meet the requirement for a minimum collection of financial inclusion data that is uniform across nations and a shared concept of financial inclusion, the Financial Inclusion Data Working Group (FIDWG) has created a Core collection of financial inclusion indicators. The first step in reaching a common understanding of financial inclusion in terms of measurement and data is the Core Set of Financial Inclusion Indicators, or "the Core </w:t>
      </w:r>
      <w:proofErr w:type="spellStart"/>
      <w:r w:rsidR="00645BE6">
        <w:rPr>
          <w:rFonts w:cs="Times New Roman"/>
          <w:color w:val="auto"/>
          <w:sz w:val="24"/>
          <w:szCs w:val="24"/>
          <w:lang w:bidi="ar-YE"/>
        </w:rPr>
        <w:t>Set."The</w:t>
      </w:r>
      <w:proofErr w:type="spellEnd"/>
      <w:r w:rsidR="00645BE6">
        <w:rPr>
          <w:rFonts w:cs="Times New Roman"/>
          <w:color w:val="auto"/>
          <w:sz w:val="24"/>
          <w:szCs w:val="24"/>
          <w:lang w:bidi="ar-YE"/>
        </w:rPr>
        <w:t xml:space="preserve"> FIDWG will create a broader, more thorough framework for financial inclusion, of which the Core Set will be a component. The framework will incorporate recommendations for evaluating financial inclusion, including guiding comments on measuring quality and a more comprehensive catalogue of indicators spanning the access and usage components of financial inclusion.</w:t>
      </w:r>
    </w:p>
    <w:p w14:paraId="1E25678F" w14:textId="14593986"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lastRenderedPageBreak/>
        <w:tab/>
      </w:r>
      <w:r w:rsidR="00645BE6">
        <w:rPr>
          <w:rFonts w:cs="Times New Roman"/>
          <w:color w:val="auto"/>
          <w:sz w:val="24"/>
          <w:szCs w:val="24"/>
          <w:lang w:bidi="ar-YE"/>
        </w:rPr>
        <w:t>The Core Set is a condensed collection of numerical metrics that represent the degree of financial inclusion in a nation. The indicators are intended to evaluate the most basic facets of financial inclusion, which are as follows, per AFI (2011):</w:t>
      </w:r>
    </w:p>
    <w:p w14:paraId="1C028981" w14:textId="77777777" w:rsidR="0025500A" w:rsidRPr="00F16343" w:rsidRDefault="0025500A" w:rsidP="0025500A">
      <w:pPr>
        <w:pStyle w:val="ListParagraph"/>
        <w:widowControl/>
        <w:numPr>
          <w:ilvl w:val="0"/>
          <w:numId w:val="5"/>
        </w:numPr>
        <w:bidi w:val="0"/>
        <w:spacing w:line="360" w:lineRule="auto"/>
        <w:ind w:left="720"/>
        <w:contextualSpacing w:val="0"/>
        <w:rPr>
          <w:rFonts w:cs="Times New Roman"/>
          <w:color w:val="auto"/>
          <w:sz w:val="24"/>
          <w:szCs w:val="24"/>
          <w:lang w:bidi="ar-YE"/>
        </w:rPr>
      </w:pPr>
      <w:r w:rsidRPr="00F16343">
        <w:rPr>
          <w:rFonts w:cs="Times New Roman"/>
          <w:color w:val="auto"/>
          <w:sz w:val="24"/>
          <w:szCs w:val="24"/>
          <w:lang w:bidi="ar-YE"/>
        </w:rPr>
        <w:t>Deposit accounts</w:t>
      </w:r>
    </w:p>
    <w:p w14:paraId="2861E851" w14:textId="77777777" w:rsidR="0025500A" w:rsidRPr="00F16343" w:rsidRDefault="0025500A" w:rsidP="0025500A">
      <w:pPr>
        <w:pStyle w:val="ListParagraph"/>
        <w:widowControl/>
        <w:numPr>
          <w:ilvl w:val="0"/>
          <w:numId w:val="5"/>
        </w:numPr>
        <w:bidi w:val="0"/>
        <w:spacing w:line="360" w:lineRule="auto"/>
        <w:ind w:left="720"/>
        <w:contextualSpacing w:val="0"/>
        <w:rPr>
          <w:rFonts w:cs="Times New Roman"/>
          <w:color w:val="auto"/>
          <w:sz w:val="24"/>
          <w:szCs w:val="24"/>
          <w:lang w:bidi="ar-YE"/>
        </w:rPr>
      </w:pPr>
      <w:r w:rsidRPr="00F16343">
        <w:rPr>
          <w:rFonts w:cs="Times New Roman"/>
          <w:color w:val="auto"/>
          <w:sz w:val="24"/>
          <w:szCs w:val="24"/>
          <w:lang w:bidi="ar-YE"/>
        </w:rPr>
        <w:t>Credit arrangements</w:t>
      </w:r>
    </w:p>
    <w:p w14:paraId="4F1A25B8" w14:textId="77777777" w:rsidR="0025500A" w:rsidRPr="00F16343" w:rsidRDefault="0025500A" w:rsidP="0025500A">
      <w:pPr>
        <w:pStyle w:val="ListParagraph"/>
        <w:widowControl/>
        <w:numPr>
          <w:ilvl w:val="0"/>
          <w:numId w:val="5"/>
        </w:numPr>
        <w:bidi w:val="0"/>
        <w:spacing w:line="360" w:lineRule="auto"/>
        <w:ind w:left="720"/>
        <w:contextualSpacing w:val="0"/>
        <w:rPr>
          <w:rFonts w:cs="Times New Roman"/>
          <w:color w:val="auto"/>
          <w:sz w:val="24"/>
          <w:szCs w:val="24"/>
          <w:lang w:bidi="ar-YE"/>
        </w:rPr>
      </w:pPr>
      <w:r w:rsidRPr="00F16343">
        <w:rPr>
          <w:rFonts w:cs="Times New Roman"/>
          <w:color w:val="auto"/>
          <w:sz w:val="24"/>
          <w:szCs w:val="24"/>
          <w:lang w:bidi="ar-YE"/>
        </w:rPr>
        <w:t>Insurance contracts</w:t>
      </w:r>
    </w:p>
    <w:p w14:paraId="3925E9D2" w14:textId="77777777" w:rsidR="0025500A" w:rsidRPr="00F16343" w:rsidRDefault="0025500A" w:rsidP="0025500A">
      <w:pPr>
        <w:pStyle w:val="ListParagraph"/>
        <w:widowControl/>
        <w:numPr>
          <w:ilvl w:val="0"/>
          <w:numId w:val="5"/>
        </w:numPr>
        <w:bidi w:val="0"/>
        <w:spacing w:line="360" w:lineRule="auto"/>
        <w:ind w:left="720"/>
        <w:contextualSpacing w:val="0"/>
        <w:rPr>
          <w:rFonts w:cs="Times New Roman"/>
          <w:color w:val="auto"/>
          <w:sz w:val="24"/>
          <w:szCs w:val="24"/>
          <w:lang w:bidi="ar-YE"/>
        </w:rPr>
      </w:pPr>
      <w:r w:rsidRPr="00F16343">
        <w:rPr>
          <w:rFonts w:cs="Times New Roman"/>
          <w:color w:val="auto"/>
          <w:sz w:val="24"/>
          <w:szCs w:val="24"/>
          <w:lang w:bidi="ar-YE"/>
        </w:rPr>
        <w:t>Securities</w:t>
      </w:r>
    </w:p>
    <w:p w14:paraId="7E87FF4B" w14:textId="77777777" w:rsidR="0025500A" w:rsidRPr="00F16343" w:rsidRDefault="0025500A" w:rsidP="0025500A">
      <w:pPr>
        <w:pStyle w:val="ListParagraph"/>
        <w:widowControl/>
        <w:numPr>
          <w:ilvl w:val="0"/>
          <w:numId w:val="5"/>
        </w:numPr>
        <w:bidi w:val="0"/>
        <w:spacing w:after="120" w:line="360" w:lineRule="auto"/>
        <w:ind w:left="720"/>
        <w:contextualSpacing w:val="0"/>
        <w:rPr>
          <w:rFonts w:cs="Times New Roman"/>
          <w:color w:val="auto"/>
          <w:sz w:val="24"/>
          <w:szCs w:val="24"/>
          <w:lang w:bidi="ar-YE"/>
        </w:rPr>
      </w:pPr>
      <w:r w:rsidRPr="00F16343">
        <w:rPr>
          <w:rFonts w:cs="Times New Roman"/>
          <w:color w:val="auto"/>
          <w:sz w:val="24"/>
          <w:szCs w:val="24"/>
          <w:lang w:bidi="ar-YE"/>
        </w:rPr>
        <w:t>Foreign currency contracts</w:t>
      </w:r>
    </w:p>
    <w:p w14:paraId="4259D090" w14:textId="0830652D" w:rsidR="0025500A" w:rsidRPr="00F16343" w:rsidRDefault="0025500A" w:rsidP="0025500A">
      <w:pPr>
        <w:widowControl/>
        <w:bidi w:val="0"/>
        <w:spacing w:after="120" w:line="360" w:lineRule="auto"/>
        <w:ind w:firstLine="0"/>
        <w:jc w:val="left"/>
        <w:rPr>
          <w:rFonts w:cs="Times New Roman"/>
          <w:b/>
          <w:bCs/>
          <w:color w:val="auto"/>
          <w:sz w:val="24"/>
          <w:szCs w:val="24"/>
          <w:lang w:bidi="ar-YE"/>
        </w:rPr>
      </w:pPr>
      <w:r w:rsidRPr="00F16343">
        <w:rPr>
          <w:rFonts w:cs="Times New Roman"/>
          <w:b/>
          <w:bCs/>
          <w:color w:val="auto"/>
          <w:sz w:val="24"/>
          <w:szCs w:val="24"/>
          <w:lang w:bidi="ar-YE"/>
        </w:rPr>
        <w:tab/>
        <w:t xml:space="preserve">Goals of Financial Inclusion </w:t>
      </w:r>
    </w:p>
    <w:p w14:paraId="0AA308F2" w14:textId="7051DE60"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645BE6">
        <w:rPr>
          <w:rFonts w:cs="Times New Roman"/>
          <w:color w:val="auto"/>
          <w:sz w:val="24"/>
          <w:szCs w:val="24"/>
          <w:lang w:bidi="ar-YE"/>
        </w:rPr>
        <w:t xml:space="preserve">The economic (financial and banking) as well as social and political contexts would benefit from rising levels of financial inclusion, which aims to include societal sectors in the formal financial system and attain financial stability and economic progress. </w:t>
      </w:r>
      <w:r w:rsidR="00DD0F58">
        <w:rPr>
          <w:rFonts w:cs="Times New Roman"/>
          <w:color w:val="auto"/>
          <w:sz w:val="24"/>
          <w:szCs w:val="24"/>
          <w:lang w:bidi="ar-YE"/>
        </w:rPr>
        <w:t>Before</w:t>
      </w:r>
      <w:r w:rsidR="00645BE6">
        <w:rPr>
          <w:rFonts w:cs="Times New Roman"/>
          <w:color w:val="auto"/>
          <w:sz w:val="24"/>
          <w:szCs w:val="24"/>
          <w:lang w:bidi="ar-YE"/>
        </w:rPr>
        <w:t xml:space="preserve"> defining goals, it is essential to comprehend the governmental, regulatory, and economic settings because of their significance in attaining financial inclusion. These situations feature certain elements that need to be taken into account when establishing objectives. Among the objectives of financial inclusion are the following:</w:t>
      </w:r>
    </w:p>
    <w:p w14:paraId="2B9ADD38" w14:textId="7B4D751B" w:rsidR="0025500A" w:rsidRPr="00F16343" w:rsidRDefault="00645BE6"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Pr>
          <w:rFonts w:cs="Times New Roman"/>
          <w:color w:val="auto"/>
          <w:sz w:val="24"/>
          <w:szCs w:val="24"/>
          <w:lang w:bidi="ar-YE"/>
        </w:rPr>
        <w:t xml:space="preserve">It offers a program to help people save more money, especially those in low-income groups who are constantly under financial pressure, which puts them </w:t>
      </w:r>
      <w:r w:rsidR="00DD0F58">
        <w:rPr>
          <w:rFonts w:cs="Times New Roman"/>
          <w:color w:val="auto"/>
          <w:sz w:val="24"/>
          <w:szCs w:val="24"/>
          <w:lang w:bidi="ar-YE"/>
        </w:rPr>
        <w:t>in</w:t>
      </w:r>
      <w:r>
        <w:rPr>
          <w:rFonts w:cs="Times New Roman"/>
          <w:color w:val="auto"/>
          <w:sz w:val="24"/>
          <w:szCs w:val="24"/>
          <w:lang w:bidi="ar-YE"/>
        </w:rPr>
        <w:t xml:space="preserve"> danger because they don't save enough.</w:t>
      </w:r>
      <w:r w:rsidR="00DD0F58">
        <w:rPr>
          <w:rFonts w:cs="Times New Roman"/>
          <w:color w:val="auto"/>
          <w:sz w:val="24"/>
          <w:szCs w:val="24"/>
          <w:lang w:bidi="ar-YE"/>
        </w:rPr>
        <w:t xml:space="preserve"> </w:t>
      </w:r>
      <w:r>
        <w:rPr>
          <w:rFonts w:cs="Times New Roman"/>
          <w:color w:val="auto"/>
          <w:sz w:val="24"/>
          <w:szCs w:val="24"/>
          <w:lang w:bidi="ar-YE"/>
        </w:rPr>
        <w:t>Therefore, instead of depending on unofficial credit channels like friends, family, and moneylenders, the provision of banking products and services that combine savings results in higher savings and the development of formal credit channels that draw in the unbanked population.</w:t>
      </w:r>
      <w:sdt>
        <w:sdtPr>
          <w:rPr>
            <w:rFonts w:cs="Times New Roman"/>
            <w:sz w:val="24"/>
            <w:szCs w:val="24"/>
            <w:lang w:bidi="ar-YE"/>
          </w:rPr>
          <w:tag w:val="MENDELEY_CITATION_v3_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"/>
          <w:id w:val="-1666542034"/>
          <w:placeholder>
            <w:docPart w:val="DefaultPlaceholder_-1854013440"/>
          </w:placeholder>
        </w:sdtPr>
        <w:sdtContent>
          <w:r w:rsidR="00C62B1D" w:rsidRPr="00C62B1D">
            <w:rPr>
              <w:rFonts w:cs="Times New Roman"/>
              <w:sz w:val="24"/>
              <w:szCs w:val="24"/>
              <w:lang w:bidi="ar-YE"/>
            </w:rPr>
            <w:t>(Pradhan et al., 2021)</w:t>
          </w:r>
        </w:sdtContent>
      </w:sdt>
    </w:p>
    <w:p w14:paraId="6F2574BF" w14:textId="77777777" w:rsidR="0025500A" w:rsidRPr="00F16343" w:rsidRDefault="0025500A"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sidRPr="00F16343">
        <w:rPr>
          <w:rFonts w:cs="Times New Roman"/>
          <w:color w:val="auto"/>
          <w:sz w:val="24"/>
          <w:szCs w:val="24"/>
          <w:lang w:bidi="ar-YE"/>
        </w:rPr>
        <w:t>Financial inclusion has the potential to generate positive factors that increase savings and investment, thereby stimulating economic growth processes and increasing societal welfare and economic prosperity.</w:t>
      </w:r>
    </w:p>
    <w:p w14:paraId="0AFCC790" w14:textId="1C77D738" w:rsidR="0025500A" w:rsidRPr="00F16343" w:rsidRDefault="00645BE6"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Pr>
          <w:rFonts w:cs="Times New Roman"/>
          <w:color w:val="auto"/>
          <w:sz w:val="24"/>
          <w:szCs w:val="24"/>
          <w:lang w:bidi="ar-YE"/>
        </w:rPr>
        <w:t>By controlling the payments infrastructure and cash flows that lessen shocks, financial inclusion promotes regular usage of financial services, which are provided with integrity by a collection of official service providers. Additionally, it tackles the problem of social and geographic inequality in financial services and works to provide alternative, well-</w:t>
      </w:r>
      <w:r>
        <w:rPr>
          <w:rFonts w:cs="Times New Roman"/>
          <w:color w:val="auto"/>
          <w:sz w:val="24"/>
          <w:szCs w:val="24"/>
          <w:lang w:bidi="ar-YE"/>
        </w:rPr>
        <w:lastRenderedPageBreak/>
        <w:t>being-directed banking and financial services that are affordable and available to all societal groups.</w:t>
      </w:r>
    </w:p>
    <w:p w14:paraId="1E80A2AD" w14:textId="0242BB92" w:rsidR="0025500A" w:rsidRPr="00F16343" w:rsidRDefault="00645BE6"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Pr>
          <w:rFonts w:cs="Times New Roman"/>
          <w:color w:val="auto"/>
          <w:sz w:val="24"/>
          <w:szCs w:val="24"/>
          <w:lang w:bidi="ar-YE"/>
        </w:rPr>
        <w:t>In order to boost production outputs and attain economic prosperity, it promotes the growth of mass entrepreneurship in rural areas by offering timely and sufficient credit as well as transparency through formal banking channels. Additionally, it makes it possible for low-income individuals who do not deal with banks to receive legitimate transfers instead of transferring money between locations through unofficial means, which are typically costly and dangerous.</w:t>
      </w:r>
    </w:p>
    <w:p w14:paraId="47ED85A3" w14:textId="2CD94F04" w:rsidR="0025500A" w:rsidRPr="00F16343" w:rsidRDefault="0025500A"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sidRPr="00F16343">
        <w:rPr>
          <w:rFonts w:cs="Times New Roman"/>
          <w:color w:val="auto"/>
          <w:sz w:val="24"/>
          <w:szCs w:val="24"/>
          <w:lang w:bidi="ar-YE"/>
        </w:rPr>
        <w:t xml:space="preserve">Financial inclusion is currently seen as a remedy to fill the gaps in distributing government benefits and financial subsidies through transfers, interest, and subsidies directly to the beneficiaries (with </w:t>
      </w:r>
      <w:r w:rsidR="00DD0F58">
        <w:rPr>
          <w:rFonts w:cs="Times New Roman"/>
          <w:color w:val="auto"/>
          <w:sz w:val="24"/>
          <w:szCs w:val="24"/>
          <w:lang w:bidi="ar-YE"/>
        </w:rPr>
        <w:t>a</w:t>
      </w:r>
      <w:r w:rsidRPr="00F16343">
        <w:rPr>
          <w:rFonts w:cs="Times New Roman"/>
          <w:color w:val="auto"/>
          <w:sz w:val="24"/>
          <w:szCs w:val="24"/>
          <w:lang w:bidi="ar-YE"/>
        </w:rPr>
        <w:t xml:space="preserve"> bank account) and not through product support and cash payments.</w:t>
      </w:r>
    </w:p>
    <w:p w14:paraId="7E2CA04B" w14:textId="467676B3" w:rsidR="0025500A" w:rsidRPr="00F16343" w:rsidRDefault="00645BE6"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Pr>
          <w:rFonts w:cs="Times New Roman"/>
          <w:color w:val="auto"/>
          <w:sz w:val="24"/>
          <w:szCs w:val="24"/>
          <w:lang w:bidi="ar-YE"/>
        </w:rPr>
        <w:t>Disparities in income and savings are lessened when all facets of society experience equitable growth. Financial inclusion can help achieve equitable growth, which will benefit developing nations by mobilising savings and effectively using them for capital production and growth. It results in the establishment of sizable financial markets that satisfy the demand for financial services from a broad swath of the population. As a result, it creates a deep and wide financial system that makes it possible for new financial and banking institutions to join it, which boosts the banking industry.</w:t>
      </w:r>
    </w:p>
    <w:p w14:paraId="110E5489" w14:textId="05026098" w:rsidR="0025500A" w:rsidRPr="00F16343" w:rsidRDefault="00645BE6"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Pr>
          <w:rFonts w:cs="Times New Roman"/>
          <w:color w:val="auto"/>
          <w:sz w:val="24"/>
          <w:szCs w:val="24"/>
          <w:lang w:bidi="ar-YE"/>
        </w:rPr>
        <w:t>"The eradication of poverty" and the establishment of sustainable livelihoods are two of the social objectives. Since financial inclusion is characterised as the link between the weaker segments of society and the sources of income, and because it provides a source of income for vulnerable groups through loans and advances, its primary goal is the eradication of poverty. Regarding sustainable livelihoods, after receiving a loan, the most vulnerable members of society can launch their own companies and pursue education that would enable them to manage their income.</w:t>
      </w:r>
      <w:r w:rsidR="0025500A" w:rsidRPr="00F16343">
        <w:rPr>
          <w:rFonts w:cs="Times New Roman"/>
          <w:color w:val="auto"/>
          <w:sz w:val="24"/>
          <w:szCs w:val="24"/>
          <w:lang w:bidi="ar-YE"/>
        </w:rPr>
        <w:t xml:space="preserve"> </w:t>
      </w:r>
      <w:r>
        <w:rPr>
          <w:rFonts w:cs="Times New Roman"/>
          <w:color w:val="auto"/>
          <w:sz w:val="24"/>
          <w:szCs w:val="24"/>
          <w:lang w:bidi="ar-YE"/>
        </w:rPr>
        <w:t xml:space="preserve">According to financial studies, financial inclusion may directly affect poverty by promoting economic growth and the </w:t>
      </w:r>
      <w:r w:rsidR="00DD0F58">
        <w:rPr>
          <w:rFonts w:cs="Times New Roman"/>
          <w:color w:val="auto"/>
          <w:sz w:val="24"/>
          <w:szCs w:val="24"/>
          <w:lang w:bidi="ar-YE"/>
        </w:rPr>
        <w:t>well-being</w:t>
      </w:r>
      <w:r>
        <w:rPr>
          <w:rFonts w:cs="Times New Roman"/>
          <w:color w:val="auto"/>
          <w:sz w:val="24"/>
          <w:szCs w:val="24"/>
          <w:lang w:bidi="ar-YE"/>
        </w:rPr>
        <w:t xml:space="preserve"> of the impoverished by facilitating their access to official financial institutions. In order to improve low-income families' access to financial services from all financial institutions and, consequently, their well-being, financial and economic authorities must reform the financial sector during the decision-making process</w:t>
      </w:r>
      <w:r w:rsidR="0025500A" w:rsidRPr="00F16343">
        <w:rPr>
          <w:rFonts w:cs="Times New Roman"/>
          <w:color w:val="auto"/>
          <w:sz w:val="24"/>
          <w:szCs w:val="24"/>
          <w:lang w:bidi="ar-YE"/>
        </w:rPr>
        <w:t>.</w:t>
      </w:r>
      <w:sdt>
        <w:sdtPr>
          <w:rPr>
            <w:rFonts w:cs="Times New Roman"/>
            <w:sz w:val="24"/>
            <w:szCs w:val="24"/>
            <w:lang w:bidi="ar-YE"/>
          </w:rPr>
          <w:tag w:val="MENDELEY_CITATION_v3_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"/>
          <w:id w:val="-1321812725"/>
          <w:placeholder>
            <w:docPart w:val="DefaultPlaceholder_-1854013440"/>
          </w:placeholder>
        </w:sdtPr>
        <w:sdtContent>
          <w:r w:rsidR="00C62B1D" w:rsidRPr="00C62B1D">
            <w:rPr>
              <w:sz w:val="24"/>
            </w:rPr>
            <w:t>(</w:t>
          </w:r>
          <w:proofErr w:type="spellStart"/>
          <w:r w:rsidR="00C62B1D" w:rsidRPr="00C62B1D">
            <w:rPr>
              <w:sz w:val="24"/>
            </w:rPr>
            <w:t>Kthirumamagal</w:t>
          </w:r>
          <w:proofErr w:type="spellEnd"/>
          <w:r w:rsidR="00C62B1D" w:rsidRPr="00C62B1D">
            <w:rPr>
              <w:sz w:val="24"/>
            </w:rPr>
            <w:t xml:space="preserve"> &amp; Professor, 2016)</w:t>
          </w:r>
        </w:sdtContent>
      </w:sdt>
    </w:p>
    <w:p w14:paraId="6DCDC5D6" w14:textId="55F35A95" w:rsidR="0025500A" w:rsidRPr="00F16343" w:rsidRDefault="00645BE6"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Pr>
          <w:rFonts w:cs="Times New Roman"/>
          <w:color w:val="auto"/>
          <w:sz w:val="24"/>
          <w:szCs w:val="24"/>
          <w:lang w:bidi="ar-YE"/>
        </w:rPr>
        <w:lastRenderedPageBreak/>
        <w:t>Other political objectives that focus on the poorest groups can be accomplished through financial inclusion, and it can also act as a guide for government programs. For example, some governments have policies that aim to reduce unemployment, alleviate poverty, and achieve sustainable development.</w:t>
      </w:r>
    </w:p>
    <w:p w14:paraId="0A2B9A2E" w14:textId="591E8346" w:rsidR="0025500A" w:rsidRPr="00F16343" w:rsidRDefault="00645BE6"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Pr>
          <w:rFonts w:cs="Times New Roman"/>
          <w:color w:val="auto"/>
          <w:sz w:val="24"/>
          <w:szCs w:val="24"/>
          <w:lang w:bidi="ar-YE"/>
        </w:rPr>
        <w:t>In addition to offering banks a vast database that can be used for analysis and exploration in a way that influences the possibility of introducing new products that satisfy the needs of these segments and building models for credit assessment to facilitate financing, it also helps the banking industry by diversifying banking assets, luring banks to new clients, stabilising deposits, and lowering liquidity risks.</w:t>
      </w:r>
    </w:p>
    <w:p w14:paraId="45C69EDE" w14:textId="0603960E" w:rsidR="0025500A" w:rsidRPr="00F16343" w:rsidRDefault="00645BE6"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Pr>
          <w:rFonts w:cs="Times New Roman"/>
          <w:color w:val="auto"/>
          <w:sz w:val="24"/>
          <w:szCs w:val="24"/>
          <w:lang w:bidi="ar-YE"/>
        </w:rPr>
        <w:t>How to access and utilise financial services to get advantages, enhance social and economic circumstances, and attain financial and social stability is what makes them important. Through the creation of guidelines and policies, it also seeks to uphold and defend the rights of financial services consumers, especially by educating present and prospective customers about their obligations and rights.</w:t>
      </w:r>
    </w:p>
    <w:p w14:paraId="6FC9816A" w14:textId="2C282064" w:rsidR="0025500A" w:rsidRPr="00F16343" w:rsidRDefault="00645BE6" w:rsidP="0025500A">
      <w:pPr>
        <w:pStyle w:val="ListParagraph"/>
        <w:widowControl/>
        <w:numPr>
          <w:ilvl w:val="0"/>
          <w:numId w:val="1"/>
        </w:numPr>
        <w:bidi w:val="0"/>
        <w:spacing w:after="120" w:line="360" w:lineRule="auto"/>
        <w:ind w:hanging="720"/>
        <w:contextualSpacing w:val="0"/>
        <w:rPr>
          <w:rFonts w:cs="Times New Roman"/>
          <w:color w:val="auto"/>
          <w:sz w:val="24"/>
          <w:szCs w:val="24"/>
          <w:lang w:bidi="ar-YE"/>
        </w:rPr>
      </w:pPr>
      <w:r>
        <w:rPr>
          <w:rFonts w:cs="Times New Roman"/>
          <w:color w:val="auto"/>
          <w:sz w:val="24"/>
          <w:szCs w:val="24"/>
          <w:lang w:bidi="ar-YE"/>
        </w:rPr>
        <w:t>When a woman is financially independent, she makes investments in the education, health care, and nutrition of her family—investments that have a beneficial intergenerational influence on the society in which she lives. The extension of universal financial services for women has a significant macroeconomic impact on both economic growth and the advancement of society</w:t>
      </w:r>
      <w:r w:rsidR="0025500A" w:rsidRPr="00F16343">
        <w:rPr>
          <w:rFonts w:cs="Times New Roman"/>
          <w:color w:val="auto"/>
          <w:sz w:val="24"/>
          <w:szCs w:val="24"/>
          <w:lang w:bidi="ar-YE"/>
        </w:rPr>
        <w:t>.</w:t>
      </w:r>
      <w:sdt>
        <w:sdtPr>
          <w:rPr>
            <w:rFonts w:cs="Times New Roman"/>
            <w:sz w:val="24"/>
            <w:szCs w:val="24"/>
            <w:lang w:bidi="ar-YE"/>
          </w:rPr>
          <w:tag w:val="MENDELEY_CITATION_v3_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"/>
          <w:id w:val="-649137753"/>
          <w:placeholder>
            <w:docPart w:val="DefaultPlaceholder_-1854013440"/>
          </w:placeholder>
        </w:sdtPr>
        <w:sdtContent>
          <w:r w:rsidR="00C62B1D" w:rsidRPr="00C62B1D">
            <w:rPr>
              <w:rFonts w:cs="Times New Roman"/>
              <w:sz w:val="24"/>
              <w:szCs w:val="24"/>
              <w:lang w:bidi="ar-YE"/>
            </w:rPr>
            <w:t>(Pradhan et al., 2021)</w:t>
          </w:r>
        </w:sdtContent>
      </w:sdt>
    </w:p>
    <w:p w14:paraId="2076A663" w14:textId="3915ECA7" w:rsidR="0025500A" w:rsidRPr="00F16343" w:rsidRDefault="0025500A" w:rsidP="0025500A">
      <w:pPr>
        <w:widowControl/>
        <w:bidi w:val="0"/>
        <w:spacing w:after="120" w:line="360" w:lineRule="auto"/>
        <w:ind w:firstLine="0"/>
        <w:jc w:val="left"/>
        <w:rPr>
          <w:rFonts w:cs="Times New Roman"/>
          <w:b/>
          <w:bCs/>
          <w:color w:val="auto"/>
          <w:sz w:val="24"/>
          <w:szCs w:val="24"/>
          <w:lang w:bidi="ar-YE"/>
        </w:rPr>
      </w:pPr>
      <w:r>
        <w:rPr>
          <w:rFonts w:cs="Times New Roman"/>
          <w:b/>
          <w:bCs/>
          <w:color w:val="auto"/>
          <w:sz w:val="24"/>
          <w:szCs w:val="24"/>
          <w:lang w:bidi="ar-YE"/>
        </w:rPr>
        <w:br w:type="page"/>
      </w:r>
      <w:r w:rsidRPr="00F16343">
        <w:rPr>
          <w:rFonts w:cs="Times New Roman"/>
          <w:b/>
          <w:bCs/>
          <w:color w:val="auto"/>
          <w:sz w:val="24"/>
          <w:szCs w:val="24"/>
          <w:lang w:bidi="ar-YE"/>
        </w:rPr>
        <w:lastRenderedPageBreak/>
        <w:tab/>
        <w:t>Global Framework for Financial Inclusion</w:t>
      </w:r>
    </w:p>
    <w:p w14:paraId="02D9E695" w14:textId="4F53FB62" w:rsidR="0025500A" w:rsidRPr="00C25F80" w:rsidRDefault="0025500A" w:rsidP="0025500A">
      <w:pPr>
        <w:widowControl/>
        <w:bidi w:val="0"/>
        <w:spacing w:after="120" w:line="360" w:lineRule="auto"/>
        <w:ind w:firstLine="0"/>
        <w:rPr>
          <w:rFonts w:cs="Times New Roman"/>
          <w:b/>
          <w:bCs/>
          <w:color w:val="auto"/>
          <w:sz w:val="24"/>
          <w:szCs w:val="24"/>
          <w:lang w:bidi="ar-YE"/>
        </w:rPr>
      </w:pPr>
      <w:r w:rsidRPr="00F16343">
        <w:rPr>
          <w:rFonts w:cs="Times New Roman"/>
          <w:color w:val="auto"/>
          <w:sz w:val="24"/>
          <w:szCs w:val="24"/>
          <w:lang w:bidi="ar-YE"/>
        </w:rPr>
        <w:tab/>
      </w:r>
      <w:r w:rsidR="00645BE6">
        <w:rPr>
          <w:rFonts w:cs="Times New Roman"/>
          <w:color w:val="auto"/>
          <w:sz w:val="24"/>
          <w:szCs w:val="24"/>
          <w:lang w:bidi="ar-YE"/>
        </w:rPr>
        <w:t xml:space="preserve">During Mexico's 2012 presidency, the G-20 nations demanded an action plan to boost financial inclusion in their nations with World Bank assistance. The goal was to safeguard citizens from economic uncertainty and close the "financial gap" </w:t>
      </w:r>
      <w:r w:rsidR="00DD0F58">
        <w:rPr>
          <w:rFonts w:cs="Times New Roman"/>
          <w:color w:val="auto"/>
          <w:sz w:val="24"/>
          <w:szCs w:val="24"/>
          <w:lang w:bidi="ar-YE"/>
        </w:rPr>
        <w:t>to</w:t>
      </w:r>
      <w:r w:rsidR="00645BE6">
        <w:rPr>
          <w:rFonts w:cs="Times New Roman"/>
          <w:color w:val="auto"/>
          <w:sz w:val="24"/>
          <w:szCs w:val="24"/>
          <w:lang w:bidi="ar-YE"/>
        </w:rPr>
        <w:t xml:space="preserve"> bring them out of poverty. For people in the UK who are unable to access basic bank accounts, the government established the Post Office Current Account (POCA)</w:t>
      </w:r>
      <w:r w:rsidRPr="00F16343">
        <w:rPr>
          <w:rFonts w:cs="Times New Roman"/>
          <w:color w:val="auto"/>
          <w:sz w:val="24"/>
          <w:szCs w:val="24"/>
          <w:lang w:bidi="ar-YE"/>
        </w:rPr>
        <w:t xml:space="preserve">. </w:t>
      </w:r>
      <w:r w:rsidR="00645BE6">
        <w:rPr>
          <w:rFonts w:cs="Times New Roman"/>
          <w:color w:val="auto"/>
          <w:sz w:val="24"/>
          <w:szCs w:val="24"/>
          <w:lang w:bidi="ar-YE"/>
        </w:rPr>
        <w:t>For low-income employed people, they also launched the "Savings Gateway," which offers £1 for every £1 invested in the scheme, up to a monthly limit of £25. In order to provide clients with affordable banking services, the State of New York Banking Department has mandated that financial institutions offer basic banking accounts</w:t>
      </w:r>
      <w:r w:rsidRPr="00F16343">
        <w:rPr>
          <w:rFonts w:cs="Times New Roman"/>
          <w:color w:val="auto"/>
          <w:sz w:val="24"/>
          <w:szCs w:val="24"/>
          <w:lang w:bidi="ar-YE"/>
        </w:rPr>
        <w:t>.</w:t>
      </w:r>
      <w:sdt>
        <w:sdtPr>
          <w:rPr>
            <w:rFonts w:cs="Times New Roman"/>
            <w:bCs/>
            <w:sz w:val="24"/>
            <w:szCs w:val="24"/>
            <w:lang w:bidi="ar-YE"/>
          </w:rPr>
          <w:tag w:val="MENDELEY_CITATION_v3_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"/>
          <w:id w:val="1071779178"/>
          <w:placeholder>
            <w:docPart w:val="DefaultPlaceholder_-1854013440"/>
          </w:placeholder>
        </w:sdtPr>
        <w:sdtContent>
          <w:r w:rsidR="00C62B1D" w:rsidRPr="00C62B1D">
            <w:rPr>
              <w:rFonts w:cs="Times New Roman"/>
              <w:bCs/>
              <w:sz w:val="24"/>
              <w:szCs w:val="24"/>
              <w:lang w:bidi="ar-YE"/>
            </w:rPr>
            <w:t>(HASANOV, 2022)</w:t>
          </w:r>
        </w:sdtContent>
      </w:sdt>
    </w:p>
    <w:p w14:paraId="7C6F8198" w14:textId="4F90B037"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645BE6">
        <w:rPr>
          <w:rFonts w:cs="Times New Roman"/>
          <w:color w:val="auto"/>
          <w:sz w:val="24"/>
          <w:szCs w:val="24"/>
          <w:lang w:bidi="ar-YE"/>
        </w:rPr>
        <w:t xml:space="preserve">Global partners in the public and private sectors pledged to advance financial inclusion and declared a new global development objective of attaining universal financial access by 2020, according to the 2015 IMF World Bank Group meeting report. Established in 2002, the USA Treasury's Office of Financial Education, which is supported by the Federal Deposit Insurance Corporation (FDIC), organises the work of other federal agencies to provide financial education. </w:t>
      </w:r>
    </w:p>
    <w:p w14:paraId="5CCBAF83" w14:textId="0374A8B8" w:rsidR="0025500A" w:rsidRPr="00F16343" w:rsidRDefault="00645BE6" w:rsidP="0025500A">
      <w:pPr>
        <w:widowControl/>
        <w:bidi w:val="0"/>
        <w:spacing w:after="120" w:line="360" w:lineRule="auto"/>
        <w:ind w:firstLine="0"/>
        <w:rPr>
          <w:rFonts w:cs="Times New Roman"/>
          <w:color w:val="auto"/>
          <w:sz w:val="24"/>
          <w:szCs w:val="24"/>
          <w:lang w:bidi="ar-YE"/>
        </w:rPr>
      </w:pPr>
      <w:r>
        <w:rPr>
          <w:rFonts w:cs="Times New Roman"/>
          <w:color w:val="auto"/>
          <w:sz w:val="24"/>
          <w:szCs w:val="24"/>
          <w:lang w:bidi="ar-YE"/>
        </w:rPr>
        <w:t>Approximately 515 million adults globally opened bank accounts or accounts with mobile money providers between fiscal years 2014 and 2017, according to the Global Findex 2017 database. This means that, compared to 51% in 2011 and 62% in 2014, 69% of adults globally now have accounts. In order to unite different financial institutions and give adult members throughout the county access to financial knowledge and efficient financial service utilisation, the "Money Smart Alliances" initiative was established.</w:t>
      </w:r>
    </w:p>
    <w:p w14:paraId="0D1918C6" w14:textId="56B2C475"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645BE6">
        <w:rPr>
          <w:rFonts w:cs="Times New Roman"/>
          <w:color w:val="auto"/>
          <w:sz w:val="24"/>
          <w:szCs w:val="24"/>
          <w:lang w:bidi="ar-YE"/>
        </w:rPr>
        <w:t xml:space="preserve">Significant action has been </w:t>
      </w:r>
      <w:r w:rsidR="00C25F80">
        <w:rPr>
          <w:rFonts w:cs="Times New Roman"/>
          <w:color w:val="auto"/>
          <w:sz w:val="24"/>
          <w:szCs w:val="24"/>
          <w:lang w:bidi="ar-YE"/>
        </w:rPr>
        <w:t>taken</w:t>
      </w:r>
      <w:r w:rsidR="00645BE6">
        <w:rPr>
          <w:rFonts w:cs="Times New Roman"/>
          <w:color w:val="auto"/>
          <w:sz w:val="24"/>
          <w:szCs w:val="24"/>
          <w:lang w:bidi="ar-YE"/>
        </w:rPr>
        <w:t xml:space="preserve"> by a number of nations to advance financial inclusion. For example, Tanzania sought to expand financial access to 50% of its people in 2015 through programs like mobile banking, while Brazil launched the National Partnerships for Financial Inclusion. By 2014, it was agreed that all municipalities in Mexico </w:t>
      </w:r>
      <w:r w:rsidR="00C25F80">
        <w:rPr>
          <w:rFonts w:cs="Times New Roman"/>
          <w:color w:val="auto"/>
          <w:sz w:val="24"/>
          <w:szCs w:val="24"/>
          <w:lang w:bidi="ar-YE"/>
        </w:rPr>
        <w:t>would</w:t>
      </w:r>
      <w:r w:rsidR="00645BE6">
        <w:rPr>
          <w:rFonts w:cs="Times New Roman"/>
          <w:color w:val="auto"/>
          <w:sz w:val="24"/>
          <w:szCs w:val="24"/>
          <w:lang w:bidi="ar-YE"/>
        </w:rPr>
        <w:t xml:space="preserve"> have banking agents and branches. In 2020, Nigeria was able to cut the number of unbanked areas by half. Malawi planned to introduce agent banking in 2012, while Zambia sought to increase financial inclusion by 50% in two years. By 2017, Rwanda aimed to reach 80% of its people, and Peru promised to enact a new legislation governing electronic money the following year. In November 2009, the Central Bank of Kenya added agents to the financial banking system. These agents are allowed to perform </w:t>
      </w:r>
      <w:r w:rsidR="00645BE6">
        <w:rPr>
          <w:rFonts w:cs="Times New Roman"/>
          <w:color w:val="auto"/>
          <w:sz w:val="24"/>
          <w:szCs w:val="24"/>
          <w:lang w:bidi="ar-YE"/>
        </w:rPr>
        <w:lastRenderedPageBreak/>
        <w:t>a variety of financial services, including cash transactions, loan disbursement, bill payments, fund transfers, and mobile banking. These agents may be LLPs, Proprietorship Firms, Partnership Firms, Co-operative Societies, and Trust Corporations.</w:t>
      </w:r>
      <w:r w:rsidRPr="00F16343">
        <w:rPr>
          <w:rFonts w:cs="Times New Roman"/>
          <w:color w:val="auto"/>
          <w:sz w:val="24"/>
          <w:szCs w:val="24"/>
          <w:lang w:bidi="ar-YE"/>
        </w:rPr>
        <w:t xml:space="preserve"> However, they are prohibited from initiating electronic transactions during system failures, charging fees directly from customers, guaranteeing transactions, or continuing to serve customers if prohibited by law or due to criminal records or integrity issues. These agents operate on a commercially viable basis to ensure their financial sustainability</w:t>
      </w:r>
      <w:r w:rsidR="00DD0F58">
        <w:rPr>
          <w:rFonts w:cs="Times New Roman"/>
          <w:color w:val="auto"/>
          <w:sz w:val="24"/>
          <w:szCs w:val="24"/>
          <w:lang w:bidi="ar-YE"/>
        </w:rPr>
        <w:t xml:space="preserve"> </w:t>
      </w:r>
      <w:sdt>
        <w:sdtPr>
          <w:rPr>
            <w:rFonts w:cs="Times New Roman"/>
            <w:sz w:val="24"/>
            <w:szCs w:val="24"/>
            <w:lang w:bidi="ar-YE"/>
          </w:rPr>
          <w:tag w:val="MENDELEY_CITATION_v3_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"/>
          <w:id w:val="-728844640"/>
          <w:placeholder>
            <w:docPart w:val="DefaultPlaceholder_-1854013440"/>
          </w:placeholder>
        </w:sdtPr>
        <w:sdtContent>
          <w:r w:rsidR="00C62B1D" w:rsidRPr="00C62B1D">
            <w:rPr>
              <w:rFonts w:cs="Times New Roman"/>
              <w:sz w:val="24"/>
              <w:szCs w:val="24"/>
              <w:lang w:bidi="ar-YE"/>
            </w:rPr>
            <w:t>(Cámara et al., 2014)</w:t>
          </w:r>
        </w:sdtContent>
      </w:sdt>
    </w:p>
    <w:p w14:paraId="16D811CA" w14:textId="64124C94"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645BE6">
        <w:rPr>
          <w:rFonts w:cs="Times New Roman"/>
          <w:color w:val="auto"/>
          <w:sz w:val="24"/>
          <w:szCs w:val="24"/>
          <w:lang w:bidi="ar-YE"/>
        </w:rPr>
        <w:t xml:space="preserve">Other nations have pledged to extend banking services to underserved areas, including the Philippines, Burundi, Ethiopia, Uganda, Pakistan, and Fiji. In the Philippines, banks contract with mobile operators that employ prepaid account systems to handle a sizable amount of their banking operations. A mobile operator's subsidiary, Globe Telecom, offers virtual stored value accounts that let users send and receive money using their smartphones. </w:t>
      </w:r>
      <w:r w:rsidRPr="00F16343">
        <w:rPr>
          <w:rFonts w:cs="Times New Roman"/>
          <w:color w:val="auto"/>
          <w:sz w:val="24"/>
          <w:szCs w:val="24"/>
          <w:lang w:bidi="ar-YE"/>
        </w:rPr>
        <w:t xml:space="preserve">G-Xchange, Inc. (GXI), another subsidiary of Globe, allows non-bank agents to use prepaid accounts. Smart Money and G Cash are required to provide the </w:t>
      </w:r>
      <w:proofErr w:type="spellStart"/>
      <w:r w:rsidRPr="00F16343">
        <w:rPr>
          <w:rFonts w:cs="Times New Roman"/>
          <w:color w:val="auto"/>
          <w:sz w:val="24"/>
          <w:szCs w:val="24"/>
          <w:lang w:bidi="ar-YE"/>
        </w:rPr>
        <w:t>BangkoSentral</w:t>
      </w:r>
      <w:proofErr w:type="spellEnd"/>
      <w:r w:rsidRPr="00F16343">
        <w:rPr>
          <w:rFonts w:cs="Times New Roman"/>
          <w:color w:val="auto"/>
          <w:sz w:val="24"/>
          <w:szCs w:val="24"/>
          <w:lang w:bidi="ar-YE"/>
        </w:rPr>
        <w:t xml:space="preserve"> ng </w:t>
      </w:r>
      <w:proofErr w:type="spellStart"/>
      <w:r w:rsidRPr="00F16343">
        <w:rPr>
          <w:rFonts w:cs="Times New Roman"/>
          <w:color w:val="auto"/>
          <w:sz w:val="24"/>
          <w:szCs w:val="24"/>
          <w:lang w:bidi="ar-YE"/>
        </w:rPr>
        <w:t>Pilipinas</w:t>
      </w:r>
      <w:proofErr w:type="spellEnd"/>
      <w:r w:rsidRPr="00F16343">
        <w:rPr>
          <w:rFonts w:cs="Times New Roman"/>
          <w:color w:val="auto"/>
          <w:sz w:val="24"/>
          <w:szCs w:val="24"/>
          <w:lang w:bidi="ar-YE"/>
        </w:rPr>
        <w:t xml:space="preserve"> (BSP) with detailed operational data. In addition to traditional branch facilities, banking institutions in South Africa may appoint non-bank third parties as agencies or outsourcing arrangements to provide banking services. Contract agents are authorised to offer basic banking services to customers on behalf of the banks</w:t>
      </w:r>
      <w:r w:rsidRPr="00F16343">
        <w:rPr>
          <w:rFonts w:cs="Times New Roman"/>
          <w:color w:val="auto"/>
          <w:sz w:val="24"/>
          <w:szCs w:val="24"/>
          <w:rtl/>
          <w:lang w:bidi="ar-YE"/>
        </w:rPr>
        <w:t>.</w:t>
      </w:r>
    </w:p>
    <w:p w14:paraId="7A2F2C26" w14:textId="16D49588"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645BE6">
        <w:rPr>
          <w:rFonts w:cs="Times New Roman"/>
          <w:color w:val="auto"/>
          <w:sz w:val="24"/>
          <w:szCs w:val="24"/>
          <w:lang w:bidi="ar-YE"/>
        </w:rPr>
        <w:t xml:space="preserve">To ascertain the effects of financial access via agency banking on Kenya's low-income population, a study was carried out. Descriptive, qualitative, and quantitative research approaches were used in the study. The results showed that expanding the number of agency banking services will improve access points and increase vulnerable groups' ability to obtain financial services. According to the study, authorities should push banks to maximise financial access and implement agency banking. </w:t>
      </w:r>
    </w:p>
    <w:p w14:paraId="7EBDAFBA" w14:textId="78D4ADE3" w:rsidR="0025500A" w:rsidRPr="00F16343"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645BE6">
        <w:rPr>
          <w:rFonts w:cs="Times New Roman"/>
          <w:color w:val="auto"/>
          <w:sz w:val="24"/>
          <w:szCs w:val="24"/>
          <w:lang w:bidi="ar-YE"/>
        </w:rPr>
        <w:t xml:space="preserve">Sriram concentrated on investigating the availability of financial services for rural women. It was recommended that financial product designs be tailored to women's unique demands in areas including borrowing, insurance, and savings. </w:t>
      </w:r>
      <w:r w:rsidR="00DD0F58">
        <w:rPr>
          <w:rFonts w:cs="Times New Roman"/>
          <w:color w:val="auto"/>
          <w:sz w:val="24"/>
          <w:szCs w:val="24"/>
          <w:lang w:bidi="ar-YE"/>
        </w:rPr>
        <w:t>Ensuring</w:t>
      </w:r>
      <w:r w:rsidR="00645BE6">
        <w:rPr>
          <w:rFonts w:cs="Times New Roman"/>
          <w:color w:val="auto"/>
          <w:sz w:val="24"/>
          <w:szCs w:val="24"/>
          <w:lang w:bidi="ar-YE"/>
        </w:rPr>
        <w:t xml:space="preserve"> married women have direct access to financial services instead of depending on their spouses as middlemen is also crucial. Giving women financial autonomy gives them more authority and allows them to effectively manage resources to enhance their long-term production, education, and nutrition, among other areas of their </w:t>
      </w:r>
      <w:proofErr w:type="gramStart"/>
      <w:r w:rsidR="00645BE6">
        <w:rPr>
          <w:rFonts w:cs="Times New Roman"/>
          <w:color w:val="auto"/>
          <w:sz w:val="24"/>
          <w:szCs w:val="24"/>
          <w:lang w:bidi="ar-YE"/>
        </w:rPr>
        <w:t>lives.</w:t>
      </w:r>
      <w:r w:rsidRPr="00F16343">
        <w:rPr>
          <w:rFonts w:cs="Times New Roman"/>
          <w:color w:val="auto"/>
          <w:sz w:val="24"/>
          <w:szCs w:val="24"/>
          <w:lang w:bidi="ar-YE"/>
        </w:rPr>
        <w:t>.</w:t>
      </w:r>
      <w:proofErr w:type="gramEnd"/>
      <w:r w:rsidRPr="00F16343">
        <w:rPr>
          <w:rFonts w:cs="Times New Roman"/>
          <w:color w:val="auto"/>
          <w:sz w:val="24"/>
          <w:szCs w:val="24"/>
          <w:lang w:bidi="ar-YE"/>
        </w:rPr>
        <w:t xml:space="preserve"> The authors have also proposed a model that addresses the constraints posed by limited </w:t>
      </w:r>
      <w:r w:rsidRPr="00F16343">
        <w:rPr>
          <w:rFonts w:cs="Times New Roman"/>
          <w:color w:val="auto"/>
          <w:sz w:val="24"/>
          <w:szCs w:val="24"/>
          <w:lang w:bidi="ar-YE"/>
        </w:rPr>
        <w:lastRenderedPageBreak/>
        <w:t>technological access and suggests tailoring financial products to women</w:t>
      </w:r>
      <w:r w:rsidRPr="0087465C">
        <w:rPr>
          <w:rFonts w:cs="Times New Roman"/>
          <w:color w:val="auto"/>
          <w:sz w:val="24"/>
          <w:szCs w:val="24"/>
          <w:lang w:bidi="ar-YE"/>
        </w:rPr>
        <w:t>’</w:t>
      </w:r>
      <w:r w:rsidRPr="00F16343">
        <w:rPr>
          <w:rFonts w:cs="Times New Roman"/>
          <w:color w:val="auto"/>
          <w:sz w:val="24"/>
          <w:szCs w:val="24"/>
          <w:lang w:bidi="ar-YE"/>
        </w:rPr>
        <w:t>s preferences to enhance their access.</w:t>
      </w:r>
    </w:p>
    <w:p w14:paraId="4E0B7193" w14:textId="165FF1C3" w:rsidR="0025500A" w:rsidRDefault="0025500A" w:rsidP="0025500A">
      <w:pPr>
        <w:widowControl/>
        <w:bidi w:val="0"/>
        <w:spacing w:after="120" w:line="360" w:lineRule="auto"/>
        <w:ind w:firstLine="0"/>
        <w:rPr>
          <w:rFonts w:cs="Times New Roman"/>
          <w:color w:val="auto"/>
          <w:sz w:val="24"/>
          <w:szCs w:val="24"/>
          <w:lang w:bidi="ar-YE"/>
        </w:rPr>
      </w:pPr>
      <w:r w:rsidRPr="00F16343">
        <w:rPr>
          <w:rFonts w:cs="Times New Roman"/>
          <w:color w:val="auto"/>
          <w:sz w:val="24"/>
          <w:szCs w:val="24"/>
          <w:lang w:bidi="ar-YE"/>
        </w:rPr>
        <w:tab/>
      </w:r>
      <w:r w:rsidR="00645BE6">
        <w:rPr>
          <w:rFonts w:cs="Times New Roman"/>
          <w:color w:val="auto"/>
          <w:sz w:val="24"/>
          <w:szCs w:val="24"/>
          <w:lang w:bidi="ar-YE"/>
        </w:rPr>
        <w:t>In terms of Jordan's financial inclusion experience, the government has shown a significant dedication to this cause for a number of years. An integrated financial ecosystem has been developed in Jordan via the joint efforts of numerous national and international organisations. After taking the lead in 2013, the Central Bank of Jordan concentrated on creating a strong regulatory framework and a favourable atmosphere for digital finance.</w:t>
      </w:r>
      <w:r w:rsidRPr="00F16343">
        <w:rPr>
          <w:rFonts w:cs="Times New Roman"/>
          <w:color w:val="auto"/>
          <w:sz w:val="24"/>
          <w:szCs w:val="24"/>
          <w:lang w:bidi="ar-YE"/>
        </w:rPr>
        <w:t xml:space="preserve"> </w:t>
      </w:r>
      <w:r w:rsidR="00645BE6">
        <w:rPr>
          <w:rFonts w:cs="Times New Roman"/>
          <w:color w:val="auto"/>
          <w:sz w:val="24"/>
          <w:szCs w:val="24"/>
          <w:lang w:bidi="ar-YE"/>
        </w:rPr>
        <w:t>The goal of these initiatives was to make all Jordanians financially included. The Jordanian Central Bank presented its national financial inclusion strategy in 2016, which covered the years 2018–2020. With an emphasis on addressing women, refugees, young people, and small and medium-sized businesses, this vision highlights the significance of improved financial education, customer safety, and electronic payments. To carry out this plan, the Central Bank of Jordan has successfully collaborated with a number of public and commercial sector players as well as members of civil society</w:t>
      </w:r>
      <w:r w:rsidRPr="00F16343">
        <w:rPr>
          <w:rFonts w:cs="Times New Roman"/>
          <w:color w:val="auto"/>
          <w:sz w:val="24"/>
          <w:szCs w:val="24"/>
          <w:lang w:bidi="ar-YE"/>
        </w:rPr>
        <w:t xml:space="preserve">. </w:t>
      </w:r>
      <w:r w:rsidR="002D7FD7">
        <w:rPr>
          <w:rFonts w:cs="Times New Roman"/>
          <w:color w:val="auto"/>
          <w:sz w:val="24"/>
          <w:szCs w:val="24"/>
          <w:lang w:bidi="ar-YE"/>
        </w:rPr>
        <w:t>The strategy's six main components served as the basis for the formation of working groups that worked with the Technical Committee and the Steering Committee. Six working groups were established in September 2016 after it was decided to start working on the national financial inclusion strategy. These groups concentrated on data collecting and analysis, consumer protection, microfinance, financing for small and medium-sized businesses, electronic payment systems, and financial literacy. The second regional conference, which was organised in collaboration with the Central Bank of Jordan, the Arab Monetary Fund, the German Agency for International Cooperation (GIZ), and the Kingdom's national agenda and strategic directions, saw the introduction of the strategic vision document for financial inclusion in Jordan. Jordan's comparatively low adult financial inclusion rate of 60.24% necessitated the development of a national financial inclusion policy. Even while this number is higher than that of other Middle Eastern and North African nations, it is still low when compared to nations with comparable income levels across the globe.</w:t>
      </w:r>
      <w:r w:rsidRPr="00F16343">
        <w:rPr>
          <w:rFonts w:cs="Times New Roman"/>
          <w:color w:val="auto"/>
          <w:sz w:val="24"/>
          <w:szCs w:val="24"/>
          <w:lang w:bidi="ar-YE"/>
        </w:rPr>
        <w:t xml:space="preserve"> </w:t>
      </w:r>
      <w:r w:rsidR="002D7FD7">
        <w:rPr>
          <w:rFonts w:cs="Times New Roman"/>
          <w:color w:val="auto"/>
          <w:sz w:val="24"/>
          <w:szCs w:val="24"/>
          <w:lang w:bidi="ar-YE"/>
        </w:rPr>
        <w:t>The financial exclusion of underprivileged individuals, low-income and marginalised groups, micro, small, and medium-sized businesses, youth, women, non-Jordanians, and refugees will therefore be the primary focus of the upcoming three-year strategy (2018-2020). By strengthening the link between financial inclusion and the 2030 Sustainable Social Development Goals set forth by the UN General Assembly, this plan seeks to</w:t>
      </w:r>
      <w:r w:rsidR="00AA147C">
        <w:rPr>
          <w:rFonts w:cs="Times New Roman"/>
          <w:color w:val="auto"/>
          <w:sz w:val="24"/>
          <w:szCs w:val="24"/>
          <w:lang w:bidi="ar-YE"/>
        </w:rPr>
        <w:t>.</w:t>
      </w:r>
      <w:sdt>
        <w:sdtPr>
          <w:rPr>
            <w:rFonts w:cs="Times New Roman"/>
            <w:sz w:val="24"/>
            <w:szCs w:val="24"/>
            <w:lang w:bidi="ar-YE"/>
          </w:rPr>
          <w:tag w:val="MENDELEY_CITATION_v3_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"/>
          <w:id w:val="-1409840155"/>
          <w:placeholder>
            <w:docPart w:val="DefaultPlaceholder_-1854013440"/>
          </w:placeholder>
        </w:sdtPr>
        <w:sdtContent>
          <w:r w:rsidR="00C62B1D" w:rsidRPr="00C62B1D">
            <w:rPr>
              <w:rFonts w:cs="Times New Roman"/>
              <w:bCs/>
              <w:sz w:val="24"/>
              <w:szCs w:val="24"/>
              <w:lang w:bidi="ar-YE"/>
            </w:rPr>
            <w:t>(Bayram et al., 2021)</w:t>
          </w:r>
        </w:sdtContent>
      </w:sdt>
    </w:p>
    <w:p w14:paraId="61A6702B" w14:textId="77777777" w:rsidR="00F85F46" w:rsidRDefault="00F85F46" w:rsidP="00F85F46">
      <w:pPr>
        <w:widowControl/>
        <w:bidi w:val="0"/>
        <w:spacing w:after="120" w:line="360" w:lineRule="auto"/>
        <w:ind w:firstLine="0"/>
        <w:rPr>
          <w:rFonts w:cs="Times New Roman"/>
          <w:color w:val="auto"/>
          <w:sz w:val="24"/>
          <w:szCs w:val="24"/>
          <w:lang w:bidi="ar-YE"/>
        </w:rPr>
      </w:pPr>
    </w:p>
    <w:p w14:paraId="6E60C457" w14:textId="2DFB0B2C" w:rsidR="00F85F46" w:rsidRPr="00F85F46" w:rsidRDefault="00F85F46" w:rsidP="00F85F46">
      <w:pPr>
        <w:widowControl/>
        <w:bidi w:val="0"/>
        <w:spacing w:after="120" w:line="360" w:lineRule="auto"/>
        <w:ind w:firstLine="0"/>
        <w:rPr>
          <w:rFonts w:cs="Times New Roman"/>
          <w:b/>
          <w:bCs/>
          <w:color w:val="auto"/>
          <w:sz w:val="24"/>
          <w:szCs w:val="24"/>
          <w:lang w:bidi="ar-YE"/>
        </w:rPr>
      </w:pPr>
      <w:r w:rsidRPr="00F85F46">
        <w:rPr>
          <w:rFonts w:cs="Times New Roman"/>
          <w:b/>
          <w:bCs/>
          <w:color w:val="auto"/>
          <w:sz w:val="24"/>
          <w:szCs w:val="24"/>
          <w:lang w:bidi="ar-YE"/>
        </w:rPr>
        <w:lastRenderedPageBreak/>
        <w:t>Conclusion</w:t>
      </w:r>
    </w:p>
    <w:p w14:paraId="209B3F29" w14:textId="6A3E1A7D" w:rsidR="00BE4601" w:rsidRDefault="00BE4601" w:rsidP="00AA147C">
      <w:pPr>
        <w:bidi w:val="0"/>
        <w:spacing w:line="360" w:lineRule="auto"/>
        <w:rPr>
          <w:rFonts w:cs="Times New Roman"/>
          <w:color w:val="auto"/>
          <w:sz w:val="24"/>
          <w:szCs w:val="24"/>
          <w:lang w:bidi="ar-YE"/>
        </w:rPr>
      </w:pPr>
      <w:r w:rsidRPr="00BE4601">
        <w:rPr>
          <w:rFonts w:cs="Times New Roman"/>
          <w:color w:val="auto"/>
          <w:sz w:val="24"/>
          <w:szCs w:val="24"/>
          <w:lang w:bidi="ar-YE"/>
        </w:rPr>
        <w:t xml:space="preserve">Global experiences with financial inclusion show that there’s no single solution—successful efforts depend on tailoring approaches to local needs, like Kenya’s agency banking or the UK’s use of post offices to reach the unbanked. Technology, especially mobile banking, has been a powerful tool in expanding access, particularly in remote areas. But access alone isn’t enough; financial literacy and consumer protection are crucial so people can use these services wisely. Strong government commitment and clear regulations, as seen in Jordan, play a vital role, while partnerships between </w:t>
      </w:r>
      <w:r w:rsidR="00AA147C">
        <w:rPr>
          <w:rFonts w:cs="Times New Roman"/>
          <w:color w:val="auto"/>
          <w:sz w:val="24"/>
          <w:szCs w:val="24"/>
          <w:lang w:bidi="ar-YE"/>
        </w:rPr>
        <w:t xml:space="preserve">the </w:t>
      </w:r>
      <w:r w:rsidRPr="00BE4601">
        <w:rPr>
          <w:rFonts w:cs="Times New Roman"/>
          <w:color w:val="auto"/>
          <w:sz w:val="24"/>
          <w:szCs w:val="24"/>
          <w:lang w:bidi="ar-YE"/>
        </w:rPr>
        <w:t>public and private sectors help scale solutions effectively. Special attention to marginalized groups such as women, refugees, and small businesses boosts overall social and economic benefits. Despite progress, ongoing challenges like infrastructure gaps and cultural barriers mean that financial inclusion requires continuous effort and innovation to truly succeed</w:t>
      </w:r>
      <w:r w:rsidRPr="00BE4601">
        <w:rPr>
          <w:rFonts w:cs="Times New Roman"/>
          <w:color w:val="auto"/>
          <w:sz w:val="24"/>
          <w:szCs w:val="24"/>
          <w:rtl/>
          <w:lang w:bidi="ar-YE"/>
        </w:rPr>
        <w:t>.</w:t>
      </w:r>
    </w:p>
    <w:p w14:paraId="2CF0DFA1" w14:textId="77777777" w:rsidR="00AA147C" w:rsidRDefault="00AA147C" w:rsidP="00AA147C">
      <w:pPr>
        <w:bidi w:val="0"/>
        <w:spacing w:line="360" w:lineRule="auto"/>
        <w:ind w:firstLine="0"/>
        <w:rPr>
          <w:rFonts w:cs="Times New Roman"/>
          <w:color w:val="auto"/>
          <w:sz w:val="24"/>
          <w:szCs w:val="24"/>
          <w:lang w:bidi="ar-YE"/>
        </w:rPr>
      </w:pPr>
    </w:p>
    <w:p w14:paraId="7094D1A5" w14:textId="6616BD73" w:rsidR="00AA147C" w:rsidRDefault="00AA147C" w:rsidP="00652059">
      <w:pPr>
        <w:bidi w:val="0"/>
        <w:spacing w:line="360" w:lineRule="auto"/>
        <w:ind w:firstLine="0"/>
        <w:rPr>
          <w:rFonts w:cs="Times New Roman"/>
          <w:b/>
          <w:bCs/>
          <w:color w:val="auto"/>
          <w:sz w:val="24"/>
          <w:szCs w:val="24"/>
          <w:lang w:bidi="ar-YE"/>
        </w:rPr>
      </w:pPr>
      <w:r w:rsidRPr="00AA147C">
        <w:rPr>
          <w:rFonts w:cs="Times New Roman"/>
          <w:b/>
          <w:bCs/>
          <w:color w:val="auto"/>
          <w:sz w:val="24"/>
          <w:szCs w:val="24"/>
          <w:lang w:bidi="ar-YE"/>
        </w:rPr>
        <w:t>References</w:t>
      </w:r>
    </w:p>
    <w:sdt>
      <w:sdtPr>
        <w:rPr>
          <w:rFonts w:cs="Times New Roman"/>
          <w:bCs/>
          <w:lang w:bidi="ar-YE"/>
        </w:rPr>
        <w:tag w:val="MENDELEY_BIBLIOGRAPHY"/>
        <w:id w:val="-1438514135"/>
        <w:placeholder>
          <w:docPart w:val="DefaultPlaceholder_-1854013440"/>
        </w:placeholder>
      </w:sdtPr>
      <w:sdtEndPr>
        <w:rPr>
          <w:sz w:val="18"/>
          <w:szCs w:val="18"/>
        </w:rPr>
      </w:sdtEndPr>
      <w:sdtContent>
        <w:p w14:paraId="7FC653E6" w14:textId="77777777" w:rsidR="00C62B1D" w:rsidRPr="00C62B1D" w:rsidRDefault="00C62B1D" w:rsidP="00C62B1D">
          <w:pPr>
            <w:pStyle w:val="ListParagraph"/>
            <w:numPr>
              <w:ilvl w:val="0"/>
              <w:numId w:val="12"/>
            </w:numPr>
            <w:autoSpaceDE w:val="0"/>
            <w:autoSpaceDN w:val="0"/>
            <w:bidi w:val="0"/>
            <w:spacing w:line="360" w:lineRule="auto"/>
            <w:divId w:val="1562208115"/>
            <w:rPr>
              <w:sz w:val="22"/>
              <w:szCs w:val="22"/>
            </w:rPr>
          </w:pPr>
          <w:r w:rsidRPr="00C62B1D">
            <w:rPr>
              <w:sz w:val="32"/>
              <w:szCs w:val="32"/>
            </w:rPr>
            <w:t xml:space="preserve">Bayram, K., Salaudeen Olasubomi, S., &amp; </w:t>
          </w:r>
          <w:proofErr w:type="spellStart"/>
          <w:r w:rsidRPr="00C62B1D">
            <w:rPr>
              <w:sz w:val="32"/>
              <w:szCs w:val="32"/>
            </w:rPr>
            <w:t>Thartori</w:t>
          </w:r>
          <w:proofErr w:type="spellEnd"/>
          <w:r w:rsidRPr="00C62B1D">
            <w:rPr>
              <w:sz w:val="32"/>
              <w:szCs w:val="32"/>
            </w:rPr>
            <w:t xml:space="preserve">, V. (2021). The Level of Financial Literacy among Muslim Millennial Students. </w:t>
          </w:r>
          <w:r w:rsidRPr="00C62B1D">
            <w:rPr>
              <w:i/>
              <w:iCs/>
              <w:sz w:val="32"/>
              <w:szCs w:val="32"/>
            </w:rPr>
            <w:t xml:space="preserve">Al </w:t>
          </w:r>
          <w:proofErr w:type="spellStart"/>
          <w:r w:rsidRPr="00C62B1D">
            <w:rPr>
              <w:i/>
              <w:iCs/>
              <w:sz w:val="32"/>
              <w:szCs w:val="32"/>
            </w:rPr>
            <w:t>Qasimia</w:t>
          </w:r>
          <w:proofErr w:type="spellEnd"/>
          <w:r w:rsidRPr="00C62B1D">
            <w:rPr>
              <w:i/>
              <w:iCs/>
              <w:sz w:val="32"/>
              <w:szCs w:val="32"/>
            </w:rPr>
            <w:t xml:space="preserve"> University Journal of Islamic Economics</w:t>
          </w:r>
          <w:r w:rsidRPr="00C62B1D">
            <w:rPr>
              <w:sz w:val="32"/>
              <w:szCs w:val="32"/>
            </w:rPr>
            <w:t xml:space="preserve">, </w:t>
          </w:r>
          <w:r w:rsidRPr="00C62B1D">
            <w:rPr>
              <w:i/>
              <w:iCs/>
              <w:sz w:val="32"/>
              <w:szCs w:val="32"/>
            </w:rPr>
            <w:t>1</w:t>
          </w:r>
          <w:r w:rsidRPr="00C62B1D">
            <w:rPr>
              <w:sz w:val="32"/>
              <w:szCs w:val="32"/>
            </w:rPr>
            <w:t>(2), 102–115. https://doi.org/10.52747/aqujie.1.2.69</w:t>
          </w:r>
        </w:p>
        <w:p w14:paraId="768D9430" w14:textId="77777777" w:rsidR="00C62B1D" w:rsidRPr="00C62B1D" w:rsidRDefault="00C62B1D" w:rsidP="00C62B1D">
          <w:pPr>
            <w:pStyle w:val="ListParagraph"/>
            <w:numPr>
              <w:ilvl w:val="0"/>
              <w:numId w:val="12"/>
            </w:numPr>
            <w:autoSpaceDE w:val="0"/>
            <w:autoSpaceDN w:val="0"/>
            <w:bidi w:val="0"/>
            <w:spacing w:line="360" w:lineRule="auto"/>
            <w:divId w:val="1060056019"/>
            <w:rPr>
              <w:sz w:val="32"/>
              <w:szCs w:val="32"/>
            </w:rPr>
          </w:pPr>
          <w:r w:rsidRPr="00C62B1D">
            <w:rPr>
              <w:sz w:val="32"/>
              <w:szCs w:val="32"/>
            </w:rPr>
            <w:t xml:space="preserve">Cámara, N., Tuesta, D., &amp; </w:t>
          </w:r>
          <w:proofErr w:type="spellStart"/>
          <w:r w:rsidRPr="00C62B1D">
            <w:rPr>
              <w:sz w:val="32"/>
              <w:szCs w:val="32"/>
            </w:rPr>
            <w:t>Cáamara</w:t>
          </w:r>
          <w:proofErr w:type="spellEnd"/>
          <w:r w:rsidRPr="00C62B1D">
            <w:rPr>
              <w:sz w:val="32"/>
              <w:szCs w:val="32"/>
            </w:rPr>
            <w:t xml:space="preserve">, N. (2014). </w:t>
          </w:r>
          <w:r w:rsidRPr="00C62B1D">
            <w:rPr>
              <w:i/>
              <w:iCs/>
              <w:sz w:val="32"/>
              <w:szCs w:val="32"/>
            </w:rPr>
            <w:t>Measuring Financial Inclusion: A Multidimensional Index Measuring Financial Inclusion: A Multidimensional Index Measuring Financial Inclusion: A Multidimensional Index 2</w:t>
          </w:r>
          <w:r w:rsidRPr="00C62B1D">
            <w:rPr>
              <w:sz w:val="32"/>
              <w:szCs w:val="32"/>
            </w:rPr>
            <w:t>. www.bbvaresearch.com</w:t>
          </w:r>
        </w:p>
        <w:p w14:paraId="307AFC89" w14:textId="77777777" w:rsidR="00C62B1D" w:rsidRPr="00C62B1D" w:rsidRDefault="00C62B1D" w:rsidP="00C62B1D">
          <w:pPr>
            <w:pStyle w:val="ListParagraph"/>
            <w:numPr>
              <w:ilvl w:val="0"/>
              <w:numId w:val="12"/>
            </w:numPr>
            <w:autoSpaceDE w:val="0"/>
            <w:autoSpaceDN w:val="0"/>
            <w:bidi w:val="0"/>
            <w:spacing w:line="360" w:lineRule="auto"/>
            <w:divId w:val="676812818"/>
            <w:rPr>
              <w:sz w:val="32"/>
              <w:szCs w:val="32"/>
            </w:rPr>
          </w:pPr>
          <w:proofErr w:type="spellStart"/>
          <w:r w:rsidRPr="00C62B1D">
            <w:rPr>
              <w:sz w:val="32"/>
              <w:szCs w:val="32"/>
            </w:rPr>
            <w:t>Demirguc</w:t>
          </w:r>
          <w:proofErr w:type="spellEnd"/>
          <w:r w:rsidRPr="00C62B1D">
            <w:rPr>
              <w:sz w:val="32"/>
              <w:szCs w:val="32"/>
            </w:rPr>
            <w:t xml:space="preserve">-Kunt, A., Klapper, L., Singer, D., Ansar, S., &amp; Hess, J. (2018). The Global Findex Database 2017: Measuring Financial Inclusion and the Fintech Revolution. In </w:t>
          </w:r>
          <w:r w:rsidRPr="00C62B1D">
            <w:rPr>
              <w:i/>
              <w:iCs/>
              <w:sz w:val="32"/>
              <w:szCs w:val="32"/>
            </w:rPr>
            <w:t xml:space="preserve">The Global Findex Database 2017: Measuring Financial Inclusion and the Fintech </w:t>
          </w:r>
          <w:r w:rsidRPr="00C62B1D">
            <w:rPr>
              <w:i/>
              <w:iCs/>
              <w:sz w:val="32"/>
              <w:szCs w:val="32"/>
            </w:rPr>
            <w:lastRenderedPageBreak/>
            <w:t>Revolution</w:t>
          </w:r>
          <w:r w:rsidRPr="00C62B1D">
            <w:rPr>
              <w:sz w:val="32"/>
              <w:szCs w:val="32"/>
            </w:rPr>
            <w:t>. Washington, DC: World Bank. https://doi.org/10.1596/978-1-4648-1259-0</w:t>
          </w:r>
        </w:p>
        <w:p w14:paraId="7936DA6C" w14:textId="77777777" w:rsidR="00C62B1D" w:rsidRPr="00C62B1D" w:rsidRDefault="00C62B1D" w:rsidP="00C62B1D">
          <w:pPr>
            <w:pStyle w:val="ListParagraph"/>
            <w:numPr>
              <w:ilvl w:val="0"/>
              <w:numId w:val="12"/>
            </w:numPr>
            <w:autoSpaceDE w:val="0"/>
            <w:autoSpaceDN w:val="0"/>
            <w:bidi w:val="0"/>
            <w:spacing w:line="360" w:lineRule="auto"/>
            <w:divId w:val="1364550285"/>
            <w:rPr>
              <w:sz w:val="32"/>
              <w:szCs w:val="32"/>
            </w:rPr>
          </w:pPr>
          <w:r w:rsidRPr="00C62B1D">
            <w:rPr>
              <w:sz w:val="32"/>
              <w:szCs w:val="32"/>
            </w:rPr>
            <w:t xml:space="preserve">HASANOV, M. J. (2022). THE ROLE OF DIGITAL PAYMENTS AND STUDYING THE CURRENT SITUATION IN STRENGTHENING THE FINANCIAL RESOURCES BANK OF BANKS IN AZERBAIJAN. </w:t>
          </w:r>
          <w:r w:rsidRPr="00C62B1D">
            <w:rPr>
              <w:i/>
              <w:iCs/>
              <w:sz w:val="32"/>
              <w:szCs w:val="32"/>
            </w:rPr>
            <w:t>Economic Innovations</w:t>
          </w:r>
          <w:r w:rsidRPr="00C62B1D">
            <w:rPr>
              <w:sz w:val="32"/>
              <w:szCs w:val="32"/>
            </w:rPr>
            <w:t xml:space="preserve">, </w:t>
          </w:r>
          <w:r w:rsidRPr="00C62B1D">
            <w:rPr>
              <w:i/>
              <w:iCs/>
              <w:sz w:val="32"/>
              <w:szCs w:val="32"/>
            </w:rPr>
            <w:t>24</w:t>
          </w:r>
          <w:r w:rsidRPr="00C62B1D">
            <w:rPr>
              <w:sz w:val="32"/>
              <w:szCs w:val="32"/>
            </w:rPr>
            <w:t>(4(85)), 27–37. https://doi.org/10.31520/ei.2022.24.4(85).27-37</w:t>
          </w:r>
        </w:p>
        <w:p w14:paraId="48666C73" w14:textId="77777777" w:rsidR="00C62B1D" w:rsidRPr="00C62B1D" w:rsidRDefault="00C62B1D" w:rsidP="00C62B1D">
          <w:pPr>
            <w:pStyle w:val="ListParagraph"/>
            <w:numPr>
              <w:ilvl w:val="0"/>
              <w:numId w:val="12"/>
            </w:numPr>
            <w:autoSpaceDE w:val="0"/>
            <w:autoSpaceDN w:val="0"/>
            <w:bidi w:val="0"/>
            <w:spacing w:line="360" w:lineRule="auto"/>
            <w:divId w:val="119610796"/>
            <w:rPr>
              <w:sz w:val="32"/>
              <w:szCs w:val="32"/>
            </w:rPr>
          </w:pPr>
          <w:proofErr w:type="spellStart"/>
          <w:r w:rsidRPr="00C62B1D">
            <w:rPr>
              <w:sz w:val="32"/>
              <w:szCs w:val="32"/>
            </w:rPr>
            <w:t>Kthirumamagal</w:t>
          </w:r>
          <w:proofErr w:type="spellEnd"/>
          <w:r w:rsidRPr="00C62B1D">
            <w:rPr>
              <w:sz w:val="32"/>
              <w:szCs w:val="32"/>
            </w:rPr>
            <w:t xml:space="preserve">, B., &amp; Professor, A. (2016). </w:t>
          </w:r>
          <w:r w:rsidRPr="00C62B1D">
            <w:rPr>
              <w:i/>
              <w:iCs/>
              <w:sz w:val="32"/>
              <w:szCs w:val="32"/>
            </w:rPr>
            <w:t>ISSUES AND CHALLENGES OF FINANCIAL INCLUSION-A STUDY WITH REFERENCE TO RURAL AREAS IN TAMIL NADU Dr. Ti. M. SWAAMINATHAN</w:t>
          </w:r>
          <w:r w:rsidRPr="00C62B1D">
            <w:rPr>
              <w:sz w:val="32"/>
              <w:szCs w:val="32"/>
            </w:rPr>
            <w:t>.</w:t>
          </w:r>
        </w:p>
        <w:p w14:paraId="1C5B6480" w14:textId="77777777" w:rsidR="00C62B1D" w:rsidRPr="00C62B1D" w:rsidRDefault="00C62B1D" w:rsidP="00C62B1D">
          <w:pPr>
            <w:pStyle w:val="ListParagraph"/>
            <w:numPr>
              <w:ilvl w:val="0"/>
              <w:numId w:val="12"/>
            </w:numPr>
            <w:autoSpaceDE w:val="0"/>
            <w:autoSpaceDN w:val="0"/>
            <w:bidi w:val="0"/>
            <w:spacing w:line="360" w:lineRule="auto"/>
            <w:divId w:val="634989934"/>
            <w:rPr>
              <w:sz w:val="32"/>
              <w:szCs w:val="32"/>
            </w:rPr>
          </w:pPr>
          <w:r w:rsidRPr="00C62B1D">
            <w:rPr>
              <w:sz w:val="32"/>
              <w:szCs w:val="32"/>
            </w:rPr>
            <w:t xml:space="preserve">Kumar, N. H., &amp; Manjunath, S. J. (2014). </w:t>
          </w:r>
          <w:r w:rsidRPr="00C62B1D">
            <w:rPr>
              <w:i/>
              <w:iCs/>
              <w:sz w:val="32"/>
              <w:szCs w:val="32"/>
            </w:rPr>
            <w:t>MICRO-FINANCE AND FINANCIAL INCLUSION-A CASE STUDY OF MYSORE AND CHAMARAJANAGAR DISTRICTS</w:t>
          </w:r>
          <w:r w:rsidRPr="00C62B1D">
            <w:rPr>
              <w:sz w:val="32"/>
              <w:szCs w:val="32"/>
            </w:rPr>
            <w:t>.</w:t>
          </w:r>
        </w:p>
        <w:p w14:paraId="792B4B7A" w14:textId="77777777" w:rsidR="00C62B1D" w:rsidRPr="00C62B1D" w:rsidRDefault="00C62B1D" w:rsidP="00C62B1D">
          <w:pPr>
            <w:pStyle w:val="ListParagraph"/>
            <w:numPr>
              <w:ilvl w:val="0"/>
              <w:numId w:val="12"/>
            </w:numPr>
            <w:autoSpaceDE w:val="0"/>
            <w:autoSpaceDN w:val="0"/>
            <w:bidi w:val="0"/>
            <w:spacing w:line="360" w:lineRule="auto"/>
            <w:divId w:val="1529371927"/>
            <w:rPr>
              <w:sz w:val="32"/>
              <w:szCs w:val="32"/>
            </w:rPr>
          </w:pPr>
          <w:r w:rsidRPr="00C62B1D">
            <w:rPr>
              <w:sz w:val="32"/>
              <w:szCs w:val="32"/>
            </w:rPr>
            <w:t xml:space="preserve">Kumari, V., Bala, P. K., &amp; Chakraborty, S. (2023). An Empirical Study of User Adoption of Cryptocurrency Using Blockchain Technology: Analysing Role of Success Factors like Technology Awareness and Financial Literacy. </w:t>
          </w:r>
          <w:r w:rsidRPr="00C62B1D">
            <w:rPr>
              <w:i/>
              <w:iCs/>
              <w:sz w:val="32"/>
              <w:szCs w:val="32"/>
            </w:rPr>
            <w:t>Journal of Theoretical and Applied Electronic Commerce Research</w:t>
          </w:r>
          <w:r w:rsidRPr="00C62B1D">
            <w:rPr>
              <w:sz w:val="32"/>
              <w:szCs w:val="32"/>
            </w:rPr>
            <w:t xml:space="preserve">, </w:t>
          </w:r>
          <w:r w:rsidRPr="00C62B1D">
            <w:rPr>
              <w:i/>
              <w:iCs/>
              <w:sz w:val="32"/>
              <w:szCs w:val="32"/>
            </w:rPr>
            <w:t>18</w:t>
          </w:r>
          <w:r w:rsidRPr="00C62B1D">
            <w:rPr>
              <w:sz w:val="32"/>
              <w:szCs w:val="32"/>
            </w:rPr>
            <w:t>(3), 1580–1600. https://doi.org/10.3390/jtaer18030080</w:t>
          </w:r>
        </w:p>
        <w:p w14:paraId="0CFB8461" w14:textId="77777777" w:rsidR="00C62B1D" w:rsidRPr="00C62B1D" w:rsidRDefault="00C62B1D" w:rsidP="00C62B1D">
          <w:pPr>
            <w:pStyle w:val="ListParagraph"/>
            <w:numPr>
              <w:ilvl w:val="0"/>
              <w:numId w:val="12"/>
            </w:numPr>
            <w:autoSpaceDE w:val="0"/>
            <w:autoSpaceDN w:val="0"/>
            <w:bidi w:val="0"/>
            <w:spacing w:line="360" w:lineRule="auto"/>
            <w:divId w:val="153181321"/>
            <w:rPr>
              <w:sz w:val="32"/>
              <w:szCs w:val="32"/>
            </w:rPr>
          </w:pPr>
          <w:r w:rsidRPr="00C62B1D">
            <w:rPr>
              <w:sz w:val="32"/>
              <w:szCs w:val="32"/>
            </w:rPr>
            <w:t xml:space="preserve">Lin, L. H., Lin, F. C., Lien, C. K., Yang, T. C., Chuang, Y. K., &amp; Hsu, Y. W. (2023). Electronic Payment </w:t>
          </w:r>
          <w:proofErr w:type="spellStart"/>
          <w:r w:rsidRPr="00C62B1D">
            <w:rPr>
              <w:sz w:val="32"/>
              <w:szCs w:val="32"/>
            </w:rPr>
            <w:t>Behaviors</w:t>
          </w:r>
          <w:proofErr w:type="spellEnd"/>
          <w:r w:rsidRPr="00C62B1D">
            <w:rPr>
              <w:sz w:val="32"/>
              <w:szCs w:val="32"/>
            </w:rPr>
            <w:t xml:space="preserve"> of Consumers under Digital Transformation in Finance—A Case Study of Third-</w:t>
          </w:r>
          <w:r w:rsidRPr="00C62B1D">
            <w:rPr>
              <w:sz w:val="32"/>
              <w:szCs w:val="32"/>
            </w:rPr>
            <w:lastRenderedPageBreak/>
            <w:t xml:space="preserve">Party Payments. </w:t>
          </w:r>
          <w:r w:rsidRPr="00C62B1D">
            <w:rPr>
              <w:i/>
              <w:iCs/>
              <w:sz w:val="32"/>
              <w:szCs w:val="32"/>
            </w:rPr>
            <w:t>Journal of Risk and Financial Management</w:t>
          </w:r>
          <w:r w:rsidRPr="00C62B1D">
            <w:rPr>
              <w:sz w:val="32"/>
              <w:szCs w:val="32"/>
            </w:rPr>
            <w:t xml:space="preserve">, </w:t>
          </w:r>
          <w:r w:rsidRPr="00C62B1D">
            <w:rPr>
              <w:i/>
              <w:iCs/>
              <w:sz w:val="32"/>
              <w:szCs w:val="32"/>
            </w:rPr>
            <w:t>16</w:t>
          </w:r>
          <w:r w:rsidRPr="00C62B1D">
            <w:rPr>
              <w:sz w:val="32"/>
              <w:szCs w:val="32"/>
            </w:rPr>
            <w:t>(8). https://doi.org/10.3390/jrfm16080346</w:t>
          </w:r>
        </w:p>
        <w:p w14:paraId="281236DC" w14:textId="77777777" w:rsidR="00C62B1D" w:rsidRPr="00C62B1D" w:rsidRDefault="00C62B1D" w:rsidP="00C62B1D">
          <w:pPr>
            <w:pStyle w:val="ListParagraph"/>
            <w:numPr>
              <w:ilvl w:val="0"/>
              <w:numId w:val="12"/>
            </w:numPr>
            <w:autoSpaceDE w:val="0"/>
            <w:autoSpaceDN w:val="0"/>
            <w:bidi w:val="0"/>
            <w:spacing w:line="360" w:lineRule="auto"/>
            <w:divId w:val="925383482"/>
            <w:rPr>
              <w:sz w:val="32"/>
              <w:szCs w:val="32"/>
            </w:rPr>
          </w:pPr>
          <w:r w:rsidRPr="00C62B1D">
            <w:rPr>
              <w:sz w:val="32"/>
              <w:szCs w:val="32"/>
            </w:rPr>
            <w:t xml:space="preserve">Mohana, D., </w:t>
          </w:r>
          <w:proofErr w:type="spellStart"/>
          <w:r w:rsidRPr="00C62B1D">
            <w:rPr>
              <w:sz w:val="32"/>
              <w:szCs w:val="32"/>
            </w:rPr>
            <w:t>Irrinki</w:t>
          </w:r>
          <w:proofErr w:type="spellEnd"/>
          <w:r w:rsidRPr="00C62B1D">
            <w:rPr>
              <w:sz w:val="32"/>
              <w:szCs w:val="32"/>
            </w:rPr>
            <w:t xml:space="preserve">, K., Kalyani, C. V., Mahalakshmi, K., Mani, T., &amp; Reddy, V. (2023). CONNOTATION OF FINANCIAL LITERACY ON FINANCIAL INCLUSION-A STUDY IN WEST GODAVARI DISTRICT. </w:t>
          </w:r>
          <w:r w:rsidRPr="00C62B1D">
            <w:rPr>
              <w:i/>
              <w:iCs/>
              <w:sz w:val="32"/>
              <w:szCs w:val="32"/>
            </w:rPr>
            <w:t>Journal of Pharmaceutical Negative Results ¦</w:t>
          </w:r>
          <w:r w:rsidRPr="00C62B1D">
            <w:rPr>
              <w:sz w:val="32"/>
              <w:szCs w:val="32"/>
            </w:rPr>
            <w:t xml:space="preserve">, </w:t>
          </w:r>
          <w:r w:rsidRPr="00C62B1D">
            <w:rPr>
              <w:i/>
              <w:iCs/>
              <w:sz w:val="32"/>
              <w:szCs w:val="32"/>
            </w:rPr>
            <w:t>14</w:t>
          </w:r>
          <w:r w:rsidRPr="00C62B1D">
            <w:rPr>
              <w:sz w:val="32"/>
              <w:szCs w:val="32"/>
            </w:rPr>
            <w:t>(2). https://doi.org/10.47750/pnr.2023.14.02.219</w:t>
          </w:r>
        </w:p>
        <w:p w14:paraId="5DCF638C" w14:textId="77777777" w:rsidR="00C62B1D" w:rsidRPr="00C62B1D" w:rsidRDefault="00C62B1D" w:rsidP="00C62B1D">
          <w:pPr>
            <w:pStyle w:val="ListParagraph"/>
            <w:numPr>
              <w:ilvl w:val="0"/>
              <w:numId w:val="12"/>
            </w:numPr>
            <w:autoSpaceDE w:val="0"/>
            <w:autoSpaceDN w:val="0"/>
            <w:bidi w:val="0"/>
            <w:spacing w:line="360" w:lineRule="auto"/>
            <w:divId w:val="215167700"/>
            <w:rPr>
              <w:sz w:val="32"/>
              <w:szCs w:val="32"/>
            </w:rPr>
          </w:pPr>
          <w:r w:rsidRPr="00C62B1D">
            <w:rPr>
              <w:sz w:val="32"/>
              <w:szCs w:val="32"/>
            </w:rPr>
            <w:t xml:space="preserve">Pradhan, R. P., Arvin, M. B., Nair, M. S., Hall, J. H., &amp; Bennett, S. E. (2021). Sustainable economic development in India: The dynamics between financial inclusion, ICT development, and economic growth. </w:t>
          </w:r>
          <w:r w:rsidRPr="00C62B1D">
            <w:rPr>
              <w:i/>
              <w:iCs/>
              <w:sz w:val="32"/>
              <w:szCs w:val="32"/>
            </w:rPr>
            <w:t>Technological Forecasting and Social Change</w:t>
          </w:r>
          <w:r w:rsidRPr="00C62B1D">
            <w:rPr>
              <w:sz w:val="32"/>
              <w:szCs w:val="32"/>
            </w:rPr>
            <w:t xml:space="preserve">, </w:t>
          </w:r>
          <w:r w:rsidRPr="00C62B1D">
            <w:rPr>
              <w:i/>
              <w:iCs/>
              <w:sz w:val="32"/>
              <w:szCs w:val="32"/>
            </w:rPr>
            <w:t>169</w:t>
          </w:r>
          <w:r w:rsidRPr="00C62B1D">
            <w:rPr>
              <w:sz w:val="32"/>
              <w:szCs w:val="32"/>
            </w:rPr>
            <w:t>. https://doi.org/10.1016/j.techfore.2021.120758</w:t>
          </w:r>
        </w:p>
        <w:p w14:paraId="782AD297" w14:textId="77777777" w:rsidR="00C62B1D" w:rsidRPr="00C62B1D" w:rsidRDefault="00C62B1D" w:rsidP="00C62B1D">
          <w:pPr>
            <w:pStyle w:val="ListParagraph"/>
            <w:numPr>
              <w:ilvl w:val="0"/>
              <w:numId w:val="12"/>
            </w:numPr>
            <w:autoSpaceDE w:val="0"/>
            <w:autoSpaceDN w:val="0"/>
            <w:bidi w:val="0"/>
            <w:spacing w:line="360" w:lineRule="auto"/>
            <w:divId w:val="2110733163"/>
            <w:rPr>
              <w:sz w:val="32"/>
              <w:szCs w:val="32"/>
            </w:rPr>
          </w:pPr>
          <w:r w:rsidRPr="00C62B1D">
            <w:rPr>
              <w:sz w:val="32"/>
              <w:szCs w:val="32"/>
            </w:rPr>
            <w:t xml:space="preserve">Priti, M., &amp; Aggarwal, S. (2019). </w:t>
          </w:r>
          <w:r w:rsidRPr="00C62B1D">
            <w:rPr>
              <w:i/>
              <w:iCs/>
              <w:sz w:val="32"/>
              <w:szCs w:val="32"/>
            </w:rPr>
            <w:t>FINANCIAL INCLUSION-A VIABILITY STUDY Ph.D. (COMMERCE) DEGREE IN BUSINESS ECONOMICS SUBMITTED BY</w:t>
          </w:r>
          <w:r w:rsidRPr="00C62B1D">
            <w:rPr>
              <w:sz w:val="32"/>
              <w:szCs w:val="32"/>
            </w:rPr>
            <w:t>.</w:t>
          </w:r>
        </w:p>
        <w:p w14:paraId="1DDDD7CE" w14:textId="77777777" w:rsidR="00C62B1D" w:rsidRPr="00C62B1D" w:rsidRDefault="00C62B1D" w:rsidP="00C62B1D">
          <w:pPr>
            <w:pStyle w:val="ListParagraph"/>
            <w:numPr>
              <w:ilvl w:val="0"/>
              <w:numId w:val="12"/>
            </w:numPr>
            <w:autoSpaceDE w:val="0"/>
            <w:autoSpaceDN w:val="0"/>
            <w:bidi w:val="0"/>
            <w:spacing w:line="360" w:lineRule="auto"/>
            <w:divId w:val="1301956251"/>
            <w:rPr>
              <w:sz w:val="32"/>
              <w:szCs w:val="32"/>
            </w:rPr>
          </w:pPr>
          <w:proofErr w:type="spellStart"/>
          <w:r w:rsidRPr="00C62B1D">
            <w:rPr>
              <w:sz w:val="32"/>
              <w:szCs w:val="32"/>
            </w:rPr>
            <w:t>Raihanath</w:t>
          </w:r>
          <w:proofErr w:type="spellEnd"/>
          <w:r w:rsidRPr="00C62B1D">
            <w:rPr>
              <w:sz w:val="32"/>
              <w:szCs w:val="32"/>
            </w:rPr>
            <w:t xml:space="preserve">, by M., &amp; Pavithran, K. B. (2019). </w:t>
          </w:r>
          <w:r w:rsidRPr="00C62B1D">
            <w:rPr>
              <w:i/>
              <w:iCs/>
              <w:sz w:val="32"/>
              <w:szCs w:val="32"/>
            </w:rPr>
            <w:t>EFFECTIVENESS OF FINANCIAL INCLUSION PROGRAMME IN KERALA EFFECTIVENESS OF FINANCIAL INCLUSION PROGRAMME IN KERALA The Faculty of Social Sciences Under the Guidance of</w:t>
          </w:r>
          <w:r w:rsidRPr="00C62B1D">
            <w:rPr>
              <w:sz w:val="32"/>
              <w:szCs w:val="32"/>
            </w:rPr>
            <w:t>.</w:t>
          </w:r>
        </w:p>
        <w:p w14:paraId="62ACB182" w14:textId="77777777" w:rsidR="00C62B1D" w:rsidRPr="00C62B1D" w:rsidRDefault="00C62B1D" w:rsidP="00C62B1D">
          <w:pPr>
            <w:pStyle w:val="ListParagraph"/>
            <w:numPr>
              <w:ilvl w:val="0"/>
              <w:numId w:val="12"/>
            </w:numPr>
            <w:autoSpaceDE w:val="0"/>
            <w:autoSpaceDN w:val="0"/>
            <w:bidi w:val="0"/>
            <w:spacing w:line="360" w:lineRule="auto"/>
            <w:divId w:val="39011826"/>
            <w:rPr>
              <w:sz w:val="32"/>
              <w:szCs w:val="32"/>
            </w:rPr>
          </w:pPr>
          <w:r w:rsidRPr="00C62B1D">
            <w:rPr>
              <w:sz w:val="32"/>
              <w:szCs w:val="32"/>
            </w:rPr>
            <w:t xml:space="preserve">Renjith Jose, B., &amp; Thomas Com, Z. M. (2019). </w:t>
          </w:r>
          <w:r w:rsidRPr="00C62B1D">
            <w:rPr>
              <w:i/>
              <w:iCs/>
              <w:sz w:val="32"/>
              <w:szCs w:val="32"/>
            </w:rPr>
            <w:t xml:space="preserve">EFFECTIVENESS OF FINANCIAL INCLUSION POLICIES OF RESERVE BANK OF INDIA WITH SPECIAL REFERENCE TO </w:t>
          </w:r>
          <w:r w:rsidRPr="00C62B1D">
            <w:rPr>
              <w:i/>
              <w:iCs/>
              <w:sz w:val="32"/>
              <w:szCs w:val="32"/>
            </w:rPr>
            <w:lastRenderedPageBreak/>
            <w:t>KERALA</w:t>
          </w:r>
          <w:r w:rsidRPr="00C62B1D">
            <w:rPr>
              <w:sz w:val="32"/>
              <w:szCs w:val="32"/>
            </w:rPr>
            <w:t>.</w:t>
          </w:r>
        </w:p>
        <w:p w14:paraId="047A425A" w14:textId="1622A07F" w:rsidR="00652059" w:rsidRPr="00C62B1D" w:rsidRDefault="00C62B1D" w:rsidP="00C62B1D">
          <w:pPr>
            <w:bidi w:val="0"/>
            <w:spacing w:line="360" w:lineRule="auto"/>
            <w:ind w:firstLine="60"/>
            <w:rPr>
              <w:rFonts w:cs="Times New Roman"/>
              <w:b/>
              <w:bCs/>
              <w:color w:val="auto"/>
              <w:sz w:val="18"/>
              <w:szCs w:val="18"/>
              <w:lang w:bidi="ar-YE"/>
            </w:rPr>
          </w:pPr>
          <w:r>
            <w:t> </w:t>
          </w:r>
        </w:p>
      </w:sdtContent>
    </w:sdt>
    <w:sectPr w:rsidR="00652059" w:rsidRPr="00C62B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0D01" w14:textId="77777777" w:rsidR="00B16621" w:rsidRDefault="00B16621" w:rsidP="0025500A">
      <w:r>
        <w:separator/>
      </w:r>
    </w:p>
  </w:endnote>
  <w:endnote w:type="continuationSeparator" w:id="0">
    <w:p w14:paraId="78353B81" w14:textId="77777777" w:rsidR="00B16621" w:rsidRDefault="00B16621" w:rsidP="0025500A">
      <w:r>
        <w:continuationSeparator/>
      </w:r>
    </w:p>
  </w:endnote>
  <w:endnote w:id="1">
    <w:p w14:paraId="4F0F472D" w14:textId="262A1498" w:rsidR="0025500A" w:rsidRPr="00AA147C" w:rsidRDefault="0025500A" w:rsidP="00AA147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1E61" w14:textId="77777777" w:rsidR="00B16621" w:rsidRDefault="00B16621" w:rsidP="0025500A">
      <w:r>
        <w:separator/>
      </w:r>
    </w:p>
  </w:footnote>
  <w:footnote w:type="continuationSeparator" w:id="0">
    <w:p w14:paraId="0976A7CA" w14:textId="77777777" w:rsidR="00B16621" w:rsidRDefault="00B16621" w:rsidP="00255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0C78"/>
    <w:multiLevelType w:val="hybridMultilevel"/>
    <w:tmpl w:val="267EF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17B55"/>
    <w:multiLevelType w:val="hybridMultilevel"/>
    <w:tmpl w:val="60C4C9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37C93"/>
    <w:multiLevelType w:val="hybridMultilevel"/>
    <w:tmpl w:val="94805F38"/>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19AE6A04"/>
    <w:multiLevelType w:val="hybridMultilevel"/>
    <w:tmpl w:val="BB923F5E"/>
    <w:lvl w:ilvl="0" w:tplc="04090011">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 w15:restartNumberingAfterBreak="0">
    <w:nsid w:val="21236C1D"/>
    <w:multiLevelType w:val="hybridMultilevel"/>
    <w:tmpl w:val="D8D4D7BC"/>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5" w15:restartNumberingAfterBreak="0">
    <w:nsid w:val="24852C5B"/>
    <w:multiLevelType w:val="hybridMultilevel"/>
    <w:tmpl w:val="FE04631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CDE0AD1"/>
    <w:multiLevelType w:val="hybridMultilevel"/>
    <w:tmpl w:val="2DA2E3BA"/>
    <w:lvl w:ilvl="0" w:tplc="04090011">
      <w:start w:val="1"/>
      <w:numFmt w:val="decimal"/>
      <w:lvlText w:val="%1)"/>
      <w:lvlJc w:val="left"/>
      <w:pPr>
        <w:ind w:left="1174" w:hanging="360"/>
      </w:pPr>
      <w:rPr>
        <w:rFonts w:cs="Times New Roman"/>
      </w:rPr>
    </w:lvl>
    <w:lvl w:ilvl="1" w:tplc="04090019">
      <w:start w:val="1"/>
      <w:numFmt w:val="lowerLetter"/>
      <w:lvlText w:val="%2."/>
      <w:lvlJc w:val="left"/>
      <w:pPr>
        <w:ind w:left="1894" w:hanging="360"/>
      </w:pPr>
      <w:rPr>
        <w:rFonts w:cs="Times New Roman"/>
      </w:rPr>
    </w:lvl>
    <w:lvl w:ilvl="2" w:tplc="0409001B">
      <w:start w:val="1"/>
      <w:numFmt w:val="lowerRoman"/>
      <w:lvlText w:val="%3."/>
      <w:lvlJc w:val="right"/>
      <w:pPr>
        <w:ind w:left="2614" w:hanging="180"/>
      </w:pPr>
      <w:rPr>
        <w:rFonts w:cs="Times New Roman"/>
      </w:rPr>
    </w:lvl>
    <w:lvl w:ilvl="3" w:tplc="0409000F">
      <w:start w:val="1"/>
      <w:numFmt w:val="decimal"/>
      <w:lvlText w:val="%4."/>
      <w:lvlJc w:val="left"/>
      <w:pPr>
        <w:ind w:left="3334" w:hanging="360"/>
      </w:pPr>
      <w:rPr>
        <w:rFonts w:cs="Times New Roman"/>
      </w:rPr>
    </w:lvl>
    <w:lvl w:ilvl="4" w:tplc="04090019">
      <w:start w:val="1"/>
      <w:numFmt w:val="lowerLetter"/>
      <w:lvlText w:val="%5."/>
      <w:lvlJc w:val="left"/>
      <w:pPr>
        <w:ind w:left="4054" w:hanging="360"/>
      </w:pPr>
      <w:rPr>
        <w:rFonts w:cs="Times New Roman"/>
      </w:rPr>
    </w:lvl>
    <w:lvl w:ilvl="5" w:tplc="0409001B">
      <w:start w:val="1"/>
      <w:numFmt w:val="lowerRoman"/>
      <w:lvlText w:val="%6."/>
      <w:lvlJc w:val="right"/>
      <w:pPr>
        <w:ind w:left="4774" w:hanging="180"/>
      </w:pPr>
      <w:rPr>
        <w:rFonts w:cs="Times New Roman"/>
      </w:rPr>
    </w:lvl>
    <w:lvl w:ilvl="6" w:tplc="0409000F">
      <w:start w:val="1"/>
      <w:numFmt w:val="decimal"/>
      <w:lvlText w:val="%7."/>
      <w:lvlJc w:val="left"/>
      <w:pPr>
        <w:ind w:left="5494" w:hanging="360"/>
      </w:pPr>
      <w:rPr>
        <w:rFonts w:cs="Times New Roman"/>
      </w:rPr>
    </w:lvl>
    <w:lvl w:ilvl="7" w:tplc="04090019">
      <w:start w:val="1"/>
      <w:numFmt w:val="lowerLetter"/>
      <w:lvlText w:val="%8."/>
      <w:lvlJc w:val="left"/>
      <w:pPr>
        <w:ind w:left="6214" w:hanging="360"/>
      </w:pPr>
      <w:rPr>
        <w:rFonts w:cs="Times New Roman"/>
      </w:rPr>
    </w:lvl>
    <w:lvl w:ilvl="8" w:tplc="0409001B">
      <w:start w:val="1"/>
      <w:numFmt w:val="lowerRoman"/>
      <w:lvlText w:val="%9."/>
      <w:lvlJc w:val="right"/>
      <w:pPr>
        <w:ind w:left="6934" w:hanging="180"/>
      </w:pPr>
      <w:rPr>
        <w:rFonts w:cs="Times New Roman"/>
      </w:rPr>
    </w:lvl>
  </w:abstractNum>
  <w:abstractNum w:abstractNumId="7" w15:restartNumberingAfterBreak="0">
    <w:nsid w:val="43961514"/>
    <w:multiLevelType w:val="hybridMultilevel"/>
    <w:tmpl w:val="88B4C1E8"/>
    <w:lvl w:ilvl="0" w:tplc="04090011">
      <w:start w:val="1"/>
      <w:numFmt w:val="decimal"/>
      <w:lvlText w:val="%1)"/>
      <w:lvlJc w:val="left"/>
      <w:pPr>
        <w:ind w:left="1174" w:hanging="360"/>
      </w:pPr>
      <w:rPr>
        <w:rFonts w:cs="Times New Roman"/>
      </w:rPr>
    </w:lvl>
    <w:lvl w:ilvl="1" w:tplc="04090019">
      <w:start w:val="1"/>
      <w:numFmt w:val="lowerLetter"/>
      <w:lvlText w:val="%2."/>
      <w:lvlJc w:val="left"/>
      <w:pPr>
        <w:ind w:left="1894" w:hanging="360"/>
      </w:pPr>
      <w:rPr>
        <w:rFonts w:cs="Times New Roman"/>
      </w:rPr>
    </w:lvl>
    <w:lvl w:ilvl="2" w:tplc="0409001B">
      <w:start w:val="1"/>
      <w:numFmt w:val="lowerRoman"/>
      <w:lvlText w:val="%3."/>
      <w:lvlJc w:val="right"/>
      <w:pPr>
        <w:ind w:left="2614" w:hanging="180"/>
      </w:pPr>
      <w:rPr>
        <w:rFonts w:cs="Times New Roman"/>
      </w:rPr>
    </w:lvl>
    <w:lvl w:ilvl="3" w:tplc="0409000F">
      <w:start w:val="1"/>
      <w:numFmt w:val="decimal"/>
      <w:lvlText w:val="%4."/>
      <w:lvlJc w:val="left"/>
      <w:pPr>
        <w:ind w:left="3334" w:hanging="360"/>
      </w:pPr>
      <w:rPr>
        <w:rFonts w:cs="Times New Roman"/>
      </w:rPr>
    </w:lvl>
    <w:lvl w:ilvl="4" w:tplc="04090019">
      <w:start w:val="1"/>
      <w:numFmt w:val="lowerLetter"/>
      <w:lvlText w:val="%5."/>
      <w:lvlJc w:val="left"/>
      <w:pPr>
        <w:ind w:left="4054" w:hanging="360"/>
      </w:pPr>
      <w:rPr>
        <w:rFonts w:cs="Times New Roman"/>
      </w:rPr>
    </w:lvl>
    <w:lvl w:ilvl="5" w:tplc="0409001B">
      <w:start w:val="1"/>
      <w:numFmt w:val="lowerRoman"/>
      <w:lvlText w:val="%6."/>
      <w:lvlJc w:val="right"/>
      <w:pPr>
        <w:ind w:left="4774" w:hanging="180"/>
      </w:pPr>
      <w:rPr>
        <w:rFonts w:cs="Times New Roman"/>
      </w:rPr>
    </w:lvl>
    <w:lvl w:ilvl="6" w:tplc="0409000F">
      <w:start w:val="1"/>
      <w:numFmt w:val="decimal"/>
      <w:lvlText w:val="%7."/>
      <w:lvlJc w:val="left"/>
      <w:pPr>
        <w:ind w:left="5494" w:hanging="360"/>
      </w:pPr>
      <w:rPr>
        <w:rFonts w:cs="Times New Roman"/>
      </w:rPr>
    </w:lvl>
    <w:lvl w:ilvl="7" w:tplc="04090019">
      <w:start w:val="1"/>
      <w:numFmt w:val="lowerLetter"/>
      <w:lvlText w:val="%8."/>
      <w:lvlJc w:val="left"/>
      <w:pPr>
        <w:ind w:left="6214" w:hanging="360"/>
      </w:pPr>
      <w:rPr>
        <w:rFonts w:cs="Times New Roman"/>
      </w:rPr>
    </w:lvl>
    <w:lvl w:ilvl="8" w:tplc="0409001B">
      <w:start w:val="1"/>
      <w:numFmt w:val="lowerRoman"/>
      <w:lvlText w:val="%9."/>
      <w:lvlJc w:val="right"/>
      <w:pPr>
        <w:ind w:left="6934" w:hanging="180"/>
      </w:pPr>
      <w:rPr>
        <w:rFonts w:cs="Times New Roman"/>
      </w:rPr>
    </w:lvl>
  </w:abstractNum>
  <w:abstractNum w:abstractNumId="8" w15:restartNumberingAfterBreak="0">
    <w:nsid w:val="65414D8A"/>
    <w:multiLevelType w:val="hybridMultilevel"/>
    <w:tmpl w:val="F83CADE8"/>
    <w:lvl w:ilvl="0" w:tplc="04090011">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6B7E0085"/>
    <w:multiLevelType w:val="hybridMultilevel"/>
    <w:tmpl w:val="18FE4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95CE5"/>
    <w:multiLevelType w:val="hybridMultilevel"/>
    <w:tmpl w:val="3496BCE8"/>
    <w:lvl w:ilvl="0" w:tplc="E160C6D6">
      <w:start w:val="1"/>
      <w:numFmt w:val="decimal"/>
      <w:lvlText w:val="%1."/>
      <w:lvlJc w:val="left"/>
      <w:pPr>
        <w:tabs>
          <w:tab w:val="num" w:pos="720"/>
        </w:tabs>
        <w:ind w:left="720" w:hanging="720"/>
      </w:pPr>
      <w:rPr>
        <w:rFonts w:hint="default"/>
        <w:b w:val="0"/>
        <w:i w:val="0"/>
      </w:rPr>
    </w:lvl>
    <w:lvl w:ilvl="1" w:tplc="04090019">
      <w:start w:val="1"/>
      <w:numFmt w:val="lowerLetter"/>
      <w:lvlText w:val="%2."/>
      <w:lvlJc w:val="left"/>
      <w:pPr>
        <w:ind w:left="2254" w:hanging="360"/>
      </w:pPr>
      <w:rPr>
        <w:rFonts w:cs="Times New Roman"/>
      </w:rPr>
    </w:lvl>
    <w:lvl w:ilvl="2" w:tplc="0409001B">
      <w:start w:val="1"/>
      <w:numFmt w:val="lowerRoman"/>
      <w:lvlText w:val="%3."/>
      <w:lvlJc w:val="right"/>
      <w:pPr>
        <w:ind w:left="2974" w:hanging="180"/>
      </w:pPr>
      <w:rPr>
        <w:rFonts w:cs="Times New Roman"/>
      </w:rPr>
    </w:lvl>
    <w:lvl w:ilvl="3" w:tplc="0409000F">
      <w:start w:val="1"/>
      <w:numFmt w:val="decimal"/>
      <w:lvlText w:val="%4."/>
      <w:lvlJc w:val="left"/>
      <w:pPr>
        <w:ind w:left="3694" w:hanging="360"/>
      </w:pPr>
      <w:rPr>
        <w:rFonts w:cs="Times New Roman"/>
      </w:rPr>
    </w:lvl>
    <w:lvl w:ilvl="4" w:tplc="04090019">
      <w:start w:val="1"/>
      <w:numFmt w:val="lowerLetter"/>
      <w:lvlText w:val="%5."/>
      <w:lvlJc w:val="left"/>
      <w:pPr>
        <w:ind w:left="4414" w:hanging="360"/>
      </w:pPr>
      <w:rPr>
        <w:rFonts w:cs="Times New Roman"/>
      </w:rPr>
    </w:lvl>
    <w:lvl w:ilvl="5" w:tplc="0409001B">
      <w:start w:val="1"/>
      <w:numFmt w:val="lowerRoman"/>
      <w:lvlText w:val="%6."/>
      <w:lvlJc w:val="right"/>
      <w:pPr>
        <w:ind w:left="5134" w:hanging="180"/>
      </w:pPr>
      <w:rPr>
        <w:rFonts w:cs="Times New Roman"/>
      </w:rPr>
    </w:lvl>
    <w:lvl w:ilvl="6" w:tplc="0409000F">
      <w:start w:val="1"/>
      <w:numFmt w:val="decimal"/>
      <w:lvlText w:val="%7."/>
      <w:lvlJc w:val="left"/>
      <w:pPr>
        <w:ind w:left="5854" w:hanging="360"/>
      </w:pPr>
      <w:rPr>
        <w:rFonts w:cs="Times New Roman"/>
      </w:rPr>
    </w:lvl>
    <w:lvl w:ilvl="7" w:tplc="04090019">
      <w:start w:val="1"/>
      <w:numFmt w:val="lowerLetter"/>
      <w:lvlText w:val="%8."/>
      <w:lvlJc w:val="left"/>
      <w:pPr>
        <w:ind w:left="6574" w:hanging="360"/>
      </w:pPr>
      <w:rPr>
        <w:rFonts w:cs="Times New Roman"/>
      </w:rPr>
    </w:lvl>
    <w:lvl w:ilvl="8" w:tplc="0409001B">
      <w:start w:val="1"/>
      <w:numFmt w:val="lowerRoman"/>
      <w:lvlText w:val="%9."/>
      <w:lvlJc w:val="right"/>
      <w:pPr>
        <w:ind w:left="7294" w:hanging="180"/>
      </w:pPr>
      <w:rPr>
        <w:rFonts w:cs="Times New Roman"/>
      </w:rPr>
    </w:lvl>
  </w:abstractNum>
  <w:abstractNum w:abstractNumId="11" w15:restartNumberingAfterBreak="0">
    <w:nsid w:val="6E806BE6"/>
    <w:multiLevelType w:val="hybridMultilevel"/>
    <w:tmpl w:val="357C5220"/>
    <w:lvl w:ilvl="0" w:tplc="04090011">
      <w:start w:val="1"/>
      <w:numFmt w:val="decimal"/>
      <w:lvlText w:val="%1)"/>
      <w:lvlJc w:val="left"/>
      <w:pPr>
        <w:ind w:left="1174" w:hanging="360"/>
      </w:pPr>
      <w:rPr>
        <w:rFonts w:cs="Times New Roman"/>
      </w:rPr>
    </w:lvl>
    <w:lvl w:ilvl="1" w:tplc="04090019">
      <w:start w:val="1"/>
      <w:numFmt w:val="lowerLetter"/>
      <w:lvlText w:val="%2."/>
      <w:lvlJc w:val="left"/>
      <w:pPr>
        <w:ind w:left="1894" w:hanging="360"/>
      </w:pPr>
      <w:rPr>
        <w:rFonts w:cs="Times New Roman"/>
      </w:rPr>
    </w:lvl>
    <w:lvl w:ilvl="2" w:tplc="0409001B">
      <w:start w:val="1"/>
      <w:numFmt w:val="lowerRoman"/>
      <w:lvlText w:val="%3."/>
      <w:lvlJc w:val="right"/>
      <w:pPr>
        <w:ind w:left="2614" w:hanging="180"/>
      </w:pPr>
      <w:rPr>
        <w:rFonts w:cs="Times New Roman"/>
      </w:rPr>
    </w:lvl>
    <w:lvl w:ilvl="3" w:tplc="0409000F">
      <w:start w:val="1"/>
      <w:numFmt w:val="decimal"/>
      <w:lvlText w:val="%4."/>
      <w:lvlJc w:val="left"/>
      <w:pPr>
        <w:ind w:left="3334" w:hanging="360"/>
      </w:pPr>
      <w:rPr>
        <w:rFonts w:cs="Times New Roman"/>
      </w:rPr>
    </w:lvl>
    <w:lvl w:ilvl="4" w:tplc="04090019">
      <w:start w:val="1"/>
      <w:numFmt w:val="lowerLetter"/>
      <w:lvlText w:val="%5."/>
      <w:lvlJc w:val="left"/>
      <w:pPr>
        <w:ind w:left="4054" w:hanging="360"/>
      </w:pPr>
      <w:rPr>
        <w:rFonts w:cs="Times New Roman"/>
      </w:rPr>
    </w:lvl>
    <w:lvl w:ilvl="5" w:tplc="0409001B">
      <w:start w:val="1"/>
      <w:numFmt w:val="lowerRoman"/>
      <w:lvlText w:val="%6."/>
      <w:lvlJc w:val="right"/>
      <w:pPr>
        <w:ind w:left="4774" w:hanging="180"/>
      </w:pPr>
      <w:rPr>
        <w:rFonts w:cs="Times New Roman"/>
      </w:rPr>
    </w:lvl>
    <w:lvl w:ilvl="6" w:tplc="0409000F">
      <w:start w:val="1"/>
      <w:numFmt w:val="decimal"/>
      <w:lvlText w:val="%7."/>
      <w:lvlJc w:val="left"/>
      <w:pPr>
        <w:ind w:left="5494" w:hanging="360"/>
      </w:pPr>
      <w:rPr>
        <w:rFonts w:cs="Times New Roman"/>
      </w:rPr>
    </w:lvl>
    <w:lvl w:ilvl="7" w:tplc="04090019">
      <w:start w:val="1"/>
      <w:numFmt w:val="lowerLetter"/>
      <w:lvlText w:val="%8."/>
      <w:lvlJc w:val="left"/>
      <w:pPr>
        <w:ind w:left="6214" w:hanging="360"/>
      </w:pPr>
      <w:rPr>
        <w:rFonts w:cs="Times New Roman"/>
      </w:rPr>
    </w:lvl>
    <w:lvl w:ilvl="8" w:tplc="0409001B">
      <w:start w:val="1"/>
      <w:numFmt w:val="lowerRoman"/>
      <w:lvlText w:val="%9."/>
      <w:lvlJc w:val="right"/>
      <w:pPr>
        <w:ind w:left="6934" w:hanging="180"/>
      </w:pPr>
      <w:rPr>
        <w:rFonts w:cs="Times New Roman"/>
      </w:rPr>
    </w:lvl>
  </w:abstractNum>
  <w:num w:numId="1" w16cid:durableId="1211989334">
    <w:abstractNumId w:val="5"/>
  </w:num>
  <w:num w:numId="2" w16cid:durableId="1067917879">
    <w:abstractNumId w:val="7"/>
  </w:num>
  <w:num w:numId="3" w16cid:durableId="1177773632">
    <w:abstractNumId w:val="2"/>
  </w:num>
  <w:num w:numId="4" w16cid:durableId="1666084704">
    <w:abstractNumId w:val="6"/>
  </w:num>
  <w:num w:numId="5" w16cid:durableId="1965650830">
    <w:abstractNumId w:val="4"/>
  </w:num>
  <w:num w:numId="6" w16cid:durableId="1826975459">
    <w:abstractNumId w:val="11"/>
  </w:num>
  <w:num w:numId="7" w16cid:durableId="887179089">
    <w:abstractNumId w:val="8"/>
  </w:num>
  <w:num w:numId="8" w16cid:durableId="1323004567">
    <w:abstractNumId w:val="9"/>
  </w:num>
  <w:num w:numId="9" w16cid:durableId="1689259805">
    <w:abstractNumId w:val="0"/>
  </w:num>
  <w:num w:numId="10" w16cid:durableId="2097239497">
    <w:abstractNumId w:val="10"/>
  </w:num>
  <w:num w:numId="11" w16cid:durableId="477191037">
    <w:abstractNumId w:val="1"/>
  </w:num>
  <w:num w:numId="12" w16cid:durableId="1079475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08"/>
    <w:rsid w:val="000B0F07"/>
    <w:rsid w:val="000D74A1"/>
    <w:rsid w:val="001345DD"/>
    <w:rsid w:val="00160B3C"/>
    <w:rsid w:val="00172B8D"/>
    <w:rsid w:val="001F7BE0"/>
    <w:rsid w:val="0021771B"/>
    <w:rsid w:val="002213A6"/>
    <w:rsid w:val="0025500A"/>
    <w:rsid w:val="002D7FD7"/>
    <w:rsid w:val="003042FA"/>
    <w:rsid w:val="00317108"/>
    <w:rsid w:val="0049381B"/>
    <w:rsid w:val="0057354F"/>
    <w:rsid w:val="00645BE6"/>
    <w:rsid w:val="00652059"/>
    <w:rsid w:val="007510E3"/>
    <w:rsid w:val="00795FB4"/>
    <w:rsid w:val="007F0735"/>
    <w:rsid w:val="00816021"/>
    <w:rsid w:val="008C62D3"/>
    <w:rsid w:val="009A1EC1"/>
    <w:rsid w:val="009B6658"/>
    <w:rsid w:val="009E7B51"/>
    <w:rsid w:val="00A4496F"/>
    <w:rsid w:val="00A9792A"/>
    <w:rsid w:val="00AA147C"/>
    <w:rsid w:val="00AC0C2D"/>
    <w:rsid w:val="00AE3C4C"/>
    <w:rsid w:val="00B16621"/>
    <w:rsid w:val="00BE4601"/>
    <w:rsid w:val="00C25F80"/>
    <w:rsid w:val="00C62B1D"/>
    <w:rsid w:val="00CC1BB4"/>
    <w:rsid w:val="00DD0F58"/>
    <w:rsid w:val="00DF557F"/>
    <w:rsid w:val="00E7159B"/>
    <w:rsid w:val="00E762DF"/>
    <w:rsid w:val="00EB4560"/>
    <w:rsid w:val="00F233F2"/>
    <w:rsid w:val="00F6043F"/>
    <w:rsid w:val="00F85F46"/>
    <w:rsid w:val="00F97BB6"/>
    <w:rsid w:val="00FA3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BAEDF"/>
  <w15:chartTrackingRefBased/>
  <w15:docId w15:val="{8D76B1A5-7BDC-45B7-A8D5-80BD0B2D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00A"/>
    <w:pPr>
      <w:widowControl w:val="0"/>
      <w:bidi/>
      <w:spacing w:after="0" w:line="240" w:lineRule="auto"/>
      <w:ind w:firstLine="454"/>
      <w:jc w:val="both"/>
    </w:pPr>
    <w:rPr>
      <w:rFonts w:ascii="Times New Roman" w:eastAsia="Times New Roman" w:hAnsi="Times New Roman" w:cs="Traditional Arabic"/>
      <w:color w:val="000000"/>
      <w:kern w:val="0"/>
      <w:sz w:val="36"/>
      <w:szCs w:val="36"/>
      <w:lang w:val="en-GB" w:eastAsia="ar-SA"/>
      <w14:ligatures w14:val="none"/>
    </w:rPr>
  </w:style>
  <w:style w:type="paragraph" w:styleId="Heading1">
    <w:name w:val="heading 1"/>
    <w:basedOn w:val="Normal"/>
    <w:next w:val="Normal"/>
    <w:link w:val="Heading1Char"/>
    <w:uiPriority w:val="9"/>
    <w:qFormat/>
    <w:rsid w:val="00317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1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1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1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1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108"/>
    <w:rPr>
      <w:rFonts w:eastAsiaTheme="majorEastAsia" w:cstheme="majorBidi"/>
      <w:color w:val="272727" w:themeColor="text1" w:themeTint="D8"/>
    </w:rPr>
  </w:style>
  <w:style w:type="paragraph" w:styleId="Title">
    <w:name w:val="Title"/>
    <w:basedOn w:val="Normal"/>
    <w:next w:val="Normal"/>
    <w:link w:val="TitleChar"/>
    <w:uiPriority w:val="10"/>
    <w:qFormat/>
    <w:rsid w:val="003171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108"/>
    <w:pPr>
      <w:numPr>
        <w:ilvl w:val="1"/>
      </w:numPr>
      <w:ind w:firstLine="45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108"/>
    <w:pPr>
      <w:spacing w:before="160"/>
      <w:jc w:val="center"/>
    </w:pPr>
    <w:rPr>
      <w:i/>
      <w:iCs/>
      <w:color w:val="404040" w:themeColor="text1" w:themeTint="BF"/>
    </w:rPr>
  </w:style>
  <w:style w:type="character" w:customStyle="1" w:styleId="QuoteChar">
    <w:name w:val="Quote Char"/>
    <w:basedOn w:val="DefaultParagraphFont"/>
    <w:link w:val="Quote"/>
    <w:uiPriority w:val="29"/>
    <w:rsid w:val="00317108"/>
    <w:rPr>
      <w:i/>
      <w:iCs/>
      <w:color w:val="404040" w:themeColor="text1" w:themeTint="BF"/>
    </w:rPr>
  </w:style>
  <w:style w:type="paragraph" w:styleId="ListParagraph">
    <w:name w:val="List Paragraph"/>
    <w:basedOn w:val="Normal"/>
    <w:qFormat/>
    <w:rsid w:val="00317108"/>
    <w:pPr>
      <w:ind w:left="720"/>
      <w:contextualSpacing/>
    </w:pPr>
  </w:style>
  <w:style w:type="character" w:styleId="IntenseEmphasis">
    <w:name w:val="Intense Emphasis"/>
    <w:basedOn w:val="DefaultParagraphFont"/>
    <w:uiPriority w:val="21"/>
    <w:qFormat/>
    <w:rsid w:val="00317108"/>
    <w:rPr>
      <w:i/>
      <w:iCs/>
      <w:color w:val="2F5496" w:themeColor="accent1" w:themeShade="BF"/>
    </w:rPr>
  </w:style>
  <w:style w:type="paragraph" w:styleId="IntenseQuote">
    <w:name w:val="Intense Quote"/>
    <w:basedOn w:val="Normal"/>
    <w:next w:val="Normal"/>
    <w:link w:val="IntenseQuoteChar"/>
    <w:uiPriority w:val="30"/>
    <w:qFormat/>
    <w:rsid w:val="00317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108"/>
    <w:rPr>
      <w:i/>
      <w:iCs/>
      <w:color w:val="2F5496" w:themeColor="accent1" w:themeShade="BF"/>
    </w:rPr>
  </w:style>
  <w:style w:type="character" w:styleId="IntenseReference">
    <w:name w:val="Intense Reference"/>
    <w:basedOn w:val="DefaultParagraphFont"/>
    <w:uiPriority w:val="32"/>
    <w:qFormat/>
    <w:rsid w:val="00317108"/>
    <w:rPr>
      <w:b/>
      <w:bCs/>
      <w:smallCaps/>
      <w:color w:val="2F5496" w:themeColor="accent1" w:themeShade="BF"/>
      <w:spacing w:val="5"/>
    </w:rPr>
  </w:style>
  <w:style w:type="paragraph" w:styleId="Caption">
    <w:name w:val="caption"/>
    <w:basedOn w:val="Normal"/>
    <w:next w:val="Normal"/>
    <w:qFormat/>
    <w:rsid w:val="0025500A"/>
    <w:pPr>
      <w:overflowPunct w:val="0"/>
      <w:autoSpaceDE w:val="0"/>
      <w:autoSpaceDN w:val="0"/>
      <w:adjustRightInd w:val="0"/>
      <w:spacing w:before="120" w:after="120"/>
      <w:ind w:firstLine="0"/>
      <w:textAlignment w:val="baseline"/>
    </w:pPr>
  </w:style>
  <w:style w:type="character" w:styleId="EndnoteReference">
    <w:name w:val="endnote reference"/>
    <w:semiHidden/>
    <w:rsid w:val="0025500A"/>
    <w:rPr>
      <w:rFonts w:cs="Times New Roman"/>
      <w:vertAlign w:val="superscript"/>
    </w:rPr>
  </w:style>
  <w:style w:type="paragraph" w:styleId="EndnoteText">
    <w:name w:val="endnote text"/>
    <w:basedOn w:val="Normal"/>
    <w:link w:val="EndnoteTextChar"/>
    <w:semiHidden/>
    <w:rsid w:val="0025500A"/>
    <w:rPr>
      <w:sz w:val="20"/>
      <w:szCs w:val="20"/>
    </w:rPr>
  </w:style>
  <w:style w:type="character" w:customStyle="1" w:styleId="EndnoteTextChar">
    <w:name w:val="Endnote Text Char"/>
    <w:basedOn w:val="DefaultParagraphFont"/>
    <w:link w:val="EndnoteText"/>
    <w:semiHidden/>
    <w:rsid w:val="0025500A"/>
    <w:rPr>
      <w:rFonts w:ascii="Times New Roman" w:eastAsia="Times New Roman" w:hAnsi="Times New Roman" w:cs="Traditional Arabic"/>
      <w:color w:val="000000"/>
      <w:kern w:val="0"/>
      <w:sz w:val="20"/>
      <w:szCs w:val="20"/>
      <w:lang w:val="en-GB" w:eastAsia="ar-SA"/>
      <w14:ligatures w14:val="none"/>
    </w:rPr>
  </w:style>
  <w:style w:type="paragraph" w:styleId="Bibliography">
    <w:name w:val="Bibliography"/>
    <w:basedOn w:val="Normal"/>
    <w:next w:val="Normal"/>
    <w:rsid w:val="0025500A"/>
  </w:style>
  <w:style w:type="character" w:styleId="Hyperlink">
    <w:name w:val="Hyperlink"/>
    <w:basedOn w:val="DefaultParagraphFont"/>
    <w:uiPriority w:val="99"/>
    <w:unhideWhenUsed/>
    <w:rsid w:val="00DF557F"/>
    <w:rPr>
      <w:color w:val="0563C1" w:themeColor="hyperlink"/>
      <w:u w:val="single"/>
    </w:rPr>
  </w:style>
  <w:style w:type="character" w:styleId="UnresolvedMention">
    <w:name w:val="Unresolved Mention"/>
    <w:basedOn w:val="DefaultParagraphFont"/>
    <w:uiPriority w:val="99"/>
    <w:semiHidden/>
    <w:unhideWhenUsed/>
    <w:rsid w:val="00DF557F"/>
    <w:rPr>
      <w:color w:val="605E5C"/>
      <w:shd w:val="clear" w:color="auto" w:fill="E1DFDD"/>
    </w:rPr>
  </w:style>
  <w:style w:type="character" w:styleId="PlaceholderText">
    <w:name w:val="Placeholder Text"/>
    <w:basedOn w:val="DefaultParagraphFont"/>
    <w:uiPriority w:val="99"/>
    <w:semiHidden/>
    <w:rsid w:val="002177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780">
      <w:bodyDiv w:val="1"/>
      <w:marLeft w:val="0"/>
      <w:marRight w:val="0"/>
      <w:marTop w:val="0"/>
      <w:marBottom w:val="0"/>
      <w:divBdr>
        <w:top w:val="none" w:sz="0" w:space="0" w:color="auto"/>
        <w:left w:val="none" w:sz="0" w:space="0" w:color="auto"/>
        <w:bottom w:val="none" w:sz="0" w:space="0" w:color="auto"/>
        <w:right w:val="none" w:sz="0" w:space="0" w:color="auto"/>
      </w:divBdr>
    </w:div>
    <w:div w:id="78135486">
      <w:bodyDiv w:val="1"/>
      <w:marLeft w:val="0"/>
      <w:marRight w:val="0"/>
      <w:marTop w:val="0"/>
      <w:marBottom w:val="0"/>
      <w:divBdr>
        <w:top w:val="none" w:sz="0" w:space="0" w:color="auto"/>
        <w:left w:val="none" w:sz="0" w:space="0" w:color="auto"/>
        <w:bottom w:val="none" w:sz="0" w:space="0" w:color="auto"/>
        <w:right w:val="none" w:sz="0" w:space="0" w:color="auto"/>
      </w:divBdr>
    </w:div>
    <w:div w:id="96412789">
      <w:bodyDiv w:val="1"/>
      <w:marLeft w:val="0"/>
      <w:marRight w:val="0"/>
      <w:marTop w:val="0"/>
      <w:marBottom w:val="0"/>
      <w:divBdr>
        <w:top w:val="none" w:sz="0" w:space="0" w:color="auto"/>
        <w:left w:val="none" w:sz="0" w:space="0" w:color="auto"/>
        <w:bottom w:val="none" w:sz="0" w:space="0" w:color="auto"/>
        <w:right w:val="none" w:sz="0" w:space="0" w:color="auto"/>
      </w:divBdr>
    </w:div>
    <w:div w:id="99181721">
      <w:bodyDiv w:val="1"/>
      <w:marLeft w:val="0"/>
      <w:marRight w:val="0"/>
      <w:marTop w:val="0"/>
      <w:marBottom w:val="0"/>
      <w:divBdr>
        <w:top w:val="none" w:sz="0" w:space="0" w:color="auto"/>
        <w:left w:val="none" w:sz="0" w:space="0" w:color="auto"/>
        <w:bottom w:val="none" w:sz="0" w:space="0" w:color="auto"/>
        <w:right w:val="none" w:sz="0" w:space="0" w:color="auto"/>
      </w:divBdr>
    </w:div>
    <w:div w:id="156389871">
      <w:bodyDiv w:val="1"/>
      <w:marLeft w:val="0"/>
      <w:marRight w:val="0"/>
      <w:marTop w:val="0"/>
      <w:marBottom w:val="0"/>
      <w:divBdr>
        <w:top w:val="none" w:sz="0" w:space="0" w:color="auto"/>
        <w:left w:val="none" w:sz="0" w:space="0" w:color="auto"/>
        <w:bottom w:val="none" w:sz="0" w:space="0" w:color="auto"/>
        <w:right w:val="none" w:sz="0" w:space="0" w:color="auto"/>
      </w:divBdr>
    </w:div>
    <w:div w:id="246886032">
      <w:bodyDiv w:val="1"/>
      <w:marLeft w:val="0"/>
      <w:marRight w:val="0"/>
      <w:marTop w:val="0"/>
      <w:marBottom w:val="0"/>
      <w:divBdr>
        <w:top w:val="none" w:sz="0" w:space="0" w:color="auto"/>
        <w:left w:val="none" w:sz="0" w:space="0" w:color="auto"/>
        <w:bottom w:val="none" w:sz="0" w:space="0" w:color="auto"/>
        <w:right w:val="none" w:sz="0" w:space="0" w:color="auto"/>
      </w:divBdr>
    </w:div>
    <w:div w:id="388117896">
      <w:bodyDiv w:val="1"/>
      <w:marLeft w:val="0"/>
      <w:marRight w:val="0"/>
      <w:marTop w:val="0"/>
      <w:marBottom w:val="0"/>
      <w:divBdr>
        <w:top w:val="none" w:sz="0" w:space="0" w:color="auto"/>
        <w:left w:val="none" w:sz="0" w:space="0" w:color="auto"/>
        <w:bottom w:val="none" w:sz="0" w:space="0" w:color="auto"/>
        <w:right w:val="none" w:sz="0" w:space="0" w:color="auto"/>
      </w:divBdr>
    </w:div>
    <w:div w:id="395322879">
      <w:bodyDiv w:val="1"/>
      <w:marLeft w:val="0"/>
      <w:marRight w:val="0"/>
      <w:marTop w:val="0"/>
      <w:marBottom w:val="0"/>
      <w:divBdr>
        <w:top w:val="none" w:sz="0" w:space="0" w:color="auto"/>
        <w:left w:val="none" w:sz="0" w:space="0" w:color="auto"/>
        <w:bottom w:val="none" w:sz="0" w:space="0" w:color="auto"/>
        <w:right w:val="none" w:sz="0" w:space="0" w:color="auto"/>
      </w:divBdr>
    </w:div>
    <w:div w:id="421338549">
      <w:bodyDiv w:val="1"/>
      <w:marLeft w:val="0"/>
      <w:marRight w:val="0"/>
      <w:marTop w:val="0"/>
      <w:marBottom w:val="0"/>
      <w:divBdr>
        <w:top w:val="none" w:sz="0" w:space="0" w:color="auto"/>
        <w:left w:val="none" w:sz="0" w:space="0" w:color="auto"/>
        <w:bottom w:val="none" w:sz="0" w:space="0" w:color="auto"/>
        <w:right w:val="none" w:sz="0" w:space="0" w:color="auto"/>
      </w:divBdr>
    </w:div>
    <w:div w:id="458888495">
      <w:bodyDiv w:val="1"/>
      <w:marLeft w:val="0"/>
      <w:marRight w:val="0"/>
      <w:marTop w:val="0"/>
      <w:marBottom w:val="0"/>
      <w:divBdr>
        <w:top w:val="none" w:sz="0" w:space="0" w:color="auto"/>
        <w:left w:val="none" w:sz="0" w:space="0" w:color="auto"/>
        <w:bottom w:val="none" w:sz="0" w:space="0" w:color="auto"/>
        <w:right w:val="none" w:sz="0" w:space="0" w:color="auto"/>
      </w:divBdr>
    </w:div>
    <w:div w:id="492794157">
      <w:bodyDiv w:val="1"/>
      <w:marLeft w:val="0"/>
      <w:marRight w:val="0"/>
      <w:marTop w:val="0"/>
      <w:marBottom w:val="0"/>
      <w:divBdr>
        <w:top w:val="none" w:sz="0" w:space="0" w:color="auto"/>
        <w:left w:val="none" w:sz="0" w:space="0" w:color="auto"/>
        <w:bottom w:val="none" w:sz="0" w:space="0" w:color="auto"/>
        <w:right w:val="none" w:sz="0" w:space="0" w:color="auto"/>
      </w:divBdr>
    </w:div>
    <w:div w:id="504126033">
      <w:bodyDiv w:val="1"/>
      <w:marLeft w:val="0"/>
      <w:marRight w:val="0"/>
      <w:marTop w:val="0"/>
      <w:marBottom w:val="0"/>
      <w:divBdr>
        <w:top w:val="none" w:sz="0" w:space="0" w:color="auto"/>
        <w:left w:val="none" w:sz="0" w:space="0" w:color="auto"/>
        <w:bottom w:val="none" w:sz="0" w:space="0" w:color="auto"/>
        <w:right w:val="none" w:sz="0" w:space="0" w:color="auto"/>
      </w:divBdr>
    </w:div>
    <w:div w:id="568345249">
      <w:bodyDiv w:val="1"/>
      <w:marLeft w:val="0"/>
      <w:marRight w:val="0"/>
      <w:marTop w:val="0"/>
      <w:marBottom w:val="0"/>
      <w:divBdr>
        <w:top w:val="none" w:sz="0" w:space="0" w:color="auto"/>
        <w:left w:val="none" w:sz="0" w:space="0" w:color="auto"/>
        <w:bottom w:val="none" w:sz="0" w:space="0" w:color="auto"/>
        <w:right w:val="none" w:sz="0" w:space="0" w:color="auto"/>
      </w:divBdr>
    </w:div>
    <w:div w:id="587429257">
      <w:bodyDiv w:val="1"/>
      <w:marLeft w:val="0"/>
      <w:marRight w:val="0"/>
      <w:marTop w:val="0"/>
      <w:marBottom w:val="0"/>
      <w:divBdr>
        <w:top w:val="none" w:sz="0" w:space="0" w:color="auto"/>
        <w:left w:val="none" w:sz="0" w:space="0" w:color="auto"/>
        <w:bottom w:val="none" w:sz="0" w:space="0" w:color="auto"/>
        <w:right w:val="none" w:sz="0" w:space="0" w:color="auto"/>
      </w:divBdr>
    </w:div>
    <w:div w:id="706028840">
      <w:bodyDiv w:val="1"/>
      <w:marLeft w:val="0"/>
      <w:marRight w:val="0"/>
      <w:marTop w:val="0"/>
      <w:marBottom w:val="0"/>
      <w:divBdr>
        <w:top w:val="none" w:sz="0" w:space="0" w:color="auto"/>
        <w:left w:val="none" w:sz="0" w:space="0" w:color="auto"/>
        <w:bottom w:val="none" w:sz="0" w:space="0" w:color="auto"/>
        <w:right w:val="none" w:sz="0" w:space="0" w:color="auto"/>
      </w:divBdr>
    </w:div>
    <w:div w:id="715665258">
      <w:bodyDiv w:val="1"/>
      <w:marLeft w:val="0"/>
      <w:marRight w:val="0"/>
      <w:marTop w:val="0"/>
      <w:marBottom w:val="0"/>
      <w:divBdr>
        <w:top w:val="none" w:sz="0" w:space="0" w:color="auto"/>
        <w:left w:val="none" w:sz="0" w:space="0" w:color="auto"/>
        <w:bottom w:val="none" w:sz="0" w:space="0" w:color="auto"/>
        <w:right w:val="none" w:sz="0" w:space="0" w:color="auto"/>
      </w:divBdr>
    </w:div>
    <w:div w:id="752776834">
      <w:bodyDiv w:val="1"/>
      <w:marLeft w:val="0"/>
      <w:marRight w:val="0"/>
      <w:marTop w:val="0"/>
      <w:marBottom w:val="0"/>
      <w:divBdr>
        <w:top w:val="none" w:sz="0" w:space="0" w:color="auto"/>
        <w:left w:val="none" w:sz="0" w:space="0" w:color="auto"/>
        <w:bottom w:val="none" w:sz="0" w:space="0" w:color="auto"/>
        <w:right w:val="none" w:sz="0" w:space="0" w:color="auto"/>
      </w:divBdr>
    </w:div>
    <w:div w:id="805506491">
      <w:bodyDiv w:val="1"/>
      <w:marLeft w:val="0"/>
      <w:marRight w:val="0"/>
      <w:marTop w:val="0"/>
      <w:marBottom w:val="0"/>
      <w:divBdr>
        <w:top w:val="none" w:sz="0" w:space="0" w:color="auto"/>
        <w:left w:val="none" w:sz="0" w:space="0" w:color="auto"/>
        <w:bottom w:val="none" w:sz="0" w:space="0" w:color="auto"/>
        <w:right w:val="none" w:sz="0" w:space="0" w:color="auto"/>
      </w:divBdr>
    </w:div>
    <w:div w:id="823012099">
      <w:bodyDiv w:val="1"/>
      <w:marLeft w:val="0"/>
      <w:marRight w:val="0"/>
      <w:marTop w:val="0"/>
      <w:marBottom w:val="0"/>
      <w:divBdr>
        <w:top w:val="none" w:sz="0" w:space="0" w:color="auto"/>
        <w:left w:val="none" w:sz="0" w:space="0" w:color="auto"/>
        <w:bottom w:val="none" w:sz="0" w:space="0" w:color="auto"/>
        <w:right w:val="none" w:sz="0" w:space="0" w:color="auto"/>
      </w:divBdr>
    </w:div>
    <w:div w:id="849836207">
      <w:bodyDiv w:val="1"/>
      <w:marLeft w:val="0"/>
      <w:marRight w:val="0"/>
      <w:marTop w:val="0"/>
      <w:marBottom w:val="0"/>
      <w:divBdr>
        <w:top w:val="none" w:sz="0" w:space="0" w:color="auto"/>
        <w:left w:val="none" w:sz="0" w:space="0" w:color="auto"/>
        <w:bottom w:val="none" w:sz="0" w:space="0" w:color="auto"/>
        <w:right w:val="none" w:sz="0" w:space="0" w:color="auto"/>
      </w:divBdr>
    </w:div>
    <w:div w:id="890382240">
      <w:bodyDiv w:val="1"/>
      <w:marLeft w:val="0"/>
      <w:marRight w:val="0"/>
      <w:marTop w:val="0"/>
      <w:marBottom w:val="0"/>
      <w:divBdr>
        <w:top w:val="none" w:sz="0" w:space="0" w:color="auto"/>
        <w:left w:val="none" w:sz="0" w:space="0" w:color="auto"/>
        <w:bottom w:val="none" w:sz="0" w:space="0" w:color="auto"/>
        <w:right w:val="none" w:sz="0" w:space="0" w:color="auto"/>
      </w:divBdr>
    </w:div>
    <w:div w:id="894658397">
      <w:bodyDiv w:val="1"/>
      <w:marLeft w:val="0"/>
      <w:marRight w:val="0"/>
      <w:marTop w:val="0"/>
      <w:marBottom w:val="0"/>
      <w:divBdr>
        <w:top w:val="none" w:sz="0" w:space="0" w:color="auto"/>
        <w:left w:val="none" w:sz="0" w:space="0" w:color="auto"/>
        <w:bottom w:val="none" w:sz="0" w:space="0" w:color="auto"/>
        <w:right w:val="none" w:sz="0" w:space="0" w:color="auto"/>
      </w:divBdr>
    </w:div>
    <w:div w:id="912393244">
      <w:bodyDiv w:val="1"/>
      <w:marLeft w:val="0"/>
      <w:marRight w:val="0"/>
      <w:marTop w:val="0"/>
      <w:marBottom w:val="0"/>
      <w:divBdr>
        <w:top w:val="none" w:sz="0" w:space="0" w:color="auto"/>
        <w:left w:val="none" w:sz="0" w:space="0" w:color="auto"/>
        <w:bottom w:val="none" w:sz="0" w:space="0" w:color="auto"/>
        <w:right w:val="none" w:sz="0" w:space="0" w:color="auto"/>
      </w:divBdr>
    </w:div>
    <w:div w:id="982851857">
      <w:bodyDiv w:val="1"/>
      <w:marLeft w:val="0"/>
      <w:marRight w:val="0"/>
      <w:marTop w:val="0"/>
      <w:marBottom w:val="0"/>
      <w:divBdr>
        <w:top w:val="none" w:sz="0" w:space="0" w:color="auto"/>
        <w:left w:val="none" w:sz="0" w:space="0" w:color="auto"/>
        <w:bottom w:val="none" w:sz="0" w:space="0" w:color="auto"/>
        <w:right w:val="none" w:sz="0" w:space="0" w:color="auto"/>
      </w:divBdr>
      <w:divsChild>
        <w:div w:id="1562208115">
          <w:marLeft w:val="480"/>
          <w:marRight w:val="0"/>
          <w:marTop w:val="0"/>
          <w:marBottom w:val="0"/>
          <w:divBdr>
            <w:top w:val="none" w:sz="0" w:space="0" w:color="auto"/>
            <w:left w:val="none" w:sz="0" w:space="0" w:color="auto"/>
            <w:bottom w:val="none" w:sz="0" w:space="0" w:color="auto"/>
            <w:right w:val="none" w:sz="0" w:space="0" w:color="auto"/>
          </w:divBdr>
        </w:div>
        <w:div w:id="1060056019">
          <w:marLeft w:val="480"/>
          <w:marRight w:val="0"/>
          <w:marTop w:val="0"/>
          <w:marBottom w:val="0"/>
          <w:divBdr>
            <w:top w:val="none" w:sz="0" w:space="0" w:color="auto"/>
            <w:left w:val="none" w:sz="0" w:space="0" w:color="auto"/>
            <w:bottom w:val="none" w:sz="0" w:space="0" w:color="auto"/>
            <w:right w:val="none" w:sz="0" w:space="0" w:color="auto"/>
          </w:divBdr>
        </w:div>
        <w:div w:id="676812818">
          <w:marLeft w:val="480"/>
          <w:marRight w:val="0"/>
          <w:marTop w:val="0"/>
          <w:marBottom w:val="0"/>
          <w:divBdr>
            <w:top w:val="none" w:sz="0" w:space="0" w:color="auto"/>
            <w:left w:val="none" w:sz="0" w:space="0" w:color="auto"/>
            <w:bottom w:val="none" w:sz="0" w:space="0" w:color="auto"/>
            <w:right w:val="none" w:sz="0" w:space="0" w:color="auto"/>
          </w:divBdr>
        </w:div>
        <w:div w:id="1364550285">
          <w:marLeft w:val="480"/>
          <w:marRight w:val="0"/>
          <w:marTop w:val="0"/>
          <w:marBottom w:val="0"/>
          <w:divBdr>
            <w:top w:val="none" w:sz="0" w:space="0" w:color="auto"/>
            <w:left w:val="none" w:sz="0" w:space="0" w:color="auto"/>
            <w:bottom w:val="none" w:sz="0" w:space="0" w:color="auto"/>
            <w:right w:val="none" w:sz="0" w:space="0" w:color="auto"/>
          </w:divBdr>
        </w:div>
        <w:div w:id="119610796">
          <w:marLeft w:val="480"/>
          <w:marRight w:val="0"/>
          <w:marTop w:val="0"/>
          <w:marBottom w:val="0"/>
          <w:divBdr>
            <w:top w:val="none" w:sz="0" w:space="0" w:color="auto"/>
            <w:left w:val="none" w:sz="0" w:space="0" w:color="auto"/>
            <w:bottom w:val="none" w:sz="0" w:space="0" w:color="auto"/>
            <w:right w:val="none" w:sz="0" w:space="0" w:color="auto"/>
          </w:divBdr>
        </w:div>
        <w:div w:id="634989934">
          <w:marLeft w:val="480"/>
          <w:marRight w:val="0"/>
          <w:marTop w:val="0"/>
          <w:marBottom w:val="0"/>
          <w:divBdr>
            <w:top w:val="none" w:sz="0" w:space="0" w:color="auto"/>
            <w:left w:val="none" w:sz="0" w:space="0" w:color="auto"/>
            <w:bottom w:val="none" w:sz="0" w:space="0" w:color="auto"/>
            <w:right w:val="none" w:sz="0" w:space="0" w:color="auto"/>
          </w:divBdr>
        </w:div>
        <w:div w:id="1529371927">
          <w:marLeft w:val="480"/>
          <w:marRight w:val="0"/>
          <w:marTop w:val="0"/>
          <w:marBottom w:val="0"/>
          <w:divBdr>
            <w:top w:val="none" w:sz="0" w:space="0" w:color="auto"/>
            <w:left w:val="none" w:sz="0" w:space="0" w:color="auto"/>
            <w:bottom w:val="none" w:sz="0" w:space="0" w:color="auto"/>
            <w:right w:val="none" w:sz="0" w:space="0" w:color="auto"/>
          </w:divBdr>
        </w:div>
        <w:div w:id="153181321">
          <w:marLeft w:val="480"/>
          <w:marRight w:val="0"/>
          <w:marTop w:val="0"/>
          <w:marBottom w:val="0"/>
          <w:divBdr>
            <w:top w:val="none" w:sz="0" w:space="0" w:color="auto"/>
            <w:left w:val="none" w:sz="0" w:space="0" w:color="auto"/>
            <w:bottom w:val="none" w:sz="0" w:space="0" w:color="auto"/>
            <w:right w:val="none" w:sz="0" w:space="0" w:color="auto"/>
          </w:divBdr>
        </w:div>
        <w:div w:id="925383482">
          <w:marLeft w:val="480"/>
          <w:marRight w:val="0"/>
          <w:marTop w:val="0"/>
          <w:marBottom w:val="0"/>
          <w:divBdr>
            <w:top w:val="none" w:sz="0" w:space="0" w:color="auto"/>
            <w:left w:val="none" w:sz="0" w:space="0" w:color="auto"/>
            <w:bottom w:val="none" w:sz="0" w:space="0" w:color="auto"/>
            <w:right w:val="none" w:sz="0" w:space="0" w:color="auto"/>
          </w:divBdr>
        </w:div>
        <w:div w:id="215167700">
          <w:marLeft w:val="480"/>
          <w:marRight w:val="0"/>
          <w:marTop w:val="0"/>
          <w:marBottom w:val="0"/>
          <w:divBdr>
            <w:top w:val="none" w:sz="0" w:space="0" w:color="auto"/>
            <w:left w:val="none" w:sz="0" w:space="0" w:color="auto"/>
            <w:bottom w:val="none" w:sz="0" w:space="0" w:color="auto"/>
            <w:right w:val="none" w:sz="0" w:space="0" w:color="auto"/>
          </w:divBdr>
        </w:div>
        <w:div w:id="2110733163">
          <w:marLeft w:val="480"/>
          <w:marRight w:val="0"/>
          <w:marTop w:val="0"/>
          <w:marBottom w:val="0"/>
          <w:divBdr>
            <w:top w:val="none" w:sz="0" w:space="0" w:color="auto"/>
            <w:left w:val="none" w:sz="0" w:space="0" w:color="auto"/>
            <w:bottom w:val="none" w:sz="0" w:space="0" w:color="auto"/>
            <w:right w:val="none" w:sz="0" w:space="0" w:color="auto"/>
          </w:divBdr>
        </w:div>
        <w:div w:id="1301956251">
          <w:marLeft w:val="480"/>
          <w:marRight w:val="0"/>
          <w:marTop w:val="0"/>
          <w:marBottom w:val="0"/>
          <w:divBdr>
            <w:top w:val="none" w:sz="0" w:space="0" w:color="auto"/>
            <w:left w:val="none" w:sz="0" w:space="0" w:color="auto"/>
            <w:bottom w:val="none" w:sz="0" w:space="0" w:color="auto"/>
            <w:right w:val="none" w:sz="0" w:space="0" w:color="auto"/>
          </w:divBdr>
        </w:div>
        <w:div w:id="39011826">
          <w:marLeft w:val="480"/>
          <w:marRight w:val="0"/>
          <w:marTop w:val="0"/>
          <w:marBottom w:val="0"/>
          <w:divBdr>
            <w:top w:val="none" w:sz="0" w:space="0" w:color="auto"/>
            <w:left w:val="none" w:sz="0" w:space="0" w:color="auto"/>
            <w:bottom w:val="none" w:sz="0" w:space="0" w:color="auto"/>
            <w:right w:val="none" w:sz="0" w:space="0" w:color="auto"/>
          </w:divBdr>
        </w:div>
      </w:divsChild>
    </w:div>
    <w:div w:id="1018581990">
      <w:bodyDiv w:val="1"/>
      <w:marLeft w:val="0"/>
      <w:marRight w:val="0"/>
      <w:marTop w:val="0"/>
      <w:marBottom w:val="0"/>
      <w:divBdr>
        <w:top w:val="none" w:sz="0" w:space="0" w:color="auto"/>
        <w:left w:val="none" w:sz="0" w:space="0" w:color="auto"/>
        <w:bottom w:val="none" w:sz="0" w:space="0" w:color="auto"/>
        <w:right w:val="none" w:sz="0" w:space="0" w:color="auto"/>
      </w:divBdr>
    </w:div>
    <w:div w:id="1027024656">
      <w:bodyDiv w:val="1"/>
      <w:marLeft w:val="0"/>
      <w:marRight w:val="0"/>
      <w:marTop w:val="0"/>
      <w:marBottom w:val="0"/>
      <w:divBdr>
        <w:top w:val="none" w:sz="0" w:space="0" w:color="auto"/>
        <w:left w:val="none" w:sz="0" w:space="0" w:color="auto"/>
        <w:bottom w:val="none" w:sz="0" w:space="0" w:color="auto"/>
        <w:right w:val="none" w:sz="0" w:space="0" w:color="auto"/>
      </w:divBdr>
    </w:div>
    <w:div w:id="1112432353">
      <w:bodyDiv w:val="1"/>
      <w:marLeft w:val="0"/>
      <w:marRight w:val="0"/>
      <w:marTop w:val="0"/>
      <w:marBottom w:val="0"/>
      <w:divBdr>
        <w:top w:val="none" w:sz="0" w:space="0" w:color="auto"/>
        <w:left w:val="none" w:sz="0" w:space="0" w:color="auto"/>
        <w:bottom w:val="none" w:sz="0" w:space="0" w:color="auto"/>
        <w:right w:val="none" w:sz="0" w:space="0" w:color="auto"/>
      </w:divBdr>
    </w:div>
    <w:div w:id="1156651482">
      <w:bodyDiv w:val="1"/>
      <w:marLeft w:val="0"/>
      <w:marRight w:val="0"/>
      <w:marTop w:val="0"/>
      <w:marBottom w:val="0"/>
      <w:divBdr>
        <w:top w:val="none" w:sz="0" w:space="0" w:color="auto"/>
        <w:left w:val="none" w:sz="0" w:space="0" w:color="auto"/>
        <w:bottom w:val="none" w:sz="0" w:space="0" w:color="auto"/>
        <w:right w:val="none" w:sz="0" w:space="0" w:color="auto"/>
      </w:divBdr>
    </w:div>
    <w:div w:id="1252277850">
      <w:bodyDiv w:val="1"/>
      <w:marLeft w:val="0"/>
      <w:marRight w:val="0"/>
      <w:marTop w:val="0"/>
      <w:marBottom w:val="0"/>
      <w:divBdr>
        <w:top w:val="none" w:sz="0" w:space="0" w:color="auto"/>
        <w:left w:val="none" w:sz="0" w:space="0" w:color="auto"/>
        <w:bottom w:val="none" w:sz="0" w:space="0" w:color="auto"/>
        <w:right w:val="none" w:sz="0" w:space="0" w:color="auto"/>
      </w:divBdr>
    </w:div>
    <w:div w:id="1269433888">
      <w:bodyDiv w:val="1"/>
      <w:marLeft w:val="0"/>
      <w:marRight w:val="0"/>
      <w:marTop w:val="0"/>
      <w:marBottom w:val="0"/>
      <w:divBdr>
        <w:top w:val="none" w:sz="0" w:space="0" w:color="auto"/>
        <w:left w:val="none" w:sz="0" w:space="0" w:color="auto"/>
        <w:bottom w:val="none" w:sz="0" w:space="0" w:color="auto"/>
        <w:right w:val="none" w:sz="0" w:space="0" w:color="auto"/>
      </w:divBdr>
    </w:div>
    <w:div w:id="1274437033">
      <w:bodyDiv w:val="1"/>
      <w:marLeft w:val="0"/>
      <w:marRight w:val="0"/>
      <w:marTop w:val="0"/>
      <w:marBottom w:val="0"/>
      <w:divBdr>
        <w:top w:val="none" w:sz="0" w:space="0" w:color="auto"/>
        <w:left w:val="none" w:sz="0" w:space="0" w:color="auto"/>
        <w:bottom w:val="none" w:sz="0" w:space="0" w:color="auto"/>
        <w:right w:val="none" w:sz="0" w:space="0" w:color="auto"/>
      </w:divBdr>
    </w:div>
    <w:div w:id="1280985793">
      <w:bodyDiv w:val="1"/>
      <w:marLeft w:val="0"/>
      <w:marRight w:val="0"/>
      <w:marTop w:val="0"/>
      <w:marBottom w:val="0"/>
      <w:divBdr>
        <w:top w:val="none" w:sz="0" w:space="0" w:color="auto"/>
        <w:left w:val="none" w:sz="0" w:space="0" w:color="auto"/>
        <w:bottom w:val="none" w:sz="0" w:space="0" w:color="auto"/>
        <w:right w:val="none" w:sz="0" w:space="0" w:color="auto"/>
      </w:divBdr>
    </w:div>
    <w:div w:id="1344866227">
      <w:bodyDiv w:val="1"/>
      <w:marLeft w:val="0"/>
      <w:marRight w:val="0"/>
      <w:marTop w:val="0"/>
      <w:marBottom w:val="0"/>
      <w:divBdr>
        <w:top w:val="none" w:sz="0" w:space="0" w:color="auto"/>
        <w:left w:val="none" w:sz="0" w:space="0" w:color="auto"/>
        <w:bottom w:val="none" w:sz="0" w:space="0" w:color="auto"/>
        <w:right w:val="none" w:sz="0" w:space="0" w:color="auto"/>
      </w:divBdr>
    </w:div>
    <w:div w:id="1384252698">
      <w:bodyDiv w:val="1"/>
      <w:marLeft w:val="0"/>
      <w:marRight w:val="0"/>
      <w:marTop w:val="0"/>
      <w:marBottom w:val="0"/>
      <w:divBdr>
        <w:top w:val="none" w:sz="0" w:space="0" w:color="auto"/>
        <w:left w:val="none" w:sz="0" w:space="0" w:color="auto"/>
        <w:bottom w:val="none" w:sz="0" w:space="0" w:color="auto"/>
        <w:right w:val="none" w:sz="0" w:space="0" w:color="auto"/>
      </w:divBdr>
    </w:div>
    <w:div w:id="1439448172">
      <w:bodyDiv w:val="1"/>
      <w:marLeft w:val="0"/>
      <w:marRight w:val="0"/>
      <w:marTop w:val="0"/>
      <w:marBottom w:val="0"/>
      <w:divBdr>
        <w:top w:val="none" w:sz="0" w:space="0" w:color="auto"/>
        <w:left w:val="none" w:sz="0" w:space="0" w:color="auto"/>
        <w:bottom w:val="none" w:sz="0" w:space="0" w:color="auto"/>
        <w:right w:val="none" w:sz="0" w:space="0" w:color="auto"/>
      </w:divBdr>
    </w:div>
    <w:div w:id="1477793145">
      <w:bodyDiv w:val="1"/>
      <w:marLeft w:val="0"/>
      <w:marRight w:val="0"/>
      <w:marTop w:val="0"/>
      <w:marBottom w:val="0"/>
      <w:divBdr>
        <w:top w:val="none" w:sz="0" w:space="0" w:color="auto"/>
        <w:left w:val="none" w:sz="0" w:space="0" w:color="auto"/>
        <w:bottom w:val="none" w:sz="0" w:space="0" w:color="auto"/>
        <w:right w:val="none" w:sz="0" w:space="0" w:color="auto"/>
      </w:divBdr>
    </w:div>
    <w:div w:id="1736857855">
      <w:bodyDiv w:val="1"/>
      <w:marLeft w:val="0"/>
      <w:marRight w:val="0"/>
      <w:marTop w:val="0"/>
      <w:marBottom w:val="0"/>
      <w:divBdr>
        <w:top w:val="none" w:sz="0" w:space="0" w:color="auto"/>
        <w:left w:val="none" w:sz="0" w:space="0" w:color="auto"/>
        <w:bottom w:val="none" w:sz="0" w:space="0" w:color="auto"/>
        <w:right w:val="none" w:sz="0" w:space="0" w:color="auto"/>
      </w:divBdr>
    </w:div>
    <w:div w:id="1757359950">
      <w:bodyDiv w:val="1"/>
      <w:marLeft w:val="0"/>
      <w:marRight w:val="0"/>
      <w:marTop w:val="0"/>
      <w:marBottom w:val="0"/>
      <w:divBdr>
        <w:top w:val="none" w:sz="0" w:space="0" w:color="auto"/>
        <w:left w:val="none" w:sz="0" w:space="0" w:color="auto"/>
        <w:bottom w:val="none" w:sz="0" w:space="0" w:color="auto"/>
        <w:right w:val="none" w:sz="0" w:space="0" w:color="auto"/>
      </w:divBdr>
    </w:div>
    <w:div w:id="1908764959">
      <w:bodyDiv w:val="1"/>
      <w:marLeft w:val="0"/>
      <w:marRight w:val="0"/>
      <w:marTop w:val="0"/>
      <w:marBottom w:val="0"/>
      <w:divBdr>
        <w:top w:val="none" w:sz="0" w:space="0" w:color="auto"/>
        <w:left w:val="none" w:sz="0" w:space="0" w:color="auto"/>
        <w:bottom w:val="none" w:sz="0" w:space="0" w:color="auto"/>
        <w:right w:val="none" w:sz="0" w:space="0" w:color="auto"/>
      </w:divBdr>
    </w:div>
    <w:div w:id="1971009963">
      <w:bodyDiv w:val="1"/>
      <w:marLeft w:val="0"/>
      <w:marRight w:val="0"/>
      <w:marTop w:val="0"/>
      <w:marBottom w:val="0"/>
      <w:divBdr>
        <w:top w:val="none" w:sz="0" w:space="0" w:color="auto"/>
        <w:left w:val="none" w:sz="0" w:space="0" w:color="auto"/>
        <w:bottom w:val="none" w:sz="0" w:space="0" w:color="auto"/>
        <w:right w:val="none" w:sz="0" w:space="0" w:color="auto"/>
      </w:divBdr>
      <w:divsChild>
        <w:div w:id="1592542519">
          <w:marLeft w:val="480"/>
          <w:marRight w:val="0"/>
          <w:marTop w:val="0"/>
          <w:marBottom w:val="0"/>
          <w:divBdr>
            <w:top w:val="none" w:sz="0" w:space="0" w:color="auto"/>
            <w:left w:val="none" w:sz="0" w:space="0" w:color="auto"/>
            <w:bottom w:val="none" w:sz="0" w:space="0" w:color="auto"/>
            <w:right w:val="none" w:sz="0" w:space="0" w:color="auto"/>
          </w:divBdr>
        </w:div>
        <w:div w:id="1269971262">
          <w:marLeft w:val="480"/>
          <w:marRight w:val="0"/>
          <w:marTop w:val="0"/>
          <w:marBottom w:val="0"/>
          <w:divBdr>
            <w:top w:val="none" w:sz="0" w:space="0" w:color="auto"/>
            <w:left w:val="none" w:sz="0" w:space="0" w:color="auto"/>
            <w:bottom w:val="none" w:sz="0" w:space="0" w:color="auto"/>
            <w:right w:val="none" w:sz="0" w:space="0" w:color="auto"/>
          </w:divBdr>
        </w:div>
        <w:div w:id="512456841">
          <w:marLeft w:val="480"/>
          <w:marRight w:val="0"/>
          <w:marTop w:val="0"/>
          <w:marBottom w:val="0"/>
          <w:divBdr>
            <w:top w:val="none" w:sz="0" w:space="0" w:color="auto"/>
            <w:left w:val="none" w:sz="0" w:space="0" w:color="auto"/>
            <w:bottom w:val="none" w:sz="0" w:space="0" w:color="auto"/>
            <w:right w:val="none" w:sz="0" w:space="0" w:color="auto"/>
          </w:divBdr>
        </w:div>
        <w:div w:id="980692455">
          <w:marLeft w:val="480"/>
          <w:marRight w:val="0"/>
          <w:marTop w:val="0"/>
          <w:marBottom w:val="0"/>
          <w:divBdr>
            <w:top w:val="none" w:sz="0" w:space="0" w:color="auto"/>
            <w:left w:val="none" w:sz="0" w:space="0" w:color="auto"/>
            <w:bottom w:val="none" w:sz="0" w:space="0" w:color="auto"/>
            <w:right w:val="none" w:sz="0" w:space="0" w:color="auto"/>
          </w:divBdr>
        </w:div>
        <w:div w:id="338773162">
          <w:marLeft w:val="480"/>
          <w:marRight w:val="0"/>
          <w:marTop w:val="0"/>
          <w:marBottom w:val="0"/>
          <w:divBdr>
            <w:top w:val="none" w:sz="0" w:space="0" w:color="auto"/>
            <w:left w:val="none" w:sz="0" w:space="0" w:color="auto"/>
            <w:bottom w:val="none" w:sz="0" w:space="0" w:color="auto"/>
            <w:right w:val="none" w:sz="0" w:space="0" w:color="auto"/>
          </w:divBdr>
        </w:div>
        <w:div w:id="319236272">
          <w:marLeft w:val="480"/>
          <w:marRight w:val="0"/>
          <w:marTop w:val="0"/>
          <w:marBottom w:val="0"/>
          <w:divBdr>
            <w:top w:val="none" w:sz="0" w:space="0" w:color="auto"/>
            <w:left w:val="none" w:sz="0" w:space="0" w:color="auto"/>
            <w:bottom w:val="none" w:sz="0" w:space="0" w:color="auto"/>
            <w:right w:val="none" w:sz="0" w:space="0" w:color="auto"/>
          </w:divBdr>
        </w:div>
        <w:div w:id="1181359064">
          <w:marLeft w:val="480"/>
          <w:marRight w:val="0"/>
          <w:marTop w:val="0"/>
          <w:marBottom w:val="0"/>
          <w:divBdr>
            <w:top w:val="none" w:sz="0" w:space="0" w:color="auto"/>
            <w:left w:val="none" w:sz="0" w:space="0" w:color="auto"/>
            <w:bottom w:val="none" w:sz="0" w:space="0" w:color="auto"/>
            <w:right w:val="none" w:sz="0" w:space="0" w:color="auto"/>
          </w:divBdr>
        </w:div>
        <w:div w:id="1492672722">
          <w:marLeft w:val="480"/>
          <w:marRight w:val="0"/>
          <w:marTop w:val="0"/>
          <w:marBottom w:val="0"/>
          <w:divBdr>
            <w:top w:val="none" w:sz="0" w:space="0" w:color="auto"/>
            <w:left w:val="none" w:sz="0" w:space="0" w:color="auto"/>
            <w:bottom w:val="none" w:sz="0" w:space="0" w:color="auto"/>
            <w:right w:val="none" w:sz="0" w:space="0" w:color="auto"/>
          </w:divBdr>
        </w:div>
        <w:div w:id="1361737129">
          <w:marLeft w:val="480"/>
          <w:marRight w:val="0"/>
          <w:marTop w:val="0"/>
          <w:marBottom w:val="0"/>
          <w:divBdr>
            <w:top w:val="none" w:sz="0" w:space="0" w:color="auto"/>
            <w:left w:val="none" w:sz="0" w:space="0" w:color="auto"/>
            <w:bottom w:val="none" w:sz="0" w:space="0" w:color="auto"/>
            <w:right w:val="none" w:sz="0" w:space="0" w:color="auto"/>
          </w:divBdr>
        </w:div>
        <w:div w:id="146367610">
          <w:marLeft w:val="480"/>
          <w:marRight w:val="0"/>
          <w:marTop w:val="0"/>
          <w:marBottom w:val="0"/>
          <w:divBdr>
            <w:top w:val="none" w:sz="0" w:space="0" w:color="auto"/>
            <w:left w:val="none" w:sz="0" w:space="0" w:color="auto"/>
            <w:bottom w:val="none" w:sz="0" w:space="0" w:color="auto"/>
            <w:right w:val="none" w:sz="0" w:space="0" w:color="auto"/>
          </w:divBdr>
        </w:div>
        <w:div w:id="1851793127">
          <w:marLeft w:val="480"/>
          <w:marRight w:val="0"/>
          <w:marTop w:val="0"/>
          <w:marBottom w:val="0"/>
          <w:divBdr>
            <w:top w:val="none" w:sz="0" w:space="0" w:color="auto"/>
            <w:left w:val="none" w:sz="0" w:space="0" w:color="auto"/>
            <w:bottom w:val="none" w:sz="0" w:space="0" w:color="auto"/>
            <w:right w:val="none" w:sz="0" w:space="0" w:color="auto"/>
          </w:divBdr>
        </w:div>
        <w:div w:id="91827326">
          <w:marLeft w:val="480"/>
          <w:marRight w:val="0"/>
          <w:marTop w:val="0"/>
          <w:marBottom w:val="0"/>
          <w:divBdr>
            <w:top w:val="none" w:sz="0" w:space="0" w:color="auto"/>
            <w:left w:val="none" w:sz="0" w:space="0" w:color="auto"/>
            <w:bottom w:val="none" w:sz="0" w:space="0" w:color="auto"/>
            <w:right w:val="none" w:sz="0" w:space="0" w:color="auto"/>
          </w:divBdr>
        </w:div>
        <w:div w:id="18242865">
          <w:marLeft w:val="480"/>
          <w:marRight w:val="0"/>
          <w:marTop w:val="0"/>
          <w:marBottom w:val="0"/>
          <w:divBdr>
            <w:top w:val="none" w:sz="0" w:space="0" w:color="auto"/>
            <w:left w:val="none" w:sz="0" w:space="0" w:color="auto"/>
            <w:bottom w:val="none" w:sz="0" w:space="0" w:color="auto"/>
            <w:right w:val="none" w:sz="0" w:space="0" w:color="auto"/>
          </w:divBdr>
        </w:div>
      </w:divsChild>
    </w:div>
    <w:div w:id="2045052742">
      <w:bodyDiv w:val="1"/>
      <w:marLeft w:val="0"/>
      <w:marRight w:val="0"/>
      <w:marTop w:val="0"/>
      <w:marBottom w:val="0"/>
      <w:divBdr>
        <w:top w:val="none" w:sz="0" w:space="0" w:color="auto"/>
        <w:left w:val="none" w:sz="0" w:space="0" w:color="auto"/>
        <w:bottom w:val="none" w:sz="0" w:space="0" w:color="auto"/>
        <w:right w:val="none" w:sz="0" w:space="0" w:color="auto"/>
      </w:divBdr>
    </w:div>
    <w:div w:id="2065248839">
      <w:bodyDiv w:val="1"/>
      <w:marLeft w:val="0"/>
      <w:marRight w:val="0"/>
      <w:marTop w:val="0"/>
      <w:marBottom w:val="0"/>
      <w:divBdr>
        <w:top w:val="none" w:sz="0" w:space="0" w:color="auto"/>
        <w:left w:val="none" w:sz="0" w:space="0" w:color="auto"/>
        <w:bottom w:val="none" w:sz="0" w:space="0" w:color="auto"/>
        <w:right w:val="none" w:sz="0" w:space="0" w:color="auto"/>
      </w:divBdr>
    </w:div>
    <w:div w:id="2109040530">
      <w:bodyDiv w:val="1"/>
      <w:marLeft w:val="0"/>
      <w:marRight w:val="0"/>
      <w:marTop w:val="0"/>
      <w:marBottom w:val="0"/>
      <w:divBdr>
        <w:top w:val="none" w:sz="0" w:space="0" w:color="auto"/>
        <w:left w:val="none" w:sz="0" w:space="0" w:color="auto"/>
        <w:bottom w:val="none" w:sz="0" w:space="0" w:color="auto"/>
        <w:right w:val="none" w:sz="0" w:space="0" w:color="auto"/>
      </w:divBdr>
    </w:div>
    <w:div w:id="21256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085C07-4372-438A-80DA-C7B5C652B8B7}"/>
      </w:docPartPr>
      <w:docPartBody>
        <w:p w:rsidR="00E15F72" w:rsidRDefault="00431F4B">
          <w:r w:rsidRPr="00857A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4B"/>
    <w:rsid w:val="00172B8D"/>
    <w:rsid w:val="003457B4"/>
    <w:rsid w:val="00431F4B"/>
    <w:rsid w:val="007510E3"/>
    <w:rsid w:val="00A8194F"/>
    <w:rsid w:val="00AE3C4C"/>
    <w:rsid w:val="00CE21FD"/>
    <w:rsid w:val="00D50B85"/>
    <w:rsid w:val="00D62BD2"/>
    <w:rsid w:val="00E15F72"/>
    <w:rsid w:val="00E762DF"/>
    <w:rsid w:val="00F233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F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6579EAC-17A4-45F9-9A3A-CB378693675C}">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B10680B-36FF-45DB-AE9E-73BA03F59404}">
  <we:reference id="wa104382081" version="1.55.1.0" store="en-US" storeType="OMEX"/>
  <we:alternateReferences>
    <we:reference id="wa104382081" version="1.55.1.0" store="wa104382081" storeType="OMEX"/>
  </we:alternateReferences>
  <we:properties>
    <we:property name="MENDELEY_CITATIONS" value="[{&quot;citationID&quot;:&quot;MENDELEY_CITATION_53c5b60d-eef0-4dba-b1a4-67522e3e49f1&quot;,&quot;properties&quot;:{&quot;noteIndex&quot;:0},&quot;isEdited&quot;:false,&quot;manualOverride&quot;:{&quot;isManuallyOverridden&quot;:false,&quot;citeprocText&quot;:&quot;(Raihanath &amp;#38; Pavithran, 2019)&quot;,&quot;manualOverrideText&quot;:&quot;&quot;},&quot;citationTag&quot;:&quot;MENDELEY_CITATION_v3_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&quot;,&quot;citationItems&quot;:[{&quot;id&quot;:&quot;4bca457b-324b-32ab-8a50-8780b8286f69&quot;,&quot;itemData&quot;:{&quot;type&quot;:&quot;report&quot;,&quot;id&quot;:&quot;4bca457b-324b-32ab-8a50-8780b8286f69&quot;,&quot;title&quot;:&quot;EFFECTIVENESS OF FINANCIAL INCLUSION PROGRAMME IN KERALA EFFECTIVENESS OF FINANCIAL INCLUSION PROGRAMME IN KERALA The Faculty of Social Sciences Under the Guidance of&quot;,&quot;author&quot;:[{&quot;family&quot;:&quot;Raihanath&quot;,&quot;given&quot;:&quot;by MP&quot;,&quot;parse-names&quot;:false,&quot;dropping-particle&quot;:&quot;&quot;,&quot;non-dropping-particle&quot;:&quot;&quot;},{&quot;family&quot;:&quot;Pavithran&quot;,&quot;given&quot;:&quot;K B&quot;,&quot;parse-names&quot;:false,&quot;dropping-particle&quot;:&quot;&quot;,&quot;non-dropping-particle&quot;:&quot;&quot;}],&quot;issued&quot;:{&quot;date-parts&quot;:[[2019]]},&quot;publisher-place&quot;:&quot;Kochi&quot;,&quot;container-title-short&quot;:&quot;&quot;},&quot;isTemporary&quot;:false}]},{&quot;citationID&quot;:&quot;MENDELEY_CITATION_b2105928-ef93-428f-ac8d-8b65d1a961b5&quot;,&quot;properties&quot;:{&quot;noteIndex&quot;:0},&quot;isEdited&quot;:false,&quot;manualOverride&quot;:{&quot;isManuallyOverridden&quot;:false,&quot;citeprocText&quot;:&quot;(Lin et al., 2023)&quot;,&quot;manualOverrideText&quot;:&quot;&quot;},&quot;citationTag&quot;:&quot;MENDELEY_CITATION_v3_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&quot;,&quot;citationItems&quot;:[{&quot;id&quot;:&quot;27a41953-b53f-3159-921f-381f508edea2&quot;,&quot;itemData&quot;:{&quot;type&quot;:&quot;article-journal&quot;,&quot;id&quot;:&quot;27a41953-b53f-3159-921f-381f508edea2&quot;,&quot;title&quot;:&quot;Electronic Payment Behaviors of Consumers under Digital Transformation in Finance—A Case Study of Third-Party Payments&quot;,&quot;author&quot;:[{&quot;family&quot;:&quot;Lin&quot;,&quot;given&quot;:&quot;Lan Hui&quot;,&quot;parse-names&quot;:false,&quot;dropping-particle&quot;:&quot;&quot;,&quot;non-dropping-particle&quot;:&quot;&quot;},{&quot;family&quot;:&quot;Lin&quot;,&quot;given&quot;:&quot;Feng Chen&quot;,&quot;parse-names&quot;:false,&quot;dropping-particle&quot;:&quot;&quot;,&quot;non-dropping-particle&quot;:&quot;&quot;},{&quot;family&quot;:&quot;Lien&quot;,&quot;given&quot;:&quot;Chih Kang&quot;,&quot;parse-names&quot;:false,&quot;dropping-particle&quot;:&quot;&quot;,&quot;non-dropping-particle&quot;:&quot;&quot;},{&quot;family&quot;:&quot;Yang&quot;,&quot;given&quot;:&quot;Tung Chin&quot;,&quot;parse-names&quot;:false,&quot;dropping-particle&quot;:&quot;&quot;,&quot;non-dropping-particle&quot;:&quot;&quot;},{&quot;family&quot;:&quot;Chuang&quot;,&quot;given&quot;:&quot;Yao Kai&quot;,&quot;parse-names&quot;:false,&quot;dropping-particle&quot;:&quot;&quot;,&quot;non-dropping-particle&quot;:&quot;&quot;},{&quot;family&quot;:&quot;Hsu&quot;,&quot;given&quot;:&quot;Yi Wen&quot;,&quot;parse-names&quot;:false,&quot;dropping-particle&quot;:&quot;&quot;,&quot;non-dropping-particle&quot;:&quot;&quot;}],&quot;container-title&quot;:&quot;Journal of Risk and Financial Management&quot;,&quot;DOI&quot;:&quot;10.3390/jrfm16080346&quot;,&quot;ISSN&quot;:&quot;19118074&quot;,&quot;issued&quot;:{&quot;date-parts&quot;:[[2023,8,1]]},&quot;abstract&quot;:&quot;In the digital era, new financial technologies and big data are accelerating the development of financial transactions. With the rise of e-commerce transactions, the financial industry has come to recognize that banking as a service can be seamlessly integrated into any scenario, thanks to disruptive innovation driven by electronic and third-party payments. This study aims to examine the consumer acceptance of third-party payment systems offered by electronic payment platforms for e-commerce, as well as their continued usage in the context of digital transformation in finance. This study employed the questionnaire survey method, and it distributed questionnaires to consumers who have used third-party payment systems. A total of 332 valid questionnaires were collected. The results indicate that user acceptance of innovative technologies and various external variables (e.g., the user’s external environment, internal characteristics, and information system quality) were significantly positively correlated with perceived usefulness, perceived ease of use, and behavioral intention regarding the electronic payment behaviors of consumers. Based on the empirical results, this study proposes important managerial implications for the financial industry and e-commerce platforms in promoting electronic payment innovation.&quot;,&quot;publisher&quot;:&quot;Multidisciplinary Digital Publishing Institute (MDPI)&quot;,&quot;issue&quot;:&quot;8&quot;,&quot;volume&quot;:&quot;16&quot;,&quot;container-title-short&quot;:&quot;&quot;},&quot;isTemporary&quot;:false}]},{&quot;citationID&quot;:&quot;MENDELEY_CITATION_ee84c4bd-9d76-43da-a09d-e4f4d055cc3b&quot;,&quot;properties&quot;:{&quot;noteIndex&quot;:0},&quot;isEdited&quot;:false,&quot;manualOverride&quot;:{&quot;isManuallyOverridden&quot;:false,&quot;citeprocText&quot;:&quot;(Kumar &amp;#38; Manjunath, 2014)&quot;,&quot;manualOverrideText&quot;:&quot;&quot;},&quot;citationTag&quot;:&quot;MENDELEY_CITATION_v3_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&quot;,&quot;citationItems&quot;:[{&quot;id&quot;:&quot;a5193710-7aae-3bbf-b65a-93e22d2f1528&quot;,&quot;itemData&quot;:{&quot;type&quot;:&quot;report&quot;,&quot;id&quot;:&quot;a5193710-7aae-3bbf-b65a-93e22d2f1528&quot;,&quot;title&quot;:&quot;MICRO-FINANCE AND FINANCIAL INCLUSION-A CASE STUDY OF MYSORE AND CHAMARAJANAGAR DISTRICTS&quot;,&quot;author&quot;:[{&quot;family&quot;:&quot;Kumar&quot;,&quot;given&quot;:&quot;Naveen H&quot;,&quot;parse-names&quot;:false,&quot;dropping-particle&quot;:&quot;&quot;,&quot;non-dropping-particle&quot;:&quot;&quot;},{&quot;family&quot;:&quot;Manjunath&quot;,&quot;given&quot;:&quot;S J&quot;,&quot;parse-names&quot;:false,&quot;dropping-particle&quot;:&quot;&quot;,&quot;non-dropping-particle&quot;:&quot;&quot;}],&quot;issued&quot;:{&quot;date-parts&quot;:[[2014]]},&quot;container-title-short&quot;:&quot;&quot;},&quot;isTemporary&quot;:false}]},{&quot;citationID&quot;:&quot;MENDELEY_CITATION_eabbf428-8597-4a7e-96ec-b664faa32db9&quot;,&quot;properties&quot;:{&quot;noteIndex&quot;:0},&quot;isEdited&quot;:false,&quot;manualOverride&quot;:{&quot;isManuallyOverridden&quot;:false,&quot;citeprocText&quot;:&quot;(Mohana et al., 2023)&quot;,&quot;manualOverrideText&quot;:&quot;&quot;},&quot;citationTag&quot;:&quot;MENDELEY_CITATION_v3_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&quot;,&quot;citationItems&quot;:[{&quot;id&quot;:&quot;2d6d405a-600b-3a19-801b-26315de3c615&quot;,&quot;itemData&quot;:{&quot;type&quot;:&quot;article-journal&quot;,&quot;id&quot;:&quot;2d6d405a-600b-3a19-801b-26315de3c615&quot;,&quot;title&quot;:&quot;CONNOTATION OF FINANCIAL LITERACY ON FINANCIAL INCLUSION-A STUDY IN WEST GODAVARI DISTRICT&quot;,&quot;author&quot;:[{&quot;family&quot;:&quot;Mohana&quot;,&quot;given&quot;:&quot;Dr&quot;,&quot;parse-names&quot;:false,&quot;dropping-particle&quot;:&quot;&quot;,&quot;non-dropping-particle&quot;:&quot;&quot;},{&quot;family&quot;:&quot;Irrinki&quot;,&quot;given&quot;:&quot;Krishna&quot;,&quot;parse-names&quot;:false,&quot;dropping-particle&quot;:&quot;&quot;,&quot;non-dropping-particle&quot;:&quot;&quot;},{&quot;family&quot;:&quot;Kalyani&quot;,&quot;given&quot;:&quot;Chinta Veena&quot;,&quot;parse-names&quot;:false,&quot;dropping-particle&quot;:&quot;&quot;,&quot;non-dropping-particle&quot;:&quot;&quot;},{&quot;family&quot;:&quot;Mahalakshmi&quot;,&quot;given&quot;:&quot;Keerthana&quot;,&quot;parse-names&quot;:false,&quot;dropping-particle&quot;:&quot;&quot;,&quot;non-dropping-particle&quot;:&quot;&quot;},{&quot;family&quot;:&quot;Mani&quot;,&quot;given&quot;:&quot;Tetali&quot;,&quot;parse-names&quot;:false,&quot;dropping-particle&quot;:&quot;&quot;,&quot;non-dropping-particle&quot;:&quot;&quot;},{&quot;family&quot;:&quot;Reddy&quot;,&quot;given&quot;:&quot;Venkata&quot;,&quot;parse-names&quot;:false,&quot;dropping-particle&quot;:&quot;&quot;,&quot;non-dropping-particle&quot;:&quot;&quot;}],&quot;container-title&quot;:&quot;Journal of Pharmaceutical Negative Results ¦&quot;,&quot;DOI&quot;:&quot;10.47750/pnr.2023.14.02.219&quot;,&quot;issued&quot;:{&quot;date-parts&quot;:[[2023]]},&quot;abstract&quot;:&quot;Financial inclusion is aimed at providing affordable access to the financial services and products to the under privileged sections of the society so as to make them part of the formal financial sector. The success of financial inclusion is depende nt on the awareness of these services to the people through financial literacy which is a set of skills which enable the people to effectively manage their financial resources through savings, financial planning, basics of banking, acquiring credit facilities and making the people financially smart. It is perceived that the financial literacy is vital in promoting financial inclusion, consumer protection and financial stability. All these go simultaneously which equips the people to understand the benefits of availing the financial services which are offered by the mainstream financial institutions. The present paper highlighted the need of financial inclusion along with the financial literacy for the people to have better utilization of the various schemes aimed at improving their financial status. A survey is conducted on 300 respondents in the district of West Godavari to understand the level of awareness and usage of the various banking operations. It is observed that there is significant relationship among the education levels and occupation with the level of awareness and accessing the financial services among the select respondents. The paper concluded with few suggestions for the betterment towards the usage and awareness of the financial services and products.&quot;,&quot;issue&quot;:&quot;2&quot;,&quot;volume&quot;:&quot;14&quot;,&quot;container-title-short&quot;:&quot;&quot;},&quot;isTemporary&quot;:false}]},{&quot;citationID&quot;:&quot;MENDELEY_CITATION_53ab229c-8c91-4cc4-b6c9-2228b2efd666&quot;,&quot;properties&quot;:{&quot;noteIndex&quot;:0},&quot;isEdited&quot;:false,&quot;manualOverride&quot;:{&quot;isManuallyOverridden&quot;:false,&quot;citeprocText&quot;:&quot;(Priti &amp;#38; Aggarwal, 2019)&quot;,&quot;manualOverrideText&quot;:&quot;&quot;},&quot;citationTag&quot;:&quot;MENDELEY_CITATION_v3_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&quot;,&quot;citationItems&quot;:[{&quot;id&quot;:&quot;b21e4cbd-a7ad-3bc1-9d09-f8121cffb9f9&quot;,&quot;itemData&quot;:{&quot;type&quot;:&quot;report&quot;,&quot;id&quot;:&quot;b21e4cbd-a7ad-3bc1-9d09-f8121cffb9f9&quot;,&quot;title&quot;:&quot;FINANCIAL INCLUSION-A VIABILITY STUDY Ph.D. (COMMERCE) DEGREE IN BUSINESS ECONOMICS SUBMITTED BY&quot;,&quot;author&quot;:[{&quot;family&quot;:&quot;Priti&quot;,&quot;given&quot;:&quot;Mrs&quot;,&quot;parse-names&quot;:false,&quot;dropping-particle&quot;:&quot;&quot;,&quot;non-dropping-particle&quot;:&quot;&quot;},{&quot;family&quot;:&quot;Aggarwal&quot;,&quot;given&quot;:&quot;Sanjay&quot;,&quot;parse-names&quot;:false,&quot;dropping-particle&quot;:&quot;&quot;,&quot;non-dropping-particle&quot;:&quot;&quot;}],&quot;issued&quot;:{&quot;date-parts&quot;:[[2019]]},&quot;container-title-short&quot;:&quot;&quot;},&quot;isTemporary&quot;:false}]},{&quot;citationID&quot;:&quot;MENDELEY_CITATION_c42a99b7-b032-4caa-8771-f6ecf04b9f6b&quot;,&quot;properties&quot;:{&quot;noteIndex&quot;:0},&quot;isEdited&quot;:false,&quot;manualOverride&quot;:{&quot;isManuallyOverridden&quot;:false,&quot;citeprocText&quot;:&quot;(Renjith Jose &amp;#38; Thomas Com, 2019)&quot;,&quot;manualOverrideText&quot;:&quot;&quot;},&quot;citationTag&quot;:&quot;MENDELEY_CITATION_v3_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&quot;,&quot;citationItems&quot;:[{&quot;id&quot;:&quot;72354c02-1e0c-3fc1-8773-456b2e6eec54&quot;,&quot;itemData&quot;:{&quot;type&quot;:&quot;report&quot;,&quot;id&quot;:&quot;72354c02-1e0c-3fc1-8773-456b2e6eec54&quot;,&quot;title&quot;:&quot;EFFECTIVENESS OF FINANCIAL INCLUSION POLICIES OF RESERVE BANK OF INDIA WITH SPECIAL REFERENCE TO KERALA&quot;,&quot;author&quot;:[{&quot;family&quot;:&quot;Renjith Jose&quot;,&quot;given&quot;:&quot;By&quot;,&quot;parse-names&quot;:false,&quot;dropping-particle&quot;:&quot;&quot;,&quot;non-dropping-particle&quot;:&quot;&quot;},{&quot;family&quot;:&quot;Thomas Com&quot;,&quot;given&quot;:&quot;Zacharias M&quot;,&quot;parse-names&quot;:false,&quot;dropping-particle&quot;:&quot;&quot;,&quot;non-dropping-particle&quot;:&quot;&quot;}],&quot;issued&quot;:{&quot;date-parts&quot;:[[2019]]},&quot;container-title-short&quot;:&quot;&quot;},&quot;isTemporary&quot;:false}]},{&quot;citationID&quot;:&quot;MENDELEY_CITATION_1cc5bebf-39be-43c6-a170-164448d945ec&quot;,&quot;properties&quot;:{&quot;noteIndex&quot;:0},&quot;isEdited&quot;:false,&quot;manualOverride&quot;:{&quot;isManuallyOverridden&quot;:false,&quot;citeprocText&quot;:&quot;(Kumari et al., 2023)&quot;,&quot;manualOverrideText&quot;:&quot;&quot;},&quot;citationTag&quot;:&quot;MENDELEY_CITATION_v3_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&quot;,&quot;citationItems&quot;:[{&quot;id&quot;:&quot;46d8c7e4-03a0-3ae9-9bb9-274f170f326d&quot;,&quot;itemData&quot;:{&quot;type&quot;:&quot;article-journal&quot;,&quot;id&quot;:&quot;46d8c7e4-03a0-3ae9-9bb9-274f170f326d&quot;,&quot;title&quot;:&quot;An Empirical Study of User Adoption of Cryptocurrency Using Blockchain Technology: Analysing Role of Success Factors like Technology Awareness and Financial Literacy&quot;,&quot;author&quot;:[{&quot;family&quot;:&quot;Kumari&quot;,&quot;given&quot;:&quot;Vandana&quot;,&quot;parse-names&quot;:false,&quot;dropping-particle&quot;:&quot;&quot;,&quot;non-dropping-particle&quot;:&quot;&quot;},{&quot;family&quot;:&quot;Bala&quot;,&quot;given&quot;:&quot;Pradip Kumar&quot;,&quot;parse-names&quot;:false,&quot;dropping-particle&quot;:&quot;&quot;,&quot;non-dropping-particle&quot;:&quot;&quot;},{&quot;family&quot;:&quot;Chakraborty&quot;,&quot;given&quot;:&quot;Shibashish&quot;,&quot;parse-names&quot;:false,&quot;dropping-particle&quot;:&quot;&quot;,&quot;non-dropping-particle&quot;:&quot;&quot;}],&quot;container-title&quot;:&quot;Journal of Theoretical and Applied Electronic Commerce Research&quot;,&quot;DOI&quot;:&quot;10.3390/jtaer18030080&quot;,&quot;ISSN&quot;:&quot;07181876&quot;,&quot;issued&quot;:{&quot;date-parts&quot;:[[2023,9,1]]},&quot;page&quot;:&quot;1580-1600&quot;,&quot;abstract&quot;:&quot;The study aims to investigate how an individual’s technology awareness, subjective financial literacy and personal innovativeness characteristics impact the intention to use blockchain-based digital currencies such as cryptocurrency. The UTAUT 2 (Unified Theory of Acceptance and Use of Technology 2) model is extended with crucial constructs to develop the conceptual model. A total of 312 responses are analysed using Covariance-Based Structural Equation Modelling (CB-SEM). The moderation effects are assessed using multi-group analysis. The findings show a significant moderating effect of technology awareness and subjective financial literacy on the relationship between performance expectancy (PE) and behavioural intention to use cryptocurrency (BI). It further identified that performance expectancy (PE) mediates personal innovativeness (PI) and usage intentions (BI). The study adds to the growing literature of digital currency adoption by focusing on individual innovativeness, technology awareness and financial literacy. It also proposes a research model that can be generalised for new-age consumer-based financial technology adoption.&quot;,&quot;publisher&quot;:&quot;Multidisciplinary Digital Publishing Institute (MDPI)&quot;,&quot;issue&quot;:&quot;3&quot;,&quot;volume&quot;:&quot;18&quot;,&quot;container-title-short&quot;:&quot;&quot;},&quot;isTemporary&quot;:false}]},{&quot;citationID&quot;:&quot;MENDELEY_CITATION_e4e70a5d-05f3-47d9-afee-663401b1bef4&quot;,&quot;properties&quot;:{&quot;noteIndex&quot;:0},&quot;isEdited&quot;:false,&quot;manualOverride&quot;:{&quot;isManuallyOverridden&quot;:false,&quot;citeprocText&quot;:&quot;(Demirguc-Kunt et al., 2018)&quot;,&quot;manualOverrideText&quot;:&quot;&quot;},&quot;citationTag&quot;:&quot;MENDELEY_CITATION_v3_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&quot;,&quot;citationItems&quot;:[{&quot;id&quot;:&quot;3583d68d-ac44-3388-940c-5743a78f7fa8&quot;,&quot;itemData&quot;:{&quot;type&quot;:&quot;book&quot;,&quot;id&quot;:&quot;3583d68d-ac44-3388-940c-5743a78f7fa8&quot;,&quot;title&quot;:&quot;The Global Findex Database 2017: Measuring Financial Inclusion and the Fintech Revolution&quot;,&quot;author&quot;:[{&quot;family&quot;:&quot;Demirguc-Kunt&quot;,&quot;given&quot;:&quot;Asli&quot;,&quot;parse-names&quot;:false,&quot;dropping-particle&quot;:&quot;&quot;,&quot;non-dropping-particle&quot;:&quot;&quot;},{&quot;family&quot;:&quot;Klapper&quot;,&quot;given&quot;:&quot;Leora&quot;,&quot;parse-names&quot;:false,&quot;dropping-particle&quot;:&quot;&quot;,&quot;non-dropping-particle&quot;:&quot;&quot;},{&quot;family&quot;:&quot;Singer&quot;,&quot;given&quot;:&quot;Dorothe&quot;,&quot;parse-names&quot;:false,&quot;dropping-particle&quot;:&quot;&quot;,&quot;non-dropping-particle&quot;:&quot;&quot;},{&quot;family&quot;:&quot;Ansar&quot;,&quot;given&quot;:&quot;Saniya&quot;,&quot;parse-names&quot;:false,&quot;dropping-particle&quot;:&quot;&quot;,&quot;non-dropping-particle&quot;:&quot;&quot;},{&quot;family&quot;:&quot;Hess&quot;,&quot;given&quot;:&quot;Jake&quot;,&quot;parse-names&quot;:false,&quot;dropping-particle&quot;:&quot;&quot;,&quot;non-dropping-particle&quot;:&quot;&quot;}],&quot;container-title&quot;:&quot;The Global Findex Database 2017: Measuring Financial Inclusion and the Fintech Revolution&quot;,&quot;DOI&quot;:&quot;10.1596/978-1-4648-1259-0&quot;,&quot;issued&quot;:{&quot;date-parts&quot;:[[2018,4,19]]},&quot;abstract&quot;:&quot;Measuring Financial Inclusion and the Fintech Revolution 2017 The Global Findex Database | 2017 In 2011 the World Bank—with funding from the Bill &amp; Melinda Gates Foundation—launched the Global Findex database, the world's most comprehensive data set on how adults save, borrow, make payments, and manage risk. Drawing on survey data collected in collaboration with Gallup, Inc., the Global Findex database covers more than 140 economies around the world. The initial survey round was followed by a second one in 2014 and by a third in 2017. Compiled using nationally representative surveys of more than 150,000 adults age 15 and above in over 140 economies, the 2017 Global Findex database includes updated indicators on access to and use of formal and informal financial services. It has additional data on the use of financial technology (or fintech), including the use of mobile phones and the internet to conduct financial transactions. The data reveal opportunities to expand access to financial services among people who do not have an account—the unbanked—as well as to promote greater use of digital financial services among those who do have an account. The Global Findex database has become a mainstay of global efforts to promote financial inclusion. In addition to being widely cited by scholars and development practitioners, Global Findex data are used to track progress toward the World Bank goal of Universal Financial Access by 2020 and the United Nations Sustainable Development Goals.&quot;,&quot;publisher&quot;:&quot;Washington, DC: World Bank&quot;,&quot;container-title-short&quot;:&quot;&quot;},&quot;isTemporary&quot;:false}]},{&quot;citationID&quot;:&quot;MENDELEY_CITATION_594c0620-9b19-4e34-8ff0-53b839d1bd26&quot;,&quot;properties&quot;:{&quot;noteIndex&quot;:0},&quot;isEdited&quot;:false,&quot;manualOverride&quot;:{&quot;isManuallyOverridden&quot;:false,&quot;citeprocText&quot;:&quot;(Pradhan et al., 2021)&quot;,&quot;manualOverrideText&quot;:&quot;&quot;},&quot;citationTag&quot;:&quot;MENDELEY_CITATION_v3_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&quot;,&quot;citationItems&quot;:[{&quot;id&quot;:&quot;d983b089-84ba-3c34-90f7-b0c4eee1852d&quot;,&quot;itemData&quot;:{&quot;type&quot;:&quot;article-journal&quot;,&quot;id&quot;:&quot;d983b089-84ba-3c34-90f7-b0c4eee1852d&quot;,&quot;title&quot;:&quot;Sustainable economic development in India: The dynamics between financial inclusion, ICT development, and economic growth&quot;,&quot;author&quot;:[{&quot;family&quot;:&quot;Pradhan&quot;,&quot;given&quot;:&quot;Rudra P.&quot;,&quot;parse-names&quot;:false,&quot;dropping-particle&quot;:&quot;&quot;,&quot;non-dropping-particle&quot;:&quot;&quot;},{&quot;family&quot;:&quot;Arvin&quot;,&quot;given&quot;:&quot;Mak B.&quot;,&quot;parse-names&quot;:false,&quot;dropping-particle&quot;:&quot;&quot;,&quot;non-dropping-particle&quot;:&quot;&quot;},{&quot;family&quot;:&quot;Nair&quot;,&quot;given&quot;:&quot;Mahendhiran S.&quot;,&quot;parse-names&quot;:false,&quot;dropping-particle&quot;:&quot;&quot;,&quot;non-dropping-particle&quot;:&quot;&quot;},{&quot;family&quot;:&quot;Hall&quot;,&quot;given&quot;:&quot;John H.&quot;,&quot;parse-names&quot;:false,&quot;dropping-particle&quot;:&quot;&quot;,&quot;non-dropping-particle&quot;:&quot;&quot;},{&quot;family&quot;:&quot;Bennett&quot;,&quot;given&quot;:&quot;Sara E.&quot;,&quot;parse-names&quot;:false,&quot;dropping-particle&quot;:&quot;&quot;,&quot;non-dropping-particle&quot;:&quot;&quot;}],&quot;container-title&quot;:&quot;Technological Forecasting and Social Change&quot;,&quot;container-title-short&quot;:&quot;Technol Forecast Soc Change&quot;,&quot;DOI&quot;:&quot;10.1016/j.techfore.2021.120758&quot;,&quot;ISSN&quot;:&quot;00401625&quot;,&quot;issued&quot;:{&quot;date-parts&quot;:[[2021,8,1]]},&quot;abstract&quot;:&quot;The roles played by the financial sector and of information and communication technology (ICT) in economic growth are well established in the literature. With increasing development and the convergence between the financial and ICT platforms, digital financial systems emerged which have opened new opportunities to close the wealth gaps between the “haves” and “have-nots” in the developing world. In this paper, we examine the short-run and long-run dynamics between economic growth, financial inclusion initiatives, and ICT infrastructure development in 20 Indian states over the period from 1991 to 2018. Using the Granger-causality technique, we show evidence of strong temporal causality between these variables in the short and long term. Our empirical results demonstrate that careful co-curation of ICT infrastructure development, financial inclusion initiatives, and economic growth strategies is essential for these Indian states to achieve sustainable economic development.&quot;,&quot;publisher&quot;:&quot;Elsevier Inc.&quot;,&quot;volume&quot;:&quot;169&quot;},&quot;isTemporary&quot;:false}]},{&quot;citationID&quot;:&quot;MENDELEY_CITATION_a6a2e5c6-b711-4a67-80d6-73d9adfe04e4&quot;,&quot;properties&quot;:{&quot;noteIndex&quot;:0},&quot;isEdited&quot;:false,&quot;manualOverride&quot;:{&quot;isManuallyOverridden&quot;:false,&quot;citeprocText&quot;:&quot;(Kthirumamagal &amp;#38; Professor, 2016)&quot;,&quot;manualOverrideText&quot;:&quot;&quot;},&quot;citationTag&quot;:&quot;MENDELEY_CITATION_v3_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&quot;,&quot;citationItems&quot;:[{&quot;id&quot;:&quot;13b7c15f-0cf8-3a35-8921-a3ea3b24de0c&quot;,&quot;itemData&quot;:{&quot;type&quot;:&quot;report&quot;,&quot;id&quot;:&quot;13b7c15f-0cf8-3a35-8921-a3ea3b24de0c&quot;,&quot;title&quot;:&quot;ISSUES AND CHALLENGES OF FINANCIAL INCLUSION-A STUDY WITH REFERENCE TO RURAL AREAS IN TAMIL NADU Dr. Ti. M. SWAAMINATHAN&quot;,&quot;author&quot;:[{&quot;family&quot;:&quot;Kthirumamagal&quot;,&quot;given&quot;:&quot;By&quot;,&quot;parse-names&quot;:false,&quot;dropping-particle&quot;:&quot;&quot;,&quot;non-dropping-particle&quot;:&quot;&quot;},{&quot;family&quot;:&quot;Professor&quot;,&quot;given&quot;:&quot;Associate&quot;,&quot;parse-names&quot;:false,&quot;dropping-particle&quot;:&quot;&quot;,&quot;non-dropping-particle&quot;:&quot;&quot;}],&quot;issued&quot;:{&quot;date-parts&quot;:[[2016]]},&quot;container-title-short&quot;:&quot;&quot;},&quot;isTemporary&quot;:false}]},{&quot;citationID&quot;:&quot;MENDELEY_CITATION_69d25416-feee-4de7-b521-da5ada04931c&quot;,&quot;properties&quot;:{&quot;noteIndex&quot;:0},&quot;isEdited&quot;:false,&quot;manualOverride&quot;:{&quot;isManuallyOverridden&quot;:false,&quot;citeprocText&quot;:&quot;(Pradhan et al., 2021)&quot;,&quot;manualOverrideText&quot;:&quot;&quot;},&quot;citationTag&quot;:&quot;MENDELEY_CITATION_v3_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&quot;,&quot;citationItems&quot;:[{&quot;id&quot;:&quot;d983b089-84ba-3c34-90f7-b0c4eee1852d&quot;,&quot;itemData&quot;:{&quot;type&quot;:&quot;article-journal&quot;,&quot;id&quot;:&quot;d983b089-84ba-3c34-90f7-b0c4eee1852d&quot;,&quot;title&quot;:&quot;Sustainable economic development in India: The dynamics between financial inclusion, ICT development, and economic growth&quot;,&quot;author&quot;:[{&quot;family&quot;:&quot;Pradhan&quot;,&quot;given&quot;:&quot;Rudra P.&quot;,&quot;parse-names&quot;:false,&quot;dropping-particle&quot;:&quot;&quot;,&quot;non-dropping-particle&quot;:&quot;&quot;},{&quot;family&quot;:&quot;Arvin&quot;,&quot;given&quot;:&quot;Mak B.&quot;,&quot;parse-names&quot;:false,&quot;dropping-particle&quot;:&quot;&quot;,&quot;non-dropping-particle&quot;:&quot;&quot;},{&quot;family&quot;:&quot;Nair&quot;,&quot;given&quot;:&quot;Mahendhiran S.&quot;,&quot;parse-names&quot;:false,&quot;dropping-particle&quot;:&quot;&quot;,&quot;non-dropping-particle&quot;:&quot;&quot;},{&quot;family&quot;:&quot;Hall&quot;,&quot;given&quot;:&quot;John H.&quot;,&quot;parse-names&quot;:false,&quot;dropping-particle&quot;:&quot;&quot;,&quot;non-dropping-particle&quot;:&quot;&quot;},{&quot;family&quot;:&quot;Bennett&quot;,&quot;given&quot;:&quot;Sara E.&quot;,&quot;parse-names&quot;:false,&quot;dropping-particle&quot;:&quot;&quot;,&quot;non-dropping-particle&quot;:&quot;&quot;}],&quot;container-title&quot;:&quot;Technological Forecasting and Social Change&quot;,&quot;container-title-short&quot;:&quot;Technol Forecast Soc Change&quot;,&quot;DOI&quot;:&quot;10.1016/j.techfore.2021.120758&quot;,&quot;ISSN&quot;:&quot;00401625&quot;,&quot;issued&quot;:{&quot;date-parts&quot;:[[2021,8,1]]},&quot;abstract&quot;:&quot;The roles played by the financial sector and of information and communication technology (ICT) in economic growth are well established in the literature. With increasing development and the convergence between the financial and ICT platforms, digital financial systems emerged which have opened new opportunities to close the wealth gaps between the “haves” and “have-nots” in the developing world. In this paper, we examine the short-run and long-run dynamics between economic growth, financial inclusion initiatives, and ICT infrastructure development in 20 Indian states over the period from 1991 to 2018. Using the Granger-causality technique, we show evidence of strong temporal causality between these variables in the short and long term. Our empirical results demonstrate that careful co-curation of ICT infrastructure development, financial inclusion initiatives, and economic growth strategies is essential for these Indian states to achieve sustainable economic development.&quot;,&quot;publisher&quot;:&quot;Elsevier Inc.&quot;,&quot;volume&quot;:&quot;169&quot;},&quot;isTemporary&quot;:false}]},{&quot;citationID&quot;:&quot;MENDELEY_CITATION_0291d56f-9a18-4f7d-92b7-77311848cffb&quot;,&quot;properties&quot;:{&quot;noteIndex&quot;:0},&quot;isEdited&quot;:false,&quot;manualOverride&quot;:{&quot;isManuallyOverridden&quot;:false,&quot;citeprocText&quot;:&quot;(HASANOV, 2022)&quot;,&quot;manualOverrideText&quot;:&quot;&quot;},&quot;citationTag&quot;:&quot;MENDELEY_CITATION_v3_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&quot;,&quot;citationItems&quot;:[{&quot;id&quot;:&quot;3a139c71-0278-3ecc-8f9f-e84c75a62b2c&quot;,&quot;itemData&quot;:{&quot;type&quot;:&quot;article-journal&quot;,&quot;id&quot;:&quot;3a139c71-0278-3ecc-8f9f-e84c75a62b2c&quot;,&quot;title&quot;:&quot;THE ROLE OF DIGITAL PAYMENTS AND STUDYING THE CURRENT SITUATION IN STRENGTHENING THE FINANCIAL RESOURCES BANK OF BANKS IN AZERBAIJAN&quot;,&quot;author&quot;:[{&quot;family&quot;:&quot;HASANOV&quot;,&quot;given&quot;:&quot;MATIN JEYHUN&quot;,&quot;parse-names&quot;:false,&quot;dropping-particle&quot;:&quot;&quot;,&quot;non-dropping-particle&quot;:&quot;&quot;}],&quot;container-title&quot;:&quot;Economic innovations&quot;,&quot;DOI&quot;:&quot;10.31520/ei.2022.24.4(85).27-37&quot;,&quot;ISSN&quot;:&quot;2524-003X&quot;,&quot;issued&quot;:{&quot;date-parts&quot;:[[2022,12,20]]},&quot;page&quot;:&quot;27-37&quot;,&quot;abstract&quot;:&quot;Topicality. In recent decades, radical changes have taken place in the institutional architecture of central banking in the world, and modern central banks have become an important institution of macroeconomic stability. The most important anchor of macroeconomic stability is price stability. The fact that prices are low and less volatile allows business to plan investment decisions more correctly, and to optimize the savings and consumption costs of the population. Price stability is also an important social indicator. Price changes directly affect the budget of 2.1 million families living in Azerbaijan. Currently, with the development of the electronic payment system, high activity of credit organizations in the direction of reducing paper technologies is observed. This process is typical: an increase in the issuance of plastic cards, an increase in the turnover and balance in card accounts, and the expansion of services using bank cards are characteristic of this process. During the development of the plastic market, different types of plastic cards are created, which differ in their purpose and technical characteristics. Transactions with bank plastic cards open up new perspectives for financial services to clients of local banks.Aim and tasks. In connection with the expansion of digital payments in Azerbaijan, it is to investigate the features of financial management in banks and to study the current and prospective effects of digital payments in the formation of financial resources of banks.Research results. During the study, the types, characteristics, and effects of the digital payment system on economic processes were studied.Material and methods. Statistical calculations, sample observation, synthesis, regression analysis were used in the study. Regression analysis consists of steps such as selecting the model type, calculating the parameters, constructing the model, and assessing its suitability and accuracy. The level of accuracy of the model characterizes the degree of deviation of the actual values of the dependent variable from the values obtained on regression models. Estimates such as average relative error, average absolute error, standard error are used to estimate the level of accuracy.Conclusion. It is important to improve and develop the infrastructure of banks in order to present the applications of banks in the field of digital banking to the wider public.&quot;,&quot;publisher&quot;:&quot;Institute of Market Problems and Еconomic and Ecological Research of the NAS of Ukraine&quot;,&quot;issue&quot;:&quot;4(85)&quot;,&quot;volume&quot;:&quot;24&quot;,&quot;container-title-short&quot;:&quot;&quot;},&quot;isTemporary&quot;:false}]},{&quot;citationID&quot;:&quot;MENDELEY_CITATION_c0aab5f0-1865-4d7a-b30b-031daca2e695&quot;,&quot;properties&quot;:{&quot;noteIndex&quot;:0},&quot;isEdited&quot;:false,&quot;manualOverride&quot;:{&quot;isManuallyOverridden&quot;:false,&quot;citeprocText&quot;:&quot;(Cámara et al., 2014)&quot;,&quot;manualOverrideText&quot;:&quot;&quot;},&quot;citationTag&quot;:&quot;MENDELEY_CITATION_v3_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&quot;,&quot;citationItems&quot;:[{&quot;id&quot;:&quot;10e0e61a-3b5c-3521-ade3-d558b4bcd7a5&quot;,&quot;itemData&quot;:{&quot;type&quot;:&quot;report&quot;,&quot;id&quot;:&quot;10e0e61a-3b5c-3521-ade3-d558b4bcd7a5&quot;,&quot;title&quot;:&quot;Measuring Financial Inclusion: A Multidimensional Index Measuring Financial Inclusion: A Multidimensional Index Measuring Financial Inclusion: A Multidimensional Index 2&quot;,&quot;author&quot;:[{&quot;family&quot;:&quot;Cámara&quot;,&quot;given&quot;:&quot;Noelia&quot;,&quot;parse-names&quot;:false,&quot;dropping-particle&quot;:&quot;&quot;,&quot;non-dropping-particle&quot;:&quot;&quot;},{&quot;family&quot;:&quot;Tuesta&quot;,&quot;given&quot;:&quot;David&quot;,&quot;parse-names&quot;:false,&quot;dropping-particle&quot;:&quot;&quot;,&quot;non-dropping-particle&quot;:&quot;&quot;},{&quot;family&quot;:&quot;Cáamara&quot;,&quot;given&quot;:&quot;Noelia&quot;,&quot;parse-names&quot;:false,&quot;dropping-particle&quot;:&quot;&quot;,&quot;non-dropping-particle&quot;:&quot;&quot;}],&quot;URL&quot;:&quot;www.bbvaresearch.com&quot;,&quot;issued&quot;:{&quot;date-parts&quot;:[[2014]]},&quot;abstract&quot;:&quot;We rely on demand and supply-side information to measure the extent of financial inclusion at country level for eighty-two developed and less-developed countries. We postulate that the degree of financial inclusion is determined by three dimensions: usage, barriers and access to financial inclusion. Weights assigned to the dimensions are determined endogenously by employing a two-stage Principal Component Analysis. Our composite index others a comprehensive measure of the degree of financial inclusion, easy to understand and compute.&quot;,&quot;container-title-short&quot;:&quot;&quot;},&quot;isTemporary&quot;:false}]},{&quot;citationID&quot;:&quot;MENDELEY_CITATION_2cb9c3b4-816b-4a87-96ce-341eb6ffcaf2&quot;,&quot;properties&quot;:{&quot;noteIndex&quot;:0},&quot;isEdited&quot;:false,&quot;manualOverride&quot;:{&quot;isManuallyOverridden&quot;:false,&quot;citeprocText&quot;:&quot;(Bayram et al., 2021)&quot;,&quot;manualOverrideText&quot;:&quot;&quot;},&quot;citationTag&quot;:&quot;MENDELEY_CITATION_v3_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&quot;,&quot;citationItems&quot;:[{&quot;id&quot;:&quot;800fdaa0-10fc-35bc-8305-5f8cf0cabf1e&quot;,&quot;itemData&quot;:{&quot;type&quot;:&quot;article-journal&quot;,&quot;id&quot;:&quot;800fdaa0-10fc-35bc-8305-5f8cf0cabf1e&quot;,&quot;title&quot;:&quot;The Level of Financial Literacy among Muslim Millennial Students&quot;,&quot;author&quot;:[{&quot;family&quot;:&quot;Bayram&quot;,&quot;given&quot;:&quot;Kamola&quot;,&quot;parse-names&quot;:false,&quot;dropping-particle&quot;:&quot;&quot;,&quot;non-dropping-particle&quot;:&quot;&quot;},{&quot;family&quot;:&quot;Salaudeen Olasubomi&quot;,&quot;given&quot;:&quot;Salaudeen&quot;,&quot;parse-names&quot;:false,&quot;dropping-particle&quot;:&quot;&quot;,&quot;non-dropping-particle&quot;:&quot;&quot;},{&quot;family&quot;:&quot;Thartori&quot;,&quot;given&quot;:&quot;Voltisa&quot;,&quot;parse-names&quot;:false,&quot;dropping-particle&quot;:&quot;&quot;,&quot;non-dropping-particle&quot;:&quot;&quot;}],&quot;container-title&quot;:&quot;Al Qasimia University Journal of Islamic Economics&quot;,&quot;DOI&quot;:&quot;10.52747/aqujie.1.2.69&quot;,&quot;ISSN&quot;:&quot;2788-5542&quot;,&quot;issued&quot;:{&quot;date-parts&quot;:[[2021,12,3]]},&quot;page&quot;:&quot;102-115&quot;,&quot;abstract&quot;:&quot;Millenials, also known as Generation Y, are a demographic cohort who were born between early 1980’s and late 1990’s and are reportedly to be active users of FinTech. At the same time, recent research documents the problems Millenials are prone to inadequate financial knowledge, an unsatisfactory current financial situation, and misuse of retirement accounts. The last segment is particularly very important since life expectancy today is rising, while pension and social welfare systems are being strained. In this paper we examine the level of financial literacy among millennial students who at the same time active users of financial technology. The data was collected via questionnaire distribution to International Islamic University Malaysia (IIUM) students in the campus. From all collected responses 217 which matches the research criteria such as students who belong to Millennial generation were selected for analysis. To measure financial literacy level, we use the “Big Three” method designed by Lusardi and Mitchell (2011). In our study where respondents are university students, findings suggest that 47% out of all 217 respondents has a satisfactory level of financial literacy. The level of financial literacy is higher among post-graduate students and engineering students. Mobile payment users comprise 64% of respondents and only 24% among them is financially literate. It is also noteworthy that 93% of respondents do not have a retirement account. These findings are very important since the study is conducted in a university environment where 100% of the respondents are involved in higher education. It is crucial to teach finance subjects in all faculties and there is a dire need to establish an institution which will regularly conduct a nationwide survey to access the level of financial literacy and financial behaviour of youth to avoid the financial collapse of Generation Y.&quot;,&quot;publisher&quot;:&quot;Al Qasimia University&quot;,&quot;issue&quot;:&quot;2&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E6D7F5BD-BCCD-4467-A263-04B65A2D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25</Pages>
  <Words>7536</Words>
  <Characters>45217</Characters>
  <Application>Microsoft Office Word</Application>
  <DocSecurity>0</DocSecurity>
  <Lines>706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2025-02-17T06:09:00Z</dcterms:created>
  <dcterms:modified xsi:type="dcterms:W3CDTF">2025-07-15T16:12:00Z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b83c85a356ef03dc0435e8703cbfb1de2d024a648800af05181762fae9a98a48</vt:lpwstr>
  </property>
</Properties>
</file>