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90AAE" w14:textId="2EEC82BC" w:rsidR="00BE0C34" w:rsidRPr="008E2AAB" w:rsidRDefault="00BE0C34" w:rsidP="00BE0C34">
      <w:pPr>
        <w:pStyle w:val="NoSpacing"/>
        <w:jc w:val="center"/>
        <w:rPr>
          <w:b/>
          <w:bCs/>
          <w:sz w:val="22"/>
          <w:szCs w:val="22"/>
        </w:rPr>
      </w:pPr>
      <w:r w:rsidRPr="008E2AAB">
        <w:rPr>
          <w:b/>
          <w:bCs/>
          <w:sz w:val="22"/>
          <w:szCs w:val="22"/>
        </w:rPr>
        <w:t>Reforming Nigeria’s Polytechnics into Universities of Technology: A Critical Analysis of Accreditation, Funding, and Institutional Realignment</w:t>
      </w:r>
    </w:p>
    <w:p w14:paraId="38955404" w14:textId="77777777" w:rsidR="00BE0C34" w:rsidRPr="008E2AAB" w:rsidRDefault="00BE0C34" w:rsidP="00BE0C34">
      <w:pPr>
        <w:pStyle w:val="NoSpacing"/>
        <w:jc w:val="center"/>
        <w:rPr>
          <w:sz w:val="22"/>
          <w:szCs w:val="22"/>
        </w:rPr>
      </w:pPr>
    </w:p>
    <w:p w14:paraId="61695696" w14:textId="094BB617" w:rsidR="00BE0C34" w:rsidRPr="008E2AAB" w:rsidRDefault="00BE0C34" w:rsidP="00BE0C34">
      <w:pPr>
        <w:pStyle w:val="NoSpacing"/>
        <w:jc w:val="center"/>
        <w:rPr>
          <w:sz w:val="22"/>
          <w:szCs w:val="22"/>
          <w:lang w:val="pl-PL"/>
        </w:rPr>
      </w:pPr>
      <w:r w:rsidRPr="008E2AAB">
        <w:rPr>
          <w:sz w:val="22"/>
          <w:szCs w:val="22"/>
        </w:rPr>
        <w:t xml:space="preserve">Moruf Akanni </w:t>
      </w:r>
      <w:r w:rsidRPr="008E2AAB">
        <w:rPr>
          <w:b/>
          <w:bCs/>
          <w:sz w:val="22"/>
          <w:szCs w:val="22"/>
        </w:rPr>
        <w:t>Adebakin</w:t>
      </w:r>
      <w:r w:rsidRPr="008E2AAB">
        <w:rPr>
          <w:sz w:val="22"/>
          <w:szCs w:val="22"/>
        </w:rPr>
        <w:t xml:space="preserve"> PhD</w:t>
      </w:r>
    </w:p>
    <w:p w14:paraId="212B93AF" w14:textId="77777777" w:rsidR="00BE0C34" w:rsidRPr="008E2AAB" w:rsidRDefault="00C15CB3" w:rsidP="00BE0C34">
      <w:pPr>
        <w:pStyle w:val="NoSpacing"/>
        <w:jc w:val="center"/>
        <w:rPr>
          <w:sz w:val="22"/>
          <w:szCs w:val="22"/>
          <w:lang w:val="pl-PL"/>
        </w:rPr>
      </w:pPr>
      <w:hyperlink r:id="rId7" w:history="1">
        <w:r w:rsidR="00BE0C34" w:rsidRPr="008E2AAB">
          <w:rPr>
            <w:rStyle w:val="Hyperlink"/>
            <w:color w:val="auto"/>
            <w:sz w:val="22"/>
            <w:szCs w:val="22"/>
            <w:lang w:val="pl-PL"/>
          </w:rPr>
          <w:t>https://orcid.org/0000-0001-5142-0820</w:t>
        </w:r>
      </w:hyperlink>
    </w:p>
    <w:p w14:paraId="1FCD563A" w14:textId="77777777" w:rsidR="00BE0C34" w:rsidRPr="008E2AAB" w:rsidRDefault="00BE0C34" w:rsidP="00BE0C34">
      <w:pPr>
        <w:pStyle w:val="NoSpacing"/>
        <w:jc w:val="center"/>
        <w:rPr>
          <w:sz w:val="22"/>
          <w:szCs w:val="22"/>
        </w:rPr>
      </w:pPr>
      <w:r w:rsidRPr="008E2AAB">
        <w:rPr>
          <w:sz w:val="22"/>
          <w:szCs w:val="22"/>
        </w:rPr>
        <w:t>Department of Business Administration &amp; Management</w:t>
      </w:r>
    </w:p>
    <w:p w14:paraId="2371A4A5" w14:textId="77777777" w:rsidR="00BE0C34" w:rsidRPr="008E2AAB" w:rsidRDefault="00BE0C34" w:rsidP="00BE0C34">
      <w:pPr>
        <w:pStyle w:val="NoSpacing"/>
        <w:jc w:val="center"/>
        <w:rPr>
          <w:sz w:val="22"/>
          <w:szCs w:val="22"/>
        </w:rPr>
      </w:pPr>
      <w:r w:rsidRPr="008E2AAB">
        <w:rPr>
          <w:sz w:val="22"/>
          <w:szCs w:val="22"/>
        </w:rPr>
        <w:t>Yaba College of Technology, Lagos, Nigeria</w:t>
      </w:r>
    </w:p>
    <w:p w14:paraId="59C622E9" w14:textId="77777777" w:rsidR="00BE0C34" w:rsidRPr="008E2AAB" w:rsidRDefault="00C15CB3" w:rsidP="00BE0C34">
      <w:pPr>
        <w:pStyle w:val="NoSpacing"/>
        <w:jc w:val="center"/>
        <w:rPr>
          <w:rStyle w:val="Hyperlink"/>
          <w:color w:val="auto"/>
          <w:sz w:val="22"/>
          <w:szCs w:val="22"/>
        </w:rPr>
      </w:pPr>
      <w:hyperlink r:id="rId8" w:history="1">
        <w:r w:rsidR="00BE0C34" w:rsidRPr="008E2AAB">
          <w:rPr>
            <w:rStyle w:val="Hyperlink"/>
            <w:color w:val="auto"/>
            <w:sz w:val="22"/>
            <w:szCs w:val="22"/>
          </w:rPr>
          <w:t>moruf.adebakin@yabatech.edu.ng</w:t>
        </w:r>
      </w:hyperlink>
    </w:p>
    <w:p w14:paraId="27FABE50" w14:textId="21361DBD" w:rsidR="00BE0C34" w:rsidRDefault="00BE0C34" w:rsidP="00BE0C34">
      <w:pPr>
        <w:ind w:left="3600"/>
        <w:jc w:val="both"/>
        <w:rPr>
          <w:rStyle w:val="Hyperlink"/>
          <w:rFonts w:ascii="Times New Roman" w:hAnsi="Times New Roman" w:cs="Times New Roman"/>
          <w:color w:val="auto"/>
          <w:sz w:val="22"/>
          <w:szCs w:val="22"/>
        </w:rPr>
      </w:pPr>
      <w:r w:rsidRPr="008E2AAB">
        <w:rPr>
          <w:rStyle w:val="Hyperlink"/>
          <w:rFonts w:ascii="Times New Roman" w:hAnsi="Times New Roman" w:cs="Times New Roman"/>
          <w:color w:val="auto"/>
          <w:sz w:val="22"/>
          <w:szCs w:val="22"/>
        </w:rPr>
        <w:t>08023020827</w:t>
      </w:r>
    </w:p>
    <w:p w14:paraId="4EA0C843" w14:textId="290B9CAE" w:rsidR="007F7AD0" w:rsidRDefault="007F7AD0" w:rsidP="007F7AD0">
      <w:pPr>
        <w:ind w:left="3600"/>
        <w:rPr>
          <w:rStyle w:val="Hyperlink"/>
          <w:rFonts w:ascii="Times New Roman" w:hAnsi="Times New Roman" w:cs="Times New Roman"/>
          <w:color w:val="auto"/>
          <w:sz w:val="22"/>
          <w:szCs w:val="22"/>
        </w:rPr>
      </w:pPr>
      <w:r>
        <w:rPr>
          <w:rStyle w:val="Hyperlink"/>
          <w:rFonts w:ascii="Times New Roman" w:hAnsi="Times New Roman" w:cs="Times New Roman"/>
          <w:color w:val="auto"/>
          <w:sz w:val="22"/>
          <w:szCs w:val="22"/>
        </w:rPr>
        <w:t xml:space="preserve">      &amp;</w:t>
      </w:r>
    </w:p>
    <w:p w14:paraId="6D231BDD" w14:textId="2867ACC5" w:rsidR="008E2AAB" w:rsidRDefault="008E2AAB" w:rsidP="008E2AAB">
      <w:pPr>
        <w:spacing w:after="0"/>
        <w:jc w:val="center"/>
        <w:rPr>
          <w:rStyle w:val="Hyperlink"/>
          <w:rFonts w:ascii="Times New Roman" w:hAnsi="Times New Roman" w:cs="Times New Roman"/>
          <w:color w:val="auto"/>
          <w:sz w:val="22"/>
          <w:szCs w:val="22"/>
        </w:rPr>
      </w:pPr>
      <w:r>
        <w:rPr>
          <w:rStyle w:val="Hyperlink"/>
          <w:rFonts w:ascii="Times New Roman" w:hAnsi="Times New Roman" w:cs="Times New Roman"/>
          <w:color w:val="auto"/>
          <w:sz w:val="22"/>
          <w:szCs w:val="22"/>
        </w:rPr>
        <w:t>Irokanulo Ikemefula Emmanuel PhD</w:t>
      </w:r>
    </w:p>
    <w:p w14:paraId="307C76FE" w14:textId="2EAA5D24" w:rsidR="008E2AAB" w:rsidRDefault="008E2AAB" w:rsidP="008E2AAB">
      <w:pPr>
        <w:spacing w:after="0"/>
        <w:jc w:val="center"/>
        <w:rPr>
          <w:rStyle w:val="Hyperlink"/>
          <w:rFonts w:ascii="Times New Roman" w:hAnsi="Times New Roman" w:cs="Times New Roman"/>
          <w:color w:val="auto"/>
          <w:sz w:val="22"/>
          <w:szCs w:val="22"/>
        </w:rPr>
      </w:pPr>
      <w:r>
        <w:rPr>
          <w:rStyle w:val="Hyperlink"/>
          <w:rFonts w:ascii="Times New Roman" w:hAnsi="Times New Roman" w:cs="Times New Roman"/>
          <w:color w:val="auto"/>
          <w:sz w:val="22"/>
          <w:szCs w:val="22"/>
        </w:rPr>
        <w:t>Department of Fine art, School of Art, Design &amp;Printing</w:t>
      </w:r>
    </w:p>
    <w:p w14:paraId="58C3EDB2" w14:textId="2EC8D5B0" w:rsidR="008E2AAB" w:rsidRDefault="008E2AAB" w:rsidP="008E2AAB">
      <w:pPr>
        <w:spacing w:after="0"/>
        <w:jc w:val="center"/>
        <w:rPr>
          <w:rStyle w:val="Hyperlink"/>
          <w:rFonts w:ascii="Times New Roman" w:hAnsi="Times New Roman" w:cs="Times New Roman"/>
          <w:color w:val="auto"/>
          <w:sz w:val="22"/>
          <w:szCs w:val="22"/>
        </w:rPr>
      </w:pPr>
      <w:r>
        <w:rPr>
          <w:rStyle w:val="Hyperlink"/>
          <w:rFonts w:ascii="Times New Roman" w:hAnsi="Times New Roman" w:cs="Times New Roman"/>
          <w:color w:val="auto"/>
          <w:sz w:val="22"/>
          <w:szCs w:val="22"/>
        </w:rPr>
        <w:t>Yaba College of Technology Yaba, Lagos</w:t>
      </w:r>
    </w:p>
    <w:p w14:paraId="69BA8100" w14:textId="695A2CCD" w:rsidR="008E2AAB" w:rsidRDefault="00C15CB3" w:rsidP="008E2AAB">
      <w:pPr>
        <w:spacing w:after="0"/>
        <w:jc w:val="center"/>
        <w:rPr>
          <w:rStyle w:val="Hyperlink"/>
          <w:rFonts w:ascii="Times New Roman" w:hAnsi="Times New Roman" w:cs="Times New Roman"/>
          <w:color w:val="auto"/>
          <w:sz w:val="22"/>
          <w:szCs w:val="22"/>
        </w:rPr>
      </w:pPr>
      <w:hyperlink r:id="rId9" w:history="1">
        <w:r w:rsidR="008E2AAB" w:rsidRPr="00655D08">
          <w:rPr>
            <w:rStyle w:val="Hyperlink"/>
            <w:rFonts w:ascii="Times New Roman" w:hAnsi="Times New Roman" w:cs="Times New Roman"/>
            <w:sz w:val="22"/>
            <w:szCs w:val="22"/>
          </w:rPr>
          <w:t>emmanuel.irokanulo@yabatech.edu.ng</w:t>
        </w:r>
      </w:hyperlink>
    </w:p>
    <w:p w14:paraId="7ACFA7D0" w14:textId="537BE69B" w:rsidR="008E2AAB" w:rsidRPr="008E2AAB" w:rsidRDefault="008E2AAB" w:rsidP="008E2AAB">
      <w:pPr>
        <w:spacing w:after="0"/>
        <w:jc w:val="center"/>
        <w:rPr>
          <w:rFonts w:ascii="Times New Roman" w:hAnsi="Times New Roman" w:cs="Times New Roman"/>
          <w:sz w:val="22"/>
          <w:szCs w:val="22"/>
        </w:rPr>
      </w:pPr>
      <w:r>
        <w:rPr>
          <w:rStyle w:val="Hyperlink"/>
          <w:rFonts w:ascii="Times New Roman" w:hAnsi="Times New Roman" w:cs="Times New Roman"/>
          <w:color w:val="auto"/>
          <w:sz w:val="22"/>
          <w:szCs w:val="22"/>
        </w:rPr>
        <w:t>08034267433</w:t>
      </w:r>
    </w:p>
    <w:p w14:paraId="1791C987" w14:textId="77777777" w:rsidR="003C42DF" w:rsidRPr="008E2AAB" w:rsidRDefault="003C42DF" w:rsidP="003C42DF">
      <w:pPr>
        <w:jc w:val="both"/>
        <w:rPr>
          <w:rFonts w:ascii="Times New Roman" w:hAnsi="Times New Roman" w:cs="Times New Roman"/>
          <w:sz w:val="22"/>
          <w:szCs w:val="22"/>
        </w:rPr>
      </w:pPr>
    </w:p>
    <w:p w14:paraId="5DF89E28" w14:textId="087DE0A6" w:rsidR="003C42DF" w:rsidRPr="008E2AAB" w:rsidRDefault="003C42DF" w:rsidP="003C42DF">
      <w:pPr>
        <w:jc w:val="both"/>
        <w:rPr>
          <w:rFonts w:ascii="Times New Roman" w:hAnsi="Times New Roman" w:cs="Times New Roman"/>
          <w:b/>
          <w:sz w:val="22"/>
          <w:szCs w:val="22"/>
        </w:rPr>
      </w:pPr>
      <w:r w:rsidRPr="008E2AAB">
        <w:rPr>
          <w:rFonts w:ascii="Times New Roman" w:hAnsi="Times New Roman" w:cs="Times New Roman"/>
          <w:b/>
          <w:sz w:val="22"/>
          <w:szCs w:val="22"/>
        </w:rPr>
        <w:t>Abstract</w:t>
      </w:r>
      <w:r w:rsidR="00720788">
        <w:rPr>
          <w:rFonts w:ascii="Times New Roman" w:hAnsi="Times New Roman" w:cs="Times New Roman"/>
          <w:b/>
          <w:sz w:val="22"/>
          <w:szCs w:val="22"/>
        </w:rPr>
        <w:t xml:space="preserve">  </w:t>
      </w:r>
      <w:bookmarkStart w:id="0" w:name="_GoBack"/>
      <w:bookmarkEnd w:id="0"/>
    </w:p>
    <w:p w14:paraId="5E5F9D61" w14:textId="762D8B96" w:rsidR="004E11E6" w:rsidRPr="008E2AAB" w:rsidRDefault="004E11E6" w:rsidP="008E2AAB">
      <w:pPr>
        <w:spacing w:after="0"/>
        <w:jc w:val="both"/>
        <w:rPr>
          <w:rFonts w:ascii="Times New Roman" w:hAnsi="Times New Roman" w:cs="Times New Roman"/>
          <w:sz w:val="22"/>
          <w:szCs w:val="22"/>
        </w:rPr>
      </w:pPr>
      <w:r w:rsidRPr="008E2AAB">
        <w:rPr>
          <w:rFonts w:ascii="Times New Roman" w:hAnsi="Times New Roman" w:cs="Times New Roman"/>
          <w:sz w:val="22"/>
          <w:szCs w:val="22"/>
        </w:rPr>
        <w:t>As Nigeria takes on the ambitious task of converting selected polytechnics into technology universities, a deeper set of institutional, academic, and political realignments has emerged.</w:t>
      </w:r>
      <w:r w:rsidR="0036148A" w:rsidRPr="008E2AAB">
        <w:rPr>
          <w:rFonts w:ascii="Times New Roman" w:hAnsi="Times New Roman" w:cs="Times New Roman"/>
          <w:sz w:val="22"/>
          <w:szCs w:val="22"/>
        </w:rPr>
        <w:t xml:space="preserve"> This study identifies five systemic barriers to Nigeria's polytechnic-university conversion, revealing how accreditation demands and funding gaps undermine vocational education identity while proposing phased transition strategies.</w:t>
      </w:r>
      <w:r w:rsidRPr="008E2AAB">
        <w:rPr>
          <w:rFonts w:ascii="Times New Roman" w:hAnsi="Times New Roman" w:cs="Times New Roman"/>
          <w:sz w:val="22"/>
          <w:szCs w:val="22"/>
        </w:rPr>
        <w:t xml:space="preserve"> Based on policy documents, academic literature, and global case comparisons, the study reveals how regulatory expectations, limited financial capacity, and fragmented governance systems complicate institutional preparation. It believes that while this transition provides significant opportunities for increasing technical education, it also exposes systemic weaknesses, particularly in research culture, staffing, and curriculum coherence. This paper, which uses institutional and resource dependency theories, provides a conceptual framework for understanding these dynamics and presents strategic policy and practice recommendations. The conclusions highlight that sustainable reform requires more than a formal reclassification; it requires a strategic, phased, and appropriate approach that balances heritage strengths with new university standards.</w:t>
      </w:r>
    </w:p>
    <w:p w14:paraId="3EDDB3F0" w14:textId="77777777" w:rsidR="004E11E6" w:rsidRPr="008E2AAB" w:rsidRDefault="004E11E6" w:rsidP="00BE0C34">
      <w:pPr>
        <w:jc w:val="both"/>
        <w:rPr>
          <w:rFonts w:ascii="Times New Roman" w:hAnsi="Times New Roman" w:cs="Times New Roman"/>
          <w:sz w:val="22"/>
          <w:szCs w:val="22"/>
        </w:rPr>
      </w:pPr>
    </w:p>
    <w:p w14:paraId="23C2D795" w14:textId="3DC3845C" w:rsidR="00BE0C34" w:rsidRPr="008E2AAB" w:rsidRDefault="00BE0C34" w:rsidP="003C42DF">
      <w:pPr>
        <w:jc w:val="both"/>
        <w:rPr>
          <w:rFonts w:ascii="Times New Roman" w:hAnsi="Times New Roman" w:cs="Times New Roman"/>
          <w:sz w:val="22"/>
          <w:szCs w:val="22"/>
        </w:rPr>
      </w:pPr>
      <w:r w:rsidRPr="008E2AAB">
        <w:rPr>
          <w:rFonts w:ascii="Times New Roman" w:hAnsi="Times New Roman" w:cs="Times New Roman"/>
          <w:b/>
          <w:bCs/>
          <w:sz w:val="22"/>
          <w:szCs w:val="22"/>
        </w:rPr>
        <w:t>Keywords:</w:t>
      </w:r>
      <w:r w:rsidRPr="008E2AAB">
        <w:rPr>
          <w:rFonts w:ascii="Times New Roman" w:hAnsi="Times New Roman" w:cs="Times New Roman"/>
          <w:sz w:val="22"/>
          <w:szCs w:val="22"/>
        </w:rPr>
        <w:t xml:space="preserve"> Accreditation, Transition, Curriculum</w:t>
      </w:r>
      <w:r w:rsidR="00C2450B" w:rsidRPr="008E2AAB">
        <w:rPr>
          <w:rFonts w:ascii="Times New Roman" w:hAnsi="Times New Roman" w:cs="Times New Roman"/>
          <w:sz w:val="22"/>
          <w:szCs w:val="22"/>
        </w:rPr>
        <w:t xml:space="preserve"> Transformation</w:t>
      </w:r>
      <w:r w:rsidRPr="008E2AAB">
        <w:rPr>
          <w:rFonts w:ascii="Times New Roman" w:hAnsi="Times New Roman" w:cs="Times New Roman"/>
          <w:sz w:val="22"/>
          <w:szCs w:val="22"/>
        </w:rPr>
        <w:t>, Funding</w:t>
      </w:r>
      <w:r w:rsidR="00C2450B" w:rsidRPr="008E2AAB">
        <w:rPr>
          <w:rFonts w:ascii="Times New Roman" w:hAnsi="Times New Roman" w:cs="Times New Roman"/>
          <w:sz w:val="22"/>
          <w:szCs w:val="22"/>
        </w:rPr>
        <w:t xml:space="preserve"> Models</w:t>
      </w:r>
      <w:r w:rsidRPr="008E2AAB">
        <w:rPr>
          <w:rFonts w:ascii="Times New Roman" w:hAnsi="Times New Roman" w:cs="Times New Roman"/>
          <w:sz w:val="22"/>
          <w:szCs w:val="22"/>
        </w:rPr>
        <w:t>, University</w:t>
      </w:r>
      <w:r w:rsidR="00C2450B" w:rsidRPr="008E2AAB">
        <w:rPr>
          <w:rFonts w:ascii="Times New Roman" w:hAnsi="Times New Roman" w:cs="Times New Roman"/>
          <w:sz w:val="22"/>
          <w:szCs w:val="22"/>
        </w:rPr>
        <w:t xml:space="preserve"> Governance</w:t>
      </w:r>
      <w:r w:rsidRPr="008E2AAB">
        <w:rPr>
          <w:rFonts w:ascii="Times New Roman" w:hAnsi="Times New Roman" w:cs="Times New Roman"/>
          <w:sz w:val="22"/>
          <w:szCs w:val="22"/>
        </w:rPr>
        <w:t>, Nigeria</w:t>
      </w:r>
      <w:r w:rsidR="00C2450B" w:rsidRPr="008E2AAB">
        <w:rPr>
          <w:rFonts w:ascii="Times New Roman" w:hAnsi="Times New Roman" w:cs="Times New Roman"/>
          <w:sz w:val="22"/>
          <w:szCs w:val="22"/>
        </w:rPr>
        <w:t xml:space="preserve"> Education Policy</w:t>
      </w:r>
      <w:r w:rsidRPr="008E2AAB">
        <w:rPr>
          <w:rFonts w:ascii="Times New Roman" w:hAnsi="Times New Roman" w:cs="Times New Roman"/>
          <w:sz w:val="22"/>
          <w:szCs w:val="22"/>
        </w:rPr>
        <w:t>,</w:t>
      </w:r>
      <w:r w:rsidR="00C2450B" w:rsidRPr="008E2AAB">
        <w:rPr>
          <w:rFonts w:ascii="Times New Roman" w:hAnsi="Times New Roman" w:cs="Times New Roman"/>
          <w:sz w:val="22"/>
          <w:szCs w:val="22"/>
        </w:rPr>
        <w:t xml:space="preserve"> </w:t>
      </w:r>
      <w:r w:rsidRPr="008E2AAB">
        <w:rPr>
          <w:rFonts w:ascii="Times New Roman" w:hAnsi="Times New Roman" w:cs="Times New Roman"/>
          <w:sz w:val="22"/>
          <w:szCs w:val="22"/>
        </w:rPr>
        <w:t>Polytechnic-to-University Transition</w:t>
      </w:r>
      <w:r w:rsidR="00C2450B" w:rsidRPr="008E2AAB">
        <w:rPr>
          <w:rFonts w:ascii="Times New Roman" w:hAnsi="Times New Roman" w:cs="Times New Roman"/>
          <w:sz w:val="22"/>
          <w:szCs w:val="22"/>
        </w:rPr>
        <w:t xml:space="preserve">, Research and Innovation Capacity, </w:t>
      </w:r>
      <w:r w:rsidRPr="008E2AAB">
        <w:rPr>
          <w:rFonts w:ascii="Times New Roman" w:hAnsi="Times New Roman" w:cs="Times New Roman"/>
          <w:sz w:val="22"/>
          <w:szCs w:val="22"/>
        </w:rPr>
        <w:t>Technical and Vocational Education and Training (TVET)</w:t>
      </w:r>
    </w:p>
    <w:p w14:paraId="03941855" w14:textId="77777777" w:rsidR="00BE0C34" w:rsidRPr="008E2AAB" w:rsidRDefault="00BE0C34" w:rsidP="003C42DF">
      <w:pPr>
        <w:jc w:val="both"/>
        <w:rPr>
          <w:rFonts w:ascii="Times New Roman" w:hAnsi="Times New Roman" w:cs="Times New Roman"/>
          <w:sz w:val="22"/>
          <w:szCs w:val="22"/>
        </w:rPr>
      </w:pPr>
    </w:p>
    <w:p w14:paraId="193867E9" w14:textId="04D53D0F" w:rsidR="003C42DF" w:rsidRPr="008E2AAB" w:rsidRDefault="003C42DF" w:rsidP="003C42DF">
      <w:pPr>
        <w:jc w:val="both"/>
        <w:rPr>
          <w:rFonts w:ascii="Times New Roman" w:hAnsi="Times New Roman" w:cs="Times New Roman"/>
          <w:b/>
          <w:bCs/>
          <w:sz w:val="22"/>
          <w:szCs w:val="22"/>
        </w:rPr>
      </w:pPr>
      <w:r w:rsidRPr="008E2AAB">
        <w:rPr>
          <w:rFonts w:ascii="Times New Roman" w:hAnsi="Times New Roman" w:cs="Times New Roman"/>
          <w:b/>
          <w:bCs/>
          <w:sz w:val="22"/>
          <w:szCs w:val="22"/>
        </w:rPr>
        <w:t>Introduction</w:t>
      </w:r>
    </w:p>
    <w:p w14:paraId="14D3E06F" w14:textId="1087A69D" w:rsidR="00335D6F" w:rsidRDefault="00541CC7" w:rsidP="003C42DF">
      <w:pPr>
        <w:jc w:val="both"/>
        <w:rPr>
          <w:rFonts w:ascii="Times New Roman" w:hAnsi="Times New Roman" w:cs="Times New Roman"/>
          <w:sz w:val="22"/>
          <w:szCs w:val="22"/>
        </w:rPr>
      </w:pPr>
      <w:r w:rsidRPr="008E2AAB">
        <w:rPr>
          <w:rFonts w:ascii="Times New Roman" w:hAnsi="Times New Roman" w:cs="Times New Roman"/>
          <w:sz w:val="22"/>
          <w:szCs w:val="22"/>
        </w:rPr>
        <w:t xml:space="preserve">Nigeria is at a critical crossroads in the shifting landscape of higher education in sub-Saharan Africa. The recent government </w:t>
      </w:r>
      <w:r w:rsidR="0093559A">
        <w:rPr>
          <w:rFonts w:ascii="Times New Roman" w:hAnsi="Times New Roman" w:cs="Times New Roman"/>
          <w:sz w:val="22"/>
          <w:szCs w:val="22"/>
        </w:rPr>
        <w:t xml:space="preserve">(both states and federal) </w:t>
      </w:r>
      <w:r w:rsidRPr="008E2AAB">
        <w:rPr>
          <w:rFonts w:ascii="Times New Roman" w:hAnsi="Times New Roman" w:cs="Times New Roman"/>
          <w:sz w:val="22"/>
          <w:szCs w:val="22"/>
        </w:rPr>
        <w:t>action</w:t>
      </w:r>
      <w:r w:rsidR="0093559A">
        <w:rPr>
          <w:rFonts w:ascii="Times New Roman" w:hAnsi="Times New Roman" w:cs="Times New Roman"/>
          <w:sz w:val="22"/>
          <w:szCs w:val="22"/>
        </w:rPr>
        <w:t>s</w:t>
      </w:r>
      <w:r w:rsidRPr="008E2AAB">
        <w:rPr>
          <w:rFonts w:ascii="Times New Roman" w:hAnsi="Times New Roman" w:cs="Times New Roman"/>
          <w:sz w:val="22"/>
          <w:szCs w:val="22"/>
        </w:rPr>
        <w:t xml:space="preserve"> to</w:t>
      </w:r>
      <w:r w:rsidR="0040516E" w:rsidRPr="008E2AAB">
        <w:rPr>
          <w:rFonts w:ascii="Times New Roman" w:hAnsi="Times New Roman" w:cs="Times New Roman"/>
          <w:sz w:val="22"/>
          <w:szCs w:val="22"/>
        </w:rPr>
        <w:t xml:space="preserve"> convert selected</w:t>
      </w:r>
      <w:r w:rsidRPr="008E2AAB">
        <w:rPr>
          <w:rFonts w:ascii="Times New Roman" w:hAnsi="Times New Roman" w:cs="Times New Roman"/>
          <w:sz w:val="22"/>
          <w:szCs w:val="22"/>
        </w:rPr>
        <w:t xml:space="preserve"> </w:t>
      </w:r>
      <w:r w:rsidR="0093559A">
        <w:rPr>
          <w:rFonts w:ascii="Times New Roman" w:hAnsi="Times New Roman" w:cs="Times New Roman"/>
          <w:sz w:val="22"/>
          <w:szCs w:val="22"/>
        </w:rPr>
        <w:t>polytechnics</w:t>
      </w:r>
      <w:r w:rsidRPr="008E2AAB">
        <w:rPr>
          <w:rFonts w:ascii="Times New Roman" w:hAnsi="Times New Roman" w:cs="Times New Roman"/>
          <w:sz w:val="22"/>
          <w:szCs w:val="22"/>
        </w:rPr>
        <w:t xml:space="preserve"> into technology universities is not just a reclassification of the administration; it marks a reorganization of the nation’s education priorities. This transition is part of a broader programme to bridge the long-standing gap between technical and </w:t>
      </w:r>
      <w:r w:rsidR="00335D6F">
        <w:rPr>
          <w:rFonts w:ascii="Times New Roman" w:hAnsi="Times New Roman" w:cs="Times New Roman"/>
          <w:sz w:val="22"/>
          <w:szCs w:val="22"/>
        </w:rPr>
        <w:t xml:space="preserve">academic </w:t>
      </w:r>
      <w:r w:rsidRPr="008E2AAB">
        <w:rPr>
          <w:rFonts w:ascii="Times New Roman" w:hAnsi="Times New Roman" w:cs="Times New Roman"/>
          <w:sz w:val="22"/>
          <w:szCs w:val="22"/>
        </w:rPr>
        <w:t xml:space="preserve">education, to improve the status of technical and vocational </w:t>
      </w:r>
      <w:r w:rsidR="00335D6F">
        <w:rPr>
          <w:rFonts w:ascii="Times New Roman" w:hAnsi="Times New Roman" w:cs="Times New Roman"/>
          <w:sz w:val="22"/>
          <w:szCs w:val="22"/>
        </w:rPr>
        <w:t xml:space="preserve">education </w:t>
      </w:r>
      <w:r w:rsidRPr="008E2AAB">
        <w:rPr>
          <w:rFonts w:ascii="Times New Roman" w:hAnsi="Times New Roman" w:cs="Times New Roman"/>
          <w:sz w:val="22"/>
          <w:szCs w:val="22"/>
        </w:rPr>
        <w:t xml:space="preserve">training </w:t>
      </w:r>
      <w:r w:rsidRPr="008E2AAB">
        <w:rPr>
          <w:rFonts w:ascii="Times New Roman" w:hAnsi="Times New Roman" w:cs="Times New Roman"/>
          <w:sz w:val="22"/>
          <w:szCs w:val="22"/>
        </w:rPr>
        <w:lastRenderedPageBreak/>
        <w:t xml:space="preserve">(TVET) and to respond to the growing demand for globally competitive skills in the scientific, technological and innovation-oriented sectors (Federal Ministry of Education, 2020). </w:t>
      </w:r>
    </w:p>
    <w:p w14:paraId="2CB66690" w14:textId="6BF69618" w:rsidR="00541CC7" w:rsidRDefault="00541CC7" w:rsidP="003C42DF">
      <w:pPr>
        <w:jc w:val="both"/>
        <w:rPr>
          <w:rFonts w:ascii="Times New Roman" w:hAnsi="Times New Roman" w:cs="Times New Roman"/>
          <w:sz w:val="22"/>
          <w:szCs w:val="22"/>
        </w:rPr>
      </w:pPr>
      <w:r w:rsidRPr="008E2AAB">
        <w:rPr>
          <w:rFonts w:ascii="Times New Roman" w:hAnsi="Times New Roman" w:cs="Times New Roman"/>
          <w:sz w:val="22"/>
          <w:szCs w:val="22"/>
        </w:rPr>
        <w:t xml:space="preserve">Although </w:t>
      </w:r>
      <w:r w:rsidR="00335D6F">
        <w:rPr>
          <w:rFonts w:ascii="Times New Roman" w:hAnsi="Times New Roman" w:cs="Times New Roman"/>
          <w:sz w:val="22"/>
          <w:szCs w:val="22"/>
        </w:rPr>
        <w:t xml:space="preserve">the </w:t>
      </w:r>
      <w:r w:rsidRPr="008E2AAB">
        <w:rPr>
          <w:rFonts w:ascii="Times New Roman" w:hAnsi="Times New Roman" w:cs="Times New Roman"/>
          <w:sz w:val="22"/>
          <w:szCs w:val="22"/>
        </w:rPr>
        <w:t>poli</w:t>
      </w:r>
      <w:r w:rsidR="00335D6F">
        <w:rPr>
          <w:rFonts w:ascii="Times New Roman" w:hAnsi="Times New Roman" w:cs="Times New Roman"/>
          <w:sz w:val="22"/>
          <w:szCs w:val="22"/>
        </w:rPr>
        <w:t>cy</w:t>
      </w:r>
      <w:r w:rsidRPr="008E2AAB">
        <w:rPr>
          <w:rFonts w:ascii="Times New Roman" w:hAnsi="Times New Roman" w:cs="Times New Roman"/>
          <w:sz w:val="22"/>
          <w:szCs w:val="22"/>
        </w:rPr>
        <w:t xml:space="preserve"> intentions are laudable, operationalizing such conversions poses significant challenges. Polytechnic institutions, historically oriented towards </w:t>
      </w:r>
      <w:r w:rsidR="00335D6F">
        <w:rPr>
          <w:rFonts w:ascii="Times New Roman" w:hAnsi="Times New Roman" w:cs="Times New Roman"/>
          <w:sz w:val="22"/>
          <w:szCs w:val="22"/>
        </w:rPr>
        <w:t>‘</w:t>
      </w:r>
      <w:r w:rsidRPr="008E2AAB">
        <w:rPr>
          <w:rFonts w:ascii="Times New Roman" w:hAnsi="Times New Roman" w:cs="Times New Roman"/>
          <w:sz w:val="22"/>
          <w:szCs w:val="22"/>
        </w:rPr>
        <w:t xml:space="preserve">medium-level </w:t>
      </w:r>
      <w:r w:rsidR="00335D6F">
        <w:rPr>
          <w:rFonts w:ascii="Times New Roman" w:hAnsi="Times New Roman" w:cs="Times New Roman"/>
          <w:sz w:val="22"/>
          <w:szCs w:val="22"/>
        </w:rPr>
        <w:t>manpower’</w:t>
      </w:r>
      <w:r w:rsidRPr="008E2AAB">
        <w:rPr>
          <w:rFonts w:ascii="Times New Roman" w:hAnsi="Times New Roman" w:cs="Times New Roman"/>
          <w:sz w:val="22"/>
          <w:szCs w:val="22"/>
        </w:rPr>
        <w:t xml:space="preserve"> and practical training, are now facing the complex task of becoming </w:t>
      </w:r>
      <w:r w:rsidR="00335D6F">
        <w:rPr>
          <w:rFonts w:ascii="Times New Roman" w:hAnsi="Times New Roman" w:cs="Times New Roman"/>
          <w:sz w:val="22"/>
          <w:szCs w:val="22"/>
        </w:rPr>
        <w:t xml:space="preserve">research driven </w:t>
      </w:r>
      <w:r w:rsidRPr="008E2AAB">
        <w:rPr>
          <w:rFonts w:ascii="Times New Roman" w:hAnsi="Times New Roman" w:cs="Times New Roman"/>
          <w:sz w:val="22"/>
          <w:szCs w:val="22"/>
        </w:rPr>
        <w:t>universities award</w:t>
      </w:r>
      <w:r w:rsidR="00335D6F">
        <w:rPr>
          <w:rFonts w:ascii="Times New Roman" w:hAnsi="Times New Roman" w:cs="Times New Roman"/>
          <w:sz w:val="22"/>
          <w:szCs w:val="22"/>
        </w:rPr>
        <w:t>ing degrees</w:t>
      </w:r>
      <w:r w:rsidRPr="008E2AAB">
        <w:rPr>
          <w:rFonts w:ascii="Times New Roman" w:hAnsi="Times New Roman" w:cs="Times New Roman"/>
          <w:sz w:val="22"/>
          <w:szCs w:val="22"/>
        </w:rPr>
        <w:t>. This transformation is not linear or automatic, it requires institutional restructuring, ideological reorientation and systemic investment. The process is even more complicated by issues of compliance with regulations, infrastructure limitations and internal capacity gaps, especially in terms of staffing, research output and program development (</w:t>
      </w:r>
      <w:proofErr w:type="spellStart"/>
      <w:r w:rsidRPr="008E2AAB">
        <w:rPr>
          <w:rFonts w:ascii="Times New Roman" w:hAnsi="Times New Roman" w:cs="Times New Roman"/>
          <w:sz w:val="22"/>
          <w:szCs w:val="22"/>
        </w:rPr>
        <w:t>Okebukola</w:t>
      </w:r>
      <w:proofErr w:type="spellEnd"/>
      <w:r w:rsidRPr="008E2AAB">
        <w:rPr>
          <w:rFonts w:ascii="Times New Roman" w:hAnsi="Times New Roman" w:cs="Times New Roman"/>
          <w:sz w:val="22"/>
          <w:szCs w:val="22"/>
        </w:rPr>
        <w:t xml:space="preserve"> 2021; </w:t>
      </w:r>
      <w:proofErr w:type="spellStart"/>
      <w:r w:rsidRPr="008E2AAB">
        <w:rPr>
          <w:rFonts w:ascii="Times New Roman" w:hAnsi="Times New Roman" w:cs="Times New Roman"/>
          <w:sz w:val="22"/>
          <w:szCs w:val="22"/>
        </w:rPr>
        <w:t>Aina</w:t>
      </w:r>
      <w:proofErr w:type="spellEnd"/>
      <w:r w:rsidRPr="008E2AAB">
        <w:rPr>
          <w:rFonts w:ascii="Times New Roman" w:hAnsi="Times New Roman" w:cs="Times New Roman"/>
          <w:sz w:val="22"/>
          <w:szCs w:val="22"/>
        </w:rPr>
        <w:t xml:space="preserve"> 2018).</w:t>
      </w:r>
    </w:p>
    <w:p w14:paraId="2240CC23" w14:textId="0798DF75" w:rsidR="00ED0EE0" w:rsidRPr="008E2AAB" w:rsidRDefault="00ED0EE0" w:rsidP="003C42DF">
      <w:pPr>
        <w:jc w:val="both"/>
        <w:rPr>
          <w:rFonts w:ascii="Times New Roman" w:hAnsi="Times New Roman" w:cs="Times New Roman"/>
          <w:sz w:val="22"/>
          <w:szCs w:val="22"/>
        </w:rPr>
      </w:pPr>
      <w:r w:rsidRPr="00ED0EE0">
        <w:rPr>
          <w:rFonts w:ascii="Times New Roman" w:hAnsi="Times New Roman" w:cs="Times New Roman"/>
          <w:sz w:val="22"/>
          <w:szCs w:val="22"/>
        </w:rPr>
        <w:t xml:space="preserve">At the </w:t>
      </w:r>
      <w:r>
        <w:rPr>
          <w:rFonts w:ascii="Times New Roman" w:hAnsi="Times New Roman" w:cs="Times New Roman"/>
          <w:sz w:val="22"/>
          <w:szCs w:val="22"/>
        </w:rPr>
        <w:t>center</w:t>
      </w:r>
      <w:r w:rsidRPr="00ED0EE0">
        <w:rPr>
          <w:rFonts w:ascii="Times New Roman" w:hAnsi="Times New Roman" w:cs="Times New Roman"/>
          <w:sz w:val="22"/>
          <w:szCs w:val="22"/>
        </w:rPr>
        <w:t xml:space="preserve"> of this transformation lie five critical pillars: accreditation, funding, institutional ranking, academic structure, and curriculum reform. Each of these </w:t>
      </w:r>
      <w:r>
        <w:rPr>
          <w:rFonts w:ascii="Times New Roman" w:hAnsi="Times New Roman" w:cs="Times New Roman"/>
          <w:sz w:val="22"/>
          <w:szCs w:val="22"/>
        </w:rPr>
        <w:t xml:space="preserve">pillars, though require </w:t>
      </w:r>
      <w:r w:rsidRPr="00ED0EE0">
        <w:rPr>
          <w:rFonts w:ascii="Times New Roman" w:hAnsi="Times New Roman" w:cs="Times New Roman"/>
          <w:sz w:val="22"/>
          <w:szCs w:val="22"/>
        </w:rPr>
        <w:t xml:space="preserve">internal </w:t>
      </w:r>
      <w:r>
        <w:rPr>
          <w:rFonts w:ascii="Times New Roman" w:hAnsi="Times New Roman" w:cs="Times New Roman"/>
          <w:sz w:val="22"/>
          <w:szCs w:val="22"/>
        </w:rPr>
        <w:t xml:space="preserve">organizational </w:t>
      </w:r>
      <w:r w:rsidRPr="00ED0EE0">
        <w:rPr>
          <w:rFonts w:ascii="Times New Roman" w:hAnsi="Times New Roman" w:cs="Times New Roman"/>
          <w:sz w:val="22"/>
          <w:szCs w:val="22"/>
        </w:rPr>
        <w:t>c</w:t>
      </w:r>
      <w:r>
        <w:rPr>
          <w:rFonts w:ascii="Times New Roman" w:hAnsi="Times New Roman" w:cs="Times New Roman"/>
          <w:sz w:val="22"/>
          <w:szCs w:val="22"/>
        </w:rPr>
        <w:t>ompetence,</w:t>
      </w:r>
      <w:r w:rsidRPr="00ED0EE0">
        <w:rPr>
          <w:rFonts w:ascii="Times New Roman" w:hAnsi="Times New Roman" w:cs="Times New Roman"/>
          <w:sz w:val="22"/>
          <w:szCs w:val="22"/>
        </w:rPr>
        <w:t xml:space="preserve"> also signals the broader policy environment and expectations from regulatory bodies such as the National Universities Commission (NUC). Accreditation, for instance, sets the threshold for program legitimacy, staff qualifications, and physical infrastructure. Funding determines the pace and scale of reform. Institutional ranking affects visibility and credibility, while academic restructuring and curriculum renewal shape the very nature of learning, teaching, and research in the emerging university.</w:t>
      </w:r>
    </w:p>
    <w:p w14:paraId="35FAE174" w14:textId="77777777" w:rsidR="00D76458" w:rsidRDefault="00541CC7" w:rsidP="003C42DF">
      <w:pPr>
        <w:jc w:val="both"/>
        <w:rPr>
          <w:rFonts w:ascii="Times New Roman" w:hAnsi="Times New Roman" w:cs="Times New Roman"/>
          <w:sz w:val="22"/>
          <w:szCs w:val="22"/>
        </w:rPr>
      </w:pPr>
      <w:r w:rsidRPr="008E2AAB">
        <w:rPr>
          <w:rFonts w:ascii="Times New Roman" w:hAnsi="Times New Roman" w:cs="Times New Roman"/>
          <w:sz w:val="22"/>
          <w:szCs w:val="22"/>
        </w:rPr>
        <w:t xml:space="preserve">In this context, three research problems arise: 1) the institutional apprehension of university-level accreditation and staffing requirements; 2) inadequate and fragmented funding structures; and 3) the possible erosion of TVET's identity when entering university status. These challenges </w:t>
      </w:r>
      <w:r w:rsidR="00D76458">
        <w:rPr>
          <w:rFonts w:ascii="Times New Roman" w:hAnsi="Times New Roman" w:cs="Times New Roman"/>
          <w:sz w:val="22"/>
          <w:szCs w:val="22"/>
        </w:rPr>
        <w:t xml:space="preserve">necessitate </w:t>
      </w:r>
      <w:r w:rsidRPr="008E2AAB">
        <w:rPr>
          <w:rFonts w:ascii="Times New Roman" w:hAnsi="Times New Roman" w:cs="Times New Roman"/>
          <w:sz w:val="22"/>
          <w:szCs w:val="22"/>
        </w:rPr>
        <w:t xml:space="preserve">the need for a </w:t>
      </w:r>
      <w:r w:rsidR="00D76458">
        <w:rPr>
          <w:rFonts w:ascii="Times New Roman" w:hAnsi="Times New Roman" w:cs="Times New Roman"/>
          <w:sz w:val="22"/>
          <w:szCs w:val="22"/>
        </w:rPr>
        <w:t>study that will focus on</w:t>
      </w:r>
      <w:r w:rsidRPr="008E2AAB">
        <w:rPr>
          <w:rFonts w:ascii="Times New Roman" w:hAnsi="Times New Roman" w:cs="Times New Roman"/>
          <w:sz w:val="22"/>
          <w:szCs w:val="22"/>
        </w:rPr>
        <w:t xml:space="preserve"> the conditions under which such transitions can be successful. </w:t>
      </w:r>
    </w:p>
    <w:p w14:paraId="52948FCD" w14:textId="06CCF394" w:rsidR="003C42DF" w:rsidRPr="008E2AAB" w:rsidRDefault="00541CC7" w:rsidP="003C42DF">
      <w:pPr>
        <w:jc w:val="both"/>
        <w:rPr>
          <w:rFonts w:ascii="Times New Roman" w:hAnsi="Times New Roman" w:cs="Times New Roman"/>
          <w:sz w:val="22"/>
          <w:szCs w:val="22"/>
        </w:rPr>
      </w:pPr>
      <w:r w:rsidRPr="008E2AAB">
        <w:rPr>
          <w:rFonts w:ascii="Times New Roman" w:hAnsi="Times New Roman" w:cs="Times New Roman"/>
          <w:sz w:val="22"/>
          <w:szCs w:val="22"/>
        </w:rPr>
        <w:t xml:space="preserve">Consequently, the objective of this study is to investigate how five critical dimensions (accreditation, funding, institutional </w:t>
      </w:r>
      <w:r w:rsidR="00D76458">
        <w:rPr>
          <w:rFonts w:ascii="Times New Roman" w:hAnsi="Times New Roman" w:cs="Times New Roman"/>
          <w:sz w:val="22"/>
          <w:szCs w:val="22"/>
        </w:rPr>
        <w:t>ranking</w:t>
      </w:r>
      <w:r w:rsidRPr="008E2AAB">
        <w:rPr>
          <w:rFonts w:ascii="Times New Roman" w:hAnsi="Times New Roman" w:cs="Times New Roman"/>
          <w:sz w:val="22"/>
          <w:szCs w:val="22"/>
        </w:rPr>
        <w:t xml:space="preserve">, </w:t>
      </w:r>
      <w:r w:rsidR="00D76458">
        <w:rPr>
          <w:rFonts w:ascii="Times New Roman" w:hAnsi="Times New Roman" w:cs="Times New Roman"/>
          <w:sz w:val="22"/>
          <w:szCs w:val="22"/>
        </w:rPr>
        <w:t xml:space="preserve">academic </w:t>
      </w:r>
      <w:r w:rsidRPr="008E2AAB">
        <w:rPr>
          <w:rFonts w:ascii="Times New Roman" w:hAnsi="Times New Roman" w:cs="Times New Roman"/>
          <w:sz w:val="22"/>
          <w:szCs w:val="22"/>
        </w:rPr>
        <w:t>structure and curriculum reform) contribute to the trajectory of Nigeria's transition from Polytechnic to University. In particular,</w:t>
      </w:r>
      <w:r w:rsidR="003C42DF" w:rsidRPr="008E2AAB">
        <w:rPr>
          <w:rFonts w:ascii="Times New Roman" w:hAnsi="Times New Roman" w:cs="Times New Roman"/>
          <w:sz w:val="22"/>
          <w:szCs w:val="22"/>
        </w:rPr>
        <w:t xml:space="preserve"> the study seeks to answer the following research questions:</w:t>
      </w:r>
    </w:p>
    <w:p w14:paraId="25E18A78" w14:textId="0B46A7F7" w:rsidR="003C42DF" w:rsidRPr="008E2AAB" w:rsidRDefault="003C42DF" w:rsidP="003C42DF">
      <w:pPr>
        <w:pStyle w:val="ListParagraph"/>
        <w:numPr>
          <w:ilvl w:val="0"/>
          <w:numId w:val="1"/>
        </w:numPr>
        <w:jc w:val="both"/>
        <w:rPr>
          <w:rFonts w:ascii="Times New Roman" w:hAnsi="Times New Roman" w:cs="Times New Roman"/>
          <w:sz w:val="22"/>
          <w:szCs w:val="22"/>
        </w:rPr>
      </w:pPr>
      <w:r w:rsidRPr="008E2AAB">
        <w:rPr>
          <w:rFonts w:ascii="Times New Roman" w:hAnsi="Times New Roman" w:cs="Times New Roman"/>
          <w:sz w:val="22"/>
          <w:szCs w:val="22"/>
        </w:rPr>
        <w:t>How do accreditation requirements influence institutional restructuring and quality assurance in transitioning institutions?</w:t>
      </w:r>
    </w:p>
    <w:p w14:paraId="3F595555" w14:textId="30A664D4" w:rsidR="003C42DF" w:rsidRPr="008E2AAB" w:rsidRDefault="003C42DF" w:rsidP="003C42DF">
      <w:pPr>
        <w:pStyle w:val="ListParagraph"/>
        <w:numPr>
          <w:ilvl w:val="0"/>
          <w:numId w:val="1"/>
        </w:numPr>
        <w:jc w:val="both"/>
        <w:rPr>
          <w:rFonts w:ascii="Times New Roman" w:hAnsi="Times New Roman" w:cs="Times New Roman"/>
          <w:sz w:val="22"/>
          <w:szCs w:val="22"/>
        </w:rPr>
      </w:pPr>
      <w:r w:rsidRPr="008E2AAB">
        <w:rPr>
          <w:rFonts w:ascii="Times New Roman" w:hAnsi="Times New Roman" w:cs="Times New Roman"/>
          <w:sz w:val="22"/>
          <w:szCs w:val="22"/>
        </w:rPr>
        <w:t>What funding models are currently available, and how adequate are they in supporting institutional transformation?</w:t>
      </w:r>
    </w:p>
    <w:p w14:paraId="5D0F6ED5" w14:textId="7A76F865" w:rsidR="003C42DF" w:rsidRPr="008E2AAB" w:rsidRDefault="003C42DF" w:rsidP="003C42DF">
      <w:pPr>
        <w:pStyle w:val="ListParagraph"/>
        <w:numPr>
          <w:ilvl w:val="0"/>
          <w:numId w:val="1"/>
        </w:numPr>
        <w:jc w:val="both"/>
        <w:rPr>
          <w:rFonts w:ascii="Times New Roman" w:hAnsi="Times New Roman" w:cs="Times New Roman"/>
          <w:sz w:val="22"/>
          <w:szCs w:val="22"/>
        </w:rPr>
      </w:pPr>
      <w:r w:rsidRPr="008E2AAB">
        <w:rPr>
          <w:rFonts w:ascii="Times New Roman" w:hAnsi="Times New Roman" w:cs="Times New Roman"/>
          <w:sz w:val="22"/>
          <w:szCs w:val="22"/>
        </w:rPr>
        <w:t>How do institutional ranking mechanisms impact the visibility and competitiveness of newly converted universities?</w:t>
      </w:r>
    </w:p>
    <w:p w14:paraId="27AABC5A" w14:textId="412443A9" w:rsidR="003C42DF" w:rsidRPr="008E2AAB" w:rsidRDefault="003C42DF" w:rsidP="003C42DF">
      <w:pPr>
        <w:pStyle w:val="ListParagraph"/>
        <w:numPr>
          <w:ilvl w:val="0"/>
          <w:numId w:val="1"/>
        </w:numPr>
        <w:jc w:val="both"/>
        <w:rPr>
          <w:rFonts w:ascii="Times New Roman" w:hAnsi="Times New Roman" w:cs="Times New Roman"/>
          <w:sz w:val="22"/>
          <w:szCs w:val="22"/>
        </w:rPr>
      </w:pPr>
      <w:r w:rsidRPr="008E2AAB">
        <w:rPr>
          <w:rFonts w:ascii="Times New Roman" w:hAnsi="Times New Roman" w:cs="Times New Roman"/>
          <w:sz w:val="22"/>
          <w:szCs w:val="22"/>
        </w:rPr>
        <w:t>In what ways are academic structures and governance systems being reorganized to reflect university standards?</w:t>
      </w:r>
    </w:p>
    <w:p w14:paraId="511CA147" w14:textId="274485BC" w:rsidR="003C42DF" w:rsidRPr="008E2AAB" w:rsidRDefault="003C42DF" w:rsidP="003C42DF">
      <w:pPr>
        <w:pStyle w:val="ListParagraph"/>
        <w:numPr>
          <w:ilvl w:val="0"/>
          <w:numId w:val="1"/>
        </w:numPr>
        <w:jc w:val="both"/>
        <w:rPr>
          <w:rFonts w:ascii="Times New Roman" w:hAnsi="Times New Roman" w:cs="Times New Roman"/>
          <w:sz w:val="22"/>
          <w:szCs w:val="22"/>
        </w:rPr>
      </w:pPr>
      <w:r w:rsidRPr="008E2AAB">
        <w:rPr>
          <w:rFonts w:ascii="Times New Roman" w:hAnsi="Times New Roman" w:cs="Times New Roman"/>
          <w:sz w:val="22"/>
          <w:szCs w:val="22"/>
        </w:rPr>
        <w:t>What are the challenges and strategies for aligning curriculum reform with both university expectations and TVET identity?</w:t>
      </w:r>
    </w:p>
    <w:p w14:paraId="52640D23" w14:textId="3555BD0A" w:rsidR="003C42DF" w:rsidRPr="008E2AAB" w:rsidRDefault="003C42DF" w:rsidP="003C42DF">
      <w:pPr>
        <w:jc w:val="both"/>
        <w:rPr>
          <w:rFonts w:ascii="Times New Roman" w:hAnsi="Times New Roman" w:cs="Times New Roman"/>
          <w:sz w:val="22"/>
          <w:szCs w:val="22"/>
        </w:rPr>
      </w:pPr>
      <w:r w:rsidRPr="008E2AAB">
        <w:rPr>
          <w:rFonts w:ascii="Times New Roman" w:hAnsi="Times New Roman" w:cs="Times New Roman"/>
          <w:sz w:val="22"/>
          <w:szCs w:val="22"/>
        </w:rPr>
        <w:t xml:space="preserve">This study is both </w:t>
      </w:r>
      <w:r w:rsidR="001452DA" w:rsidRPr="008E2AAB">
        <w:rPr>
          <w:rFonts w:ascii="Times New Roman" w:hAnsi="Times New Roman" w:cs="Times New Roman"/>
          <w:sz w:val="22"/>
          <w:szCs w:val="22"/>
        </w:rPr>
        <w:t>exploratory</w:t>
      </w:r>
      <w:r w:rsidRPr="008E2AAB">
        <w:rPr>
          <w:rFonts w:ascii="Times New Roman" w:hAnsi="Times New Roman" w:cs="Times New Roman"/>
          <w:sz w:val="22"/>
          <w:szCs w:val="22"/>
        </w:rPr>
        <w:t xml:space="preserve"> and analytical. It is exploratory because the institutional transformation of polytechnics in Nigeria remains an evolving policy terrain with limited empirical studies. It is analytical in its effort to evaluate the interplay between structural reforms and institutional agency, drawing insights from national policy documents, accreditation frameworks, and scholarly literature. Through this dual lens, the paper contributes to ongoing debates on higher education transformation, institutional differentiation, and the evolving role of regulatory frameworks in shaping educational outcomes in the Global South.</w:t>
      </w:r>
    </w:p>
    <w:p w14:paraId="0927BBE6" w14:textId="77777777" w:rsidR="0033777E" w:rsidRPr="008E2AAB" w:rsidRDefault="0033777E" w:rsidP="001452DA">
      <w:pPr>
        <w:jc w:val="both"/>
        <w:rPr>
          <w:rFonts w:ascii="Times New Roman" w:hAnsi="Times New Roman" w:cs="Times New Roman"/>
          <w:b/>
          <w:bCs/>
          <w:sz w:val="22"/>
          <w:szCs w:val="22"/>
        </w:rPr>
      </w:pPr>
    </w:p>
    <w:p w14:paraId="3041DB62" w14:textId="2E157B4B" w:rsidR="001452DA" w:rsidRPr="008E2AAB" w:rsidRDefault="001452DA" w:rsidP="001452DA">
      <w:pPr>
        <w:jc w:val="both"/>
        <w:rPr>
          <w:rFonts w:ascii="Times New Roman" w:hAnsi="Times New Roman" w:cs="Times New Roman"/>
          <w:b/>
          <w:bCs/>
          <w:sz w:val="22"/>
          <w:szCs w:val="22"/>
        </w:rPr>
      </w:pPr>
      <w:r w:rsidRPr="008E2AAB">
        <w:rPr>
          <w:rFonts w:ascii="Times New Roman" w:hAnsi="Times New Roman" w:cs="Times New Roman"/>
          <w:b/>
          <w:bCs/>
          <w:sz w:val="22"/>
          <w:szCs w:val="22"/>
        </w:rPr>
        <w:t>Literature Review</w:t>
      </w:r>
    </w:p>
    <w:p w14:paraId="693AE975" w14:textId="6E768FCC" w:rsidR="00DB5C57" w:rsidRPr="008E2AAB" w:rsidRDefault="00DB5C57" w:rsidP="001452DA">
      <w:pPr>
        <w:jc w:val="both"/>
        <w:rPr>
          <w:rFonts w:ascii="Times New Roman" w:hAnsi="Times New Roman" w:cs="Times New Roman"/>
          <w:b/>
          <w:bCs/>
          <w:sz w:val="22"/>
          <w:szCs w:val="22"/>
        </w:rPr>
      </w:pPr>
      <w:r w:rsidRPr="008E2AAB">
        <w:rPr>
          <w:rFonts w:ascii="Times New Roman" w:hAnsi="Times New Roman" w:cs="Times New Roman"/>
          <w:b/>
          <w:bCs/>
          <w:sz w:val="22"/>
          <w:szCs w:val="22"/>
        </w:rPr>
        <w:t>Global Case Comparison</w:t>
      </w:r>
    </w:p>
    <w:p w14:paraId="6E3DC23C" w14:textId="23D2CE23" w:rsidR="001452DA" w:rsidRPr="008E2AAB" w:rsidRDefault="001452DA" w:rsidP="001452DA">
      <w:pPr>
        <w:jc w:val="both"/>
        <w:rPr>
          <w:rFonts w:ascii="Times New Roman" w:hAnsi="Times New Roman" w:cs="Times New Roman"/>
          <w:sz w:val="22"/>
          <w:szCs w:val="22"/>
        </w:rPr>
      </w:pPr>
      <w:r w:rsidRPr="008E2AAB">
        <w:rPr>
          <w:rFonts w:ascii="Times New Roman" w:hAnsi="Times New Roman" w:cs="Times New Roman"/>
          <w:sz w:val="22"/>
          <w:szCs w:val="22"/>
        </w:rPr>
        <w:t>The transformation of polytechnics into universities has gained momentum in several countries as governments seek to align higher education systems with labour market demands and global innovation goals. This evolution is often driven by the belief that higher academic status and expanded research mandates will yield stronger institutional capacity, broader access to quality education, and improved graduate employability (Wheelahan &amp; Moodie, 2017).</w:t>
      </w:r>
    </w:p>
    <w:p w14:paraId="01BBACA8" w14:textId="0BEA7D90" w:rsidR="001452DA" w:rsidRPr="008E2AAB" w:rsidRDefault="001452DA" w:rsidP="001452DA">
      <w:pPr>
        <w:jc w:val="both"/>
        <w:rPr>
          <w:rFonts w:ascii="Times New Roman" w:hAnsi="Times New Roman" w:cs="Times New Roman"/>
          <w:sz w:val="22"/>
          <w:szCs w:val="22"/>
        </w:rPr>
      </w:pPr>
      <w:r w:rsidRPr="008E2AAB">
        <w:rPr>
          <w:rFonts w:ascii="Times New Roman" w:hAnsi="Times New Roman" w:cs="Times New Roman"/>
          <w:sz w:val="22"/>
          <w:szCs w:val="22"/>
        </w:rPr>
        <w:t>Comparative studies from other national contexts offer valuable insights. In South Africa, for example, the transformation of technikons into universities of technology was part of a broader post-apartheid effort to democratize access to higher education and to integrate the system under a unified regulatory framework. Although the process led to improved institutional parity, challenges around research output, staff qualifications, and funding persisted for years after the formal transition (Akoojee, 2008). Similarly, in the United Kingdom, the 1992 Further and Higher Education Act enabled polytechnics to become universities. While this policy removed the hierarchical divide between academic and technical institutions, it placed immense pressure on the newly established universities to meet research benchmarks and compete for funding—realities that reshaped institutional identity and governance (Taylor, 2010).</w:t>
      </w:r>
    </w:p>
    <w:p w14:paraId="22D9BB10" w14:textId="53EDA004" w:rsidR="0093559A" w:rsidRDefault="0004379C" w:rsidP="001452DA">
      <w:pPr>
        <w:jc w:val="both"/>
        <w:rPr>
          <w:rFonts w:ascii="Times New Roman" w:hAnsi="Times New Roman" w:cs="Times New Roman"/>
          <w:sz w:val="22"/>
          <w:szCs w:val="22"/>
        </w:rPr>
      </w:pPr>
      <w:r w:rsidRPr="008E2AAB">
        <w:rPr>
          <w:rFonts w:ascii="Times New Roman" w:hAnsi="Times New Roman" w:cs="Times New Roman"/>
          <w:sz w:val="22"/>
          <w:szCs w:val="22"/>
        </w:rPr>
        <w:t>In Asia, countries such as South Korea and Malaysia have followed a similar path, turning technical universities into applied sciences or technical universities to promote innovation and industrial competitiveness.</w:t>
      </w:r>
      <w:r w:rsidR="0093559A">
        <w:rPr>
          <w:rFonts w:ascii="Times New Roman" w:hAnsi="Times New Roman" w:cs="Times New Roman"/>
          <w:sz w:val="22"/>
          <w:szCs w:val="22"/>
        </w:rPr>
        <w:t xml:space="preserve"> </w:t>
      </w:r>
      <w:r w:rsidRPr="008E2AAB">
        <w:rPr>
          <w:rFonts w:ascii="Times New Roman" w:hAnsi="Times New Roman" w:cs="Times New Roman"/>
          <w:sz w:val="22"/>
          <w:szCs w:val="22"/>
        </w:rPr>
        <w:t xml:space="preserve">In South Korea, the success of this model depends on sustained investment in research infrastructure and faculty development, as well as strong industrial connections (Lee, 2015). </w:t>
      </w:r>
      <w:r w:rsidR="0093559A" w:rsidRPr="008E2AAB">
        <w:rPr>
          <w:rFonts w:ascii="Times New Roman" w:hAnsi="Times New Roman" w:cs="Times New Roman"/>
          <w:sz w:val="22"/>
          <w:szCs w:val="22"/>
        </w:rPr>
        <w:t>Malaysia's approach focuses on curriculum modernization, internationalization and expansion of postgraduate training, enabling institutions to gradually build their reputation and research results (Lim, 2018).</w:t>
      </w:r>
    </w:p>
    <w:p w14:paraId="6A2FA5D4" w14:textId="66F36795" w:rsidR="00DB5C57" w:rsidRPr="008E2AAB" w:rsidRDefault="0004379C" w:rsidP="001452DA">
      <w:pPr>
        <w:jc w:val="both"/>
        <w:rPr>
          <w:rFonts w:ascii="Times New Roman" w:hAnsi="Times New Roman" w:cs="Times New Roman"/>
          <w:sz w:val="22"/>
          <w:szCs w:val="22"/>
        </w:rPr>
      </w:pPr>
      <w:r w:rsidRPr="008E2AAB">
        <w:rPr>
          <w:rFonts w:ascii="Times New Roman" w:hAnsi="Times New Roman" w:cs="Times New Roman"/>
          <w:sz w:val="22"/>
          <w:szCs w:val="22"/>
        </w:rPr>
        <w:t xml:space="preserve">These global examples show that a successful transition depends on several factors: alignment with national development objectives, clear regulatory frameworks, consistent funding and gradual implementation rather than abrupt implementation. In particular, the literature also warns against over-emphasizing status changes without addressing fundamental institutional shortcomings. In many cases, old polytechnics struggle to redefine their mission in university spaces because they often lack the research culture, governance structures or staffing capacity for the operation of university operations (Santiago et al., 2008). </w:t>
      </w:r>
    </w:p>
    <w:p w14:paraId="1EEDC3A3" w14:textId="17E76572" w:rsidR="00DB5C57" w:rsidRPr="008E2AAB" w:rsidRDefault="00DB5C57" w:rsidP="001452DA">
      <w:pPr>
        <w:jc w:val="both"/>
        <w:rPr>
          <w:rFonts w:ascii="Times New Roman" w:hAnsi="Times New Roman" w:cs="Times New Roman"/>
          <w:b/>
          <w:bCs/>
          <w:sz w:val="22"/>
          <w:szCs w:val="22"/>
        </w:rPr>
      </w:pPr>
      <w:r w:rsidRPr="008E2AAB">
        <w:rPr>
          <w:rFonts w:ascii="Times New Roman" w:hAnsi="Times New Roman" w:cs="Times New Roman"/>
          <w:b/>
          <w:bCs/>
          <w:sz w:val="22"/>
          <w:szCs w:val="22"/>
        </w:rPr>
        <w:t>Nigeria-Specific Challenges</w:t>
      </w:r>
    </w:p>
    <w:p w14:paraId="077550D5" w14:textId="4039A249" w:rsidR="00DB5C57" w:rsidRPr="008E2AAB" w:rsidRDefault="00DB5C57" w:rsidP="001452DA">
      <w:pPr>
        <w:jc w:val="both"/>
        <w:rPr>
          <w:rFonts w:ascii="Times New Roman" w:hAnsi="Times New Roman" w:cs="Times New Roman"/>
          <w:sz w:val="22"/>
          <w:szCs w:val="22"/>
        </w:rPr>
      </w:pPr>
      <w:r w:rsidRPr="008E2AAB">
        <w:rPr>
          <w:rFonts w:ascii="Times New Roman" w:hAnsi="Times New Roman" w:cs="Times New Roman"/>
          <w:sz w:val="22"/>
          <w:szCs w:val="22"/>
        </w:rPr>
        <w:t>In Nigeria, the polytechnic system was originally designed to produce technically skilled manpower to support the country’s industrialization efforts. However, over the years, the dichotomy between university and polytechnic qualifications, particularly the marginalization of the Higher National Diploma (HND), has created systemic inequities, limiting the career progression of polytechnic graduates and undermining the prestige of technical education (Okolie, Igwe, &amp; Elom, 2019). This has resulted in persistent calls for reforms, culminating in the government’s policy to convert selected polytechnics into universities of technology (Federal Ministry of Education, 2021).</w:t>
      </w:r>
    </w:p>
    <w:p w14:paraId="5505F903" w14:textId="720CEE04" w:rsidR="0004379C" w:rsidRPr="008E2AAB" w:rsidRDefault="00DB5C57" w:rsidP="001452DA">
      <w:pPr>
        <w:jc w:val="both"/>
        <w:rPr>
          <w:rFonts w:ascii="Times New Roman" w:hAnsi="Times New Roman" w:cs="Times New Roman"/>
          <w:sz w:val="22"/>
          <w:szCs w:val="22"/>
        </w:rPr>
      </w:pPr>
      <w:r w:rsidRPr="008E2AAB">
        <w:rPr>
          <w:rFonts w:ascii="Times New Roman" w:hAnsi="Times New Roman" w:cs="Times New Roman"/>
          <w:sz w:val="22"/>
          <w:szCs w:val="22"/>
        </w:rPr>
        <w:t xml:space="preserve">Despite these agitations, </w:t>
      </w:r>
      <w:r w:rsidR="0004379C" w:rsidRPr="008E2AAB">
        <w:rPr>
          <w:rFonts w:ascii="Times New Roman" w:hAnsi="Times New Roman" w:cs="Times New Roman"/>
          <w:sz w:val="22"/>
          <w:szCs w:val="22"/>
        </w:rPr>
        <w:t>Okebukola (2021) notes that many polytechnics lack the minimum ratio of academic staff, doctoral-qualified faculty</w:t>
      </w:r>
      <w:r w:rsidRPr="008E2AAB">
        <w:rPr>
          <w:rFonts w:ascii="Times New Roman" w:hAnsi="Times New Roman" w:cs="Times New Roman"/>
          <w:sz w:val="22"/>
          <w:szCs w:val="22"/>
        </w:rPr>
        <w:t>,</w:t>
      </w:r>
      <w:r w:rsidR="0004379C" w:rsidRPr="008E2AAB">
        <w:rPr>
          <w:rFonts w:ascii="Times New Roman" w:hAnsi="Times New Roman" w:cs="Times New Roman"/>
          <w:sz w:val="22"/>
          <w:szCs w:val="22"/>
        </w:rPr>
        <w:t xml:space="preserve"> and postgraduate opportunities necessary for NUC accreditation </w:t>
      </w:r>
      <w:r w:rsidR="0004379C" w:rsidRPr="008E2AAB">
        <w:rPr>
          <w:rFonts w:ascii="Times New Roman" w:hAnsi="Times New Roman" w:cs="Times New Roman"/>
          <w:sz w:val="22"/>
          <w:szCs w:val="22"/>
        </w:rPr>
        <w:lastRenderedPageBreak/>
        <w:t xml:space="preserve">as a university. In addition, a study by </w:t>
      </w:r>
      <w:proofErr w:type="spellStart"/>
      <w:r w:rsidR="0004379C" w:rsidRPr="008E2AAB">
        <w:rPr>
          <w:rFonts w:ascii="Times New Roman" w:hAnsi="Times New Roman" w:cs="Times New Roman"/>
          <w:sz w:val="22"/>
          <w:szCs w:val="22"/>
        </w:rPr>
        <w:t>Oliwola</w:t>
      </w:r>
      <w:proofErr w:type="spellEnd"/>
      <w:r w:rsidR="0004379C" w:rsidRPr="008E2AAB">
        <w:rPr>
          <w:rFonts w:ascii="Times New Roman" w:hAnsi="Times New Roman" w:cs="Times New Roman"/>
          <w:sz w:val="22"/>
          <w:szCs w:val="22"/>
        </w:rPr>
        <w:t xml:space="preserve"> and </w:t>
      </w:r>
      <w:proofErr w:type="spellStart"/>
      <w:r w:rsidR="0004379C" w:rsidRPr="008E2AAB">
        <w:rPr>
          <w:rFonts w:ascii="Times New Roman" w:hAnsi="Times New Roman" w:cs="Times New Roman"/>
          <w:sz w:val="22"/>
          <w:szCs w:val="22"/>
        </w:rPr>
        <w:t>Oliere</w:t>
      </w:r>
      <w:proofErr w:type="spellEnd"/>
      <w:r w:rsidR="0004379C" w:rsidRPr="008E2AAB">
        <w:rPr>
          <w:rFonts w:ascii="Times New Roman" w:hAnsi="Times New Roman" w:cs="Times New Roman"/>
          <w:sz w:val="22"/>
          <w:szCs w:val="22"/>
        </w:rPr>
        <w:t xml:space="preserve"> </w:t>
      </w:r>
      <w:r w:rsidR="0093559A">
        <w:rPr>
          <w:rFonts w:ascii="Times New Roman" w:hAnsi="Times New Roman" w:cs="Times New Roman"/>
          <w:sz w:val="22"/>
          <w:szCs w:val="22"/>
        </w:rPr>
        <w:t>(</w:t>
      </w:r>
      <w:r w:rsidR="0004379C" w:rsidRPr="008E2AAB">
        <w:rPr>
          <w:rFonts w:ascii="Times New Roman" w:hAnsi="Times New Roman" w:cs="Times New Roman"/>
          <w:sz w:val="22"/>
          <w:szCs w:val="22"/>
        </w:rPr>
        <w:t>2022</w:t>
      </w:r>
      <w:r w:rsidR="0093559A">
        <w:rPr>
          <w:rFonts w:ascii="Times New Roman" w:hAnsi="Times New Roman" w:cs="Times New Roman"/>
          <w:sz w:val="22"/>
          <w:szCs w:val="22"/>
        </w:rPr>
        <w:t>)</w:t>
      </w:r>
      <w:r w:rsidR="0004379C" w:rsidRPr="008E2AAB">
        <w:rPr>
          <w:rFonts w:ascii="Times New Roman" w:hAnsi="Times New Roman" w:cs="Times New Roman"/>
          <w:sz w:val="22"/>
          <w:szCs w:val="22"/>
        </w:rPr>
        <w:t xml:space="preserve"> emphasized the financial burden imposed by university-level operations, especially in historically underfunded institutions primarily devoted to practical training. These challenges raise key questions about institutional readiness, the pace of reform</w:t>
      </w:r>
      <w:r w:rsidR="0033777E" w:rsidRPr="008E2AAB">
        <w:rPr>
          <w:rFonts w:ascii="Times New Roman" w:hAnsi="Times New Roman" w:cs="Times New Roman"/>
          <w:sz w:val="22"/>
          <w:szCs w:val="22"/>
        </w:rPr>
        <w:t>,</w:t>
      </w:r>
      <w:r w:rsidR="0004379C" w:rsidRPr="008E2AAB">
        <w:rPr>
          <w:rFonts w:ascii="Times New Roman" w:hAnsi="Times New Roman" w:cs="Times New Roman"/>
          <w:sz w:val="22"/>
          <w:szCs w:val="22"/>
        </w:rPr>
        <w:t xml:space="preserve"> and the mechanisms for maintaining the pace of such transitions. </w:t>
      </w:r>
    </w:p>
    <w:p w14:paraId="11CFB3CE" w14:textId="6CB2407F" w:rsidR="0004379C" w:rsidRPr="008E2AAB" w:rsidRDefault="0004379C" w:rsidP="00603209">
      <w:pPr>
        <w:jc w:val="both"/>
        <w:rPr>
          <w:rFonts w:ascii="Times New Roman" w:hAnsi="Times New Roman" w:cs="Times New Roman"/>
          <w:sz w:val="22"/>
          <w:szCs w:val="22"/>
        </w:rPr>
      </w:pPr>
      <w:r w:rsidRPr="008E2AAB">
        <w:rPr>
          <w:rFonts w:ascii="Times New Roman" w:hAnsi="Times New Roman" w:cs="Times New Roman"/>
          <w:sz w:val="22"/>
          <w:szCs w:val="22"/>
        </w:rPr>
        <w:t xml:space="preserve">All things considered, although </w:t>
      </w:r>
      <w:r w:rsidR="00691786" w:rsidRPr="008E2AAB">
        <w:rPr>
          <w:rFonts w:ascii="Times New Roman" w:hAnsi="Times New Roman" w:cs="Times New Roman"/>
          <w:sz w:val="22"/>
          <w:szCs w:val="22"/>
        </w:rPr>
        <w:t>international</w:t>
      </w:r>
      <w:r w:rsidRPr="008E2AAB">
        <w:rPr>
          <w:rFonts w:ascii="Times New Roman" w:hAnsi="Times New Roman" w:cs="Times New Roman"/>
          <w:sz w:val="22"/>
          <w:szCs w:val="22"/>
        </w:rPr>
        <w:t xml:space="preserve"> experience confirms the possibility of turning polytechnics into universities, it also emphasises the necessity of strong institutional planning, long-term investment, and a gradualist approach. Th</w:t>
      </w:r>
      <w:r w:rsidR="00A97256">
        <w:rPr>
          <w:rFonts w:ascii="Times New Roman" w:hAnsi="Times New Roman" w:cs="Times New Roman"/>
          <w:sz w:val="22"/>
          <w:szCs w:val="22"/>
        </w:rPr>
        <w:t>is</w:t>
      </w:r>
      <w:r w:rsidRPr="008E2AAB">
        <w:rPr>
          <w:rFonts w:ascii="Times New Roman" w:hAnsi="Times New Roman" w:cs="Times New Roman"/>
          <w:sz w:val="22"/>
          <w:szCs w:val="22"/>
        </w:rPr>
        <w:t xml:space="preserve"> </w:t>
      </w:r>
      <w:r w:rsidR="00A97256">
        <w:rPr>
          <w:rFonts w:ascii="Times New Roman" w:hAnsi="Times New Roman" w:cs="Times New Roman"/>
          <w:sz w:val="22"/>
          <w:szCs w:val="22"/>
        </w:rPr>
        <w:t>policy shift</w:t>
      </w:r>
      <w:r w:rsidRPr="008E2AAB">
        <w:rPr>
          <w:rFonts w:ascii="Times New Roman" w:hAnsi="Times New Roman" w:cs="Times New Roman"/>
          <w:sz w:val="22"/>
          <w:szCs w:val="22"/>
        </w:rPr>
        <w:t xml:space="preserve"> offers hope for Nigeria but has to be done carefully, considering the structural inequalities inside the system as well as the more general socio-economic background in which these institutions function.</w:t>
      </w:r>
    </w:p>
    <w:p w14:paraId="663EDFDD" w14:textId="4292B8FE" w:rsidR="00603209" w:rsidRPr="008E2AAB" w:rsidRDefault="00603209" w:rsidP="00603209">
      <w:pPr>
        <w:jc w:val="both"/>
        <w:rPr>
          <w:rFonts w:ascii="Times New Roman" w:hAnsi="Times New Roman" w:cs="Times New Roman"/>
          <w:b/>
          <w:bCs/>
          <w:sz w:val="22"/>
          <w:szCs w:val="22"/>
        </w:rPr>
      </w:pPr>
      <w:r w:rsidRPr="008E2AAB">
        <w:rPr>
          <w:rFonts w:ascii="Times New Roman" w:hAnsi="Times New Roman" w:cs="Times New Roman"/>
          <w:b/>
          <w:bCs/>
          <w:sz w:val="22"/>
          <w:szCs w:val="22"/>
        </w:rPr>
        <w:t>Theoretical and Conceptual Framework</w:t>
      </w:r>
    </w:p>
    <w:p w14:paraId="636DBECA" w14:textId="7BAE22B4" w:rsidR="0004379C" w:rsidRPr="008E2AAB" w:rsidRDefault="0004379C" w:rsidP="00AF21BE">
      <w:pPr>
        <w:jc w:val="both"/>
        <w:rPr>
          <w:rFonts w:ascii="Times New Roman" w:hAnsi="Times New Roman" w:cs="Times New Roman"/>
          <w:sz w:val="22"/>
          <w:szCs w:val="22"/>
        </w:rPr>
      </w:pPr>
      <w:r w:rsidRPr="008E2AAB">
        <w:rPr>
          <w:rFonts w:ascii="Times New Roman" w:hAnsi="Times New Roman" w:cs="Times New Roman"/>
          <w:sz w:val="22"/>
          <w:szCs w:val="22"/>
        </w:rPr>
        <w:t xml:space="preserve">The transformation of the institutions of higher education is rarely a purely technical or administrative process, but a profoundly integrated social, political and economic context that shapes the education system. This study </w:t>
      </w:r>
      <w:r w:rsidR="00A97256">
        <w:rPr>
          <w:rFonts w:ascii="Times New Roman" w:hAnsi="Times New Roman" w:cs="Times New Roman"/>
          <w:sz w:val="22"/>
          <w:szCs w:val="22"/>
        </w:rPr>
        <w:t>leverage</w:t>
      </w:r>
      <w:r w:rsidRPr="008E2AAB">
        <w:rPr>
          <w:rFonts w:ascii="Times New Roman" w:hAnsi="Times New Roman" w:cs="Times New Roman"/>
          <w:sz w:val="22"/>
          <w:szCs w:val="22"/>
        </w:rPr>
        <w:t>s institutional theory</w:t>
      </w:r>
      <w:r w:rsidR="00BE3FD5">
        <w:rPr>
          <w:rFonts w:ascii="Times New Roman" w:hAnsi="Times New Roman" w:cs="Times New Roman"/>
          <w:sz w:val="22"/>
          <w:szCs w:val="22"/>
        </w:rPr>
        <w:t>,</w:t>
      </w:r>
      <w:r w:rsidRPr="008E2AAB">
        <w:rPr>
          <w:rFonts w:ascii="Times New Roman" w:hAnsi="Times New Roman" w:cs="Times New Roman"/>
          <w:sz w:val="22"/>
          <w:szCs w:val="22"/>
        </w:rPr>
        <w:t xml:space="preserve"> resource dependence theory</w:t>
      </w:r>
      <w:r w:rsidR="00BE3FD5">
        <w:rPr>
          <w:rFonts w:ascii="Times New Roman" w:hAnsi="Times New Roman" w:cs="Times New Roman"/>
          <w:sz w:val="22"/>
          <w:szCs w:val="22"/>
        </w:rPr>
        <w:t xml:space="preserve">, and </w:t>
      </w:r>
      <w:r w:rsidR="00BE3FD5" w:rsidRPr="008E2AAB">
        <w:rPr>
          <w:rFonts w:ascii="Times New Roman" w:hAnsi="Times New Roman" w:cs="Times New Roman"/>
          <w:sz w:val="22"/>
          <w:szCs w:val="22"/>
        </w:rPr>
        <w:t xml:space="preserve">the transitional model </w:t>
      </w:r>
      <w:r w:rsidRPr="008E2AAB">
        <w:rPr>
          <w:rFonts w:ascii="Times New Roman" w:hAnsi="Times New Roman" w:cs="Times New Roman"/>
          <w:sz w:val="22"/>
          <w:szCs w:val="22"/>
        </w:rPr>
        <w:t xml:space="preserve">to investigate the complexity of the transitional model of higher education reform in Nigeria. </w:t>
      </w:r>
    </w:p>
    <w:p w14:paraId="3BC94AD9" w14:textId="12090940" w:rsidR="0004379C" w:rsidRPr="008E2AAB" w:rsidRDefault="0004379C" w:rsidP="00AF21BE">
      <w:pPr>
        <w:jc w:val="both"/>
        <w:rPr>
          <w:rFonts w:ascii="Times New Roman" w:hAnsi="Times New Roman" w:cs="Times New Roman"/>
          <w:sz w:val="22"/>
          <w:szCs w:val="22"/>
        </w:rPr>
      </w:pPr>
      <w:r w:rsidRPr="008E2AAB">
        <w:rPr>
          <w:rFonts w:ascii="Times New Roman" w:hAnsi="Times New Roman" w:cs="Times New Roman"/>
          <w:sz w:val="22"/>
          <w:szCs w:val="22"/>
        </w:rPr>
        <w:t xml:space="preserve">In essence, institutional theory explains how organizations react to external pressures by conforming to prevailing standards, expectations, and structures in order to gain legitimacy (Meyer et al. 1977; DiMaggio et al. 1983). In the context of polytechnics aspiring to university status, the accreditation requirements, regulatory policies and perceptions of academic prestige act as institutional forces that require these institutions to imitate traditional university governance and academic models. This phenomenon, often referred to as "isomorphism", can be observed in efforts to restructure academic </w:t>
      </w:r>
      <w:r w:rsidR="00A97256">
        <w:rPr>
          <w:rFonts w:ascii="Times New Roman" w:hAnsi="Times New Roman" w:cs="Times New Roman"/>
          <w:sz w:val="22"/>
          <w:szCs w:val="22"/>
        </w:rPr>
        <w:t>boards (relevant to polytechnics)</w:t>
      </w:r>
      <w:r w:rsidRPr="008E2AAB">
        <w:rPr>
          <w:rFonts w:ascii="Times New Roman" w:hAnsi="Times New Roman" w:cs="Times New Roman"/>
          <w:sz w:val="22"/>
          <w:szCs w:val="22"/>
        </w:rPr>
        <w:t xml:space="preserve"> into </w:t>
      </w:r>
      <w:r w:rsidR="00A97256">
        <w:rPr>
          <w:rFonts w:ascii="Times New Roman" w:hAnsi="Times New Roman" w:cs="Times New Roman"/>
          <w:sz w:val="22"/>
          <w:szCs w:val="22"/>
        </w:rPr>
        <w:t>S</w:t>
      </w:r>
      <w:r w:rsidRPr="008E2AAB">
        <w:rPr>
          <w:rFonts w:ascii="Times New Roman" w:hAnsi="Times New Roman" w:cs="Times New Roman"/>
          <w:sz w:val="22"/>
          <w:szCs w:val="22"/>
        </w:rPr>
        <w:t>enat</w:t>
      </w:r>
      <w:r w:rsidR="00A97256">
        <w:rPr>
          <w:rFonts w:ascii="Times New Roman" w:hAnsi="Times New Roman" w:cs="Times New Roman"/>
          <w:sz w:val="22"/>
          <w:szCs w:val="22"/>
        </w:rPr>
        <w:t>e</w:t>
      </w:r>
      <w:r w:rsidRPr="008E2AAB">
        <w:rPr>
          <w:rFonts w:ascii="Times New Roman" w:hAnsi="Times New Roman" w:cs="Times New Roman"/>
          <w:sz w:val="22"/>
          <w:szCs w:val="22"/>
        </w:rPr>
        <w:t xml:space="preserve">, recruit PhD staff, and change to research-oriented programmes. Such changes, although symbolic of accrediting institutions to accepted university standards, may also lead to a decoupling" where external compliance conceals internal resistance or capacity constraints (Scott, 2008). </w:t>
      </w:r>
    </w:p>
    <w:p w14:paraId="6C604983" w14:textId="043D393B" w:rsidR="0004379C" w:rsidRPr="008E2AAB" w:rsidRDefault="0004379C" w:rsidP="00AF21BE">
      <w:pPr>
        <w:jc w:val="both"/>
        <w:rPr>
          <w:rFonts w:ascii="Times New Roman" w:hAnsi="Times New Roman" w:cs="Times New Roman"/>
          <w:sz w:val="22"/>
          <w:szCs w:val="22"/>
        </w:rPr>
      </w:pPr>
      <w:r w:rsidRPr="008E2AAB">
        <w:rPr>
          <w:rFonts w:ascii="Times New Roman" w:hAnsi="Times New Roman" w:cs="Times New Roman"/>
          <w:sz w:val="22"/>
          <w:szCs w:val="22"/>
        </w:rPr>
        <w:t xml:space="preserve">This theoretical lens provides insights into the first and third research questions: How accreditation affects institutional restructuring and How pressures on institutional rankings shape competitiveness and visibility. Institutional theory helps to contextualize why institutions can undertake compliance-driven reforms and how external legitimacy often dictates the trajectories of internal change. </w:t>
      </w:r>
    </w:p>
    <w:p w14:paraId="2891DD43" w14:textId="0AACB5FC" w:rsidR="009567AD" w:rsidRPr="008E2AAB" w:rsidRDefault="009567AD" w:rsidP="00AF21BE">
      <w:pPr>
        <w:jc w:val="both"/>
        <w:rPr>
          <w:rFonts w:ascii="Times New Roman" w:hAnsi="Times New Roman" w:cs="Times New Roman"/>
          <w:sz w:val="22"/>
          <w:szCs w:val="22"/>
        </w:rPr>
      </w:pPr>
      <w:r w:rsidRPr="008E2AAB">
        <w:rPr>
          <w:rFonts w:ascii="Times New Roman" w:hAnsi="Times New Roman" w:cs="Times New Roman"/>
          <w:sz w:val="22"/>
          <w:szCs w:val="22"/>
        </w:rPr>
        <w:t xml:space="preserve">To complement this, resource dependency theory (Pfeffer &amp; Salancik, 1978) emphasizes the strategic behavioural practices adopted by institutions to ensure the protection of scarce and essential resources. As polytechnics transition, they face increased competition for funding, qualified personnel, research subsidies and accreditation. These dependencies influence their strategic decisions, whether they be quick to reform courses, seek partnerships, or lobby for regulatory concessions. Furthermore, institutions can change their basic identities, not because of their intrinsic preparedness, but because their survival depends on access to resources controlled by external actors such as the National University Commission (NUC), the tertiary education trust fund (TETFund), and the Federal Ministry of Education. </w:t>
      </w:r>
    </w:p>
    <w:p w14:paraId="6EBE15B4" w14:textId="0DCA6503" w:rsidR="0004379C" w:rsidRPr="008E2AAB" w:rsidRDefault="009567AD" w:rsidP="00AF21BE">
      <w:pPr>
        <w:jc w:val="both"/>
        <w:rPr>
          <w:rFonts w:ascii="Times New Roman" w:hAnsi="Times New Roman" w:cs="Times New Roman"/>
          <w:sz w:val="22"/>
          <w:szCs w:val="22"/>
        </w:rPr>
      </w:pPr>
      <w:r w:rsidRPr="008E2AAB">
        <w:rPr>
          <w:rFonts w:ascii="Times New Roman" w:hAnsi="Times New Roman" w:cs="Times New Roman"/>
          <w:sz w:val="22"/>
          <w:szCs w:val="22"/>
        </w:rPr>
        <w:t>This framework is particularly relevant for the second and fifth research questions, how the funding model supports or limits institutional change and how institutions can maintain their TVET identity while meeting university expectations. The theory of resource dependency explains how external funding demands shape internal priorities and how survival strategies allow organizations to adjust or obstruct their core missions.</w:t>
      </w:r>
    </w:p>
    <w:p w14:paraId="68285001" w14:textId="06B98ECF" w:rsidR="00AF21BE" w:rsidRPr="008E2AAB" w:rsidRDefault="00BE3FD5" w:rsidP="00AF21BE">
      <w:pPr>
        <w:jc w:val="both"/>
        <w:rPr>
          <w:rFonts w:ascii="Times New Roman" w:hAnsi="Times New Roman" w:cs="Times New Roman"/>
          <w:sz w:val="22"/>
          <w:szCs w:val="22"/>
        </w:rPr>
      </w:pPr>
      <w:r>
        <w:rPr>
          <w:rFonts w:ascii="Times New Roman" w:hAnsi="Times New Roman" w:cs="Times New Roman"/>
          <w:sz w:val="22"/>
          <w:szCs w:val="22"/>
        </w:rPr>
        <w:lastRenderedPageBreak/>
        <w:t>T</w:t>
      </w:r>
      <w:r w:rsidR="00AF21BE" w:rsidRPr="008E2AAB">
        <w:rPr>
          <w:rFonts w:ascii="Times New Roman" w:hAnsi="Times New Roman" w:cs="Times New Roman"/>
          <w:sz w:val="22"/>
          <w:szCs w:val="22"/>
        </w:rPr>
        <w:t>he transitional model of higher education reform, posits that systemic change must occur in stages: from policy intention, through institutional adjustment, to cultural and operational transformation (Clark, 1983; Teichler, 2007). Within this framework, it becomes evident that conversion to university status cannot be reduced to a change in nomenclature or legal status. It must involve a deeper realignment of institutional missions, academic ethos, governance structures, and stakeholder relationships. Institutions caught between the vocational and academic paradigms often experience "mission drift," where attempts to conform to university models dilute their original purpose without delivering the full benefits of university-level education (Brennan &amp; Osborne, 2008).</w:t>
      </w:r>
    </w:p>
    <w:p w14:paraId="4FC31CBC" w14:textId="77777777" w:rsidR="009567AD" w:rsidRPr="008E2AAB" w:rsidRDefault="009567AD" w:rsidP="00AF21BE">
      <w:pPr>
        <w:jc w:val="both"/>
        <w:rPr>
          <w:rFonts w:ascii="Times New Roman" w:hAnsi="Times New Roman" w:cs="Times New Roman"/>
          <w:sz w:val="22"/>
          <w:szCs w:val="22"/>
        </w:rPr>
      </w:pPr>
      <w:r w:rsidRPr="008E2AAB">
        <w:rPr>
          <w:rFonts w:ascii="Times New Roman" w:hAnsi="Times New Roman" w:cs="Times New Roman"/>
          <w:sz w:val="22"/>
          <w:szCs w:val="22"/>
        </w:rPr>
        <w:t xml:space="preserve">This model is the basis for the fourth research question, which examines how academic structures and courses are actually reorganized. It also reinforces the need for gradual and contextual alignment in the implementation of reforms. </w:t>
      </w:r>
    </w:p>
    <w:p w14:paraId="216966FD" w14:textId="7A3FACBC" w:rsidR="009567AD" w:rsidRPr="008E2AAB" w:rsidRDefault="009567AD" w:rsidP="00AF21BE">
      <w:pPr>
        <w:jc w:val="both"/>
        <w:rPr>
          <w:rFonts w:ascii="Times New Roman" w:hAnsi="Times New Roman" w:cs="Times New Roman"/>
          <w:sz w:val="22"/>
          <w:szCs w:val="22"/>
        </w:rPr>
      </w:pPr>
      <w:r w:rsidRPr="008E2AAB">
        <w:rPr>
          <w:rFonts w:ascii="Times New Roman" w:hAnsi="Times New Roman" w:cs="Times New Roman"/>
          <w:sz w:val="22"/>
          <w:szCs w:val="22"/>
        </w:rPr>
        <w:t xml:space="preserve">Together, these frameworks highlight tensions, compromises and drivers that characterize </w:t>
      </w:r>
      <w:r w:rsidR="00BE3FD5">
        <w:rPr>
          <w:rFonts w:ascii="Times New Roman" w:hAnsi="Times New Roman" w:cs="Times New Roman"/>
          <w:sz w:val="22"/>
          <w:szCs w:val="22"/>
        </w:rPr>
        <w:t>the</w:t>
      </w:r>
      <w:r w:rsidRPr="008E2AAB">
        <w:rPr>
          <w:rFonts w:ascii="Times New Roman" w:hAnsi="Times New Roman" w:cs="Times New Roman"/>
          <w:sz w:val="22"/>
          <w:szCs w:val="22"/>
        </w:rPr>
        <w:t xml:space="preserve"> transition from polytechnic to university</w:t>
      </w:r>
      <w:r w:rsidR="00BE3FD5">
        <w:rPr>
          <w:rFonts w:ascii="Times New Roman" w:hAnsi="Times New Roman" w:cs="Times New Roman"/>
          <w:sz w:val="22"/>
          <w:szCs w:val="22"/>
        </w:rPr>
        <w:t xml:space="preserve"> in Nigeria</w:t>
      </w:r>
      <w:r w:rsidRPr="008E2AAB">
        <w:rPr>
          <w:rFonts w:ascii="Times New Roman" w:hAnsi="Times New Roman" w:cs="Times New Roman"/>
          <w:sz w:val="22"/>
          <w:szCs w:val="22"/>
        </w:rPr>
        <w:t xml:space="preserve">. They provide a lens that can not only explain what changes are happening, but also why institutions react in a way to reform pressures and what this means for policy implementation and overall coherence throughout the system. </w:t>
      </w:r>
    </w:p>
    <w:p w14:paraId="2AE38CB3" w14:textId="77777777" w:rsidR="009567AD" w:rsidRPr="008E2AAB" w:rsidRDefault="009567AD" w:rsidP="00AF21BE">
      <w:pPr>
        <w:jc w:val="both"/>
        <w:rPr>
          <w:rFonts w:ascii="Times New Roman" w:hAnsi="Times New Roman" w:cs="Times New Roman"/>
          <w:sz w:val="22"/>
          <w:szCs w:val="22"/>
        </w:rPr>
      </w:pPr>
      <w:r w:rsidRPr="008E2AAB">
        <w:rPr>
          <w:rFonts w:ascii="Times New Roman" w:hAnsi="Times New Roman" w:cs="Times New Roman"/>
          <w:b/>
          <w:bCs/>
          <w:sz w:val="22"/>
          <w:szCs w:val="22"/>
        </w:rPr>
        <w:t>Methodology</w:t>
      </w:r>
      <w:r w:rsidRPr="008E2AAB">
        <w:rPr>
          <w:rFonts w:ascii="Times New Roman" w:hAnsi="Times New Roman" w:cs="Times New Roman"/>
          <w:sz w:val="22"/>
          <w:szCs w:val="22"/>
        </w:rPr>
        <w:t xml:space="preserve"> </w:t>
      </w:r>
    </w:p>
    <w:p w14:paraId="21419ECD" w14:textId="77D29E9B" w:rsidR="0033777E" w:rsidRPr="00BE3FD5" w:rsidRDefault="009567AD" w:rsidP="009567AD">
      <w:pPr>
        <w:jc w:val="both"/>
        <w:rPr>
          <w:rFonts w:ascii="Times New Roman" w:hAnsi="Times New Roman" w:cs="Times New Roman"/>
          <w:sz w:val="22"/>
          <w:szCs w:val="22"/>
        </w:rPr>
      </w:pPr>
      <w:r w:rsidRPr="008E2AAB">
        <w:rPr>
          <w:rFonts w:ascii="Times New Roman" w:hAnsi="Times New Roman" w:cs="Times New Roman"/>
          <w:sz w:val="22"/>
          <w:szCs w:val="22"/>
        </w:rPr>
        <w:t xml:space="preserve">This study uses a qualitative and </w:t>
      </w:r>
      <w:r w:rsidR="007A616B" w:rsidRPr="008E2AAB">
        <w:rPr>
          <w:rFonts w:ascii="Times New Roman" w:hAnsi="Times New Roman" w:cs="Times New Roman"/>
          <w:sz w:val="22"/>
          <w:szCs w:val="22"/>
        </w:rPr>
        <w:t>interpretive</w:t>
      </w:r>
      <w:r w:rsidRPr="008E2AAB">
        <w:rPr>
          <w:rFonts w:ascii="Times New Roman" w:hAnsi="Times New Roman" w:cs="Times New Roman"/>
          <w:sz w:val="22"/>
          <w:szCs w:val="22"/>
        </w:rPr>
        <w:t xml:space="preserve"> research design to understand the institutional dynamics, political changes</w:t>
      </w:r>
      <w:r w:rsidR="007A616B" w:rsidRPr="008E2AAB">
        <w:rPr>
          <w:rFonts w:ascii="Times New Roman" w:hAnsi="Times New Roman" w:cs="Times New Roman"/>
          <w:sz w:val="22"/>
          <w:szCs w:val="22"/>
        </w:rPr>
        <w:t>,</w:t>
      </w:r>
      <w:r w:rsidRPr="008E2AAB">
        <w:rPr>
          <w:rFonts w:ascii="Times New Roman" w:hAnsi="Times New Roman" w:cs="Times New Roman"/>
          <w:sz w:val="22"/>
          <w:szCs w:val="22"/>
        </w:rPr>
        <w:t xml:space="preserve"> and systemic impacts of the transition from </w:t>
      </w:r>
      <w:r w:rsidR="007A616B" w:rsidRPr="008E2AAB">
        <w:rPr>
          <w:rFonts w:ascii="Times New Roman" w:hAnsi="Times New Roman" w:cs="Times New Roman"/>
          <w:sz w:val="22"/>
          <w:szCs w:val="22"/>
        </w:rPr>
        <w:t>polytechnic</w:t>
      </w:r>
      <w:r w:rsidRPr="008E2AAB">
        <w:rPr>
          <w:rFonts w:ascii="Times New Roman" w:hAnsi="Times New Roman" w:cs="Times New Roman"/>
          <w:sz w:val="22"/>
          <w:szCs w:val="22"/>
        </w:rPr>
        <w:t xml:space="preserve"> to university in Nigeria. Due to the policy-oriented nature of the topic and the absence of extensive quantitative data sets, qualitative approaches enable more extensive and nuanced interpretations of processes, stakeholders' perspectives, and institutional readiness. </w:t>
      </w:r>
    </w:p>
    <w:p w14:paraId="448659FB" w14:textId="6D75E8F3" w:rsidR="009567AD" w:rsidRPr="008E2AAB" w:rsidRDefault="009567AD" w:rsidP="00AF21BE">
      <w:pPr>
        <w:jc w:val="both"/>
        <w:rPr>
          <w:rFonts w:ascii="Times New Roman" w:hAnsi="Times New Roman" w:cs="Times New Roman"/>
          <w:b/>
          <w:bCs/>
          <w:sz w:val="22"/>
          <w:szCs w:val="22"/>
        </w:rPr>
      </w:pPr>
      <w:r w:rsidRPr="008E2AAB">
        <w:rPr>
          <w:rFonts w:ascii="Times New Roman" w:hAnsi="Times New Roman" w:cs="Times New Roman"/>
          <w:b/>
          <w:bCs/>
          <w:sz w:val="22"/>
          <w:szCs w:val="22"/>
        </w:rPr>
        <w:t>Research Design and Rationale</w:t>
      </w:r>
    </w:p>
    <w:p w14:paraId="2BDC2C00" w14:textId="59EE0F2B" w:rsidR="00EF61BA" w:rsidRPr="008E2AAB" w:rsidRDefault="00EF61BA" w:rsidP="00EF61BA">
      <w:pPr>
        <w:jc w:val="both"/>
        <w:rPr>
          <w:rFonts w:ascii="Times New Roman" w:hAnsi="Times New Roman" w:cs="Times New Roman"/>
          <w:sz w:val="22"/>
          <w:szCs w:val="22"/>
        </w:rPr>
      </w:pPr>
      <w:r w:rsidRPr="008E2AAB">
        <w:rPr>
          <w:rFonts w:ascii="Times New Roman" w:hAnsi="Times New Roman" w:cs="Times New Roman"/>
          <w:sz w:val="22"/>
          <w:szCs w:val="22"/>
        </w:rPr>
        <w:t>This study adopts a qualitative research design, grounded in the interpretivist paradigm, to critically examine how Nigerian polytechnics transitioning into universities of technology navigate accreditation requirements, funding challenges, institutional restructuring, and curriculum reform. A qualitative approach is particularly suited for unpacking the li</w:t>
      </w:r>
      <w:r w:rsidR="00A058A3">
        <w:rPr>
          <w:rFonts w:ascii="Times New Roman" w:hAnsi="Times New Roman" w:cs="Times New Roman"/>
          <w:sz w:val="22"/>
          <w:szCs w:val="22"/>
        </w:rPr>
        <w:t>fe</w:t>
      </w:r>
      <w:r w:rsidRPr="008E2AAB">
        <w:rPr>
          <w:rFonts w:ascii="Times New Roman" w:hAnsi="Times New Roman" w:cs="Times New Roman"/>
          <w:sz w:val="22"/>
          <w:szCs w:val="22"/>
        </w:rPr>
        <w:t xml:space="preserve"> experiences, perceptions, and decision-making processes of key stakeholders—policymakers, academics, administrators, and students—within a complex and evolving policy environment. Rather than quantifying outcomes, the study seeks to uncover underlying meanings, contextual nuances, and institutional logics that shape reform trajectories.</w:t>
      </w:r>
    </w:p>
    <w:p w14:paraId="23635914" w14:textId="1E0F3621" w:rsidR="00EF61BA" w:rsidRPr="008E2AAB" w:rsidRDefault="00EF61BA" w:rsidP="00EF61BA">
      <w:pPr>
        <w:jc w:val="both"/>
        <w:rPr>
          <w:rFonts w:ascii="Times New Roman" w:hAnsi="Times New Roman" w:cs="Times New Roman"/>
          <w:sz w:val="22"/>
          <w:szCs w:val="22"/>
        </w:rPr>
      </w:pPr>
      <w:r w:rsidRPr="008E2AAB">
        <w:rPr>
          <w:rFonts w:ascii="Times New Roman" w:hAnsi="Times New Roman" w:cs="Times New Roman"/>
          <w:sz w:val="22"/>
          <w:szCs w:val="22"/>
        </w:rPr>
        <w:t xml:space="preserve">The use of qualitative design is justified by the study’s exploratory and analytical orientation, where depth of understanding is prioritized over generalizability. This methodological choice enables the investigation of issues that are not easily captured through numeric indicators, such as institutional resistance, policy ambiguity, and cultural inertia. While the absence of quantitative data limits the ability to statistically measure outcomes or make population-level inferences, this limitation is addressed through rigorous triangulation. </w:t>
      </w:r>
    </w:p>
    <w:p w14:paraId="5AE467B0" w14:textId="3E98B5B6" w:rsidR="00EF61BA" w:rsidRPr="008E2AAB" w:rsidRDefault="00EF61BA" w:rsidP="00AF21BE">
      <w:pPr>
        <w:jc w:val="both"/>
        <w:rPr>
          <w:rFonts w:ascii="Times New Roman" w:hAnsi="Times New Roman" w:cs="Times New Roman"/>
          <w:sz w:val="22"/>
          <w:szCs w:val="22"/>
        </w:rPr>
      </w:pPr>
      <w:r w:rsidRPr="008E2AAB">
        <w:rPr>
          <w:rFonts w:ascii="Times New Roman" w:hAnsi="Times New Roman" w:cs="Times New Roman"/>
          <w:sz w:val="22"/>
          <w:szCs w:val="22"/>
        </w:rPr>
        <w:t xml:space="preserve">Triangulation not only enhances the credibility and validity of the findings but also ensures a more comprehensive understanding of institutional behavior under reform pressure. By engaging with multiple layers of data and perspectives, the study mitigates the risk of bias inherent in single-source analysis and captures the multidimensional nature of the transition process. Ultimately, the qualitative design supports </w:t>
      </w:r>
      <w:r w:rsidRPr="008E2AAB">
        <w:rPr>
          <w:rFonts w:ascii="Times New Roman" w:hAnsi="Times New Roman" w:cs="Times New Roman"/>
          <w:sz w:val="22"/>
          <w:szCs w:val="22"/>
        </w:rPr>
        <w:lastRenderedPageBreak/>
        <w:t>the study’s goal of offering a context-sensitive, theory-informed, and policy-relevant account of Nigeria’s polytechnic-to-university transformation.</w:t>
      </w:r>
    </w:p>
    <w:p w14:paraId="03386444" w14:textId="3ACCB910" w:rsidR="00AF21BE" w:rsidRPr="008E2AAB" w:rsidRDefault="00AF21BE" w:rsidP="00AF21BE">
      <w:pPr>
        <w:jc w:val="both"/>
        <w:rPr>
          <w:rFonts w:ascii="Times New Roman" w:hAnsi="Times New Roman" w:cs="Times New Roman"/>
          <w:b/>
          <w:bCs/>
          <w:sz w:val="22"/>
          <w:szCs w:val="22"/>
        </w:rPr>
      </w:pPr>
      <w:r w:rsidRPr="008E2AAB">
        <w:rPr>
          <w:rFonts w:ascii="Times New Roman" w:hAnsi="Times New Roman" w:cs="Times New Roman"/>
          <w:b/>
          <w:bCs/>
          <w:sz w:val="22"/>
          <w:szCs w:val="22"/>
        </w:rPr>
        <w:t>Data Sources</w:t>
      </w:r>
    </w:p>
    <w:p w14:paraId="256B4465" w14:textId="77777777" w:rsidR="00AF21BE" w:rsidRPr="008E2AAB" w:rsidRDefault="00AF21BE" w:rsidP="00AF21BE">
      <w:pPr>
        <w:jc w:val="both"/>
        <w:rPr>
          <w:rFonts w:ascii="Times New Roman" w:hAnsi="Times New Roman" w:cs="Times New Roman"/>
          <w:sz w:val="22"/>
          <w:szCs w:val="22"/>
        </w:rPr>
      </w:pPr>
      <w:r w:rsidRPr="008E2AAB">
        <w:rPr>
          <w:rFonts w:ascii="Times New Roman" w:hAnsi="Times New Roman" w:cs="Times New Roman"/>
          <w:sz w:val="22"/>
          <w:szCs w:val="22"/>
        </w:rPr>
        <w:t>This study draws on three primary sources of data:</w:t>
      </w:r>
    </w:p>
    <w:p w14:paraId="66A5222C" w14:textId="77777777" w:rsidR="00AF21BE" w:rsidRPr="008E2AAB" w:rsidRDefault="00AF21BE" w:rsidP="00AF21BE">
      <w:pPr>
        <w:jc w:val="both"/>
        <w:rPr>
          <w:rFonts w:ascii="Times New Roman" w:hAnsi="Times New Roman" w:cs="Times New Roman"/>
          <w:sz w:val="22"/>
          <w:szCs w:val="22"/>
        </w:rPr>
      </w:pPr>
      <w:r w:rsidRPr="008E2AAB">
        <w:rPr>
          <w:rFonts w:ascii="Times New Roman" w:hAnsi="Times New Roman" w:cs="Times New Roman"/>
          <w:i/>
          <w:iCs/>
          <w:sz w:val="22"/>
          <w:szCs w:val="22"/>
        </w:rPr>
        <w:t>Documentary Analysis:</w:t>
      </w:r>
      <w:r w:rsidRPr="008E2AAB">
        <w:rPr>
          <w:rFonts w:ascii="Times New Roman" w:hAnsi="Times New Roman" w:cs="Times New Roman"/>
          <w:sz w:val="22"/>
          <w:szCs w:val="22"/>
        </w:rPr>
        <w:t xml:space="preserve"> Policy documents, accreditation guidelines from the National Universities Commission (NUC), ministerial reports (e.g., the 2010 Salau Report), institutional strategic plans, and government white papers were analyzed to identify regulatory benchmarks and structural requirements.</w:t>
      </w:r>
    </w:p>
    <w:p w14:paraId="3411CBD5" w14:textId="77777777" w:rsidR="00AF21BE" w:rsidRPr="008E2AAB" w:rsidRDefault="00AF21BE" w:rsidP="00AF21BE">
      <w:pPr>
        <w:jc w:val="both"/>
        <w:rPr>
          <w:rFonts w:ascii="Times New Roman" w:hAnsi="Times New Roman" w:cs="Times New Roman"/>
          <w:sz w:val="22"/>
          <w:szCs w:val="22"/>
        </w:rPr>
      </w:pPr>
      <w:r w:rsidRPr="008E2AAB">
        <w:rPr>
          <w:rFonts w:ascii="Times New Roman" w:hAnsi="Times New Roman" w:cs="Times New Roman"/>
          <w:i/>
          <w:iCs/>
          <w:sz w:val="22"/>
          <w:szCs w:val="22"/>
        </w:rPr>
        <w:t>Secondary Literature:</w:t>
      </w:r>
      <w:r w:rsidRPr="008E2AAB">
        <w:rPr>
          <w:rFonts w:ascii="Times New Roman" w:hAnsi="Times New Roman" w:cs="Times New Roman"/>
          <w:sz w:val="22"/>
          <w:szCs w:val="22"/>
        </w:rPr>
        <w:t xml:space="preserve"> Peer-reviewed journal articles, national and international case studies, and relevant grey literature were reviewed to position Nigeria’s experience within a comparative and conceptual framework. Particular attention was paid to transitions in South Africa, the United Kingdom, South Korea, and Malaysia.</w:t>
      </w:r>
    </w:p>
    <w:p w14:paraId="19EF8433" w14:textId="77777777" w:rsidR="00AF21BE" w:rsidRPr="008E2AAB" w:rsidRDefault="00AF21BE" w:rsidP="00AF21BE">
      <w:pPr>
        <w:jc w:val="both"/>
        <w:rPr>
          <w:rFonts w:ascii="Times New Roman" w:hAnsi="Times New Roman" w:cs="Times New Roman"/>
          <w:sz w:val="22"/>
          <w:szCs w:val="22"/>
        </w:rPr>
      </w:pPr>
      <w:r w:rsidRPr="008E2AAB">
        <w:rPr>
          <w:rFonts w:ascii="Times New Roman" w:hAnsi="Times New Roman" w:cs="Times New Roman"/>
          <w:i/>
          <w:iCs/>
          <w:sz w:val="22"/>
          <w:szCs w:val="22"/>
        </w:rPr>
        <w:t>Expert Opinion (Informal Interviews):</w:t>
      </w:r>
      <w:r w:rsidRPr="008E2AAB">
        <w:rPr>
          <w:rFonts w:ascii="Times New Roman" w:hAnsi="Times New Roman" w:cs="Times New Roman"/>
          <w:sz w:val="22"/>
          <w:szCs w:val="22"/>
        </w:rPr>
        <w:t xml:space="preserve"> Informal consultations were held with selected higher education experts, including senior academic staff from polytechnic and university systems, NUC accreditation officials, and policy advisers within the Federal Ministry of Education. These consultations, while not formally structured interviews, provided valuable contextual insight.</w:t>
      </w:r>
    </w:p>
    <w:p w14:paraId="24E6A9D2" w14:textId="77777777" w:rsidR="00AF21BE" w:rsidRPr="008E2AAB" w:rsidRDefault="00AF21BE" w:rsidP="00AF21BE">
      <w:pPr>
        <w:jc w:val="both"/>
        <w:rPr>
          <w:rFonts w:ascii="Times New Roman" w:hAnsi="Times New Roman" w:cs="Times New Roman"/>
          <w:sz w:val="22"/>
          <w:szCs w:val="22"/>
        </w:rPr>
      </w:pPr>
      <w:r w:rsidRPr="008E2AAB">
        <w:rPr>
          <w:rFonts w:ascii="Times New Roman" w:hAnsi="Times New Roman" w:cs="Times New Roman"/>
          <w:sz w:val="22"/>
          <w:szCs w:val="22"/>
        </w:rPr>
        <w:t>Analytical Strategy</w:t>
      </w:r>
    </w:p>
    <w:p w14:paraId="400DA406" w14:textId="77777777" w:rsidR="00AF21BE" w:rsidRPr="008E2AAB" w:rsidRDefault="00AF21BE" w:rsidP="00AF21BE">
      <w:pPr>
        <w:jc w:val="both"/>
        <w:rPr>
          <w:rFonts w:ascii="Times New Roman" w:hAnsi="Times New Roman" w:cs="Times New Roman"/>
          <w:sz w:val="22"/>
          <w:szCs w:val="22"/>
        </w:rPr>
      </w:pPr>
      <w:r w:rsidRPr="008E2AAB">
        <w:rPr>
          <w:rFonts w:ascii="Times New Roman" w:hAnsi="Times New Roman" w:cs="Times New Roman"/>
          <w:sz w:val="22"/>
          <w:szCs w:val="22"/>
        </w:rPr>
        <w:t>A thematic analysis was employed to synthesize and interpret the collected data. Using NVivo 12 software, key themes were identified around the five core pillars: accreditation, funding, institutional ranking, academic structure, and curriculum change. Codes were developed deductively based on the literature and policy frameworks and refined inductively through iterative reading of the documents and expert input.</w:t>
      </w:r>
    </w:p>
    <w:p w14:paraId="2F4838AB" w14:textId="77777777" w:rsidR="00AF21BE" w:rsidRPr="008E2AAB" w:rsidRDefault="00AF21BE" w:rsidP="00AF21BE">
      <w:pPr>
        <w:jc w:val="both"/>
        <w:rPr>
          <w:rFonts w:ascii="Times New Roman" w:hAnsi="Times New Roman" w:cs="Times New Roman"/>
          <w:sz w:val="22"/>
          <w:szCs w:val="22"/>
        </w:rPr>
      </w:pPr>
      <w:r w:rsidRPr="008E2AAB">
        <w:rPr>
          <w:rFonts w:ascii="Times New Roman" w:hAnsi="Times New Roman" w:cs="Times New Roman"/>
          <w:sz w:val="22"/>
          <w:szCs w:val="22"/>
        </w:rPr>
        <w:t>Each pillar was analyzed for its role in enabling or constraining the transition process. Particular emphasis was placed on the interrelationship between pillars—for instance, how funding impacts accreditation or how academic restructuring influences institutional visibility.</w:t>
      </w:r>
    </w:p>
    <w:p w14:paraId="629E908B" w14:textId="77777777" w:rsidR="00AF21BE" w:rsidRPr="008E2AAB" w:rsidRDefault="00AF21BE" w:rsidP="00AF21BE">
      <w:pPr>
        <w:jc w:val="both"/>
        <w:rPr>
          <w:rFonts w:ascii="Times New Roman" w:hAnsi="Times New Roman" w:cs="Times New Roman"/>
          <w:sz w:val="22"/>
          <w:szCs w:val="22"/>
        </w:rPr>
      </w:pPr>
      <w:r w:rsidRPr="008E2AAB">
        <w:rPr>
          <w:rFonts w:ascii="Times New Roman" w:hAnsi="Times New Roman" w:cs="Times New Roman"/>
          <w:sz w:val="22"/>
          <w:szCs w:val="22"/>
        </w:rPr>
        <w:t>Trustworthiness and Validity</w:t>
      </w:r>
    </w:p>
    <w:p w14:paraId="781C1569" w14:textId="291CD2E0" w:rsidR="00AF21BE" w:rsidRPr="008E2AAB" w:rsidRDefault="00AF21BE" w:rsidP="00AF21BE">
      <w:pPr>
        <w:jc w:val="both"/>
        <w:rPr>
          <w:rFonts w:ascii="Times New Roman" w:hAnsi="Times New Roman" w:cs="Times New Roman"/>
          <w:sz w:val="22"/>
          <w:szCs w:val="22"/>
        </w:rPr>
      </w:pPr>
      <w:r w:rsidRPr="008E2AAB">
        <w:rPr>
          <w:rFonts w:ascii="Times New Roman" w:hAnsi="Times New Roman" w:cs="Times New Roman"/>
          <w:sz w:val="22"/>
          <w:szCs w:val="22"/>
        </w:rPr>
        <w:t>To ensure credibility, multiple sources of evidence were used, and findings were triangulated across data types. Peer debriefing with higher education scholars was used to reduce interpretive bias. Reflexivity was maintained throughout the research process to acknowledge the researchers</w:t>
      </w:r>
      <w:r w:rsidR="00A058A3">
        <w:rPr>
          <w:rFonts w:ascii="Times New Roman" w:hAnsi="Times New Roman" w:cs="Times New Roman"/>
          <w:sz w:val="22"/>
          <w:szCs w:val="22"/>
        </w:rPr>
        <w:t>’</w:t>
      </w:r>
      <w:r w:rsidRPr="008E2AAB">
        <w:rPr>
          <w:rFonts w:ascii="Times New Roman" w:hAnsi="Times New Roman" w:cs="Times New Roman"/>
          <w:sz w:val="22"/>
          <w:szCs w:val="22"/>
        </w:rPr>
        <w:t xml:space="preserve"> positionality and assumptions.</w:t>
      </w:r>
    </w:p>
    <w:p w14:paraId="6D2DEF02" w14:textId="77777777" w:rsidR="00AF21BE" w:rsidRPr="008E2AAB" w:rsidRDefault="00AF21BE" w:rsidP="00AF21BE">
      <w:pPr>
        <w:jc w:val="both"/>
        <w:rPr>
          <w:rFonts w:ascii="Times New Roman" w:hAnsi="Times New Roman" w:cs="Times New Roman"/>
          <w:sz w:val="22"/>
          <w:szCs w:val="22"/>
        </w:rPr>
      </w:pPr>
      <w:r w:rsidRPr="008E2AAB">
        <w:rPr>
          <w:rFonts w:ascii="Times New Roman" w:hAnsi="Times New Roman" w:cs="Times New Roman"/>
          <w:sz w:val="22"/>
          <w:szCs w:val="22"/>
        </w:rPr>
        <w:t>Limitations</w:t>
      </w:r>
    </w:p>
    <w:p w14:paraId="16370AE0" w14:textId="77777777" w:rsidR="00AF21BE" w:rsidRPr="008E2AAB" w:rsidRDefault="00AF21BE" w:rsidP="00AF21BE">
      <w:pPr>
        <w:jc w:val="both"/>
        <w:rPr>
          <w:rFonts w:ascii="Times New Roman" w:hAnsi="Times New Roman" w:cs="Times New Roman"/>
          <w:sz w:val="22"/>
          <w:szCs w:val="22"/>
        </w:rPr>
      </w:pPr>
      <w:r w:rsidRPr="008E2AAB">
        <w:rPr>
          <w:rFonts w:ascii="Times New Roman" w:hAnsi="Times New Roman" w:cs="Times New Roman"/>
          <w:sz w:val="22"/>
          <w:szCs w:val="22"/>
        </w:rPr>
        <w:t>This study does not include large-scale empirical data such as national surveys or institutional performance metrics due to time and access constraints. As such, its findings are exploratory and should be interpreted as indicative rather than generalizable.</w:t>
      </w:r>
    </w:p>
    <w:p w14:paraId="66FCD934" w14:textId="77777777" w:rsidR="00AF21BE" w:rsidRPr="008E2AAB" w:rsidRDefault="00AF21BE" w:rsidP="00AF21BE">
      <w:pPr>
        <w:jc w:val="both"/>
        <w:rPr>
          <w:rFonts w:ascii="Times New Roman" w:hAnsi="Times New Roman" w:cs="Times New Roman"/>
          <w:sz w:val="22"/>
          <w:szCs w:val="22"/>
        </w:rPr>
      </w:pPr>
      <w:r w:rsidRPr="008E2AAB">
        <w:rPr>
          <w:rFonts w:ascii="Times New Roman" w:hAnsi="Times New Roman" w:cs="Times New Roman"/>
          <w:sz w:val="22"/>
          <w:szCs w:val="22"/>
        </w:rPr>
        <w:t>Ethical Considerations</w:t>
      </w:r>
    </w:p>
    <w:p w14:paraId="0D25960E" w14:textId="77777777" w:rsidR="00AF21BE" w:rsidRPr="008E2AAB" w:rsidRDefault="00AF21BE" w:rsidP="00AF21BE">
      <w:pPr>
        <w:jc w:val="both"/>
        <w:rPr>
          <w:rFonts w:ascii="Times New Roman" w:hAnsi="Times New Roman" w:cs="Times New Roman"/>
          <w:sz w:val="22"/>
          <w:szCs w:val="22"/>
        </w:rPr>
      </w:pPr>
      <w:r w:rsidRPr="008E2AAB">
        <w:rPr>
          <w:rFonts w:ascii="Times New Roman" w:hAnsi="Times New Roman" w:cs="Times New Roman"/>
          <w:sz w:val="22"/>
          <w:szCs w:val="22"/>
        </w:rPr>
        <w:t>While no formal ethical approval was required for documentary analysis and expert consultations, all informal respondents were informed of the study’s purpose, and their input has been anonymized. Care was taken to respect institutional confidentiality and avoid misrepresentation of policy documents.</w:t>
      </w:r>
    </w:p>
    <w:p w14:paraId="17B8FC1C" w14:textId="77777777" w:rsidR="00A058A3" w:rsidRDefault="00A058A3" w:rsidP="00D909E6">
      <w:pPr>
        <w:jc w:val="both"/>
        <w:rPr>
          <w:rFonts w:ascii="Times New Roman" w:hAnsi="Times New Roman" w:cs="Times New Roman"/>
          <w:b/>
          <w:bCs/>
          <w:sz w:val="22"/>
          <w:szCs w:val="22"/>
        </w:rPr>
      </w:pPr>
    </w:p>
    <w:p w14:paraId="3F45E062" w14:textId="51D29C0A" w:rsidR="00D909E6" w:rsidRPr="008E2AAB" w:rsidRDefault="00D909E6" w:rsidP="00D909E6">
      <w:pPr>
        <w:jc w:val="both"/>
        <w:rPr>
          <w:rFonts w:ascii="Times New Roman" w:hAnsi="Times New Roman" w:cs="Times New Roman"/>
          <w:b/>
          <w:bCs/>
          <w:sz w:val="22"/>
          <w:szCs w:val="22"/>
        </w:rPr>
      </w:pPr>
      <w:r w:rsidRPr="008E2AAB">
        <w:rPr>
          <w:rFonts w:ascii="Times New Roman" w:hAnsi="Times New Roman" w:cs="Times New Roman"/>
          <w:b/>
          <w:bCs/>
          <w:sz w:val="22"/>
          <w:szCs w:val="22"/>
        </w:rPr>
        <w:lastRenderedPageBreak/>
        <w:t>Analysis</w:t>
      </w:r>
    </w:p>
    <w:p w14:paraId="0FF3C76B" w14:textId="77777777" w:rsidR="0088117D" w:rsidRPr="008E2AAB" w:rsidRDefault="0088117D"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The transformation of Nigerian universities from polytechnics to technology universities is not just a policy recommendation, but a multi-dimensional process of reform that has a deep impact on institutional identity, governance and capacity. The analysis of public policy documents, institutional data, and comparative world literature revealed latent tensions and transformational opportunities in the five core pillars of this transition. </w:t>
      </w:r>
    </w:p>
    <w:p w14:paraId="4CABC59F" w14:textId="174BDACE" w:rsidR="0088117D" w:rsidRPr="008E2AAB" w:rsidRDefault="0088117D" w:rsidP="00316649">
      <w:pPr>
        <w:jc w:val="both"/>
        <w:rPr>
          <w:rFonts w:ascii="Times New Roman" w:hAnsi="Times New Roman" w:cs="Times New Roman"/>
          <w:b/>
          <w:bCs/>
          <w:sz w:val="22"/>
          <w:szCs w:val="22"/>
        </w:rPr>
      </w:pPr>
      <w:r w:rsidRPr="008E2AAB">
        <w:rPr>
          <w:rFonts w:ascii="Times New Roman" w:hAnsi="Times New Roman" w:cs="Times New Roman"/>
          <w:b/>
          <w:bCs/>
          <w:sz w:val="22"/>
          <w:szCs w:val="22"/>
        </w:rPr>
        <w:t>Accreditation as a Double-Edged Sword</w:t>
      </w:r>
    </w:p>
    <w:p w14:paraId="631BB718" w14:textId="56A94174" w:rsidR="0088117D" w:rsidRPr="008E2AAB" w:rsidRDefault="0088117D"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Accreditation is the foundation for the assurance of quality in higher education. In Nigeria, the National University Commission (NUC) sets strict benchmarks (such as staffing profiles, curriculum standards, and research expectations) as the prerequisite for institutional recognition. However, for many polytechnics, complying with these standards remains an important obstacle. The requirement that at least 20% of university staff hold professorships has strained the capacity of a limited number of doctoral-qualified institutions. Thus, some institutions may focus on more effective than substantive compliance strategies, as did DiMaggio and Powell's </w:t>
      </w:r>
      <w:r w:rsidR="00A058A3">
        <w:rPr>
          <w:rFonts w:ascii="Times New Roman" w:hAnsi="Times New Roman" w:cs="Times New Roman"/>
          <w:sz w:val="22"/>
          <w:szCs w:val="22"/>
        </w:rPr>
        <w:t xml:space="preserve">(1983) </w:t>
      </w:r>
      <w:r w:rsidRPr="008E2AAB">
        <w:rPr>
          <w:rFonts w:ascii="Times New Roman" w:hAnsi="Times New Roman" w:cs="Times New Roman"/>
          <w:sz w:val="22"/>
          <w:szCs w:val="22"/>
        </w:rPr>
        <w:t xml:space="preserve">concept of symbolic isomorphism. Recent studies (Okebukola, 2021; Adewuyi &amp; Ofoegbu, 2023) have shown that many institutions have adopted surface-level reforms (e.g., reorganizing departments and titles) without addressing the underlying academic deficiencies. </w:t>
      </w:r>
    </w:p>
    <w:p w14:paraId="32BCC36A" w14:textId="726354BF" w:rsidR="0088117D" w:rsidRPr="008E2AAB" w:rsidRDefault="0088117D" w:rsidP="00316649">
      <w:pPr>
        <w:jc w:val="both"/>
        <w:rPr>
          <w:rFonts w:ascii="Times New Roman" w:hAnsi="Times New Roman" w:cs="Times New Roman"/>
          <w:sz w:val="22"/>
          <w:szCs w:val="22"/>
        </w:rPr>
      </w:pPr>
      <w:r w:rsidRPr="008E2AAB">
        <w:rPr>
          <w:rFonts w:ascii="Times New Roman" w:hAnsi="Times New Roman" w:cs="Times New Roman"/>
          <w:b/>
          <w:bCs/>
          <w:sz w:val="22"/>
          <w:szCs w:val="22"/>
        </w:rPr>
        <w:t>Funding constraints and strategic dependency</w:t>
      </w:r>
    </w:p>
    <w:p w14:paraId="224C597F" w14:textId="77777777" w:rsidR="0070697D" w:rsidRPr="008E2AAB" w:rsidRDefault="0088117D" w:rsidP="0070697D">
      <w:pPr>
        <w:jc w:val="both"/>
        <w:rPr>
          <w:rFonts w:ascii="Times New Roman" w:hAnsi="Times New Roman" w:cs="Times New Roman"/>
          <w:sz w:val="22"/>
          <w:szCs w:val="22"/>
        </w:rPr>
      </w:pPr>
      <w:r w:rsidRPr="008E2AAB">
        <w:rPr>
          <w:rFonts w:ascii="Times New Roman" w:hAnsi="Times New Roman" w:cs="Times New Roman"/>
          <w:sz w:val="22"/>
          <w:szCs w:val="22"/>
        </w:rPr>
        <w:t>The transition to university status requires substantial financial demands. These include capital expenditures on laboratories, libraries, postgraduate programs, ICT infrastructure, and the recurrent costs related to the development of academic staff. Current funding from the Federal Government and TETFund has proved insufficient for this stage of transformation (Olayiwola &amp; Oyelere, 2022; Eze et al., 2023).</w:t>
      </w:r>
      <w:r w:rsidR="0070697D" w:rsidRPr="008E2AAB">
        <w:rPr>
          <w:rFonts w:ascii="Times New Roman" w:hAnsi="Times New Roman" w:cs="Times New Roman"/>
          <w:sz w:val="22"/>
          <w:szCs w:val="22"/>
        </w:rPr>
        <w:t xml:space="preserve"> This lack of funding emphasizes the theory of resource dependence (Pfeffer &amp; Salancik 1978), which illustrates how institutions adapt their strategies to secure critical resources. Due to the lack of specific transitional funding, most polytechnic universities are trying to diversify revenue streams or develop a robust internal production fund (IGF). </w:t>
      </w:r>
    </w:p>
    <w:p w14:paraId="621EFA26" w14:textId="77777777" w:rsidR="0070697D" w:rsidRPr="008E2AAB" w:rsidRDefault="0070697D" w:rsidP="0070697D">
      <w:pPr>
        <w:jc w:val="both"/>
        <w:rPr>
          <w:rFonts w:ascii="Times New Roman" w:hAnsi="Times New Roman" w:cs="Times New Roman"/>
          <w:sz w:val="22"/>
          <w:szCs w:val="22"/>
        </w:rPr>
      </w:pPr>
      <w:r w:rsidRPr="008E2AAB">
        <w:rPr>
          <w:rFonts w:ascii="Times New Roman" w:hAnsi="Times New Roman" w:cs="Times New Roman"/>
          <w:b/>
          <w:bCs/>
          <w:sz w:val="22"/>
          <w:szCs w:val="22"/>
        </w:rPr>
        <w:t>Institutional Ranking and Symbolic Visibility</w:t>
      </w:r>
      <w:r w:rsidRPr="008E2AAB">
        <w:rPr>
          <w:rFonts w:ascii="Times New Roman" w:hAnsi="Times New Roman" w:cs="Times New Roman"/>
          <w:sz w:val="22"/>
          <w:szCs w:val="22"/>
        </w:rPr>
        <w:t xml:space="preserve"> </w:t>
      </w:r>
    </w:p>
    <w:p w14:paraId="4FB9B6D6" w14:textId="677526DC" w:rsidR="00316649" w:rsidRPr="008E2AAB" w:rsidRDefault="0070697D" w:rsidP="00316649">
      <w:pPr>
        <w:jc w:val="both"/>
        <w:rPr>
          <w:rFonts w:ascii="Times New Roman" w:hAnsi="Times New Roman" w:cs="Times New Roman"/>
          <w:sz w:val="22"/>
          <w:szCs w:val="22"/>
        </w:rPr>
      </w:pPr>
      <w:r w:rsidRPr="008E2AAB">
        <w:rPr>
          <w:rFonts w:ascii="Times New Roman" w:hAnsi="Times New Roman" w:cs="Times New Roman"/>
          <w:sz w:val="22"/>
          <w:szCs w:val="22"/>
        </w:rPr>
        <w:t>Institutional Rankings have gained momentum as indicators of academic quality and global relevance. However, many transitional institutions in Nigeria lack the research output, digital visibility and international cooperation necessary to enhance competitiveness (Altbach et al., 2020; Babalola et al., 2023).</w:t>
      </w:r>
      <w:r w:rsidR="00867B27">
        <w:rPr>
          <w:rFonts w:ascii="Times New Roman" w:hAnsi="Times New Roman" w:cs="Times New Roman"/>
          <w:sz w:val="22"/>
          <w:szCs w:val="22"/>
        </w:rPr>
        <w:t xml:space="preserve"> </w:t>
      </w:r>
      <w:r w:rsidR="00316649" w:rsidRPr="008E2AAB">
        <w:rPr>
          <w:rFonts w:ascii="Times New Roman" w:hAnsi="Times New Roman" w:cs="Times New Roman"/>
          <w:sz w:val="22"/>
          <w:szCs w:val="22"/>
        </w:rPr>
        <w:t>Without adequate investment in research infrastructure and capacity-building, these institutions risk remaining invisible on national and global metrics. The analysis shows that efforts to elevate rankings—such as publishing in predatory journals or overstating research impact—can further erode credibility if not supported by genuine scholarly engagement (Hazelkorn, 2015).</w:t>
      </w:r>
    </w:p>
    <w:p w14:paraId="22A80E61" w14:textId="77777777" w:rsidR="00316649" w:rsidRPr="008E2AAB" w:rsidRDefault="00316649" w:rsidP="00316649">
      <w:pPr>
        <w:jc w:val="both"/>
        <w:rPr>
          <w:rFonts w:ascii="Times New Roman" w:hAnsi="Times New Roman" w:cs="Times New Roman"/>
          <w:b/>
          <w:bCs/>
          <w:sz w:val="22"/>
          <w:szCs w:val="22"/>
        </w:rPr>
      </w:pPr>
      <w:r w:rsidRPr="008E2AAB">
        <w:rPr>
          <w:rFonts w:ascii="Times New Roman" w:hAnsi="Times New Roman" w:cs="Times New Roman"/>
          <w:b/>
          <w:bCs/>
          <w:sz w:val="22"/>
          <w:szCs w:val="22"/>
        </w:rPr>
        <w:t>Academic Structure and Institutional Reorientation</w:t>
      </w:r>
    </w:p>
    <w:p w14:paraId="3B9C8CDD" w14:textId="5EE9C3B7" w:rsidR="00316649" w:rsidRPr="008E2AAB" w:rsidRDefault="00316649"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Shifting from a polytechnic governance model (centered around schools and academic boards) to a university structure (with faculties and senates) involves significant realignment. Santiago et al. (2021) observe that such structural changes often meet resistance, particularly where leadership lacks training in academic governance. Chukwuedo and Ezenwafor (2022) note that without strategic change management, institutions may experience internal conflicts and governance paralysis. Furthermore, the reorganization </w:t>
      </w:r>
      <w:r w:rsidRPr="008E2AAB">
        <w:rPr>
          <w:rFonts w:ascii="Times New Roman" w:hAnsi="Times New Roman" w:cs="Times New Roman"/>
          <w:sz w:val="22"/>
          <w:szCs w:val="22"/>
        </w:rPr>
        <w:lastRenderedPageBreak/>
        <w:t>demands new layers of quality assurance, interdisciplinary program development, and academic autonomy that are still underdeveloped in many institutions.</w:t>
      </w:r>
    </w:p>
    <w:p w14:paraId="7FD4E07C" w14:textId="77777777" w:rsidR="00316649" w:rsidRPr="008E2AAB" w:rsidRDefault="00316649" w:rsidP="00316649">
      <w:pPr>
        <w:jc w:val="both"/>
        <w:rPr>
          <w:rFonts w:ascii="Times New Roman" w:hAnsi="Times New Roman" w:cs="Times New Roman"/>
          <w:b/>
          <w:bCs/>
          <w:sz w:val="22"/>
          <w:szCs w:val="22"/>
        </w:rPr>
      </w:pPr>
      <w:r w:rsidRPr="008E2AAB">
        <w:rPr>
          <w:rFonts w:ascii="Times New Roman" w:hAnsi="Times New Roman" w:cs="Times New Roman"/>
          <w:b/>
          <w:bCs/>
          <w:sz w:val="22"/>
          <w:szCs w:val="22"/>
        </w:rPr>
        <w:t>Curriculum Change and Risk of Mission Drift</w:t>
      </w:r>
    </w:p>
    <w:p w14:paraId="4BCCFA08" w14:textId="1972A9D3" w:rsidR="00316649" w:rsidRPr="008E2AAB" w:rsidRDefault="00316649" w:rsidP="00316649">
      <w:pPr>
        <w:jc w:val="both"/>
        <w:rPr>
          <w:rFonts w:ascii="Times New Roman" w:hAnsi="Times New Roman" w:cs="Times New Roman"/>
          <w:sz w:val="22"/>
          <w:szCs w:val="22"/>
        </w:rPr>
      </w:pPr>
      <w:r w:rsidRPr="008E2AAB">
        <w:rPr>
          <w:rFonts w:ascii="Times New Roman" w:hAnsi="Times New Roman" w:cs="Times New Roman"/>
          <w:sz w:val="22"/>
          <w:szCs w:val="22"/>
        </w:rPr>
        <w:t>Curriculum reform is central to the university transition, yet many institutions face challenges in modernizing academic content. While some have transitioned from HND to B.Tech degrees with new course structures, others continue to deliver outdated or rebranded versions of polytechnic curricula (Aina, 2018; Okoroafor &amp; Nwogu, 2023). The risk here is mission drift: in their pursuit of academic legitimacy, institutions may abandon their foundational TVET identity without successfully integrating university-level academic rigor. This compromises both the applied focus of programs and the employability of graduates.</w:t>
      </w:r>
    </w:p>
    <w:p w14:paraId="4550D89B" w14:textId="77777777" w:rsidR="008D42D7" w:rsidRPr="008E2AAB" w:rsidRDefault="008D42D7" w:rsidP="008D42D7">
      <w:pPr>
        <w:jc w:val="both"/>
        <w:rPr>
          <w:rFonts w:ascii="Times New Roman" w:hAnsi="Times New Roman" w:cs="Times New Roman"/>
          <w:b/>
          <w:bCs/>
          <w:sz w:val="22"/>
          <w:szCs w:val="22"/>
        </w:rPr>
      </w:pPr>
      <w:r w:rsidRPr="008E2AAB">
        <w:rPr>
          <w:rFonts w:ascii="Times New Roman" w:hAnsi="Times New Roman" w:cs="Times New Roman"/>
          <w:b/>
          <w:bCs/>
          <w:sz w:val="22"/>
          <w:szCs w:val="22"/>
        </w:rPr>
        <w:t>Discussion</w:t>
      </w:r>
    </w:p>
    <w:p w14:paraId="49929CC8" w14:textId="77777777" w:rsidR="008D42D7" w:rsidRPr="008E2AAB" w:rsidRDefault="008D42D7" w:rsidP="008D42D7">
      <w:pPr>
        <w:jc w:val="both"/>
        <w:rPr>
          <w:rFonts w:ascii="Times New Roman" w:hAnsi="Times New Roman" w:cs="Times New Roman"/>
          <w:sz w:val="22"/>
          <w:szCs w:val="22"/>
        </w:rPr>
      </w:pPr>
      <w:r w:rsidRPr="008E2AAB">
        <w:rPr>
          <w:rFonts w:ascii="Times New Roman" w:hAnsi="Times New Roman" w:cs="Times New Roman"/>
          <w:sz w:val="22"/>
          <w:szCs w:val="22"/>
        </w:rPr>
        <w:t>This section contextualizes the findings using the five research questions and the theoretical frameworks underpinning the study.</w:t>
      </w:r>
    </w:p>
    <w:p w14:paraId="189582C5" w14:textId="77777777" w:rsidR="008D42D7" w:rsidRPr="008E2AAB" w:rsidRDefault="008D42D7" w:rsidP="008D42D7">
      <w:pPr>
        <w:jc w:val="both"/>
        <w:rPr>
          <w:rFonts w:ascii="Times New Roman" w:hAnsi="Times New Roman" w:cs="Times New Roman"/>
          <w:sz w:val="22"/>
          <w:szCs w:val="22"/>
        </w:rPr>
      </w:pPr>
      <w:r w:rsidRPr="008E2AAB">
        <w:rPr>
          <w:rFonts w:ascii="Times New Roman" w:hAnsi="Times New Roman" w:cs="Times New Roman"/>
          <w:sz w:val="22"/>
          <w:szCs w:val="22"/>
        </w:rPr>
        <w:t>RQ1: How do accreditation requirements influence institutional restructuring and quality assurance in transitioning institutions?</w:t>
      </w:r>
    </w:p>
    <w:p w14:paraId="3AC67870" w14:textId="77777777" w:rsidR="008D42D7" w:rsidRPr="008E2AAB" w:rsidRDefault="008D42D7" w:rsidP="008D42D7">
      <w:pPr>
        <w:jc w:val="both"/>
        <w:rPr>
          <w:rFonts w:ascii="Times New Roman" w:hAnsi="Times New Roman" w:cs="Times New Roman"/>
          <w:sz w:val="22"/>
          <w:szCs w:val="22"/>
        </w:rPr>
      </w:pPr>
      <w:r w:rsidRPr="008E2AAB">
        <w:rPr>
          <w:rFonts w:ascii="Times New Roman" w:hAnsi="Times New Roman" w:cs="Times New Roman"/>
          <w:sz w:val="22"/>
          <w:szCs w:val="22"/>
        </w:rPr>
        <w:t>Accreditation drives institutions to restructure along accepted university norms. However, institutional theory suggests this often results in symbolic compliance rather than substantive reform (DiMaggio &amp; Powell, 1983). Recent evidence (Adewuyi &amp; Ofoegbu, 2023) shows that while structures may be renamed or rebranded, academic practices and staff capacity frequently remain unchanged.</w:t>
      </w:r>
    </w:p>
    <w:p w14:paraId="6B07355B" w14:textId="77777777" w:rsidR="008D42D7" w:rsidRPr="008E2AAB" w:rsidRDefault="008D42D7" w:rsidP="008D42D7">
      <w:pPr>
        <w:jc w:val="both"/>
        <w:rPr>
          <w:rFonts w:ascii="Times New Roman" w:hAnsi="Times New Roman" w:cs="Times New Roman"/>
          <w:sz w:val="22"/>
          <w:szCs w:val="22"/>
        </w:rPr>
      </w:pPr>
      <w:r w:rsidRPr="008E2AAB">
        <w:rPr>
          <w:rFonts w:ascii="Times New Roman" w:hAnsi="Times New Roman" w:cs="Times New Roman"/>
          <w:sz w:val="22"/>
          <w:szCs w:val="22"/>
        </w:rPr>
        <w:t>RQ2: What funding models are currently available, and how adequate are they in supporting institutional transformation?</w:t>
      </w:r>
    </w:p>
    <w:p w14:paraId="0E96C7A4" w14:textId="77777777" w:rsidR="008D42D7" w:rsidRPr="008E2AAB" w:rsidRDefault="008D42D7" w:rsidP="008D42D7">
      <w:pPr>
        <w:jc w:val="both"/>
        <w:rPr>
          <w:rFonts w:ascii="Times New Roman" w:hAnsi="Times New Roman" w:cs="Times New Roman"/>
          <w:sz w:val="22"/>
          <w:szCs w:val="22"/>
        </w:rPr>
      </w:pPr>
      <w:r w:rsidRPr="008E2AAB">
        <w:rPr>
          <w:rFonts w:ascii="Times New Roman" w:hAnsi="Times New Roman" w:cs="Times New Roman"/>
          <w:sz w:val="22"/>
          <w:szCs w:val="22"/>
        </w:rPr>
        <w:t>The existing funding mechanisms—largely reliant on TETFund and government subvention—are insufficient for the expanded mandate of universities. Institutions lack transitional funds to support large-scale capital and recurrent expenditures. Resource dependence theory (Pfeffer &amp; Salancik, 1978) explains how this dependency forces institutions to compromise their goals or engage in opportunistic strategies to secure resources, often at the expense of quality and mission.</w:t>
      </w:r>
    </w:p>
    <w:p w14:paraId="060688B0" w14:textId="43061610" w:rsidR="008D42D7" w:rsidRPr="008E2AAB" w:rsidRDefault="008D42D7"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RQ3: How </w:t>
      </w:r>
      <w:r w:rsidR="006448EC" w:rsidRPr="008E2AAB">
        <w:rPr>
          <w:rFonts w:ascii="Times New Roman" w:hAnsi="Times New Roman" w:cs="Times New Roman"/>
          <w:sz w:val="22"/>
          <w:szCs w:val="22"/>
        </w:rPr>
        <w:t xml:space="preserve">do </w:t>
      </w:r>
      <w:r w:rsidRPr="008E2AAB">
        <w:rPr>
          <w:rFonts w:ascii="Times New Roman" w:hAnsi="Times New Roman" w:cs="Times New Roman"/>
          <w:sz w:val="22"/>
          <w:szCs w:val="22"/>
        </w:rPr>
        <w:t xml:space="preserve">institutional classification mechanisms affect the visibility and competitiveness of newly developed universities? </w:t>
      </w:r>
    </w:p>
    <w:p w14:paraId="4A3F07F7" w14:textId="77777777" w:rsidR="008D42D7" w:rsidRPr="008E2AAB" w:rsidRDefault="008D42D7"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The global rankings serve as incentives and pressures for new universities. However, as Babalola and Adediran (2023) point out, many Nigerian institutions do not have the basic research infrastructure necessary to compete. This leads to a reputational gap between ambition and capacity, which undermines long-term credibility. </w:t>
      </w:r>
    </w:p>
    <w:p w14:paraId="6F7EDD2A" w14:textId="77777777" w:rsidR="008D42D7" w:rsidRPr="008E2AAB" w:rsidRDefault="008D42D7"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RQ4: How are academic structures and governance systems being reorganized to reflect university standards? </w:t>
      </w:r>
    </w:p>
    <w:p w14:paraId="0D850A01" w14:textId="77777777" w:rsidR="006448EC" w:rsidRPr="008E2AAB" w:rsidRDefault="008D42D7"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The reorganization of academic structures is often from the top to the bottom, with limited participation of stakeholders. Resistance stems from legacy systems, administrative inertia and unclear role definitions (Chukwuedo &amp; Ezenwafor, 2022). The transition model (Clark 1983; Teichler 2007) supports the idea that reform must go beyond symbolic compliance to cultural and operational transformation. </w:t>
      </w:r>
    </w:p>
    <w:p w14:paraId="211E8D37" w14:textId="77777777" w:rsidR="006448EC" w:rsidRPr="008E2AAB" w:rsidRDefault="008D42D7" w:rsidP="00316649">
      <w:pPr>
        <w:jc w:val="both"/>
        <w:rPr>
          <w:rFonts w:ascii="Times New Roman" w:hAnsi="Times New Roman" w:cs="Times New Roman"/>
          <w:sz w:val="22"/>
          <w:szCs w:val="22"/>
        </w:rPr>
      </w:pPr>
      <w:r w:rsidRPr="008E2AAB">
        <w:rPr>
          <w:rFonts w:ascii="Times New Roman" w:hAnsi="Times New Roman" w:cs="Times New Roman"/>
          <w:sz w:val="22"/>
          <w:szCs w:val="22"/>
        </w:rPr>
        <w:lastRenderedPageBreak/>
        <w:t xml:space="preserve">RQ5: What are the challenges and strategies to align the reform of the curriculum with university expectations and TVET identity? </w:t>
      </w:r>
    </w:p>
    <w:p w14:paraId="1D1E66FE" w14:textId="43DD7000" w:rsidR="008D42D7" w:rsidRPr="008E2AAB" w:rsidRDefault="008D42D7" w:rsidP="00316649">
      <w:pPr>
        <w:jc w:val="both"/>
        <w:rPr>
          <w:rFonts w:ascii="Times New Roman" w:hAnsi="Times New Roman" w:cs="Times New Roman"/>
          <w:sz w:val="22"/>
          <w:szCs w:val="22"/>
        </w:rPr>
      </w:pPr>
      <w:r w:rsidRPr="008E2AAB">
        <w:rPr>
          <w:rFonts w:ascii="Times New Roman" w:hAnsi="Times New Roman" w:cs="Times New Roman"/>
          <w:sz w:val="22"/>
          <w:szCs w:val="22"/>
        </w:rPr>
        <w:t>Maintaining dual commitment to academic excellence and technical relevance is the most difficult balancing act in transition. Without intentional strategies, such as hybrid program models or a co-designed curriculum by industry institutions, could undermine both dimensions (Okoroafor &amp; Nwogu, 2023).</w:t>
      </w:r>
    </w:p>
    <w:p w14:paraId="1D1ADD96" w14:textId="15634A19" w:rsidR="00316649" w:rsidRPr="008E2AAB" w:rsidRDefault="00316649" w:rsidP="00316649">
      <w:pPr>
        <w:jc w:val="both"/>
        <w:rPr>
          <w:rFonts w:ascii="Times New Roman" w:hAnsi="Times New Roman" w:cs="Times New Roman"/>
          <w:b/>
          <w:bCs/>
          <w:sz w:val="22"/>
          <w:szCs w:val="22"/>
        </w:rPr>
      </w:pPr>
      <w:r w:rsidRPr="008E2AAB">
        <w:rPr>
          <w:rFonts w:ascii="Times New Roman" w:hAnsi="Times New Roman" w:cs="Times New Roman"/>
          <w:b/>
          <w:bCs/>
          <w:sz w:val="22"/>
          <w:szCs w:val="22"/>
        </w:rPr>
        <w:t>Counterarguments and Alternative Perspectives</w:t>
      </w:r>
    </w:p>
    <w:p w14:paraId="2BFFB684" w14:textId="72A91264" w:rsidR="008D42D7" w:rsidRPr="008E2AAB" w:rsidRDefault="0070697D"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Some researchers believe that institutional changes must be allowed to evolve organically through competition rather than formal designation. Others warned that the TVET-university hybrid model was difficult to maintain in practice. However, global models (such as Malaysia and South Korea) suggest that good-funding, phased approaches — supported by governance reforms and clear measures — can preserve technical identity while achieving university status (Lee, 2015; Lim, 2018). </w:t>
      </w:r>
    </w:p>
    <w:p w14:paraId="7515E5D4" w14:textId="7E8413FC" w:rsidR="0070697D" w:rsidRPr="008E2AAB" w:rsidRDefault="0070697D" w:rsidP="00316649">
      <w:pPr>
        <w:jc w:val="both"/>
        <w:rPr>
          <w:rFonts w:ascii="Times New Roman" w:hAnsi="Times New Roman" w:cs="Times New Roman"/>
          <w:b/>
          <w:bCs/>
          <w:sz w:val="22"/>
          <w:szCs w:val="22"/>
        </w:rPr>
      </w:pPr>
      <w:r w:rsidRPr="008E2AAB">
        <w:rPr>
          <w:rFonts w:ascii="Times New Roman" w:hAnsi="Times New Roman" w:cs="Times New Roman"/>
          <w:b/>
          <w:bCs/>
          <w:sz w:val="22"/>
          <w:szCs w:val="22"/>
        </w:rPr>
        <w:t>Policy and Practice Recommendations</w:t>
      </w:r>
    </w:p>
    <w:p w14:paraId="7CB24553" w14:textId="5E1A7BCF" w:rsidR="0070697D" w:rsidRPr="008E2AAB" w:rsidRDefault="0070697D"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Recommendations on policies and practices to transform the polytechnic reform of universities from political ambitions to institutional realities require a targeted intervention beyond rhetoric. Based on the analysis presented, the following policy and institutional recommendations are aimed at supporting sustainable and reliable transition processes:. </w:t>
      </w:r>
    </w:p>
    <w:p w14:paraId="33B19049" w14:textId="1CA2DFAE" w:rsidR="0070697D" w:rsidRPr="008E2AAB" w:rsidRDefault="0070697D" w:rsidP="0070697D">
      <w:pPr>
        <w:jc w:val="both"/>
        <w:rPr>
          <w:rFonts w:ascii="Times New Roman" w:hAnsi="Times New Roman" w:cs="Times New Roman"/>
          <w:sz w:val="22"/>
          <w:szCs w:val="22"/>
        </w:rPr>
      </w:pPr>
      <w:r w:rsidRPr="008E2AAB">
        <w:rPr>
          <w:rFonts w:ascii="Times New Roman" w:hAnsi="Times New Roman" w:cs="Times New Roman"/>
          <w:sz w:val="22"/>
          <w:szCs w:val="22"/>
        </w:rPr>
        <w:t xml:space="preserve">1. Establishing a transitional funding framework </w:t>
      </w:r>
    </w:p>
    <w:p w14:paraId="0B3EC174" w14:textId="78A367CE" w:rsidR="00AB6CC0" w:rsidRPr="008E2AAB" w:rsidRDefault="00AB6CC0" w:rsidP="00AB6CC0">
      <w:pPr>
        <w:jc w:val="both"/>
        <w:rPr>
          <w:rFonts w:ascii="Times New Roman" w:hAnsi="Times New Roman" w:cs="Times New Roman"/>
          <w:sz w:val="22"/>
          <w:szCs w:val="22"/>
        </w:rPr>
      </w:pPr>
      <w:r w:rsidRPr="008E2AAB">
        <w:rPr>
          <w:rFonts w:ascii="Times New Roman" w:hAnsi="Times New Roman" w:cs="Times New Roman"/>
          <w:sz w:val="22"/>
          <w:szCs w:val="22"/>
        </w:rPr>
        <w:t>To ensure a seamless and sustainable transformation from polytechnic to university status, the Federal Government should initiate a dedicated transitional funding mechanism through the Federal Ministry of Education, in partnership with TETFund. Unlike general capital grants, this fund must be purpose-built to meet the complex requirements of institutional conversion. Priority areas for funding should include upgrading physical infrastructure to align with National Universities Commission (NUC) standards, financing postgraduate education for academic staff, establishing research and innovation hubs, and supporting the temporary engagement of experienced scholars, such as sabbatical professors, to bridge expertise gaps.</w:t>
      </w:r>
    </w:p>
    <w:p w14:paraId="289BB15E" w14:textId="7033405F" w:rsidR="00AB6CC0" w:rsidRPr="008E2AAB" w:rsidRDefault="00AB6CC0" w:rsidP="00316649">
      <w:pPr>
        <w:jc w:val="both"/>
        <w:rPr>
          <w:rFonts w:ascii="Times New Roman" w:hAnsi="Times New Roman" w:cs="Times New Roman"/>
          <w:sz w:val="22"/>
          <w:szCs w:val="22"/>
        </w:rPr>
      </w:pPr>
      <w:r w:rsidRPr="008E2AAB">
        <w:rPr>
          <w:rFonts w:ascii="Times New Roman" w:hAnsi="Times New Roman" w:cs="Times New Roman"/>
          <w:sz w:val="22"/>
          <w:szCs w:val="22"/>
        </w:rPr>
        <w:t>Beyond relieving financial pressure, such a framework would signal the government’s long-term commitment to meaningful reform in the tertiary education sector. To operationalize this initiative, three funding models are proposed: (1) a five-year public-private partnership (PPP) pilot to leverage industry investment, (2) a UNESCO-supported transition fund targeting capacity development, and (3) a phased NUC-linked subsidy scheme, tied directly to institutions' progress in meeting accreditation milestones. These options would offer flexible yet accountable pathways to funding, tailored to institutional readiness and reform benchmarks.</w:t>
      </w:r>
    </w:p>
    <w:p w14:paraId="6BF2448B" w14:textId="1FF22C56" w:rsidR="00B84B87" w:rsidRPr="008E2AAB" w:rsidRDefault="00644CA0"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2. Create a dual-mode academic model with regulatory support </w:t>
      </w:r>
    </w:p>
    <w:p w14:paraId="3F4140CE" w14:textId="74FDCB03" w:rsidR="00644CA0" w:rsidRPr="008E2AAB" w:rsidRDefault="00644CA0" w:rsidP="00316649">
      <w:pPr>
        <w:jc w:val="both"/>
        <w:rPr>
          <w:rFonts w:ascii="Times New Roman" w:hAnsi="Times New Roman" w:cs="Times New Roman"/>
          <w:sz w:val="22"/>
          <w:szCs w:val="22"/>
        </w:rPr>
      </w:pPr>
      <w:r w:rsidRPr="008E2AAB">
        <w:rPr>
          <w:rFonts w:ascii="Times New Roman" w:hAnsi="Times New Roman" w:cs="Times New Roman"/>
          <w:sz w:val="22"/>
          <w:szCs w:val="22"/>
        </w:rPr>
        <w:t>Rather than abruptly phasing out national diploma (ND) programs, institutions should encourage the implementation of dual-mode delivery systems</w:t>
      </w:r>
      <w:r w:rsidR="00AB6CC0" w:rsidRPr="008E2AAB">
        <w:rPr>
          <w:rFonts w:ascii="Times New Roman" w:hAnsi="Times New Roman" w:cs="Times New Roman"/>
          <w:sz w:val="22"/>
          <w:szCs w:val="22"/>
        </w:rPr>
        <w:t>,</w:t>
      </w:r>
      <w:r w:rsidRPr="008E2AAB">
        <w:rPr>
          <w:rFonts w:ascii="Times New Roman" w:hAnsi="Times New Roman" w:cs="Times New Roman"/>
          <w:sz w:val="22"/>
          <w:szCs w:val="22"/>
        </w:rPr>
        <w:t xml:space="preserve"> offering both ND and B.Tech programs during the transition period. This model ensures continuous access to intermediate technical training and allows time to develop university capacities. </w:t>
      </w:r>
      <w:r w:rsidR="00AB6CC0" w:rsidRPr="008E2AAB">
        <w:rPr>
          <w:rFonts w:ascii="Times New Roman" w:hAnsi="Times New Roman" w:cs="Times New Roman"/>
          <w:sz w:val="22"/>
          <w:szCs w:val="22"/>
        </w:rPr>
        <w:t>To</w:t>
      </w:r>
      <w:r w:rsidRPr="008E2AAB">
        <w:rPr>
          <w:rFonts w:ascii="Times New Roman" w:hAnsi="Times New Roman" w:cs="Times New Roman"/>
          <w:sz w:val="22"/>
          <w:szCs w:val="22"/>
        </w:rPr>
        <w:t xml:space="preserve"> avoid regulatory confusion, the National University Commission </w:t>
      </w:r>
      <w:r w:rsidRPr="008E2AAB">
        <w:rPr>
          <w:rFonts w:ascii="Times New Roman" w:hAnsi="Times New Roman" w:cs="Times New Roman"/>
          <w:sz w:val="22"/>
          <w:szCs w:val="22"/>
        </w:rPr>
        <w:lastRenderedPageBreak/>
        <w:t xml:space="preserve">(NUC) and the National </w:t>
      </w:r>
      <w:r w:rsidR="00AB6CC0" w:rsidRPr="008E2AAB">
        <w:rPr>
          <w:rFonts w:ascii="Times New Roman" w:hAnsi="Times New Roman" w:cs="Times New Roman"/>
          <w:sz w:val="22"/>
          <w:szCs w:val="22"/>
        </w:rPr>
        <w:t xml:space="preserve">Board for </w:t>
      </w:r>
      <w:r w:rsidRPr="008E2AAB">
        <w:rPr>
          <w:rFonts w:ascii="Times New Roman" w:hAnsi="Times New Roman" w:cs="Times New Roman"/>
          <w:sz w:val="22"/>
          <w:szCs w:val="22"/>
        </w:rPr>
        <w:t xml:space="preserve">Technical Education (NBTE) must develop a joint accreditation framework to govern dual-mode institutions during this interim phase. </w:t>
      </w:r>
    </w:p>
    <w:p w14:paraId="0B869109" w14:textId="77777777" w:rsidR="00644CA0" w:rsidRPr="008E2AAB" w:rsidRDefault="00644CA0"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3. Develop a national television education integration strategy </w:t>
      </w:r>
    </w:p>
    <w:p w14:paraId="19CF056A" w14:textId="3F40C0A4" w:rsidR="00644CA0" w:rsidRPr="008E2AAB" w:rsidRDefault="00644CA0"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At </w:t>
      </w:r>
      <w:r w:rsidR="00AB6CC0" w:rsidRPr="008E2AAB">
        <w:rPr>
          <w:rFonts w:ascii="Times New Roman" w:hAnsi="Times New Roman" w:cs="Times New Roman"/>
          <w:sz w:val="22"/>
          <w:szCs w:val="22"/>
        </w:rPr>
        <w:t xml:space="preserve">the </w:t>
      </w:r>
      <w:r w:rsidRPr="008E2AAB">
        <w:rPr>
          <w:rFonts w:ascii="Times New Roman" w:hAnsi="Times New Roman" w:cs="Times New Roman"/>
          <w:sz w:val="22"/>
          <w:szCs w:val="22"/>
        </w:rPr>
        <w:t xml:space="preserve">policy level, </w:t>
      </w:r>
      <w:r w:rsidR="00AB6CC0" w:rsidRPr="008E2AAB">
        <w:rPr>
          <w:rFonts w:ascii="Times New Roman" w:hAnsi="Times New Roman" w:cs="Times New Roman"/>
          <w:sz w:val="22"/>
          <w:szCs w:val="22"/>
        </w:rPr>
        <w:t>there seems to be a lack of</w:t>
      </w:r>
      <w:r w:rsidRPr="008E2AAB">
        <w:rPr>
          <w:rFonts w:ascii="Times New Roman" w:hAnsi="Times New Roman" w:cs="Times New Roman"/>
          <w:sz w:val="22"/>
          <w:szCs w:val="22"/>
        </w:rPr>
        <w:t xml:space="preserve"> </w:t>
      </w:r>
      <w:r w:rsidR="00AB6CC0" w:rsidRPr="008E2AAB">
        <w:rPr>
          <w:rFonts w:ascii="Times New Roman" w:hAnsi="Times New Roman" w:cs="Times New Roman"/>
          <w:sz w:val="22"/>
          <w:szCs w:val="22"/>
        </w:rPr>
        <w:t xml:space="preserve">a </w:t>
      </w:r>
      <w:r w:rsidRPr="008E2AAB">
        <w:rPr>
          <w:rFonts w:ascii="Times New Roman" w:hAnsi="Times New Roman" w:cs="Times New Roman"/>
          <w:sz w:val="22"/>
          <w:szCs w:val="22"/>
        </w:rPr>
        <w:t xml:space="preserve">coherent strategy for effectively integrating the strengths of its technical and vocational education and training sector into the wider educational landscape. </w:t>
      </w:r>
      <w:r w:rsidR="00AB6CC0" w:rsidRPr="008E2AAB">
        <w:rPr>
          <w:rFonts w:ascii="Times New Roman" w:hAnsi="Times New Roman" w:cs="Times New Roman"/>
          <w:sz w:val="22"/>
          <w:szCs w:val="22"/>
        </w:rPr>
        <w:t>To</w:t>
      </w:r>
      <w:r w:rsidRPr="008E2AAB">
        <w:rPr>
          <w:rFonts w:ascii="Times New Roman" w:hAnsi="Times New Roman" w:cs="Times New Roman"/>
          <w:sz w:val="22"/>
          <w:szCs w:val="22"/>
        </w:rPr>
        <w:t xml:space="preserve"> address this gap, the Federal Ministry of Education should convene a national task force consisting of academics, industry stakeholders, regulatory agencies</w:t>
      </w:r>
      <w:r w:rsidR="00AB6CC0" w:rsidRPr="008E2AAB">
        <w:rPr>
          <w:rFonts w:ascii="Times New Roman" w:hAnsi="Times New Roman" w:cs="Times New Roman"/>
          <w:sz w:val="22"/>
          <w:szCs w:val="22"/>
        </w:rPr>
        <w:t>,</w:t>
      </w:r>
      <w:r w:rsidRPr="008E2AAB">
        <w:rPr>
          <w:rFonts w:ascii="Times New Roman" w:hAnsi="Times New Roman" w:cs="Times New Roman"/>
          <w:sz w:val="22"/>
          <w:szCs w:val="22"/>
        </w:rPr>
        <w:t xml:space="preserve"> and international experts to develop a strategic programme to guide the transition from polytechnics to universities. The plan should focus on maintaining the technical identity of transition institutions, preventing mission drift</w:t>
      </w:r>
      <w:r w:rsidR="00AB6CC0" w:rsidRPr="008E2AAB">
        <w:rPr>
          <w:rFonts w:ascii="Times New Roman" w:hAnsi="Times New Roman" w:cs="Times New Roman"/>
          <w:sz w:val="22"/>
          <w:szCs w:val="22"/>
        </w:rPr>
        <w:t>,</w:t>
      </w:r>
      <w:r w:rsidRPr="008E2AAB">
        <w:rPr>
          <w:rFonts w:ascii="Times New Roman" w:hAnsi="Times New Roman" w:cs="Times New Roman"/>
          <w:sz w:val="22"/>
          <w:szCs w:val="22"/>
        </w:rPr>
        <w:t xml:space="preserve"> and institutionalizing interdisciplinary and industry-relevant academic programs. Such coordinated efforts ensured that reforms were not arbitrary, but strongly anchored on national development goals and world best practices. </w:t>
      </w:r>
    </w:p>
    <w:p w14:paraId="0A86A559" w14:textId="77777777" w:rsidR="00644CA0" w:rsidRPr="008E2AAB" w:rsidRDefault="00644CA0"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4. Professionalize academic leadership for university governance </w:t>
      </w:r>
    </w:p>
    <w:p w14:paraId="66A300E3" w14:textId="48422CD5" w:rsidR="00316649" w:rsidRPr="008E2AAB" w:rsidRDefault="00644CA0"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Successful transformation requires a change not only in structure but in leadership ethics. Academic administrators of newly converted institutions – in particular professors, department </w:t>
      </w:r>
      <w:r w:rsidR="00AB6CC0" w:rsidRPr="008E2AAB">
        <w:rPr>
          <w:rFonts w:ascii="Times New Roman" w:hAnsi="Times New Roman" w:cs="Times New Roman"/>
          <w:sz w:val="22"/>
          <w:szCs w:val="22"/>
        </w:rPr>
        <w:t>heads,</w:t>
      </w:r>
      <w:r w:rsidRPr="008E2AAB">
        <w:rPr>
          <w:rFonts w:ascii="Times New Roman" w:hAnsi="Times New Roman" w:cs="Times New Roman"/>
          <w:sz w:val="22"/>
          <w:szCs w:val="22"/>
        </w:rPr>
        <w:t xml:space="preserve"> and Senate members – should receive structured training in university governance, academic leadership, and research ethics. </w:t>
      </w:r>
      <w:r w:rsidR="00316649" w:rsidRPr="008E2AAB">
        <w:rPr>
          <w:rFonts w:ascii="Times New Roman" w:hAnsi="Times New Roman" w:cs="Times New Roman"/>
          <w:sz w:val="22"/>
          <w:szCs w:val="22"/>
        </w:rPr>
        <w:t>The NUC and the Association of Vice-Chancellors should collaborate to develop short executive courses or certificate programs tailored to this need.</w:t>
      </w:r>
    </w:p>
    <w:p w14:paraId="717E892E" w14:textId="77777777" w:rsidR="00FE06ED" w:rsidRPr="008E2AAB" w:rsidRDefault="00FE06ED"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5. Strengthen internal research ecosystems </w:t>
      </w:r>
    </w:p>
    <w:p w14:paraId="1B215DEC" w14:textId="1AF922BE" w:rsidR="00FE06ED" w:rsidRPr="008E2AAB" w:rsidRDefault="00FE06ED"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New universities need to act quickly to institutionalise a robust research ecosystem by developing clear research policies, sustainable funding frameworks, and targeted university incentives. These efforts should include seed grants for early career researchers, structured support for academic publishing and editorial mentoring, establishment of an institutional repository for archiving and disseminating research results, and strategic partnerships with established universities to co-supervise postgraduate students and collaborative research projects. Without these deliberate interventions, the important research task for university identity may be seen as an aspiration rather than a functional and measurable component of institutional practice. </w:t>
      </w:r>
    </w:p>
    <w:p w14:paraId="188F95FF" w14:textId="77777777" w:rsidR="00FE06ED" w:rsidRPr="008E2AAB" w:rsidRDefault="00FE06ED"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6. Employ the intelligence of the labour market in curriculum reform </w:t>
      </w:r>
    </w:p>
    <w:p w14:paraId="15D6CF0C" w14:textId="041E6E3C" w:rsidR="00316649" w:rsidRPr="008E2AAB" w:rsidRDefault="00FE06ED" w:rsidP="00316649">
      <w:pPr>
        <w:jc w:val="both"/>
        <w:rPr>
          <w:rFonts w:ascii="Times New Roman" w:hAnsi="Times New Roman" w:cs="Times New Roman"/>
          <w:sz w:val="22"/>
          <w:szCs w:val="22"/>
        </w:rPr>
      </w:pPr>
      <w:r w:rsidRPr="008E2AAB">
        <w:rPr>
          <w:rFonts w:ascii="Times New Roman" w:hAnsi="Times New Roman" w:cs="Times New Roman"/>
          <w:sz w:val="22"/>
          <w:szCs w:val="22"/>
        </w:rPr>
        <w:t>Curriculum development committees must work closely with industry partners, professional associations, and graduates to align programmes with real-world needs. Employment market forecasting tools, graduate tracking studies, and skill gap audits should inform course offerings and learning outcomes. If possible, institutions should run co-designed programs that combine classroom learning with practical industrial training.</w:t>
      </w:r>
    </w:p>
    <w:p w14:paraId="69057538" w14:textId="77777777" w:rsidR="00FE06ED" w:rsidRPr="008E2AAB" w:rsidRDefault="00FE06ED"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7. Implementation of communications and change management strategies </w:t>
      </w:r>
    </w:p>
    <w:p w14:paraId="0ADB384A" w14:textId="77777777" w:rsidR="0033777E" w:rsidRPr="008E2AAB" w:rsidRDefault="00FE06ED"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The resistance to change, from staff, students, and even regulatory stakeholders – can delay reforms. Transitional institutions should develop communication plans clarifying the timelines, expectations and support mechanisms. These plans should be accompanied by academic advisory systems, complaints channels and participation forums to promote trust and transparency. </w:t>
      </w:r>
    </w:p>
    <w:p w14:paraId="2370DB3B" w14:textId="77777777" w:rsidR="0033777E" w:rsidRPr="008E2AAB" w:rsidRDefault="00FE06ED" w:rsidP="00316649">
      <w:pPr>
        <w:jc w:val="both"/>
        <w:rPr>
          <w:rFonts w:ascii="Times New Roman" w:hAnsi="Times New Roman" w:cs="Times New Roman"/>
          <w:sz w:val="22"/>
          <w:szCs w:val="22"/>
        </w:rPr>
      </w:pPr>
      <w:r w:rsidRPr="008E2AAB">
        <w:rPr>
          <w:rFonts w:ascii="Times New Roman" w:hAnsi="Times New Roman" w:cs="Times New Roman"/>
          <w:sz w:val="22"/>
          <w:szCs w:val="22"/>
        </w:rPr>
        <w:lastRenderedPageBreak/>
        <w:t xml:space="preserve">By embedding these reforms in politics and practice, Nigeria can go beyond symbolic conversions and build resilient, research-based and technical universities. It is not only about branding institutions, but also about rebalancing higher education itself to reflect the relevance of a knowledge-driven economy. </w:t>
      </w:r>
    </w:p>
    <w:p w14:paraId="31AF6FF4" w14:textId="77777777" w:rsidR="0033777E" w:rsidRPr="008E2AAB" w:rsidRDefault="00FE06ED" w:rsidP="00316649">
      <w:pPr>
        <w:jc w:val="both"/>
        <w:rPr>
          <w:rFonts w:ascii="Times New Roman" w:hAnsi="Times New Roman" w:cs="Times New Roman"/>
          <w:b/>
          <w:bCs/>
          <w:sz w:val="22"/>
          <w:szCs w:val="22"/>
        </w:rPr>
      </w:pPr>
      <w:r w:rsidRPr="008E2AAB">
        <w:rPr>
          <w:rFonts w:ascii="Times New Roman" w:hAnsi="Times New Roman" w:cs="Times New Roman"/>
          <w:b/>
          <w:bCs/>
          <w:sz w:val="22"/>
          <w:szCs w:val="22"/>
        </w:rPr>
        <w:t xml:space="preserve">Conclusion </w:t>
      </w:r>
    </w:p>
    <w:p w14:paraId="5A0BEFF3" w14:textId="77777777" w:rsidR="00EA13F8" w:rsidRPr="008E2AAB" w:rsidRDefault="00EA13F8"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The transition from Polytechnic to University in Nigeria is a strategic, but complex, effort to reposition technical education into a wider national development agenda. This study explored five critical dimensions — accreditation, funding, institutional classification, academic structure and curriculum reform — through theoretical and comparative perspectives. The results confirm that although the transition creates opportunities for institutional growth and academic progress, it also shows the systemic weaknesses of governance, capacity and policy coherence. </w:t>
      </w:r>
    </w:p>
    <w:p w14:paraId="638A6C13" w14:textId="77777777" w:rsidR="00EA13F8" w:rsidRPr="008E2AAB" w:rsidRDefault="00EA13F8" w:rsidP="00316649">
      <w:pPr>
        <w:jc w:val="both"/>
        <w:rPr>
          <w:rFonts w:ascii="Times New Roman" w:hAnsi="Times New Roman" w:cs="Times New Roman"/>
          <w:sz w:val="22"/>
          <w:szCs w:val="22"/>
        </w:rPr>
      </w:pPr>
      <w:r w:rsidRPr="008E2AAB">
        <w:rPr>
          <w:rFonts w:ascii="Times New Roman" w:hAnsi="Times New Roman" w:cs="Times New Roman"/>
          <w:sz w:val="22"/>
          <w:szCs w:val="22"/>
        </w:rPr>
        <w:t xml:space="preserve">Comparatively, Nigeria's experience coincides with broader trends in developing countries. As with the post-apartheid conversion of vocational schools in South Africa and Malaysia’s move to highly innovative technology research universities, Nigeria is facing challenges such as symbolic compliance, misalignment of funds and mission drift. In each of these contexts, structural reforms exceeded cultural and academic readiness, resulting in uneven outcomes. However, the Malaysian case also shows that deliberate policy design, sustained investment and industry-oriented programming allow TVET to maintain the strengths and expand university functions. </w:t>
      </w:r>
    </w:p>
    <w:p w14:paraId="1F0689CE" w14:textId="06759BE0" w:rsidR="00EA13F8" w:rsidRPr="008E2AAB" w:rsidRDefault="00EA13F8" w:rsidP="00316649">
      <w:pPr>
        <w:jc w:val="both"/>
        <w:rPr>
          <w:rFonts w:ascii="Times New Roman" w:hAnsi="Times New Roman" w:cs="Times New Roman"/>
          <w:sz w:val="22"/>
          <w:szCs w:val="22"/>
        </w:rPr>
      </w:pPr>
      <w:r w:rsidRPr="008E2AAB">
        <w:rPr>
          <w:rFonts w:ascii="Times New Roman" w:hAnsi="Times New Roman" w:cs="Times New Roman"/>
          <w:sz w:val="22"/>
          <w:szCs w:val="22"/>
        </w:rPr>
        <w:t>Nigeria's reform efforts must therefore go beyond the policy statements to address the realities of institutional capacity and the risks of emulati</w:t>
      </w:r>
      <w:r w:rsidR="00867B27">
        <w:rPr>
          <w:rFonts w:ascii="Times New Roman" w:hAnsi="Times New Roman" w:cs="Times New Roman"/>
          <w:sz w:val="22"/>
          <w:szCs w:val="22"/>
        </w:rPr>
        <w:t xml:space="preserve">ng the less </w:t>
      </w:r>
      <w:r w:rsidRPr="008E2AAB">
        <w:rPr>
          <w:rFonts w:ascii="Times New Roman" w:hAnsi="Times New Roman" w:cs="Times New Roman"/>
          <w:sz w:val="22"/>
          <w:szCs w:val="22"/>
        </w:rPr>
        <w:t>critical. Successful transitions require more than accreditation checks or structural imitation; they require a grounded and context-sensitive approach that balances innovation with identity and compliance with transformation. Through global examples and the investment of tailored support systems such as transitional funding, curriculum frameworks and research incentives, Nigeria's new technology universities can be a credible engine of skills development, innovation and inclusive growth.</w:t>
      </w:r>
    </w:p>
    <w:p w14:paraId="653EA634" w14:textId="5D01EB59" w:rsidR="00CD3CF7" w:rsidRPr="008E2AAB" w:rsidRDefault="00867B27" w:rsidP="00CD3CF7">
      <w:pPr>
        <w:jc w:val="both"/>
        <w:rPr>
          <w:rFonts w:ascii="Times New Roman" w:hAnsi="Times New Roman" w:cs="Times New Roman"/>
          <w:sz w:val="22"/>
          <w:szCs w:val="22"/>
        </w:rPr>
      </w:pPr>
      <w:r>
        <w:rPr>
          <w:rFonts w:ascii="Times New Roman" w:hAnsi="Times New Roman" w:cs="Times New Roman"/>
          <w:sz w:val="22"/>
          <w:szCs w:val="22"/>
        </w:rPr>
        <w:t>To support this position, t</w:t>
      </w:r>
      <w:r w:rsidR="00CD3CF7" w:rsidRPr="008E2AAB">
        <w:rPr>
          <w:rFonts w:ascii="Times New Roman" w:hAnsi="Times New Roman" w:cs="Times New Roman"/>
          <w:sz w:val="22"/>
          <w:szCs w:val="22"/>
        </w:rPr>
        <w:t xml:space="preserve">his </w:t>
      </w:r>
      <w:r>
        <w:rPr>
          <w:rFonts w:ascii="Times New Roman" w:hAnsi="Times New Roman" w:cs="Times New Roman"/>
          <w:sz w:val="22"/>
          <w:szCs w:val="22"/>
        </w:rPr>
        <w:t>study</w:t>
      </w:r>
      <w:r w:rsidR="00CD3CF7" w:rsidRPr="008E2AAB">
        <w:rPr>
          <w:rFonts w:ascii="Times New Roman" w:hAnsi="Times New Roman" w:cs="Times New Roman"/>
          <w:sz w:val="22"/>
          <w:szCs w:val="22"/>
        </w:rPr>
        <w:t xml:space="preserve"> makes three distinct contributions. First, it provides a conceptual framework for understanding higher education transitions as multi-level processes shaped by institutional theory and resource dependencies. Second, it grounds the Nigerian case in comparative global contexts, showing both convergence and divergence in pathways to institutional transformation. Third, it offers actionable recommendations that speak to the real-world constraints faced by policy actors, academic leaders, and regulatory bodies alike.</w:t>
      </w:r>
    </w:p>
    <w:p w14:paraId="2036A2A0" w14:textId="6B83A3FF" w:rsidR="00CD3CF7" w:rsidRPr="008E2AAB" w:rsidRDefault="00CD3CF7" w:rsidP="00CD3CF7">
      <w:pPr>
        <w:jc w:val="both"/>
        <w:rPr>
          <w:rFonts w:ascii="Times New Roman" w:hAnsi="Times New Roman" w:cs="Times New Roman"/>
          <w:sz w:val="22"/>
          <w:szCs w:val="22"/>
        </w:rPr>
      </w:pPr>
      <w:r w:rsidRPr="008E2AAB">
        <w:rPr>
          <w:rFonts w:ascii="Times New Roman" w:hAnsi="Times New Roman" w:cs="Times New Roman"/>
          <w:sz w:val="22"/>
          <w:szCs w:val="22"/>
        </w:rPr>
        <w:t>Looking ahead, future research might explore the lived experiences of academic and non-academic staff navigating these changes, or track the longitudinal outcomes of graduates emerging from dual-mode and restructured academic programs. Equally important is the need to monitor how institutional rankings, student performance, and research output evolve in the first decade post-conversion.</w:t>
      </w:r>
    </w:p>
    <w:p w14:paraId="6B09A173" w14:textId="00291E47" w:rsidR="00CD3CF7" w:rsidRPr="008E2AAB" w:rsidRDefault="008323E9" w:rsidP="00CD3CF7">
      <w:pPr>
        <w:jc w:val="both"/>
        <w:rPr>
          <w:rFonts w:ascii="Times New Roman" w:hAnsi="Times New Roman" w:cs="Times New Roman"/>
          <w:sz w:val="22"/>
          <w:szCs w:val="22"/>
        </w:rPr>
      </w:pPr>
      <w:r w:rsidRPr="008E2AAB">
        <w:rPr>
          <w:rFonts w:ascii="Times New Roman" w:hAnsi="Times New Roman" w:cs="Times New Roman"/>
          <w:sz w:val="22"/>
          <w:szCs w:val="22"/>
        </w:rPr>
        <w:t xml:space="preserve">Finally, </w:t>
      </w:r>
      <w:r w:rsidR="00CD3CF7" w:rsidRPr="008E2AAB">
        <w:rPr>
          <w:rFonts w:ascii="Times New Roman" w:hAnsi="Times New Roman" w:cs="Times New Roman"/>
          <w:sz w:val="22"/>
          <w:szCs w:val="22"/>
        </w:rPr>
        <w:t xml:space="preserve">the path from polytechnic to university holds promise—but that promise will only be fulfilled if the transition is approached not as an event, but as a deliberate and inclusive process of educational reinvention. It is in this spirit of critical engagement and constructive foresight that this </w:t>
      </w:r>
      <w:r w:rsidR="00867B27">
        <w:rPr>
          <w:rFonts w:ascii="Times New Roman" w:hAnsi="Times New Roman" w:cs="Times New Roman"/>
          <w:sz w:val="22"/>
          <w:szCs w:val="22"/>
        </w:rPr>
        <w:t>study</w:t>
      </w:r>
      <w:r w:rsidR="00CD3CF7" w:rsidRPr="008E2AAB">
        <w:rPr>
          <w:rFonts w:ascii="Times New Roman" w:hAnsi="Times New Roman" w:cs="Times New Roman"/>
          <w:sz w:val="22"/>
          <w:szCs w:val="22"/>
        </w:rPr>
        <w:t xml:space="preserve"> contributes to the discourse on higher education reform in Nigeria and beyond.</w:t>
      </w:r>
    </w:p>
    <w:p w14:paraId="492937E0" w14:textId="77777777" w:rsidR="00867B27" w:rsidRDefault="00867B27" w:rsidP="00603209">
      <w:pPr>
        <w:jc w:val="both"/>
        <w:rPr>
          <w:rFonts w:ascii="Times New Roman" w:hAnsi="Times New Roman" w:cs="Times New Roman"/>
          <w:b/>
          <w:bCs/>
          <w:sz w:val="22"/>
          <w:szCs w:val="22"/>
        </w:rPr>
      </w:pPr>
    </w:p>
    <w:p w14:paraId="036D8B64" w14:textId="447B4C41" w:rsidR="00AF21BE" w:rsidRPr="008E2AAB" w:rsidRDefault="00E31954" w:rsidP="00603209">
      <w:pPr>
        <w:jc w:val="both"/>
        <w:rPr>
          <w:rFonts w:ascii="Times New Roman" w:hAnsi="Times New Roman" w:cs="Times New Roman"/>
          <w:b/>
          <w:bCs/>
          <w:sz w:val="22"/>
          <w:szCs w:val="22"/>
        </w:rPr>
      </w:pPr>
      <w:r w:rsidRPr="008E2AAB">
        <w:rPr>
          <w:rFonts w:ascii="Times New Roman" w:hAnsi="Times New Roman" w:cs="Times New Roman"/>
          <w:b/>
          <w:bCs/>
          <w:sz w:val="22"/>
          <w:szCs w:val="22"/>
        </w:rPr>
        <w:lastRenderedPageBreak/>
        <w:t>References</w:t>
      </w:r>
    </w:p>
    <w:p w14:paraId="4927CBA8" w14:textId="56519EDF"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Adewuyi, D. A., &amp; Ofoegbu, F. I. (2023). Accreditation and quality assurance in Nigerian universities: Emerging trends and challenges. Journal of Educational Policy and Administration, 11(2), 103–117.</w:t>
      </w:r>
    </w:p>
    <w:p w14:paraId="615C2090" w14:textId="6E5F3A6F"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Aina, O. (2018). Technical and vocational education and training (TVET) for sustainable development in Nigeria: Challenges and strategies. Abuja, Nigeria: UNESCO-UNEVOC National Centre.</w:t>
      </w:r>
    </w:p>
    <w:p w14:paraId="6BBA9359" w14:textId="23361F65"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Akoojee, S. (2008). Private Technical and Vocational Education and Training (TVET) and national development: The South African reality. Southern African Review of Education, 14(2), 49–65.</w:t>
      </w:r>
    </w:p>
    <w:p w14:paraId="5DAEC030" w14:textId="39FFBE59"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Altbach, P. G., &amp; de Wit, H. (2020). The challenge to higher education internationalisation. University World News, 586. https://www.universityworldnews.com</w:t>
      </w:r>
    </w:p>
    <w:p w14:paraId="3E54E4B0" w14:textId="01086462"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Babalola, J. B., &amp; Adediran, A. A. (2023). Enhancing university visibility through research collaboration and digital innovation in Africa. African Journal of Higher Education Studies, 5(1), 44–58.</w:t>
      </w:r>
    </w:p>
    <w:p w14:paraId="032EE4BA" w14:textId="0D5E9860"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Brennan, J., &amp; Osborne, M. (2008). Higher education’s many diversities: Of students, institutions and experiences; and outcomes? Research Papers in Education, 23(2), 179–190. https://doi.org/10.1080/02671520802048717</w:t>
      </w:r>
    </w:p>
    <w:p w14:paraId="3B412C53" w14:textId="6245085C"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Chukwuedo, S. O., &amp; Ezenwafor, J. I. (2022). Leadership restructuring for university governance in Nigerian transitioning polytechnics. Journal of Educational Development and Practice, 13(1), 65–78.</w:t>
      </w:r>
    </w:p>
    <w:p w14:paraId="2A61A426" w14:textId="2D599F67"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Clark, B. R. (1983). The higher education system: Academic organization in cross-national perspective. University of California Press.</w:t>
      </w:r>
    </w:p>
    <w:p w14:paraId="66175E97" w14:textId="71ED0805"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DiMaggio, P. J., &amp; Powell, W. W. (1983). The iron cage revisited: Institutional isomorphism and collective rationality in organizational fields. American Sociological Review, 48(2), 147–160. https://doi.org/10.2307/2095101</w:t>
      </w:r>
    </w:p>
    <w:p w14:paraId="4ABF6678" w14:textId="2DBE2062"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Eze, N. R., Ajayi, A. O., &amp; Musa, B. (2023). Funding higher education in Nigeria: Alternative models for financing university upgrades. Journal of African Education Economics, 6(2), 88–102.</w:t>
      </w:r>
    </w:p>
    <w:p w14:paraId="1F1CC6AD" w14:textId="34835770"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Federal Ministry of Education. (2021). Policy brief on the conversion of selected polytechnics to universities of technology. Abuja, Nigeria: Author.</w:t>
      </w:r>
    </w:p>
    <w:p w14:paraId="19845961" w14:textId="316CC30B"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Hazelkorn, E. (2015). Rankings and the reshaping of higher education: The battle for world-class excellence. Palgrave Macmillan.</w:t>
      </w:r>
    </w:p>
    <w:p w14:paraId="262C18CA" w14:textId="1AFB2FFD"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Lee, J. (2015). Higher education expansion and economic growth in South Korea: The impact of a transition from elite to mass higher education. Asian Education and Development Studies, 4(3), 345–360.</w:t>
      </w:r>
    </w:p>
    <w:p w14:paraId="4D2988F7" w14:textId="11A2509C"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Lee, J. (2015). Building world-class universities in South Korea: Policy strategies and institutional responses. International Journal of Educational Development, 43, 1–9.</w:t>
      </w:r>
    </w:p>
    <w:p w14:paraId="1D815C24" w14:textId="1F9426D4"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Lim, L. (2018). Diversification of higher education in Malaysia: Changing institutional roles. Studies in Higher Education, 43(3), 553–567. https://doi.org/10.1080/03075079.2016.1185773</w:t>
      </w:r>
    </w:p>
    <w:p w14:paraId="706E857F" w14:textId="0467DCF4"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Lim, L. (2018). Malaysia’s higher education reform and the evolving university mission. Asia Pacific Education Review, 19(2), 245–257.</w:t>
      </w:r>
    </w:p>
    <w:p w14:paraId="4E438E9D" w14:textId="25F007CC"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lastRenderedPageBreak/>
        <w:t>Meyer, J. W., &amp; Rowan, B. (1977). Institutionalized organizations: Formal structure as myth and ceremony. American Journal of Sociology, 83(2), 340–363. https://doi.org/10.1086/226550</w:t>
      </w:r>
    </w:p>
    <w:p w14:paraId="24490CBF" w14:textId="2C6E7E4D"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Okebukola, P. (2021). Revitalizing research culture in Nigeria’s tertiary education system. Abuja, Nigeria: National Universities Commission Monograph Series.</w:t>
      </w:r>
    </w:p>
    <w:p w14:paraId="7B483DCE" w14:textId="579C90DE"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Okolie, U. C., Igwe, P. A., &amp; Elom, M. E. (2019). Towards bridging the skills gap in Nigeria: Universities and workplace relevance of graduates in the 21st century. Industry and Higher Education, 33(2), 112–120. https://doi.org/10.1177/0950422218815809</w:t>
      </w:r>
    </w:p>
    <w:p w14:paraId="221E0AB1" w14:textId="1D1F5F6D"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Okoroafor, N., &amp; Nwogu, L. (2023). Curriculum transformation in Nigeria’s technical universities: Preserving TVET identity. Nigerian Journal of Curriculum Studies, 30(1), 51–67.</w:t>
      </w:r>
    </w:p>
    <w:p w14:paraId="3CBA9AB5" w14:textId="73584A18"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Olayiwola, A., &amp; Oyelere, R. U. (2022). The financing gap in Nigerian polytechnics transitioning to universities. Education Finance Review, 4(3), 211–228.</w:t>
      </w:r>
    </w:p>
    <w:p w14:paraId="41552690" w14:textId="3FD89852"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Olayiwola, S., &amp; Oyelere, T. (2022). Financing higher education in Nigeria: Challenges and prospects in university transition contexts. African Journal of Educational Research, 26(3), 113–128.</w:t>
      </w:r>
    </w:p>
    <w:p w14:paraId="137B90BE" w14:textId="3A0DD607"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Pfeffer, J., &amp; Salancik, G. R. (1978). The external control of organizations: A resource dependence perspective. Harper &amp; Row.</w:t>
      </w:r>
    </w:p>
    <w:p w14:paraId="0CDF75EE" w14:textId="1751D966"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Santiago, R., Mata, J., &amp; Cardoso, S. (2021). Governance and change in higher education: Perspectives from polytechnic transitions. Studies in Higher Education, 46(4), 756–770.</w:t>
      </w:r>
    </w:p>
    <w:p w14:paraId="0C558CFB" w14:textId="5B2436A9"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Santiago, P., Tremblay, K., Basri, E., &amp; Arnal, E. (2008). Tertiary education for the knowledge society: OECD thematic review. OECD Publishing.</w:t>
      </w:r>
    </w:p>
    <w:p w14:paraId="3EEE2B6A" w14:textId="1AE1952A"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Scott, W. R. (2008). Institutions and organizations: Ideas and interests (3rd ed.). Sage Publications.</w:t>
      </w:r>
    </w:p>
    <w:p w14:paraId="09CA12AF" w14:textId="365CA2E2"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Taylor, J. (2010). The UK academic profession in the 21st century: Key pressures and challenges. Higher Education Management and Policy, 22(3), 1–18.</w:t>
      </w:r>
    </w:p>
    <w:p w14:paraId="0C3080F3" w14:textId="287BF46C" w:rsidR="00E31954"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Teichler, U. (2007). Higher education systems: Conceptual frameworks, comparative perspectives, empirical findings. Sense Publishers.</w:t>
      </w:r>
    </w:p>
    <w:p w14:paraId="5431B963" w14:textId="3BCFA865" w:rsidR="00AF21BE" w:rsidRPr="008E2AAB" w:rsidRDefault="00E31954" w:rsidP="00E31954">
      <w:pPr>
        <w:jc w:val="both"/>
        <w:rPr>
          <w:rFonts w:ascii="Times New Roman" w:hAnsi="Times New Roman" w:cs="Times New Roman"/>
          <w:sz w:val="22"/>
          <w:szCs w:val="22"/>
        </w:rPr>
      </w:pPr>
      <w:r w:rsidRPr="008E2AAB">
        <w:rPr>
          <w:rFonts w:ascii="Times New Roman" w:hAnsi="Times New Roman" w:cs="Times New Roman"/>
          <w:sz w:val="22"/>
          <w:szCs w:val="22"/>
        </w:rPr>
        <w:t>Wheelahan, L., &amp; Moodie, G. (2017). Vocational education and the future of work: Pathways beyond the crisis. Springer.</w:t>
      </w:r>
    </w:p>
    <w:p w14:paraId="6BB05804" w14:textId="77777777" w:rsidR="00AF21BE" w:rsidRPr="008E2AAB" w:rsidRDefault="00AF21BE" w:rsidP="00603209">
      <w:pPr>
        <w:jc w:val="both"/>
        <w:rPr>
          <w:rFonts w:ascii="Times New Roman" w:hAnsi="Times New Roman" w:cs="Times New Roman"/>
          <w:sz w:val="22"/>
          <w:szCs w:val="22"/>
        </w:rPr>
      </w:pPr>
    </w:p>
    <w:p w14:paraId="01572F56" w14:textId="77777777" w:rsidR="00E6035B" w:rsidRPr="008E2AAB" w:rsidRDefault="00E6035B" w:rsidP="001452DA">
      <w:pPr>
        <w:jc w:val="both"/>
        <w:rPr>
          <w:rFonts w:ascii="Times New Roman" w:hAnsi="Times New Roman" w:cs="Times New Roman"/>
          <w:sz w:val="22"/>
          <w:szCs w:val="22"/>
        </w:rPr>
      </w:pPr>
    </w:p>
    <w:sectPr w:rsidR="00E6035B" w:rsidRPr="008E2AA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09076" w14:textId="77777777" w:rsidR="00C15CB3" w:rsidRDefault="00C15CB3" w:rsidP="00E31954">
      <w:pPr>
        <w:spacing w:after="0" w:line="240" w:lineRule="auto"/>
      </w:pPr>
      <w:r>
        <w:separator/>
      </w:r>
    </w:p>
  </w:endnote>
  <w:endnote w:type="continuationSeparator" w:id="0">
    <w:p w14:paraId="13806F94" w14:textId="77777777" w:rsidR="00C15CB3" w:rsidRDefault="00C15CB3" w:rsidP="00E31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660228"/>
      <w:docPartObj>
        <w:docPartGallery w:val="Page Numbers (Bottom of Page)"/>
        <w:docPartUnique/>
      </w:docPartObj>
    </w:sdtPr>
    <w:sdtEndPr>
      <w:rPr>
        <w:noProof/>
      </w:rPr>
    </w:sdtEndPr>
    <w:sdtContent>
      <w:p w14:paraId="3D6638CA" w14:textId="15D7B86B" w:rsidR="00E31954" w:rsidRDefault="00E31954">
        <w:pPr>
          <w:pStyle w:val="Footer"/>
        </w:pPr>
        <w:r>
          <w:fldChar w:fldCharType="begin"/>
        </w:r>
        <w:r>
          <w:instrText xml:space="preserve"> PAGE   \* MERGEFORMAT </w:instrText>
        </w:r>
        <w:r>
          <w:fldChar w:fldCharType="separate"/>
        </w:r>
        <w:r w:rsidR="00720788">
          <w:rPr>
            <w:noProof/>
          </w:rPr>
          <w:t>13</w:t>
        </w:r>
        <w:r>
          <w:rPr>
            <w:noProof/>
          </w:rPr>
          <w:fldChar w:fldCharType="end"/>
        </w:r>
      </w:p>
    </w:sdtContent>
  </w:sdt>
  <w:p w14:paraId="0B5741C0" w14:textId="77777777" w:rsidR="00E31954" w:rsidRDefault="00E31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5EE18" w14:textId="77777777" w:rsidR="00C15CB3" w:rsidRDefault="00C15CB3" w:rsidP="00E31954">
      <w:pPr>
        <w:spacing w:after="0" w:line="240" w:lineRule="auto"/>
      </w:pPr>
      <w:r>
        <w:separator/>
      </w:r>
    </w:p>
  </w:footnote>
  <w:footnote w:type="continuationSeparator" w:id="0">
    <w:p w14:paraId="3F869D3D" w14:textId="77777777" w:rsidR="00C15CB3" w:rsidRDefault="00C15CB3" w:rsidP="00E31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2BF9"/>
    <w:multiLevelType w:val="hybridMultilevel"/>
    <w:tmpl w:val="5E94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92FAB"/>
    <w:multiLevelType w:val="hybridMultilevel"/>
    <w:tmpl w:val="F4D8A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03503"/>
    <w:multiLevelType w:val="hybridMultilevel"/>
    <w:tmpl w:val="E8407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D303C"/>
    <w:multiLevelType w:val="hybridMultilevel"/>
    <w:tmpl w:val="856C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412F37"/>
    <w:multiLevelType w:val="hybridMultilevel"/>
    <w:tmpl w:val="396A0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A7B96"/>
    <w:multiLevelType w:val="hybridMultilevel"/>
    <w:tmpl w:val="F118D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89"/>
    <w:rsid w:val="0004379C"/>
    <w:rsid w:val="000A6AF2"/>
    <w:rsid w:val="001452DA"/>
    <w:rsid w:val="001B004E"/>
    <w:rsid w:val="002C3AC7"/>
    <w:rsid w:val="002C3D37"/>
    <w:rsid w:val="00316649"/>
    <w:rsid w:val="0032499E"/>
    <w:rsid w:val="00335D6F"/>
    <w:rsid w:val="0033777E"/>
    <w:rsid w:val="0036148A"/>
    <w:rsid w:val="003C42DF"/>
    <w:rsid w:val="0040516E"/>
    <w:rsid w:val="00413ED1"/>
    <w:rsid w:val="004E11E6"/>
    <w:rsid w:val="004E1982"/>
    <w:rsid w:val="00513A2E"/>
    <w:rsid w:val="00520F77"/>
    <w:rsid w:val="00541CC7"/>
    <w:rsid w:val="00603209"/>
    <w:rsid w:val="006448EC"/>
    <w:rsid w:val="00644CA0"/>
    <w:rsid w:val="00691786"/>
    <w:rsid w:val="0070697D"/>
    <w:rsid w:val="00720788"/>
    <w:rsid w:val="0076306F"/>
    <w:rsid w:val="00790FC5"/>
    <w:rsid w:val="007A616B"/>
    <w:rsid w:val="007F7AD0"/>
    <w:rsid w:val="008323E9"/>
    <w:rsid w:val="00866CF2"/>
    <w:rsid w:val="00867B27"/>
    <w:rsid w:val="0088117D"/>
    <w:rsid w:val="008D42D7"/>
    <w:rsid w:val="008E2AAB"/>
    <w:rsid w:val="009119F4"/>
    <w:rsid w:val="0093559A"/>
    <w:rsid w:val="009567AD"/>
    <w:rsid w:val="00A058A3"/>
    <w:rsid w:val="00A97256"/>
    <w:rsid w:val="00AB6CC0"/>
    <w:rsid w:val="00AC5A02"/>
    <w:rsid w:val="00AF21BE"/>
    <w:rsid w:val="00B84B87"/>
    <w:rsid w:val="00BE0C34"/>
    <w:rsid w:val="00BE3FD5"/>
    <w:rsid w:val="00C15CB3"/>
    <w:rsid w:val="00C2450B"/>
    <w:rsid w:val="00C44389"/>
    <w:rsid w:val="00C71990"/>
    <w:rsid w:val="00CD3CF7"/>
    <w:rsid w:val="00D061C3"/>
    <w:rsid w:val="00D76458"/>
    <w:rsid w:val="00D80958"/>
    <w:rsid w:val="00D909E6"/>
    <w:rsid w:val="00DB5C57"/>
    <w:rsid w:val="00E31954"/>
    <w:rsid w:val="00E6035B"/>
    <w:rsid w:val="00EA13F8"/>
    <w:rsid w:val="00ED0EE0"/>
    <w:rsid w:val="00EE2DF7"/>
    <w:rsid w:val="00EF61BA"/>
    <w:rsid w:val="00FE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2733E"/>
  <w15:chartTrackingRefBased/>
  <w15:docId w15:val="{292C34EA-B808-4ACB-AD43-AC099F83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4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3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3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3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3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3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3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3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3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389"/>
    <w:rPr>
      <w:rFonts w:eastAsiaTheme="majorEastAsia" w:cstheme="majorBidi"/>
      <w:color w:val="272727" w:themeColor="text1" w:themeTint="D8"/>
    </w:rPr>
  </w:style>
  <w:style w:type="paragraph" w:styleId="Title">
    <w:name w:val="Title"/>
    <w:basedOn w:val="Normal"/>
    <w:next w:val="Normal"/>
    <w:link w:val="TitleChar"/>
    <w:uiPriority w:val="10"/>
    <w:qFormat/>
    <w:rsid w:val="00C44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389"/>
    <w:pPr>
      <w:spacing w:before="160"/>
      <w:jc w:val="center"/>
    </w:pPr>
    <w:rPr>
      <w:i/>
      <w:iCs/>
      <w:color w:val="404040" w:themeColor="text1" w:themeTint="BF"/>
    </w:rPr>
  </w:style>
  <w:style w:type="character" w:customStyle="1" w:styleId="QuoteChar">
    <w:name w:val="Quote Char"/>
    <w:basedOn w:val="DefaultParagraphFont"/>
    <w:link w:val="Quote"/>
    <w:uiPriority w:val="29"/>
    <w:rsid w:val="00C44389"/>
    <w:rPr>
      <w:i/>
      <w:iCs/>
      <w:color w:val="404040" w:themeColor="text1" w:themeTint="BF"/>
    </w:rPr>
  </w:style>
  <w:style w:type="paragraph" w:styleId="ListParagraph">
    <w:name w:val="List Paragraph"/>
    <w:basedOn w:val="Normal"/>
    <w:uiPriority w:val="34"/>
    <w:qFormat/>
    <w:rsid w:val="00C44389"/>
    <w:pPr>
      <w:ind w:left="720"/>
      <w:contextualSpacing/>
    </w:pPr>
  </w:style>
  <w:style w:type="character" w:styleId="IntenseEmphasis">
    <w:name w:val="Intense Emphasis"/>
    <w:basedOn w:val="DefaultParagraphFont"/>
    <w:uiPriority w:val="21"/>
    <w:qFormat/>
    <w:rsid w:val="00C44389"/>
    <w:rPr>
      <w:i/>
      <w:iCs/>
      <w:color w:val="0F4761" w:themeColor="accent1" w:themeShade="BF"/>
    </w:rPr>
  </w:style>
  <w:style w:type="paragraph" w:styleId="IntenseQuote">
    <w:name w:val="Intense Quote"/>
    <w:basedOn w:val="Normal"/>
    <w:next w:val="Normal"/>
    <w:link w:val="IntenseQuoteChar"/>
    <w:uiPriority w:val="30"/>
    <w:qFormat/>
    <w:rsid w:val="00C44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389"/>
    <w:rPr>
      <w:i/>
      <w:iCs/>
      <w:color w:val="0F4761" w:themeColor="accent1" w:themeShade="BF"/>
    </w:rPr>
  </w:style>
  <w:style w:type="character" w:styleId="IntenseReference">
    <w:name w:val="Intense Reference"/>
    <w:basedOn w:val="DefaultParagraphFont"/>
    <w:uiPriority w:val="32"/>
    <w:qFormat/>
    <w:rsid w:val="00C44389"/>
    <w:rPr>
      <w:b/>
      <w:bCs/>
      <w:smallCaps/>
      <w:color w:val="0F4761" w:themeColor="accent1" w:themeShade="BF"/>
      <w:spacing w:val="5"/>
    </w:rPr>
  </w:style>
  <w:style w:type="paragraph" w:styleId="Header">
    <w:name w:val="header"/>
    <w:basedOn w:val="Normal"/>
    <w:link w:val="HeaderChar"/>
    <w:uiPriority w:val="99"/>
    <w:unhideWhenUsed/>
    <w:rsid w:val="00E31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954"/>
  </w:style>
  <w:style w:type="paragraph" w:styleId="Footer">
    <w:name w:val="footer"/>
    <w:basedOn w:val="Normal"/>
    <w:link w:val="FooterChar"/>
    <w:uiPriority w:val="99"/>
    <w:unhideWhenUsed/>
    <w:rsid w:val="00E31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954"/>
  </w:style>
  <w:style w:type="character" w:styleId="Hyperlink">
    <w:name w:val="Hyperlink"/>
    <w:basedOn w:val="DefaultParagraphFont"/>
    <w:uiPriority w:val="99"/>
    <w:unhideWhenUsed/>
    <w:rsid w:val="00BE0C34"/>
    <w:rPr>
      <w:color w:val="467886" w:themeColor="hyperlink"/>
      <w:u w:val="single"/>
    </w:rPr>
  </w:style>
  <w:style w:type="paragraph" w:styleId="NoSpacing">
    <w:name w:val="No Spacing"/>
    <w:link w:val="NoSpacingChar"/>
    <w:uiPriority w:val="1"/>
    <w:qFormat/>
    <w:rsid w:val="00BE0C34"/>
    <w:pPr>
      <w:spacing w:after="0" w:line="240" w:lineRule="auto"/>
    </w:pPr>
    <w:rPr>
      <w:rFonts w:ascii="Times New Roman" w:eastAsia="Times New Roman" w:hAnsi="Times New Roman" w:cs="Times New Roman"/>
      <w:kern w:val="0"/>
      <w14:ligatures w14:val="none"/>
    </w:rPr>
  </w:style>
  <w:style w:type="character" w:customStyle="1" w:styleId="NoSpacingChar">
    <w:name w:val="No Spacing Char"/>
    <w:link w:val="NoSpacing"/>
    <w:uiPriority w:val="1"/>
    <w:rsid w:val="00BE0C3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3538">
      <w:bodyDiv w:val="1"/>
      <w:marLeft w:val="0"/>
      <w:marRight w:val="0"/>
      <w:marTop w:val="0"/>
      <w:marBottom w:val="0"/>
      <w:divBdr>
        <w:top w:val="none" w:sz="0" w:space="0" w:color="auto"/>
        <w:left w:val="none" w:sz="0" w:space="0" w:color="auto"/>
        <w:bottom w:val="none" w:sz="0" w:space="0" w:color="auto"/>
        <w:right w:val="none" w:sz="0" w:space="0" w:color="auto"/>
      </w:divBdr>
    </w:div>
    <w:div w:id="479349817">
      <w:bodyDiv w:val="1"/>
      <w:marLeft w:val="0"/>
      <w:marRight w:val="0"/>
      <w:marTop w:val="0"/>
      <w:marBottom w:val="0"/>
      <w:divBdr>
        <w:top w:val="none" w:sz="0" w:space="0" w:color="auto"/>
        <w:left w:val="none" w:sz="0" w:space="0" w:color="auto"/>
        <w:bottom w:val="none" w:sz="0" w:space="0" w:color="auto"/>
        <w:right w:val="none" w:sz="0" w:space="0" w:color="auto"/>
      </w:divBdr>
    </w:div>
    <w:div w:id="535433587">
      <w:bodyDiv w:val="1"/>
      <w:marLeft w:val="0"/>
      <w:marRight w:val="0"/>
      <w:marTop w:val="0"/>
      <w:marBottom w:val="0"/>
      <w:divBdr>
        <w:top w:val="none" w:sz="0" w:space="0" w:color="auto"/>
        <w:left w:val="none" w:sz="0" w:space="0" w:color="auto"/>
        <w:bottom w:val="none" w:sz="0" w:space="0" w:color="auto"/>
        <w:right w:val="none" w:sz="0" w:space="0" w:color="auto"/>
      </w:divBdr>
    </w:div>
    <w:div w:id="847061145">
      <w:bodyDiv w:val="1"/>
      <w:marLeft w:val="0"/>
      <w:marRight w:val="0"/>
      <w:marTop w:val="0"/>
      <w:marBottom w:val="0"/>
      <w:divBdr>
        <w:top w:val="none" w:sz="0" w:space="0" w:color="auto"/>
        <w:left w:val="none" w:sz="0" w:space="0" w:color="auto"/>
        <w:bottom w:val="none" w:sz="0" w:space="0" w:color="auto"/>
        <w:right w:val="none" w:sz="0" w:space="0" w:color="auto"/>
      </w:divBdr>
    </w:div>
    <w:div w:id="920411002">
      <w:bodyDiv w:val="1"/>
      <w:marLeft w:val="0"/>
      <w:marRight w:val="0"/>
      <w:marTop w:val="0"/>
      <w:marBottom w:val="0"/>
      <w:divBdr>
        <w:top w:val="none" w:sz="0" w:space="0" w:color="auto"/>
        <w:left w:val="none" w:sz="0" w:space="0" w:color="auto"/>
        <w:bottom w:val="none" w:sz="0" w:space="0" w:color="auto"/>
        <w:right w:val="none" w:sz="0" w:space="0" w:color="auto"/>
      </w:divBdr>
    </w:div>
    <w:div w:id="145425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uf.adebakin@yabatech.edu.ng" TargetMode="External"/><Relationship Id="rId3" Type="http://schemas.openxmlformats.org/officeDocument/2006/relationships/settings" Target="settings.xml"/><Relationship Id="rId7" Type="http://schemas.openxmlformats.org/officeDocument/2006/relationships/hyperlink" Target="https://orcid.org/0000-0001-5142-08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manuel.irokanulo@yabatech.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5432</Words>
  <Characters>36226</Characters>
  <Application>Microsoft Office Word</Application>
  <DocSecurity>0</DocSecurity>
  <Lines>494</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Moruf Adebakin</dc:creator>
  <cp:keywords/>
  <dc:description/>
  <cp:lastModifiedBy>Microsoft account</cp:lastModifiedBy>
  <cp:revision>3</cp:revision>
  <dcterms:created xsi:type="dcterms:W3CDTF">2025-05-14T22:00:00Z</dcterms:created>
  <dcterms:modified xsi:type="dcterms:W3CDTF">2025-05-14T22:09:00Z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d253eed6-c32a-41c2-95c3-fd43dbd901c3</vt:lpwstr>
  </property>
  <property fmtid="{D5CDD505-2E9C-101B-9397-08002B2CF9AE}" pid="3" name="MSIP_Label_defa4170-0d19-0005-0004-bc88714345d2_Enabled">
    <vt:lpwstr>true</vt:lpwstr>
  </property>
  <property fmtid="{D5CDD505-2E9C-101B-9397-08002B2CF9AE}" pid="4" name="MSIP_Label_defa4170-0d19-0005-0004-bc88714345d2_SetDate">
    <vt:lpwstr>2025-05-13T22:25:09Z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6d530140-9591-42e2-a259-922f11b2c50f</vt:lpwstr>
  </property>
  <property fmtid="{D5CDD505-2E9C-101B-9397-08002B2CF9AE}" pid="8" name="MSIP_Label_defa4170-0d19-0005-0004-bc88714345d2_ActionId">
    <vt:lpwstr>3cdbac85-855a-4e23-ba3b-064c1c33327a</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