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79B10">
      <w:pPr>
        <w:spacing w:before="100" w:beforeAutospacing="1" w:after="100" w:afterAutospacing="1"/>
        <w:jc w:val="center"/>
        <w:outlineLvl w:val="1"/>
        <w:rPr>
          <w:rFonts w:ascii="Times New Roman" w:hAnsi="Times New Roman" w:eastAsia="Times New Roman" w:cs="Times New Roman"/>
          <w:b/>
          <w:bCs/>
          <w:kern w:val="0"/>
          <w:lang w:val="zh-CN"/>
          <w14:ligatures w14:val="none"/>
        </w:rPr>
      </w:pPr>
      <w:r>
        <w:rPr>
          <w:rFonts w:ascii="Times New Roman" w:hAnsi="Times New Roman" w:eastAsia="Times New Roman" w:cs="Times New Roman"/>
          <w:b/>
          <w:bCs/>
          <w:kern w:val="0"/>
          <w:lang w:val="zh-CN"/>
          <w14:ligatures w14:val="none"/>
        </w:rPr>
        <w:t>Perceptions and Participation of Non-Music Students in Ensemble Courses at the University of Ibadan</w:t>
      </w:r>
    </w:p>
    <w:p w14:paraId="11A49579">
      <w:pPr>
        <w:jc w:val="center"/>
        <w:outlineLvl w:val="1"/>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Tolu Owoaje</w:t>
      </w:r>
    </w:p>
    <w:p w14:paraId="11FA7D0C">
      <w:pPr>
        <w:jc w:val="center"/>
        <w:outlineLvl w:val="1"/>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Department of Music,</w:t>
      </w:r>
      <w:r>
        <w:rPr>
          <w:rFonts w:hint="default" w:ascii="Times New Roman" w:hAnsi="Times New Roman" w:eastAsia="Times New Roman" w:cs="Times New Roman"/>
          <w:kern w:val="0"/>
          <w:lang w:val="yo-NG"/>
          <w14:ligatures w14:val="none"/>
        </w:rPr>
        <w:t xml:space="preserve"> </w:t>
      </w:r>
      <w:r>
        <w:rPr>
          <w:rFonts w:ascii="Times New Roman" w:hAnsi="Times New Roman" w:eastAsia="Times New Roman" w:cs="Times New Roman"/>
          <w:kern w:val="0"/>
          <w:lang w:val="zh-CN"/>
          <w14:ligatures w14:val="none"/>
        </w:rPr>
        <w:t>University of Ibadan</w:t>
      </w:r>
    </w:p>
    <w:p w14:paraId="72520DE2">
      <w:pPr>
        <w:jc w:val="center"/>
        <w:outlineLvl w:val="1"/>
        <w:rPr>
          <w:rFonts w:hint="default" w:ascii="Times New Roman" w:hAnsi="Times New Roman" w:eastAsia="Times New Roman" w:cs="Times New Roman"/>
          <w:kern w:val="0"/>
          <w:lang w:val="yo-NG"/>
          <w14:ligatures w14:val="none"/>
        </w:rPr>
      </w:pPr>
      <w:r>
        <w:rPr>
          <w:rFonts w:hint="default" w:ascii="Times New Roman" w:hAnsi="Times New Roman" w:eastAsia="Times New Roman" w:cs="Times New Roman"/>
          <w:kern w:val="0"/>
          <w:lang w:val="yo-NG"/>
          <w14:ligatures w14:val="none"/>
        </w:rPr>
        <w:t>African Musicology Institute, University of Venda, South Africa</w:t>
      </w:r>
    </w:p>
    <w:p w14:paraId="519BFF50">
      <w:pPr>
        <w:jc w:val="center"/>
        <w:outlineLvl w:val="1"/>
        <w:rPr>
          <w:rFonts w:ascii="Times New Roman" w:hAnsi="Times New Roman" w:cs="Times New Roman"/>
        </w:rPr>
      </w:pPr>
      <w:r>
        <w:fldChar w:fldCharType="begin"/>
      </w:r>
      <w:r>
        <w:instrText xml:space="preserve"> HYPERLINK "mailto:toluowoaje@yahoo.com" </w:instrText>
      </w:r>
      <w:r>
        <w:fldChar w:fldCharType="separate"/>
      </w:r>
      <w:r>
        <w:rPr>
          <w:rStyle w:val="15"/>
          <w:rFonts w:ascii="Times New Roman" w:hAnsi="Times New Roman" w:eastAsia="Times New Roman" w:cs="Times New Roman"/>
          <w:color w:val="auto"/>
          <w:kern w:val="0"/>
          <w:lang w:val="zh-CN"/>
          <w14:ligatures w14:val="none"/>
        </w:rPr>
        <w:t>toluowoaje@yahoo.com</w:t>
      </w:r>
      <w:r>
        <w:rPr>
          <w:rStyle w:val="15"/>
          <w:rFonts w:ascii="Times New Roman" w:hAnsi="Times New Roman" w:eastAsia="Times New Roman" w:cs="Times New Roman"/>
          <w:color w:val="auto"/>
          <w:kern w:val="0"/>
          <w:lang w:val="zh-CN"/>
          <w14:ligatures w14:val="none"/>
        </w:rPr>
        <w:fldChar w:fldCharType="end"/>
      </w:r>
    </w:p>
    <w:p w14:paraId="502C9531">
      <w:pPr>
        <w:jc w:val="center"/>
        <w:outlineLvl w:val="1"/>
        <w:rPr>
          <w:rFonts w:ascii="Times New Roman" w:hAnsi="Times New Roman" w:eastAsia="Times New Roman" w:cs="Times New Roman"/>
          <w:kern w:val="0"/>
          <w:lang w:val="zh-CN"/>
          <w14:ligatures w14:val="none"/>
        </w:rPr>
      </w:pPr>
      <w:r>
        <w:rPr>
          <w:rFonts w:ascii="Times New Roman" w:hAnsi="Times New Roman" w:cs="Times New Roman"/>
        </w:rPr>
        <w:t>ORCID: https://orcid.org/0000-0002-5007-0846</w:t>
      </w:r>
    </w:p>
    <w:p w14:paraId="689E849D">
      <w:pPr>
        <w:jc w:val="center"/>
        <w:outlineLvl w:val="1"/>
        <w:rPr>
          <w:rFonts w:ascii="Times New Roman" w:hAnsi="Times New Roman" w:eastAsia="Times New Roman" w:cs="Times New Roman"/>
          <w:kern w:val="0"/>
          <w:lang w:val="zh-CN"/>
          <w14:ligatures w14:val="none"/>
        </w:rPr>
      </w:pPr>
    </w:p>
    <w:p w14:paraId="24527219">
      <w:pPr>
        <w:jc w:val="center"/>
        <w:outlineLvl w:val="1"/>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Kadupe Sofola</w:t>
      </w:r>
    </w:p>
    <w:p w14:paraId="40F5A3FC">
      <w:pPr>
        <w:jc w:val="center"/>
        <w:outlineLvl w:val="1"/>
        <w:rPr>
          <w:rFonts w:hint="default" w:ascii="Times New Roman" w:hAnsi="Times New Roman" w:eastAsia="Times New Roman" w:cs="Times New Roman"/>
          <w:kern w:val="0"/>
          <w:lang w:val="yo-NG"/>
          <w14:ligatures w14:val="none"/>
        </w:rPr>
      </w:pPr>
      <w:r>
        <w:rPr>
          <w:rFonts w:hint="default" w:ascii="Times New Roman" w:hAnsi="Times New Roman" w:eastAsia="Times New Roman" w:cs="Times New Roman"/>
          <w:kern w:val="0"/>
          <w:lang w:val="yo-NG"/>
          <w14:ligatures w14:val="none"/>
        </w:rPr>
        <w:t>African Musicology Institute, University of Venda, South Africa</w:t>
      </w:r>
    </w:p>
    <w:p w14:paraId="2A87A27D">
      <w:pPr>
        <w:jc w:val="center"/>
        <w:outlineLvl w:val="1"/>
        <w:rPr>
          <w:rFonts w:ascii="Times New Roman" w:hAnsi="Times New Roman" w:cs="Times New Roman"/>
        </w:rPr>
      </w:pPr>
      <w:bookmarkStart w:id="0" w:name="_GoBack"/>
      <w:bookmarkEnd w:id="0"/>
      <w:r>
        <w:fldChar w:fldCharType="begin"/>
      </w:r>
      <w:r>
        <w:instrText xml:space="preserve"> HYPERLINK "mailto:kaymarxmusic@gmail.com" </w:instrText>
      </w:r>
      <w:r>
        <w:fldChar w:fldCharType="separate"/>
      </w:r>
      <w:r>
        <w:rPr>
          <w:rStyle w:val="15"/>
          <w:rFonts w:ascii="Times New Roman" w:hAnsi="Times New Roman" w:eastAsia="Times New Roman" w:cs="Times New Roman"/>
          <w:color w:val="auto"/>
          <w:kern w:val="0"/>
          <w:lang w:val="zh-CN"/>
          <w14:ligatures w14:val="none"/>
        </w:rPr>
        <w:t>kaymarxmusic@gmail.com</w:t>
      </w:r>
      <w:r>
        <w:rPr>
          <w:rStyle w:val="15"/>
          <w:rFonts w:ascii="Times New Roman" w:hAnsi="Times New Roman" w:eastAsia="Times New Roman" w:cs="Times New Roman"/>
          <w:color w:val="auto"/>
          <w:kern w:val="0"/>
          <w:lang w:val="zh-CN"/>
          <w14:ligatures w14:val="none"/>
        </w:rPr>
        <w:fldChar w:fldCharType="end"/>
      </w:r>
    </w:p>
    <w:p w14:paraId="58FA130E">
      <w:pPr>
        <w:jc w:val="center"/>
        <w:outlineLvl w:val="1"/>
        <w:rPr>
          <w:rFonts w:ascii="Times New Roman" w:hAnsi="Times New Roman" w:eastAsia="Times New Roman" w:cs="Times New Roman"/>
          <w:kern w:val="0"/>
          <w:lang w:val="zh-CN"/>
          <w14:ligatures w14:val="none"/>
        </w:rPr>
      </w:pPr>
      <w:r>
        <w:rPr>
          <w:rFonts w:ascii="Times New Roman" w:hAnsi="Times New Roman" w:cs="Times New Roman"/>
        </w:rPr>
        <w:t>ORCID: https://orcid.org/0000-0002-8536-7631</w:t>
      </w:r>
      <w:r>
        <w:rPr>
          <w:rFonts w:ascii="Times New Roman" w:hAnsi="Times New Roman" w:eastAsia="Times New Roman" w:cs="Times New Roman"/>
          <w:kern w:val="0"/>
          <w:lang w:val="zh-CN"/>
          <w14:ligatures w14:val="none"/>
        </w:rPr>
        <w:t xml:space="preserve"> </w:t>
      </w:r>
    </w:p>
    <w:p w14:paraId="0CB9D37C">
      <w:pPr>
        <w:spacing w:before="100" w:beforeAutospacing="1" w:after="100" w:afterAutospacing="1"/>
        <w:jc w:val="center"/>
        <w:outlineLvl w:val="2"/>
        <w:rPr>
          <w:rFonts w:ascii="Times New Roman" w:hAnsi="Times New Roman" w:eastAsia="Times New Roman" w:cs="Times New Roman"/>
          <w:b/>
          <w:bCs/>
          <w:kern w:val="0"/>
          <w:lang w:val="zh-CN"/>
          <w14:ligatures w14:val="none"/>
        </w:rPr>
      </w:pPr>
      <w:r>
        <w:rPr>
          <w:rFonts w:ascii="Times New Roman" w:hAnsi="Times New Roman" w:eastAsia="Times New Roman" w:cs="Times New Roman"/>
          <w:b/>
          <w:bCs/>
          <w:kern w:val="0"/>
          <w:lang w:val="zh-CN"/>
          <w14:ligatures w14:val="none"/>
        </w:rPr>
        <w:t>Abstract</w:t>
      </w:r>
    </w:p>
    <w:p w14:paraId="4FF2F5E4">
      <w:pPr>
        <w:pStyle w:val="16"/>
        <w:jc w:val="both"/>
        <w:rPr>
          <w:color w:val="172B4D"/>
          <w:shd w:val="clear" w:color="auto" w:fill="FFFFFF"/>
        </w:rPr>
      </w:pPr>
      <w:r>
        <w:rPr>
          <w:color w:val="172B4D"/>
          <w:shd w:val="clear" w:color="auto" w:fill="FFFFFF"/>
        </w:rPr>
        <w:t>There is a dearth of literature on the contribution of music ensembles to non-music students in African university settings. Addressing this gap, this research investigates the perceptions, motivations and patterns of participation of the non-music undergraduate students taking elective ensemble courses at the University of Ibadan, Nigeria. Basing the research on Self-Determination Theory (SDT) and using a descriptive survey of 54 students, the study concludes that the majority of the respondents are mostly driven by their love for music, which is intrinsic as the students enrol in the courses on a voluntary basis, in line with SDT’s principle of autonomy. Social benefits are the most frequently reported ones, as a substantial number of students described the ensembles as the place of developing inter-departmental connections. Students also cited development of vocal and instrumental abilities, as well as, chances of expressing their creativity. These outcomes point to high student satisfaction, and widespread peer-to-peer recommendations suggest that these ensemble courses are a valued part of the university experience. This study presents actionable recommendations to improve programme inclusivity and visibility, enhancing a well-rounded educational environment.</w:t>
      </w:r>
    </w:p>
    <w:p w14:paraId="36D00E5C">
      <w:pPr>
        <w:pStyle w:val="16"/>
        <w:jc w:val="both"/>
      </w:pPr>
      <w:r>
        <w:rPr>
          <w:b/>
          <w:bCs/>
        </w:rPr>
        <w:t>Keywords</w:t>
      </w:r>
      <w:r>
        <w:t>: Ensemble, Self-determination, Non-music students, University of Ibadan, Inter-departmental relationships.</w:t>
      </w:r>
    </w:p>
    <w:p w14:paraId="66C3B3CA">
      <w:pPr>
        <w:spacing w:before="100" w:beforeAutospacing="1" w:after="100" w:afterAutospacing="1"/>
        <w:jc w:val="both"/>
        <w:outlineLvl w:val="2"/>
        <w:rPr>
          <w:rFonts w:ascii="Times New Roman" w:hAnsi="Times New Roman" w:eastAsia="Times New Roman" w:cs="Times New Roman"/>
          <w:b/>
          <w:bCs/>
          <w:kern w:val="0"/>
          <w:lang w:val="zh-CN"/>
          <w14:ligatures w14:val="none"/>
        </w:rPr>
      </w:pPr>
      <w:r>
        <w:rPr>
          <w:rFonts w:ascii="Times New Roman" w:hAnsi="Times New Roman" w:eastAsia="Times New Roman" w:cs="Times New Roman"/>
          <w:b/>
          <w:bCs/>
          <w:kern w:val="0"/>
          <w:lang w:val="zh-CN"/>
          <w14:ligatures w14:val="none"/>
        </w:rPr>
        <w:t>1. Introduction</w:t>
      </w:r>
    </w:p>
    <w:p w14:paraId="7CD53A73">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The role of music ensembles in contributing to the general welfare of non-music students in university settings is getting acknowledged around the world. However, it is a field that is underresearched in the context of African tertiary education. At the University of Ibadan, this gap in empirical evidence hinders knowledge of the needs of the students, and how well the music department can make its ensemble offerings more inclusive and attractive to this large population of the university student body. Enhanced understanding of such students views is instrumental in making the campus culture more integrated and musically enhanced. The role of music in higher education extends beyond the specialised training of music majors. University music ensembles, which are traditionally viewed as a core component of the music curriculum, are increasingly recognised for their potential to enrich the academic and social lives of the broader student population. These ensembles can be vibrant centres of creativity, discipline and community, while also providing a unique means of growing students' development. This is particularly pertinent within the context of large higher education communities like the University of Ibadan, where a diverse body of students with varied academic pursuits coexist through ensemble participation. In as much as this is an area of growing interest in higher education settings, there is limited understanding of the factors that influence the participation of non-music students in ensemble courses, which they take as electives. While observatory evidence may suggest a degree of interest, there is a lack of empirical data on their motivations, the perceived benefits and challenges of their participation, as well as the potential barriers that may deter others. Within the scope of the University of Ibadan, this gap in empirical evidence hinders knowledge of the needs of the students, and how well the music department can make its ensemble offerings more inclusive and attractive to a large population of the university students. A deep understanding of students perspectives about their participation in the ensembles becomes important in making the campus culture more integrated and musically enhanced.</w:t>
      </w:r>
    </w:p>
    <w:p w14:paraId="1B304777">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This research focuses on how non-music undergraduates at the University of Ibadan perceive and participate in ensemble courses. It explores what draws them to enrol in these courses, how they interpret the value of their involvement, and the difficulties they face—particularly given that many of them have not received formal instruction in music. There are three main reasons why this study is necessary. First, it offers much-needed data in an area of Nigerian music education that has received limited scholarly attention. Second, the insights gathered may help refine both teaching methods and departmental policy within the University’s music programme, ultimately encouraging broader and more meaningful involvement from students in other fields. Third, the study calls attention to the wider advantages of participating in musical activities—showing how ensemble participation can enrich university life by fostering cross-disciplinary dialogue, deepening student engagement, and supporting personal well-being.</w:t>
      </w:r>
    </w:p>
    <w:p w14:paraId="2632531C">
      <w:pPr>
        <w:spacing w:before="100" w:beforeAutospacing="1" w:after="100" w:afterAutospacing="1"/>
        <w:jc w:val="both"/>
        <w:outlineLvl w:val="2"/>
        <w:rPr>
          <w:rFonts w:ascii="Times New Roman" w:hAnsi="Times New Roman" w:eastAsia="Times New Roman" w:cs="Times New Roman"/>
          <w:b/>
          <w:bCs/>
          <w:kern w:val="0"/>
          <w:lang w:val="zh-CN"/>
          <w14:ligatures w14:val="none"/>
        </w:rPr>
      </w:pPr>
      <w:r>
        <w:rPr>
          <w:rFonts w:ascii="Times New Roman" w:hAnsi="Times New Roman" w:eastAsia="Times New Roman" w:cs="Times New Roman"/>
          <w:b/>
          <w:bCs/>
          <w:kern w:val="0"/>
          <w:lang w:val="zh-CN"/>
          <w14:ligatures w14:val="none"/>
        </w:rPr>
        <w:t>2. Methodology</w:t>
      </w:r>
    </w:p>
    <w:p w14:paraId="1C1215EB">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 xml:space="preserve">This study uses descriptive survey design to explore the perception and involvement of the non-music students in the ensemble courses at the University of Ibadan. The data were collected with the help of a structured questionnaire in a quantitative manner. The population that was targeted in this study consisted of the non-music undergraduate population of the University of Ibadan, who undertake the ensemble course, as electives. A purposive sample of 54 students who had been enrolled in the ensemble courses for at least a semester in the past, and were currently enrolled in the ensemble courses during the 2024/2025 academic session was selected. The purposive sampling method was deemed appropriate for this study to ensure that the respondents possesed direct experience with the activities of the ensembles. A questionnaire was designed to elicit responses on a range of variables, including demographic information, motivating factors for participating in the ensemble, perceived academic, social, and personal benefits, and challenges encountered. The questionnaire consisted of both open and closed-ended questions. Data analysis was carried out using descriptive statistics, to summarise the patterns of perception and participation. In doing this, Google’s Gemini was used to clean the data, and for analytical structuring within the scope of SDT. The findings were interpreted to provide insights into the current landscape of non-music student engagement in ensemble courses at the University of Ibadan and to lay the groundwork for future, more extensive research in this area. </w:t>
      </w:r>
    </w:p>
    <w:p w14:paraId="73AB1975">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Ethical approval was sought from the departmental ethics committee, due to its involvement of human participants. While participants participtent at their own will, personal details of participants were protected in the analysis.</w:t>
      </w:r>
    </w:p>
    <w:p w14:paraId="05FC97DE">
      <w:pPr>
        <w:spacing w:before="100" w:beforeAutospacing="1" w:after="100" w:afterAutospacing="1"/>
        <w:jc w:val="both"/>
        <w:outlineLvl w:val="2"/>
        <w:rPr>
          <w:rFonts w:ascii="Times New Roman" w:hAnsi="Times New Roman" w:eastAsia="Times New Roman" w:cs="Times New Roman"/>
          <w:b/>
          <w:bCs/>
          <w:kern w:val="0"/>
          <w:lang w:val="zh-CN"/>
          <w14:ligatures w14:val="none"/>
        </w:rPr>
      </w:pPr>
      <w:r>
        <w:rPr>
          <w:rFonts w:ascii="Times New Roman" w:hAnsi="Times New Roman" w:eastAsia="Times New Roman" w:cs="Times New Roman"/>
          <w:b/>
          <w:bCs/>
          <w:kern w:val="0"/>
          <w:lang w:val="zh-CN"/>
          <w14:ligatures w14:val="none"/>
        </w:rPr>
        <w:t>3. Theoretical Framework: Self-Determination Theory</w:t>
      </w:r>
    </w:p>
    <w:p w14:paraId="465AC497">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This study is underpinned by Self-Determination Theory (SDT), a broad framework for the study of human motivation and personality. Proposed by Edward L. Deci and Richard M. Ryan, and extensively elaborated in works such as their 2017 book, Self-Determination Theory: Basic Psychological Needs in Motivation, Development, and Wellness, SDT posits that all individuals have three innate psychological needs, which include autonomy, competence, and relatedness. Autonomy is the need to feel in control of one's own behaviours, choices, and goals. Competence is the need to feel effective in dealing with the environment – being in possession of needed skills to address areas of need. Relatedness is the need to have close, affectionate relationships with others. The satisfaction of these three needs is considered essential for fostering the most volitional and high-quality forms of motivation and engagement for activities, including academic and creative pursuits.</w:t>
      </w:r>
    </w:p>
    <w:p w14:paraId="23349D63">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Engaging the study within the context of SDT, the involvement of non-music students in university ensembles could be deemed as an action driven by the possibility to fulfill these basic psychological needs. Enrolling in an ensemble course, which is an elective to these students, may be regarded as an act of autonomy. The ensemble environment also gives the students a chance to improve their musical abilities and gives them a feeling of control and achievement, thus satisfying their need of competence. Also, music ensembles and their collaborative aspect provide the music ensemble members with the sense of community and belonging, which satisfies the relatedness need. Bonneville-Roussy and Evans (2024) recently used SDT to explore the well-being of people participating in university music ensembles. The study found that the satisfaction of these basic needs was a significant predictor of life satisfaction and was related to lower levels of anxiety. Therefore, SDT provides a robust and current lens to analyse the motivations and perceptions of non-music students at the University of Ibadan, suggesting that their continued participation is likely linked to the degree to which the ensemble experience fulfills their needs for autonomy, competence, and relatedness.</w:t>
      </w:r>
    </w:p>
    <w:p w14:paraId="3486B236">
      <w:pPr>
        <w:spacing w:before="100" w:beforeAutospacing="1" w:after="100" w:afterAutospacing="1"/>
        <w:jc w:val="both"/>
        <w:outlineLvl w:val="2"/>
        <w:rPr>
          <w:rFonts w:ascii="Times New Roman" w:hAnsi="Times New Roman" w:eastAsia="Times New Roman" w:cs="Times New Roman"/>
          <w:b/>
          <w:bCs/>
          <w:kern w:val="0"/>
          <w:lang w:val="zh-CN"/>
          <w14:ligatures w14:val="none"/>
        </w:rPr>
      </w:pPr>
      <w:r>
        <w:rPr>
          <w:rFonts w:ascii="Times New Roman" w:hAnsi="Times New Roman" w:eastAsia="Times New Roman" w:cs="Times New Roman"/>
          <w:b/>
          <w:bCs/>
          <w:kern w:val="0"/>
          <w:lang w:val="zh-CN"/>
          <w14:ligatures w14:val="none"/>
        </w:rPr>
        <w:t>4. Literature Review</w:t>
      </w:r>
    </w:p>
    <w:p w14:paraId="2E6F93E4">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 xml:space="preserve">The participation of non-music major students in university music ensembles is a multifaceted phenomenon that has garnered increasing attention in music education research. The literature reveals a consensus on the significant benefits of such engagement, while also highlighting the various motivations and challenges that characterise the experience of these students. A substantial body of research have highlighted the positive impact of ensemble participation on non-music majors. These benefits can be broadly </w:t>
      </w:r>
      <w:r>
        <w:rPr>
          <w:rFonts w:ascii="Times New Roman" w:hAnsi="Times New Roman" w:eastAsia="Times New Roman" w:cs="Times New Roman"/>
          <w:kern w:val="0"/>
          <w14:ligatures w14:val="none"/>
        </w:rPr>
        <w:t>categorised</w:t>
      </w:r>
      <w:r>
        <w:rPr>
          <w:rFonts w:ascii="Times New Roman" w:hAnsi="Times New Roman" w:eastAsia="Times New Roman" w:cs="Times New Roman"/>
          <w:kern w:val="0"/>
          <w:lang w:val="zh-CN"/>
          <w14:ligatures w14:val="none"/>
        </w:rPr>
        <w:t xml:space="preserve"> into academic, social, and personal domains. Academically, studies have suggested a positive correlation between participation in music and academic achievement. For instance, a study by Guhn et al. (2020) found that high school students who were highly engaged in music demonstrated significantly higher scores on standardised tests in mathematics, science, and English. While this study focused on high school students, the cognitive skills honed through musical practice, such as discipline, focus, and critical thinking, are transferable to the rigors of university-level coursework across various disciplines.</w:t>
      </w:r>
    </w:p>
    <w:p w14:paraId="0989563E">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 xml:space="preserve">Within the social realms, university ensembles provide a fertile ground for the development of interpersonal skills and a sense of community. The collaborative nature of ensemble performance necessitates teamwork, communication, and mutual respect among members (Welch et al., 2014). These skills are developed over time as members work together through moments of agreement and disagreement. For many non-music majors, who may have limited opportunities for interaction with students outside their primary field of study, ensembles can serve as a crucial space for building diverse social networks and fostering a sense of belonging within the larger university community (Conway &amp; Hodgman, 2008). This is particularly important for student retention and overall well-being. As students expand their social circle through participation in ensembles, their social capital increases over time, enriching their network as they approach the world of work. On a personal level, Hays &amp; Minichiello (2005) have linked participation in music ensembles to enhanced self-esteem, stress reduction, and emotional expression (Hays &amp; Minichiello, 2005). The process of learning and mastering a musical piece can be a significant source of personal accomplishment and pride, especially when such had once been considered to be too advanced for their understanding. Furthermore, engaging in creative expression can serve as a therapeutic outlet, where students are able to manage the pressures and anxieties of academic life (Chukwu &amp; Nwankwo, 2023). This is because the activities involved in ensemble settings are enjoyable, more relaxing and far less academic compared to other activities in their academic life. </w:t>
      </w:r>
    </w:p>
    <w:p w14:paraId="74BE35C7">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The motivations that drive non-music majors to dedicate their time and effort to participating in university ensembles are varied. For instance, Hallam et al. (2013) have noted a pre-existing passion for music is usually the primary motivator behind this participation, alongside a desire to continue a musical journey that may have begun long before university. Many of these students have had prior experience in high school bands, choirs, or orchestras and seek to maintain their musical skills and identity, hence the quest for an university ensemble as a viable alternative while pursuing careers of their choice. Beyond the continuation of a hobby, the social aspects of ensemble participation are also significant to their participation. The prospect of meeting new people with  shared interests and being part of a supportive community is a significant factor in the decision to join an ensemble (Pitts, 2005). In addition, Lamont (2012) noted the enjoyment of making music with others and the aesthetic experience of creating a unified sound are also central to their motivation. Beyond that, the motivation for some of these students is the opportunity to perform and share their talents with an audience, which provides a sense of purpose and fulfillment.</w:t>
      </w:r>
    </w:p>
    <w:p w14:paraId="40220868">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Despite the numerous benefits and motivations, non-music majors often face a unique set of challenges when participating in university ensembles. Such challenges often include time commitment, the feeling of being an outsider, and the use of non-flexible pedagogical approaches that do not capture their need. For example, Kirby (2023) noted time commitment as a significant hurdle, given that these students have to balance the demands of their primary degree program with the rehearsal and performance schedules of the ensemble, which is usually not planned to fit in their course schedule. Given that they have their primary focus, which surrounds their discipline, this can lead to conflicts with coursework, exams, and other extracurricular activities. Conway et al. (2010) have also noted the feeling of being an outsider as a major challenge, especially in a space that is often dominated by music/performance majors who are considered to possess better expertise due to their course requirements. As a result, non-music students may experience "imposter syndrome" or feel that their skills are not on par with their pre-professional peers – the music majors. The perceived lack of support from faculty who would most likely prioritise the needs of music majors can also exacerbate this feeling. In addition, Hauser (2012) noted that the pedagogical approaches in some ensembles may not be tailored to the diverse skill levels and learning needs of non-music participants. This can potentially lead to frustration and disengagement by non-music majors.</w:t>
      </w:r>
    </w:p>
    <w:p w14:paraId="74A95405">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 xml:space="preserve">While the examined studies provide a robust framework for understanding the perceptions and participation of non-music majors in university ensembles in global contexts, there is a noticeable research gap when it comes to the Nigerian context, and specifically, the University of Ibadan. The socio-cultural and educational landscape of Nigeria presents a unique set of variables that may influence this phenomenon in ways not captured by existing studies. For example, the general tilt towards professional degrees in fields like medicine, law, and engineering, which have been considered more prestigious over the years, may shape parental and peer attitudes towards participation in "non-essential" activities like music. For this reason, viewing non-music students’ participation in university ensemble settings, especially from the Nigerian context, is crucial to understanding the unique educational landscape of Nigeria. Furthermore, the specific institutional culture of the University of Ibadan, its resources for music education, and the structure of its ensemble courses will all play a crucial role in shaping a unique perspective regarding the experiences of non-music students. To date, there has been a dearth of empirical research investigating these factors within a Nigerian university setting. </w:t>
      </w:r>
    </w:p>
    <w:p w14:paraId="1F0946A5">
      <w:pPr>
        <w:spacing w:before="100" w:beforeAutospacing="1" w:after="100" w:afterAutospacing="1"/>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Therefore, this study is poised to make a significant contribution to the literature. By providing empirical data from a previously under-researched context, it will not only fill a critical knowledge gap but also offer valuable insights for music educators and university administrators in Nigeria and other similar contexts. This research will pave the way for a more inclusive and vibrant musical life on campus, benefiting students from all academic disciplines.</w:t>
      </w:r>
    </w:p>
    <w:p w14:paraId="41E7E11D">
      <w:pPr>
        <w:pStyle w:val="4"/>
        <w:jc w:val="both"/>
        <w:rPr>
          <w:rFonts w:ascii="Times New Roman" w:hAnsi="Times New Roman" w:cs="Times New Roman"/>
          <w:color w:val="auto"/>
          <w:sz w:val="24"/>
          <w:szCs w:val="24"/>
          <w:lang w:val="zh-CN"/>
        </w:rPr>
      </w:pPr>
      <w:r>
        <w:rPr>
          <w:rStyle w:val="17"/>
          <w:rFonts w:ascii="Times New Roman" w:hAnsi="Times New Roman" w:cs="Times New Roman"/>
          <w:b w:val="0"/>
          <w:bCs w:val="0"/>
          <w:color w:val="auto"/>
          <w:sz w:val="24"/>
          <w:szCs w:val="24"/>
        </w:rPr>
        <w:t>5. Data Analysis and Discussion of Findings</w:t>
      </w:r>
    </w:p>
    <w:p w14:paraId="77B3DFB6">
      <w:pPr>
        <w:pStyle w:val="16"/>
        <w:jc w:val="both"/>
      </w:pPr>
      <w:r>
        <w:t>This section presents an analysis of the data, as collected from 54 non-music students participating in ensemble courses at the University of Ibadan. The findings are discussed in relation to the existing literature and interpreted through the theoretical lens of Self-Determination Theory (SDT).</w:t>
      </w:r>
    </w:p>
    <w:p w14:paraId="4A9A4293">
      <w:pPr>
        <w:pStyle w:val="5"/>
        <w:jc w:val="both"/>
        <w:rPr>
          <w:rFonts w:ascii="Times New Roman" w:hAnsi="Times New Roman" w:cs="Times New Roman"/>
          <w:color w:val="auto"/>
        </w:rPr>
      </w:pPr>
      <w:r>
        <w:rPr>
          <w:rStyle w:val="17"/>
          <w:rFonts w:ascii="Times New Roman" w:hAnsi="Times New Roman" w:cs="Times New Roman"/>
          <w:b w:val="0"/>
          <w:bCs w:val="0"/>
          <w:color w:val="auto"/>
        </w:rPr>
        <w:t>5.1 Participant Profile</w:t>
      </w:r>
    </w:p>
    <w:p w14:paraId="1AF8EC2E">
      <w:pPr>
        <w:pStyle w:val="16"/>
        <w:jc w:val="both"/>
      </w:pPr>
      <w:r>
        <w:t>The demographic data reveals a diverse sample that is broadly representative of the non-music student population within the Faculty of Arts. The participants are distributed across all four years of study, with a notable population in the first (29.6%) and final (27.8%) years. This pattern may suggest that students are particularly open to exploring electives at the beginning of their university journey and may also seek them out in their final year for academic benefits, such as boosting their final Cumulative Grade Point Average (CGPA). However, students in the second and third year also formed a significant population of the study, with second year being 18.5% and third year – 24.1%, indicating that a lot of students take the ensemble courses every semester. The sample comprises students from ten different departments, indicating that the appeal of ensemble courses is widespread across the faculty. The particiapants were spread across all the eleven departments in the Faculty of Arts, with the exclusion of music. A majority of the respondents were female (64.8%), a finding that is common in studies of participation in non-athletic extracurricular activities in higher education (Gadbois &amp; Bowker, 2007).</w:t>
      </w:r>
    </w:p>
    <w:p w14:paraId="5A894DF7">
      <w:pPr>
        <w:pStyle w:val="5"/>
        <w:jc w:val="both"/>
        <w:rPr>
          <w:rFonts w:ascii="Times New Roman" w:hAnsi="Times New Roman" w:cs="Times New Roman"/>
          <w:color w:val="auto"/>
        </w:rPr>
      </w:pPr>
      <w:r>
        <w:rPr>
          <w:rStyle w:val="17"/>
          <w:rFonts w:ascii="Times New Roman" w:hAnsi="Times New Roman" w:cs="Times New Roman"/>
          <w:b w:val="0"/>
          <w:bCs w:val="0"/>
          <w:color w:val="auto"/>
        </w:rPr>
        <w:t>5.2 Motivations for Participation: An SDT Perspective</w:t>
      </w:r>
    </w:p>
    <w:p w14:paraId="6080F1D7">
      <w:pPr>
        <w:pStyle w:val="16"/>
        <w:jc w:val="both"/>
      </w:pPr>
      <w:r>
        <w:t>The motivations driving students to enroll in music ensembles provide strong evidence for the core tenets of Self-Determination Theory (SDT). The analysis revealed a blend of intrinsic and extrinsic motivators that align with the three psychological areas of needs for autonomy, competence, and relatedness.</w:t>
      </w:r>
    </w:p>
    <w:p w14:paraId="4DCAC1A3">
      <w:pPr>
        <w:pStyle w:val="16"/>
        <w:jc w:val="both"/>
      </w:pPr>
      <w:r>
        <w:t xml:space="preserve">From the data, the most prominent motivator was participants’ </w:t>
      </w:r>
      <w:r>
        <w:rPr>
          <w:rStyle w:val="17"/>
          <w:rFonts w:eastAsiaTheme="majorEastAsia"/>
          <w:b w:val="0"/>
          <w:bCs w:val="0"/>
        </w:rPr>
        <w:t>love and passion for music</w:t>
      </w:r>
      <w:r>
        <w:t xml:space="preserve">, cited in 29 responses (53.7%). This finding strongly supports the concept of </w:t>
      </w:r>
      <w:r>
        <w:rPr>
          <w:rStyle w:val="17"/>
          <w:rFonts w:eastAsiaTheme="majorEastAsia"/>
          <w:b w:val="0"/>
          <w:bCs w:val="0"/>
        </w:rPr>
        <w:t>autonomy</w:t>
      </w:r>
      <w:r>
        <w:t xml:space="preserve"> within the SDT framework (Ryan &amp; Deci, 2017). Although students are required to take elective courses in other departments within the faculty, to fulfill the requirements of being awarded a bachelors certificate in arts in their disciplines, these students are not enrolling for the ensemble courses due to external compulsion but are making a volitional choice driven by personal interest and enjoyment. This is because, they could have as well, decided to take other courses from other disciplines within the faculty. This act of choosing a course outside their prescribed curriculum is, in itself, an assertion of autonomy. As one student noted, a key motivator was simply their "personal interest in music." This aligns with the work of Woody (2020), who found that a pre-existing musical identity and passion are primary drivers for continued musical engagement at the university level.</w:t>
      </w:r>
    </w:p>
    <w:p w14:paraId="76735FB4">
      <w:pPr>
        <w:pStyle w:val="16"/>
        <w:jc w:val="both"/>
      </w:pPr>
      <w:r>
        <w:t xml:space="preserve">The students’ need for </w:t>
      </w:r>
      <w:r>
        <w:rPr>
          <w:rStyle w:val="17"/>
          <w:rFonts w:eastAsiaTheme="majorEastAsia"/>
          <w:b w:val="0"/>
          <w:bCs w:val="0"/>
        </w:rPr>
        <w:t>competence</w:t>
      </w:r>
      <w:r>
        <w:t xml:space="preserve"> is reflected in motivations related to both skill development and academic achievement. While only a small number of students explicitly cited "skill development" as their initial motivator, the desire for an "easy A" or to "boost CGPA" (mentioned by 4 students) can be interpreted as a desire to demonstrate competence within the university's evaluation system, hence the need for a ensemble course where assessment is usually based on collaborative effort. This type of extrinsic motivation is still relevant to SDT, as it represents a strategic choice to achieve a valued outcome. More intrinsically, the desire to learn an instrument or "enhance myself more in music" directly addresses the need to feel effective and master new challenges (Ryan &amp; Deci, 2017). It is important to note, that many of these students use the ensembles are avenues to boost their performance output. For many who have featured in high school choirs and bands, the ensembles provide a more professional avenue for them to sahrpen their skills and receive significant feedback from music majors who usually co-ordinate the ensembles. </w:t>
      </w:r>
    </w:p>
    <w:p w14:paraId="432B8642">
      <w:pPr>
        <w:pStyle w:val="16"/>
        <w:jc w:val="both"/>
      </w:pPr>
      <w:r>
        <w:t xml:space="preserve">Finally, the need for </w:t>
      </w:r>
      <w:r>
        <w:rPr>
          <w:rStyle w:val="17"/>
          <w:rFonts w:eastAsiaTheme="majorEastAsia"/>
          <w:b w:val="0"/>
          <w:bCs w:val="0"/>
        </w:rPr>
        <w:t>relatedness</w:t>
      </w:r>
      <w:r>
        <w:t xml:space="preserve"> is evident in motivations linked to social connection. While "social reasons" was a smaller category in the initial motivation responses (4 mentions), its profound importance is more clearly revealed in the analysis of perceived benefits. The initial draw of joining peers, as one student mentioned ("My friends"), serves as a gateway to fulfilling the need for belonging, a finding consistent with the work of Sun et al. (2024) on music and social bonding. It is important to mention, that students who intend to expand their influence in the university probably due to their political ambitions, use the ensembles and other inter-departmental gatherings as leverage to build their popularity ahead of their declaration for the intended students’ union offices. This becomes necessary because popularity plays a significant role in the emmergence of student union leaders, especially given that the students community is a gathering of people who are generally viewed to have the potentials of being competent to play leadership roles. Hence, the downplaying of competence for popularity.  </w:t>
      </w:r>
    </w:p>
    <w:p w14:paraId="77CA7434">
      <w:pPr>
        <w:pStyle w:val="5"/>
        <w:jc w:val="both"/>
        <w:rPr>
          <w:rFonts w:ascii="Times New Roman" w:hAnsi="Times New Roman" w:cs="Times New Roman"/>
          <w:color w:val="auto"/>
        </w:rPr>
      </w:pPr>
      <w:r>
        <w:rPr>
          <w:rStyle w:val="17"/>
          <w:rFonts w:ascii="Times New Roman" w:hAnsi="Times New Roman" w:cs="Times New Roman"/>
          <w:b w:val="0"/>
          <w:bCs w:val="0"/>
          <w:color w:val="auto"/>
        </w:rPr>
        <w:t>5.3 Perceived Benefits</w:t>
      </w:r>
    </w:p>
    <w:p w14:paraId="2CD8F41D">
      <w:pPr>
        <w:pStyle w:val="16"/>
        <w:jc w:val="both"/>
      </w:pPr>
      <w:r>
        <w:t>The data strongly corroborates the benefits of ensemble participation identified in the broader international literature, while also highlighting unique cultural dimensions within the University of Ibadan context.</w:t>
      </w:r>
    </w:p>
    <w:p w14:paraId="1A19D4E1">
      <w:pPr>
        <w:pStyle w:val="16"/>
        <w:jc w:val="both"/>
      </w:pPr>
      <w:r>
        <w:t xml:space="preserve">The most significant perceived benefit was </w:t>
      </w:r>
      <w:r>
        <w:rPr>
          <w:rStyle w:val="17"/>
          <w:rFonts w:eastAsiaTheme="majorEastAsia"/>
          <w:b w:val="0"/>
          <w:bCs w:val="0"/>
        </w:rPr>
        <w:t>social</w:t>
      </w:r>
      <w:r>
        <w:t>, mentioned in various forms across 22 responses. Students reported that the ensemble courses helped them "meet new people," "mingle well with others," and build "important and influential" connections. This finding provides direct support for the arguments made by Conway and Hodgman (2008) and Welch et al. (2014) regarding the role of ensembles in fostering social networks and a sense of community. For non-music students at a large institution like the University of Ibadan, these ensembles serve as crucial micro-communities that bridge departmental divides and cultivate a broader sense of institutional belonging. One student’s comment that the course "forced me to mingle with people from other departments" underscores the structured, positive social integration that these courses provide.</w:t>
      </w:r>
    </w:p>
    <w:p w14:paraId="6C087522">
      <w:pPr>
        <w:pStyle w:val="16"/>
        <w:jc w:val="both"/>
      </w:pPr>
      <w:r>
        <w:rPr>
          <w:rStyle w:val="17"/>
          <w:rFonts w:eastAsiaTheme="majorEastAsia"/>
          <w:b w:val="0"/>
          <w:bCs w:val="0"/>
        </w:rPr>
        <w:t>Personal growth and well-being</w:t>
      </w:r>
      <w:r>
        <w:t xml:space="preserve"> benefits were also frequently cited, having 17 responses. Students reported gaining confidence and patience, and experiencing stress relief. One participant noted the course "serves as a relief course as it helps in relieving stress due to the flow of music," echoing findings that link creative engagement to the management of academic anxiety (Hallam, 2010). This therapeutic function of music-making appears to be a highly valued aspect of the experience for these non-music students. A particularly insightful finding from this study is the benefit of </w:t>
      </w:r>
      <w:r>
        <w:rPr>
          <w:rStyle w:val="17"/>
          <w:rFonts w:eastAsiaTheme="majorEastAsia"/>
          <w:b w:val="0"/>
          <w:bCs w:val="0"/>
        </w:rPr>
        <w:t>cultural exposure</w:t>
      </w:r>
      <w:r>
        <w:t>. One student eloquently described how the course exposed them to indigenous Nigerian genres they would not have otherwise encountered: "I was in Apala and Fuji groups, and I never thought I'd see the day where I'd actually enjoy Fuji or Apala... Now, I'm happy listening to Fuji... and I can discern what local instruments have been used." This goes beyond general musical appreciation and highlights the unique role of university ensembles in a Nigerian context: they are not just spaces for performance but are also sites for the preservation, transmission, and appreciation of national cultural heritage among a diverse student body. This is in line with Adeogun’s (2018) advocate for the integration of Nigerian music traditions into the music programmes in Nigerian higher instituions.</w:t>
      </w:r>
    </w:p>
    <w:p w14:paraId="1B827870">
      <w:pPr>
        <w:pStyle w:val="5"/>
        <w:jc w:val="both"/>
        <w:rPr>
          <w:rFonts w:ascii="Times New Roman" w:hAnsi="Times New Roman" w:cs="Times New Roman"/>
          <w:color w:val="auto"/>
        </w:rPr>
      </w:pPr>
      <w:r>
        <w:rPr>
          <w:rStyle w:val="17"/>
          <w:rFonts w:ascii="Times New Roman" w:hAnsi="Times New Roman" w:cs="Times New Roman"/>
          <w:b w:val="0"/>
          <w:bCs w:val="0"/>
          <w:color w:val="auto"/>
        </w:rPr>
        <w:t>5.4 Skill Development and the Fulfilment of Competence</w:t>
      </w:r>
    </w:p>
    <w:p w14:paraId="7753277E">
      <w:pPr>
        <w:pStyle w:val="16"/>
        <w:jc w:val="both"/>
      </w:pPr>
      <w:r>
        <w:t>The development of tangible musical skills was a key outcome for many students, directly fulfilling the SDT need for competence. Over half of the respondents reported gaining new skills, with vocal/singing skills being the most common (11 mentions), followed by instrumental skills (8 mentions) and dancing (3 mentions). The comments were specific, with students mentioning learning to "play konga," "drums," and receiving "vocal training on how to not go off key." This process of acquiring and mastering a new skill is a powerful source of self-efficacy and satisfaction (Sun, 2022). The ensemble structure, which allows students to practice and receive feedback in a supportive environment, is clearly conducive to this development. The fact that rehearsals and practice sessions were the most frequently cited "favorite aspect" of the course (18 responses) further emphasizes the value students place on the process of skill acquisition and collaborative creation.</w:t>
      </w:r>
    </w:p>
    <w:p w14:paraId="4C1EFF90">
      <w:pPr>
        <w:pStyle w:val="5"/>
        <w:jc w:val="both"/>
        <w:rPr>
          <w:rFonts w:ascii="Times New Roman" w:hAnsi="Times New Roman" w:cs="Times New Roman"/>
          <w:color w:val="auto"/>
        </w:rPr>
      </w:pPr>
      <w:r>
        <w:rPr>
          <w:rStyle w:val="17"/>
          <w:rFonts w:ascii="Times New Roman" w:hAnsi="Times New Roman" w:cs="Times New Roman"/>
          <w:b w:val="0"/>
          <w:bCs w:val="0"/>
          <w:color w:val="auto"/>
        </w:rPr>
        <w:t>5.5 Institutional Implications and Recommendations</w:t>
      </w:r>
    </w:p>
    <w:p w14:paraId="5C3F1BA4">
      <w:pPr>
        <w:pStyle w:val="16"/>
        <w:jc w:val="both"/>
      </w:pPr>
      <w:r>
        <w:t xml:space="preserve">With an overwhelming majority of students (79.6%) stating that they would recommend the ensemble courses to others, it is clear that the ensemble program is a valued component of the student experience at the University of Ibadan, forming a vital part of the campus life. The primary mode of awareness being "word of mouth" (74.1%) suggests a strong, organic, peer-to-peer endorsement of the program. However, this also indicates an opportunity for the department to engage in more formal promotion of the ensemble courses to reach students who may not be in these social circles and may not have heard about the possibilities of them taking it as an elective. </w:t>
      </w:r>
    </w:p>
    <w:p w14:paraId="7C1444BB">
      <w:pPr>
        <w:pStyle w:val="16"/>
        <w:jc w:val="both"/>
      </w:pPr>
      <w:r>
        <w:t>The constructive feedback provided by the students, though minimal, offers important insights to enrich the program. For example, the call for punctuality, as expressed by one of the participants ("The department should try to start classes on time for the external students"), points to logistical challenges that can create friction for students balancing multiple academic commitments. More significantly, the comment regarding religious inclusivity ("Group leaders should always allow people to practice their religion peacefully") is a crucial reminder that fostering a truly welcoming environment requires active attention to the diverse needs of all participants. As institutions seek to promote inclusivity, such qualitative feedback is invaluable for shaping policies and training student leaders to be culturally sensitive and accommodating (Rendón &amp; Cantu, 2023). Addressing these issues will not only improve the experience for current students but will also strengthen the program's reputation and appeal.</w:t>
      </w:r>
    </w:p>
    <w:p w14:paraId="309DB830">
      <w:pPr>
        <w:rPr>
          <w:rFonts w:ascii="Times New Roman" w:hAnsi="Times New Roman" w:cs="Times New Roman"/>
        </w:rPr>
      </w:pPr>
      <w:r>
        <w:rPr>
          <w:rFonts w:ascii="Times New Roman" w:hAnsi="Times New Roman" w:cs="Times New Roman"/>
        </w:rPr>
        <w:t>6. Conclusion</w:t>
      </w:r>
    </w:p>
    <w:p w14:paraId="2DAFE5D3">
      <w:pPr>
        <w:jc w:val="both"/>
        <w:rPr>
          <w:rFonts w:ascii="Times New Roman" w:hAnsi="Times New Roman" w:eastAsia="Times New Roman" w:cs="Times New Roman"/>
          <w:kern w:val="0"/>
          <w:lang w:val="zh-CN"/>
          <w14:ligatures w14:val="none"/>
        </w:rPr>
      </w:pPr>
      <w:r>
        <w:rPr>
          <w:rFonts w:ascii="Times New Roman" w:hAnsi="Times New Roman" w:eastAsia="Times New Roman" w:cs="Times New Roman"/>
          <w:kern w:val="0"/>
          <w:lang w:val="zh-CN"/>
          <w14:ligatures w14:val="none"/>
        </w:rPr>
        <w:t>In conclusion, elective ensembles course at the University of Ibadan serve important role in the university lives of non-music students. The findings affirm that participation in these ensembles goes beyond mere academic choice, as it is a deeply motivated act driven by participants’ passion for music. In line with Self-Determination Theory, the sensembles aid in the fulfillment of psychological needs for autonomy, competence, and relatedness. Students overwhelmingly perceive the benefits of participating in the ensemles to include social, personal, and educational benefits. Specifically, the ensembles serve as invaluable avenues for building diverse networks, relieving academic stress, and gaining unique exposure to indigenous Nigerian cultural heritage. This contributes significantly towards their social status in the university, which helps them to expand their sphere of influence. Although the increased enrolment in the ensemble courses is known to flourish under a high level of peer-to-peer recommendation, data show that the Department of Music could further extend its outreach when it comes to formal promotion. In this manner, the department will be able to increase its profile, and emerge an important player in the establishments of the campus culture of the University of Ibadan. These ensembles can be further reinforced by addressing logistical and inclusivity issues participants appear to have in order to become the key nodes of creativity, community, and well-being in the university. This reaffirms the importance of arts in a well rounded college experience.</w:t>
      </w:r>
    </w:p>
    <w:p w14:paraId="4F5744B4">
      <w:pPr>
        <w:jc w:val="both"/>
        <w:rPr>
          <w:rFonts w:ascii="Times New Roman" w:hAnsi="Times New Roman" w:eastAsia="Times New Roman" w:cs="Times New Roman"/>
          <w:kern w:val="0"/>
          <w:lang w:val="zh-CN"/>
          <w14:ligatures w14:val="none"/>
        </w:rPr>
      </w:pPr>
    </w:p>
    <w:p w14:paraId="1B7B6C8D">
      <w:pPr>
        <w:jc w:val="both"/>
        <w:rPr>
          <w:rFonts w:ascii="Times New Roman" w:hAnsi="Times New Roman" w:eastAsia="Times New Roman" w:cs="Times New Roman"/>
          <w:b/>
          <w:bCs/>
          <w:kern w:val="0"/>
          <w:lang w:val="zh-CN"/>
          <w14:ligatures w14:val="none"/>
        </w:rPr>
      </w:pPr>
      <w:r>
        <w:rPr>
          <w:rFonts w:ascii="Times New Roman" w:hAnsi="Times New Roman" w:eastAsia="Times New Roman" w:cs="Times New Roman"/>
          <w:b/>
          <w:bCs/>
          <w:kern w:val="0"/>
          <w:lang w:val="zh-CN"/>
          <w14:ligatures w14:val="none"/>
        </w:rPr>
        <w:t>Conflict of Interest</w:t>
      </w:r>
    </w:p>
    <w:p w14:paraId="5010A811">
      <w:pPr>
        <w:jc w:val="both"/>
        <w:rPr>
          <w:rFonts w:ascii="Times New Roman" w:hAnsi="Times New Roman" w:cs="Times New Roman"/>
        </w:rPr>
      </w:pPr>
      <w:r>
        <w:rPr>
          <w:rFonts w:ascii="Times New Roman" w:hAnsi="Times New Roman" w:eastAsia="Times New Roman" w:cs="Times New Roman"/>
          <w:kern w:val="0"/>
          <w:lang w:val="zh-CN"/>
          <w14:ligatures w14:val="none"/>
        </w:rPr>
        <w:t>The authors declare no conflict of interest</w:t>
      </w:r>
      <w:r>
        <w:rPr>
          <w:rFonts w:ascii="Times New Roman" w:hAnsi="Times New Roman" w:cs="Times New Roman"/>
        </w:rPr>
        <w:t>.</w:t>
      </w:r>
    </w:p>
    <w:p w14:paraId="2A0C7AE7">
      <w:pPr>
        <w:spacing w:before="100" w:beforeAutospacing="1" w:after="100" w:afterAutospacing="1"/>
        <w:outlineLvl w:val="2"/>
        <w:rPr>
          <w:rFonts w:ascii="Times New Roman" w:hAnsi="Times New Roman" w:eastAsia="Times New Roman" w:cs="Times New Roman"/>
          <w:b/>
          <w:bCs/>
          <w:kern w:val="0"/>
          <w:lang w:val="zh-CN"/>
          <w14:ligatures w14:val="none"/>
        </w:rPr>
      </w:pPr>
      <w:r>
        <w:rPr>
          <w:rFonts w:ascii="Times New Roman" w:hAnsi="Times New Roman" w:eastAsia="Times New Roman" w:cs="Times New Roman"/>
          <w:b/>
          <w:bCs/>
          <w:kern w:val="0"/>
          <w:lang w:val="zh-CN"/>
          <w14:ligatures w14:val="none"/>
        </w:rPr>
        <w:t>References</w:t>
      </w:r>
    </w:p>
    <w:p w14:paraId="3BD3CAE2">
      <w:pPr>
        <w:pStyle w:val="16"/>
        <w:rPr>
          <w:rFonts w:eastAsiaTheme="minorHAnsi"/>
          <w:color w:val="333333"/>
          <w:kern w:val="2"/>
          <w:shd w:val="clear" w:color="auto" w:fill="FFFFFF"/>
          <w:lang w:val="en-GB"/>
          <w14:ligatures w14:val="standardContextual"/>
        </w:rPr>
      </w:pPr>
      <w:r>
        <w:rPr>
          <w:rFonts w:eastAsiaTheme="minorHAnsi"/>
          <w:color w:val="333333"/>
          <w:kern w:val="2"/>
          <w:shd w:val="clear" w:color="auto" w:fill="FFFFFF"/>
          <w:lang w:val="en-GB"/>
          <w14:ligatures w14:val="standardContextual"/>
        </w:rPr>
        <w:t>Adeogun, A. O. (2018). The Development of University Music Education in Nigeria: An Outline. </w:t>
      </w:r>
      <w:r>
        <w:rPr>
          <w:rFonts w:eastAsiaTheme="minorHAnsi"/>
          <w:i/>
          <w:iCs/>
          <w:color w:val="333333"/>
          <w:kern w:val="2"/>
          <w:lang w:val="en-GB"/>
          <w14:ligatures w14:val="standardContextual"/>
        </w:rPr>
        <w:t>SAGE Open</w:t>
      </w:r>
      <w:r>
        <w:rPr>
          <w:rFonts w:eastAsiaTheme="minorHAnsi"/>
          <w:color w:val="333333"/>
          <w:kern w:val="2"/>
          <w:shd w:val="clear" w:color="auto" w:fill="FFFFFF"/>
          <w:lang w:val="en-GB"/>
          <w14:ligatures w14:val="standardContextual"/>
        </w:rPr>
        <w:t>, </w:t>
      </w:r>
      <w:r>
        <w:rPr>
          <w:rFonts w:eastAsiaTheme="minorHAnsi"/>
          <w:i/>
          <w:iCs/>
          <w:color w:val="333333"/>
          <w:kern w:val="2"/>
          <w:lang w:val="en-GB"/>
          <w14:ligatures w14:val="standardContextual"/>
        </w:rPr>
        <w:t>8</w:t>
      </w:r>
      <w:r>
        <w:rPr>
          <w:rFonts w:eastAsiaTheme="minorHAnsi"/>
          <w:color w:val="333333"/>
          <w:kern w:val="2"/>
          <w:shd w:val="clear" w:color="auto" w:fill="FFFFFF"/>
          <w:lang w:val="en-GB"/>
          <w14:ligatures w14:val="standardContextual"/>
        </w:rPr>
        <w:t>(2). </w:t>
      </w:r>
      <w:r>
        <w:fldChar w:fldCharType="begin"/>
      </w:r>
      <w:r>
        <w:instrText xml:space="preserve"> HYPERLINK "https://doi.org/10.1177/2158244018774108" </w:instrText>
      </w:r>
      <w:r>
        <w:fldChar w:fldCharType="separate"/>
      </w:r>
      <w:r>
        <w:rPr>
          <w:rFonts w:eastAsiaTheme="minorHAnsi"/>
          <w:color w:val="046FF8"/>
          <w:kern w:val="2"/>
          <w:u w:val="single"/>
          <w:lang w:val="en-GB"/>
          <w14:ligatures w14:val="standardContextual"/>
        </w:rPr>
        <w:t>https://doi.org/10.1177/2158244018774108</w:t>
      </w:r>
      <w:r>
        <w:rPr>
          <w:rFonts w:eastAsiaTheme="minorHAnsi"/>
          <w:color w:val="046FF8"/>
          <w:kern w:val="2"/>
          <w:u w:val="single"/>
          <w:lang w:val="en-GB"/>
          <w14:ligatures w14:val="standardContextual"/>
        </w:rPr>
        <w:fldChar w:fldCharType="end"/>
      </w:r>
      <w:r>
        <w:rPr>
          <w:rFonts w:eastAsiaTheme="minorHAnsi"/>
          <w:color w:val="333333"/>
          <w:kern w:val="2"/>
          <w:shd w:val="clear" w:color="auto" w:fill="FFFFFF"/>
          <w:lang w:val="en-GB"/>
          <w14:ligatures w14:val="standardContextual"/>
        </w:rPr>
        <w:t> (Original work published 2018)</w:t>
      </w:r>
    </w:p>
    <w:p w14:paraId="471B0735">
      <w:pPr>
        <w:pStyle w:val="16"/>
        <w:rPr>
          <w:shd w:val="clear" w:color="auto" w:fill="FFFFFF"/>
        </w:rPr>
      </w:pPr>
      <w:r>
        <w:rPr>
          <w:shd w:val="clear" w:color="auto" w:fill="FFFFFF"/>
        </w:rPr>
        <w:t>Bonneville-Roussy, A., &amp; Evans, P. (2024). The support of autonomy, motivation, and music practice in university music students: A self-determination theory perspective.</w:t>
      </w:r>
      <w:r>
        <w:rPr>
          <w:rStyle w:val="53"/>
          <w:rFonts w:eastAsiaTheme="majorEastAsia"/>
          <w:shd w:val="clear" w:color="auto" w:fill="FFFFFF"/>
        </w:rPr>
        <w:t> </w:t>
      </w:r>
      <w:r>
        <w:rPr>
          <w:i/>
          <w:iCs/>
        </w:rPr>
        <w:t>Psychology of Music</w:t>
      </w:r>
      <w:r>
        <w:rPr>
          <w:shd w:val="clear" w:color="auto" w:fill="FFFFFF"/>
        </w:rPr>
        <w:t>, 03057356241296109.</w:t>
      </w:r>
    </w:p>
    <w:p w14:paraId="72F0648D">
      <w:pPr>
        <w:pStyle w:val="16"/>
        <w:rPr>
          <w:color w:val="000000"/>
        </w:rPr>
      </w:pPr>
      <w:r>
        <w:rPr>
          <w:color w:val="000000"/>
        </w:rPr>
        <w:t>Chukwu, A. A., &amp; Nwankwo, O. E. (2023). Effectiveness of music therapy with relaxation technique on stress management among university students in Southeastern Nigeria.</w:t>
      </w:r>
      <w:r>
        <w:rPr>
          <w:rStyle w:val="53"/>
          <w:rFonts w:eastAsiaTheme="majorEastAsia"/>
          <w:color w:val="000000"/>
        </w:rPr>
        <w:t> </w:t>
      </w:r>
      <w:r>
        <w:rPr>
          <w:rStyle w:val="13"/>
          <w:rFonts w:eastAsiaTheme="majorEastAsia"/>
          <w:color w:val="000000"/>
        </w:rPr>
        <w:t>International Journal of Music Therapy</w:t>
      </w:r>
      <w:r>
        <w:rPr>
          <w:color w:val="000000"/>
        </w:rPr>
        <w:t>,</w:t>
      </w:r>
      <w:r>
        <w:rPr>
          <w:rStyle w:val="53"/>
          <w:rFonts w:eastAsiaTheme="majorEastAsia"/>
          <w:color w:val="000000"/>
        </w:rPr>
        <w:t> </w:t>
      </w:r>
      <w:r>
        <w:rPr>
          <w:rStyle w:val="13"/>
          <w:rFonts w:eastAsiaTheme="majorEastAsia"/>
          <w:color w:val="000000"/>
        </w:rPr>
        <w:t>18</w:t>
      </w:r>
      <w:r>
        <w:rPr>
          <w:color w:val="000000"/>
        </w:rPr>
        <w:t>(2), 145–158.</w:t>
      </w:r>
    </w:p>
    <w:p w14:paraId="0B4E6F6F">
      <w:pPr>
        <w:pStyle w:val="16"/>
        <w:rPr>
          <w:color w:val="222222"/>
          <w:shd w:val="clear" w:color="auto" w:fill="FFFFFF"/>
        </w:rPr>
      </w:pPr>
      <w:r>
        <w:rPr>
          <w:color w:val="222222"/>
          <w:shd w:val="clear" w:color="auto" w:fill="FFFFFF"/>
        </w:rPr>
        <w:t>Conway, C., &amp; Hodgman, T. M. (2008). College and community choir member experiences in a collaborative intergenerational performance project.</w:t>
      </w:r>
      <w:r>
        <w:rPr>
          <w:rStyle w:val="53"/>
          <w:rFonts w:eastAsiaTheme="majorEastAsia"/>
          <w:color w:val="222222"/>
          <w:shd w:val="clear" w:color="auto" w:fill="FFFFFF"/>
        </w:rPr>
        <w:t> </w:t>
      </w:r>
      <w:r>
        <w:rPr>
          <w:i/>
          <w:iCs/>
          <w:color w:val="222222"/>
        </w:rPr>
        <w:t>Journal of Research in Music Education</w:t>
      </w:r>
      <w:r>
        <w:rPr>
          <w:color w:val="222222"/>
          <w:shd w:val="clear" w:color="auto" w:fill="FFFFFF"/>
        </w:rPr>
        <w:t>,</w:t>
      </w:r>
      <w:r>
        <w:rPr>
          <w:rStyle w:val="53"/>
          <w:rFonts w:eastAsiaTheme="majorEastAsia"/>
          <w:color w:val="222222"/>
          <w:shd w:val="clear" w:color="auto" w:fill="FFFFFF"/>
        </w:rPr>
        <w:t> </w:t>
      </w:r>
      <w:r>
        <w:rPr>
          <w:i/>
          <w:iCs/>
          <w:color w:val="222222"/>
        </w:rPr>
        <w:t>56</w:t>
      </w:r>
      <w:r>
        <w:rPr>
          <w:color w:val="222222"/>
          <w:shd w:val="clear" w:color="auto" w:fill="FFFFFF"/>
        </w:rPr>
        <w:t>(3), 220-237.</w:t>
      </w:r>
    </w:p>
    <w:p w14:paraId="5B15B2B0">
      <w:pPr>
        <w:pStyle w:val="16"/>
        <w:rPr>
          <w:color w:val="222222"/>
          <w:shd w:val="clear" w:color="auto" w:fill="FFFFFF"/>
        </w:rPr>
      </w:pPr>
      <w:r>
        <w:rPr>
          <w:color w:val="222222"/>
          <w:shd w:val="clear" w:color="auto" w:fill="FFFFFF"/>
        </w:rPr>
        <w:t>Conway, C., Eros, J., Pellegrino, K., &amp; West, C. (2010). Instrumental music education students’ perceptions of tensions experienced during their undergraduate degree.</w:t>
      </w:r>
      <w:r>
        <w:rPr>
          <w:rStyle w:val="53"/>
          <w:rFonts w:eastAsiaTheme="majorEastAsia"/>
          <w:color w:val="222222"/>
          <w:shd w:val="clear" w:color="auto" w:fill="FFFFFF"/>
        </w:rPr>
        <w:t> </w:t>
      </w:r>
      <w:r>
        <w:rPr>
          <w:i/>
          <w:iCs/>
          <w:color w:val="222222"/>
        </w:rPr>
        <w:t>Journal of Research in Music Education</w:t>
      </w:r>
      <w:r>
        <w:rPr>
          <w:color w:val="222222"/>
          <w:shd w:val="clear" w:color="auto" w:fill="FFFFFF"/>
        </w:rPr>
        <w:t>,</w:t>
      </w:r>
      <w:r>
        <w:rPr>
          <w:rStyle w:val="53"/>
          <w:rFonts w:eastAsiaTheme="majorEastAsia"/>
          <w:color w:val="222222"/>
          <w:shd w:val="clear" w:color="auto" w:fill="FFFFFF"/>
        </w:rPr>
        <w:t> </w:t>
      </w:r>
      <w:r>
        <w:rPr>
          <w:i/>
          <w:iCs/>
          <w:color w:val="222222"/>
        </w:rPr>
        <w:t>58</w:t>
      </w:r>
      <w:r>
        <w:rPr>
          <w:color w:val="222222"/>
          <w:shd w:val="clear" w:color="auto" w:fill="FFFFFF"/>
        </w:rPr>
        <w:t>(3), 260-275.</w:t>
      </w:r>
    </w:p>
    <w:p w14:paraId="6A750112">
      <w:pPr>
        <w:pStyle w:val="16"/>
      </w:pPr>
      <w:r>
        <w:t xml:space="preserve">Deci, E. L., &amp; Ryan, R. M. (1985). </w:t>
      </w:r>
      <w:r>
        <w:rPr>
          <w:rStyle w:val="13"/>
          <w:rFonts w:eastAsiaTheme="majorEastAsia"/>
        </w:rPr>
        <w:t>Intrinsic motivation and self-determination in human behavior</w:t>
      </w:r>
      <w:r>
        <w:t>. Plenum.</w:t>
      </w:r>
    </w:p>
    <w:p w14:paraId="25B70866">
      <w:pPr>
        <w:pStyle w:val="16"/>
      </w:pPr>
      <w:r>
        <w:t xml:space="preserve">Evans, P., Cárdenas, D., &amp; McPherson, G. E. (2019). Self-determination theory: A framework for understanding the engagement of students in musical activities. In </w:t>
      </w:r>
      <w:r>
        <w:rPr>
          <w:rStyle w:val="13"/>
          <w:rFonts w:eastAsiaTheme="majorEastAsia"/>
        </w:rPr>
        <w:t>The Oxford Handbook of Music Education</w:t>
      </w:r>
      <w:r>
        <w:t xml:space="preserve"> (Vol. 1, pp. 582-600). Oxford University Press.</w:t>
      </w:r>
    </w:p>
    <w:p w14:paraId="79CA0A5E">
      <w:pPr>
        <w:pStyle w:val="16"/>
      </w:pPr>
      <w:r>
        <w:rPr>
          <w:color w:val="222222"/>
          <w:shd w:val="clear" w:color="auto" w:fill="FFFFFF"/>
        </w:rPr>
        <w:t>Gadbois, S., &amp; Bowker, A. (2007). Gender differences in the relationships between extracurricular activities participation, self-description, and domain-specific and general self-esteem.</w:t>
      </w:r>
      <w:r>
        <w:rPr>
          <w:rStyle w:val="53"/>
          <w:rFonts w:eastAsiaTheme="majorEastAsia"/>
          <w:color w:val="222222"/>
          <w:shd w:val="clear" w:color="auto" w:fill="FFFFFF"/>
        </w:rPr>
        <w:t> </w:t>
      </w:r>
      <w:r>
        <w:rPr>
          <w:i/>
          <w:iCs/>
          <w:color w:val="222222"/>
        </w:rPr>
        <w:t>Sex roles</w:t>
      </w:r>
      <w:r>
        <w:rPr>
          <w:color w:val="222222"/>
          <w:shd w:val="clear" w:color="auto" w:fill="FFFFFF"/>
        </w:rPr>
        <w:t>,</w:t>
      </w:r>
      <w:r>
        <w:rPr>
          <w:rStyle w:val="53"/>
          <w:rFonts w:eastAsiaTheme="majorEastAsia"/>
          <w:color w:val="222222"/>
          <w:shd w:val="clear" w:color="auto" w:fill="FFFFFF"/>
        </w:rPr>
        <w:t> </w:t>
      </w:r>
      <w:r>
        <w:rPr>
          <w:i/>
          <w:iCs/>
          <w:color w:val="222222"/>
        </w:rPr>
        <w:t>56</w:t>
      </w:r>
      <w:r>
        <w:rPr>
          <w:color w:val="222222"/>
          <w:shd w:val="clear" w:color="auto" w:fill="FFFFFF"/>
        </w:rPr>
        <w:t>, 675-689.</w:t>
      </w:r>
      <w:r>
        <w:t xml:space="preserve"> </w:t>
      </w:r>
    </w:p>
    <w:p w14:paraId="56FCA5C4">
      <w:pPr>
        <w:pStyle w:val="16"/>
      </w:pPr>
      <w:r>
        <w:t xml:space="preserve">Guhn, M., Emerson, S. D., &amp; Gouzouasis, P. (2020). A population-level analysis of associations between school music participation and academic achievement. </w:t>
      </w:r>
      <w:r>
        <w:rPr>
          <w:rStyle w:val="13"/>
          <w:rFonts w:eastAsiaTheme="majorEastAsia"/>
        </w:rPr>
        <w:t>Journal of Educational Psychology, 112</w:t>
      </w:r>
      <w:r>
        <w:t>(2), 308–328.</w:t>
      </w:r>
    </w:p>
    <w:p w14:paraId="35704684">
      <w:pPr>
        <w:pStyle w:val="16"/>
      </w:pPr>
      <w:r>
        <w:t xml:space="preserve">Hallam, S. (2010). The power of music: Its impact on the intellectual, social and personal development of children and young people. </w:t>
      </w:r>
      <w:r>
        <w:rPr>
          <w:rStyle w:val="13"/>
          <w:rFonts w:eastAsiaTheme="majorEastAsia"/>
        </w:rPr>
        <w:t>International Journal of Music Education, 28</w:t>
      </w:r>
      <w:r>
        <w:t>(3), 269-289.</w:t>
      </w:r>
    </w:p>
    <w:p w14:paraId="2F4E0887">
      <w:pPr>
        <w:pStyle w:val="16"/>
      </w:pPr>
      <w:r>
        <w:t xml:space="preserve">Hallam, S., Creech, A., Varvarigou, M., McQueen, H., &amp; Gaunt, H. (2014). Does active engagement in community music support the well-being of older people?. </w:t>
      </w:r>
      <w:r>
        <w:rPr>
          <w:rStyle w:val="13"/>
          <w:rFonts w:eastAsiaTheme="majorEastAsia"/>
        </w:rPr>
        <w:t>Arts &amp; Health, 6</w:t>
      </w:r>
      <w:r>
        <w:t>(2), 101-116.</w:t>
      </w:r>
    </w:p>
    <w:p w14:paraId="5FA9DCF6">
      <w:pPr>
        <w:pStyle w:val="16"/>
      </w:pPr>
      <w:r>
        <w:t xml:space="preserve">Hays, T., &amp; Minichiello, V. (2005). The meaning of music in the lives of older people: A qualitative study. </w:t>
      </w:r>
      <w:r>
        <w:rPr>
          <w:rStyle w:val="13"/>
          <w:rFonts w:eastAsiaTheme="majorEastAsia"/>
        </w:rPr>
        <w:t>Psychology of Music, 33</w:t>
      </w:r>
      <w:r>
        <w:t>(4), 437–451.</w:t>
      </w:r>
    </w:p>
    <w:p w14:paraId="128EB2DF">
      <w:pPr>
        <w:pStyle w:val="16"/>
      </w:pPr>
      <w:r>
        <w:rPr>
          <w:color w:val="222222"/>
          <w:shd w:val="clear" w:color="auto" w:fill="FFFFFF"/>
        </w:rPr>
        <w:t>Kirby, A. S. (2023). Non-Music Major Participation in Collegiate Marching Bands: A Necessary Demographic Required for the Survival of the Collegiate Marching Band</w:t>
      </w:r>
      <w:r>
        <w:t xml:space="preserve"> (PhD Thesis, Liberty University) </w:t>
      </w:r>
      <w:r>
        <w:fldChar w:fldCharType="begin"/>
      </w:r>
      <w:r>
        <w:instrText xml:space="preserve"> HYPERLINK "https://digitalcommons.liberty.edu/cgi/viewcontent.cgi?article=5567&amp;context=doctoral" </w:instrText>
      </w:r>
      <w:r>
        <w:fldChar w:fldCharType="separate"/>
      </w:r>
      <w:r>
        <w:rPr>
          <w:rStyle w:val="15"/>
        </w:rPr>
        <w:t>https://digitalcommons.liberty.edu/cgi/viewcontent.cgi?article=5567&amp;context=doctoral</w:t>
      </w:r>
      <w:r>
        <w:rPr>
          <w:rStyle w:val="15"/>
        </w:rPr>
        <w:fldChar w:fldCharType="end"/>
      </w:r>
      <w:r>
        <w:t xml:space="preserve"> </w:t>
      </w:r>
    </w:p>
    <w:p w14:paraId="0770BEE7">
      <w:pPr>
        <w:pStyle w:val="16"/>
      </w:pPr>
      <w:r>
        <w:rPr>
          <w:color w:val="232323"/>
          <w:shd w:val="clear" w:color="auto" w:fill="FFFFFF"/>
        </w:rPr>
        <w:t>Lamont, A. (2012) Emotion, Engagement and Meaning in Strong Experiences of Music Performance. Psychology of Music, 40, 574-594.</w:t>
      </w:r>
      <w:r>
        <w:rPr>
          <w:rStyle w:val="53"/>
          <w:rFonts w:eastAsiaTheme="majorEastAsia"/>
          <w:color w:val="232323"/>
          <w:shd w:val="clear" w:color="auto" w:fill="FFFFFF"/>
        </w:rPr>
        <w:t> </w:t>
      </w:r>
      <w:r>
        <w:rPr>
          <w:color w:val="232323"/>
        </w:rPr>
        <w:br w:type="textWrapping"/>
      </w:r>
      <w:r>
        <w:fldChar w:fldCharType="begin"/>
      </w:r>
      <w:r>
        <w:instrText xml:space="preserve"> HYPERLINK "https://doi.org/10.1177/0305735612448510" </w:instrText>
      </w:r>
      <w:r>
        <w:fldChar w:fldCharType="separate"/>
      </w:r>
      <w:r>
        <w:rPr>
          <w:rStyle w:val="15"/>
          <w:shd w:val="clear" w:color="auto" w:fill="FFFFFF"/>
        </w:rPr>
        <w:t>https://doi.org/10.1177/0305735612448510</w:t>
      </w:r>
      <w:r>
        <w:rPr>
          <w:rStyle w:val="15"/>
          <w:shd w:val="clear" w:color="auto" w:fill="FFFFFF"/>
        </w:rPr>
        <w:fldChar w:fldCharType="end"/>
      </w:r>
      <w:r>
        <w:t xml:space="preserve"> </w:t>
      </w:r>
    </w:p>
    <w:p w14:paraId="0B5845A4">
      <w:pPr>
        <w:pStyle w:val="16"/>
      </w:pPr>
      <w:r>
        <w:t xml:space="preserve">Pitts, S. E. (2005). </w:t>
      </w:r>
      <w:r>
        <w:rPr>
          <w:rStyle w:val="13"/>
          <w:rFonts w:eastAsiaTheme="majorEastAsia"/>
        </w:rPr>
        <w:t>Valuing musical participation</w:t>
      </w:r>
      <w:r>
        <w:t>. Ashgate.</w:t>
      </w:r>
    </w:p>
    <w:p w14:paraId="54744E03">
      <w:pPr>
        <w:pStyle w:val="16"/>
        <w:rPr>
          <w:color w:val="222222"/>
          <w:shd w:val="clear" w:color="auto" w:fill="FFFFFF"/>
        </w:rPr>
      </w:pPr>
      <w:r>
        <w:rPr>
          <w:color w:val="222222"/>
          <w:shd w:val="clear" w:color="auto" w:fill="FFFFFF"/>
        </w:rPr>
        <w:t>Rendón, L. I., &amp; Cantú, N. (2023).</w:t>
      </w:r>
      <w:r>
        <w:rPr>
          <w:rStyle w:val="53"/>
          <w:rFonts w:eastAsiaTheme="majorEastAsia"/>
          <w:color w:val="222222"/>
          <w:shd w:val="clear" w:color="auto" w:fill="FFFFFF"/>
        </w:rPr>
        <w:t> </w:t>
      </w:r>
      <w:r>
        <w:rPr>
          <w:i/>
          <w:iCs/>
          <w:color w:val="222222"/>
        </w:rPr>
        <w:t>Sentipensante (sensing/thinking) pedagogy: Educating for wholeness, social justice, and liberation</w:t>
      </w:r>
      <w:r>
        <w:rPr>
          <w:color w:val="222222"/>
          <w:shd w:val="clear" w:color="auto" w:fill="FFFFFF"/>
        </w:rPr>
        <w:t>. Routledge.</w:t>
      </w:r>
    </w:p>
    <w:p w14:paraId="0CE1B417">
      <w:pPr>
        <w:pStyle w:val="16"/>
      </w:pPr>
      <w:r>
        <w:t xml:space="preserve">Ryan, R. M., &amp; Deci, E. L. (2017). </w:t>
      </w:r>
      <w:r>
        <w:rPr>
          <w:rStyle w:val="13"/>
          <w:rFonts w:eastAsiaTheme="majorEastAsia"/>
        </w:rPr>
        <w:t>Self-determination theory: Basic psychological needs in motivation, development, and wellness</w:t>
      </w:r>
      <w:r>
        <w:t>. Guilford Press.</w:t>
      </w:r>
    </w:p>
    <w:p w14:paraId="49C69884">
      <w:pPr>
        <w:pStyle w:val="16"/>
      </w:pPr>
    </w:p>
    <w:p w14:paraId="62D5E8B3">
      <w:pPr>
        <w:pStyle w:val="16"/>
        <w:rPr>
          <w:color w:val="222222"/>
          <w:shd w:val="clear" w:color="auto" w:fill="FFFFFF"/>
        </w:rPr>
      </w:pPr>
      <w:r>
        <w:rPr>
          <w:color w:val="222222"/>
          <w:shd w:val="clear" w:color="auto" w:fill="FFFFFF"/>
        </w:rPr>
        <w:t>Sun, J. (2022). Exploring the impact of music education on the psychological and academic outcomes of students: mediating role of self-efficacy and self-esteem.</w:t>
      </w:r>
      <w:r>
        <w:rPr>
          <w:rStyle w:val="53"/>
          <w:rFonts w:eastAsiaTheme="majorEastAsia"/>
          <w:color w:val="222222"/>
          <w:shd w:val="clear" w:color="auto" w:fill="FFFFFF"/>
        </w:rPr>
        <w:t> </w:t>
      </w:r>
      <w:r>
        <w:rPr>
          <w:i/>
          <w:iCs/>
          <w:color w:val="222222"/>
        </w:rPr>
        <w:t>Frontiers in Psychology</w:t>
      </w:r>
      <w:r>
        <w:rPr>
          <w:color w:val="222222"/>
          <w:shd w:val="clear" w:color="auto" w:fill="FFFFFF"/>
        </w:rPr>
        <w:t>,</w:t>
      </w:r>
      <w:r>
        <w:rPr>
          <w:rStyle w:val="53"/>
          <w:rFonts w:eastAsiaTheme="majorEastAsia"/>
          <w:color w:val="222222"/>
          <w:shd w:val="clear" w:color="auto" w:fill="FFFFFF"/>
        </w:rPr>
        <w:t> </w:t>
      </w:r>
      <w:r>
        <w:rPr>
          <w:i/>
          <w:iCs/>
          <w:color w:val="222222"/>
        </w:rPr>
        <w:t>13</w:t>
      </w:r>
      <w:r>
        <w:rPr>
          <w:color w:val="222222"/>
          <w:shd w:val="clear" w:color="auto" w:fill="FFFFFF"/>
        </w:rPr>
        <w:t>, 841204.</w:t>
      </w:r>
    </w:p>
    <w:p w14:paraId="434D18AF">
      <w:pPr>
        <w:pStyle w:val="16"/>
        <w:rPr>
          <w:color w:val="222222"/>
          <w:shd w:val="clear" w:color="auto" w:fill="FFFFFF"/>
        </w:rPr>
      </w:pPr>
      <w:r>
        <w:rPr>
          <w:color w:val="222222"/>
          <w:shd w:val="clear" w:color="auto" w:fill="FFFFFF"/>
        </w:rPr>
        <w:t>Sun, Y., Li, S., &amp; Li, Z. (2024). Student-perceived social interactions in university musical ensembles predicted group identification.</w:t>
      </w:r>
      <w:r>
        <w:rPr>
          <w:rStyle w:val="53"/>
          <w:rFonts w:eastAsiaTheme="majorEastAsia"/>
          <w:color w:val="222222"/>
          <w:shd w:val="clear" w:color="auto" w:fill="FFFFFF"/>
        </w:rPr>
        <w:t> </w:t>
      </w:r>
      <w:r>
        <w:rPr>
          <w:i/>
          <w:iCs/>
          <w:color w:val="222222"/>
        </w:rPr>
        <w:t>Psychology of Music</w:t>
      </w:r>
      <w:r>
        <w:rPr>
          <w:color w:val="222222"/>
          <w:shd w:val="clear" w:color="auto" w:fill="FFFFFF"/>
        </w:rPr>
        <w:t>,</w:t>
      </w:r>
      <w:r>
        <w:rPr>
          <w:rStyle w:val="53"/>
          <w:rFonts w:eastAsiaTheme="majorEastAsia"/>
          <w:color w:val="222222"/>
          <w:shd w:val="clear" w:color="auto" w:fill="FFFFFF"/>
        </w:rPr>
        <w:t> </w:t>
      </w:r>
      <w:r>
        <w:rPr>
          <w:i/>
          <w:iCs/>
          <w:color w:val="222222"/>
        </w:rPr>
        <w:t>52</w:t>
      </w:r>
      <w:r>
        <w:rPr>
          <w:color w:val="222222"/>
          <w:shd w:val="clear" w:color="auto" w:fill="FFFFFF"/>
        </w:rPr>
        <w:t>(6), 685-698.</w:t>
      </w:r>
    </w:p>
    <w:p w14:paraId="7FB8BC80">
      <w:pPr>
        <w:pStyle w:val="16"/>
        <w:rPr>
          <w:color w:val="222222"/>
          <w:shd w:val="clear" w:color="auto" w:fill="FFFFFF"/>
        </w:rPr>
      </w:pPr>
      <w:r>
        <w:rPr>
          <w:color w:val="222222"/>
          <w:shd w:val="clear" w:color="auto" w:fill="FFFFFF"/>
        </w:rPr>
        <w:t>Welch, G. F., Himonides, E., Saunders, J., Papageorgi, I., &amp; Sarazin, M. (2014). Singing and social inclusion.</w:t>
      </w:r>
      <w:r>
        <w:rPr>
          <w:rStyle w:val="53"/>
          <w:rFonts w:eastAsiaTheme="majorEastAsia"/>
          <w:color w:val="222222"/>
          <w:shd w:val="clear" w:color="auto" w:fill="FFFFFF"/>
        </w:rPr>
        <w:t> </w:t>
      </w:r>
      <w:r>
        <w:rPr>
          <w:i/>
          <w:iCs/>
          <w:color w:val="222222"/>
        </w:rPr>
        <w:t>Frontiers in psychology</w:t>
      </w:r>
      <w:r>
        <w:rPr>
          <w:color w:val="222222"/>
          <w:shd w:val="clear" w:color="auto" w:fill="FFFFFF"/>
        </w:rPr>
        <w:t>,</w:t>
      </w:r>
      <w:r>
        <w:rPr>
          <w:rStyle w:val="53"/>
          <w:rFonts w:eastAsiaTheme="majorEastAsia"/>
          <w:color w:val="222222"/>
          <w:shd w:val="clear" w:color="auto" w:fill="FFFFFF"/>
        </w:rPr>
        <w:t> </w:t>
      </w:r>
      <w:r>
        <w:rPr>
          <w:i/>
          <w:iCs/>
          <w:color w:val="222222"/>
        </w:rPr>
        <w:t>5</w:t>
      </w:r>
      <w:r>
        <w:rPr>
          <w:color w:val="222222"/>
          <w:shd w:val="clear" w:color="auto" w:fill="FFFFFF"/>
        </w:rPr>
        <w:t>, 803.</w:t>
      </w:r>
    </w:p>
    <w:p w14:paraId="6D246CEA">
      <w:pPr>
        <w:pStyle w:val="16"/>
      </w:pPr>
      <w:r>
        <w:t xml:space="preserve">Woody, R. H. (2020). Music education students' intrinsic and extrinsic motivation: A quantitative analysis of personal narratives. </w:t>
      </w:r>
      <w:r>
        <w:rPr>
          <w:rStyle w:val="13"/>
          <w:rFonts w:eastAsiaTheme="majorEastAsia"/>
        </w:rPr>
        <w:t>Psychology of Music, 49</w:t>
      </w:r>
      <w:r>
        <w:t xml:space="preserve">(2), 264-278. </w:t>
      </w:r>
      <w:r>
        <w:fldChar w:fldCharType="begin"/>
      </w:r>
      <w:r>
        <w:instrText xml:space="preserve"> HYPERLINK "https://doi.org/10.1177/0305735620944223" \t "_blank" </w:instrText>
      </w:r>
      <w:r>
        <w:fldChar w:fldCharType="separate"/>
      </w:r>
      <w:r>
        <w:rPr>
          <w:rStyle w:val="15"/>
          <w:rFonts w:eastAsiaTheme="majorEastAsia"/>
          <w:color w:val="auto"/>
        </w:rPr>
        <w:t>https://doi.org/10.1177/0305735620944223</w:t>
      </w:r>
      <w:r>
        <w:rPr>
          <w:rStyle w:val="15"/>
          <w:rFonts w:eastAsiaTheme="majorEastAsia"/>
          <w:color w:val="auto"/>
        </w:rPr>
        <w:fldChar w:fldCharType="end"/>
      </w:r>
    </w:p>
    <w:p w14:paraId="297334EF">
      <w:pPr>
        <w:rPr>
          <w:rFonts w:ascii="Times New Roman" w:hAnsi="Times New Roman" w:cs="Times New Roman"/>
        </w:rPr>
      </w:pP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86"/>
    <w:family w:val="auto"/>
    <w:pitch w:val="default"/>
    <w:sig w:usb0="00000000" w:usb1="00000000" w:usb2="00000000" w:usb3="00000000" w:csb0="00000000" w:csb1="00000000"/>
  </w:font>
  <w:font w:name="等线">
    <w:altName w:val="宋体-简"/>
    <w:panose1 w:val="00000000000000000000"/>
    <w:charset w:val="00"/>
    <w:family w:val="auto"/>
    <w:pitch w:val="default"/>
    <w:sig w:usb0="00000000" w:usb1="00000000" w:usb2="00000000" w:usb3="00000000" w:csb0="00000000" w:csb1="00000000"/>
  </w:font>
  <w:font w:name="等线 Light">
    <w:altName w:val="宋体-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CB"/>
    <w:rsid w:val="00010AEE"/>
    <w:rsid w:val="00024948"/>
    <w:rsid w:val="00051D59"/>
    <w:rsid w:val="000C13DE"/>
    <w:rsid w:val="001018E2"/>
    <w:rsid w:val="001D260C"/>
    <w:rsid w:val="00293400"/>
    <w:rsid w:val="002C1BA6"/>
    <w:rsid w:val="0031698A"/>
    <w:rsid w:val="003577A1"/>
    <w:rsid w:val="00390E5A"/>
    <w:rsid w:val="003B469C"/>
    <w:rsid w:val="003E6EF0"/>
    <w:rsid w:val="00423CB8"/>
    <w:rsid w:val="005E469E"/>
    <w:rsid w:val="006048CF"/>
    <w:rsid w:val="006163F8"/>
    <w:rsid w:val="0062720E"/>
    <w:rsid w:val="00685272"/>
    <w:rsid w:val="006B419D"/>
    <w:rsid w:val="006B659E"/>
    <w:rsid w:val="006E0BED"/>
    <w:rsid w:val="007628CB"/>
    <w:rsid w:val="007F4F71"/>
    <w:rsid w:val="00843336"/>
    <w:rsid w:val="00847EE7"/>
    <w:rsid w:val="00875C92"/>
    <w:rsid w:val="008D6EB3"/>
    <w:rsid w:val="00913D20"/>
    <w:rsid w:val="00942263"/>
    <w:rsid w:val="00976351"/>
    <w:rsid w:val="00994B65"/>
    <w:rsid w:val="00995B37"/>
    <w:rsid w:val="009E035A"/>
    <w:rsid w:val="00A0607C"/>
    <w:rsid w:val="00A14053"/>
    <w:rsid w:val="00A21989"/>
    <w:rsid w:val="00A52385"/>
    <w:rsid w:val="00A52F24"/>
    <w:rsid w:val="00AB6C79"/>
    <w:rsid w:val="00AC774F"/>
    <w:rsid w:val="00B21926"/>
    <w:rsid w:val="00B27092"/>
    <w:rsid w:val="00B274FB"/>
    <w:rsid w:val="00B35F04"/>
    <w:rsid w:val="00B41342"/>
    <w:rsid w:val="00B67AD8"/>
    <w:rsid w:val="00B851CD"/>
    <w:rsid w:val="00BB0CDA"/>
    <w:rsid w:val="00BE486A"/>
    <w:rsid w:val="00BF623F"/>
    <w:rsid w:val="00C30158"/>
    <w:rsid w:val="00C40956"/>
    <w:rsid w:val="00C72C47"/>
    <w:rsid w:val="00CA4EE9"/>
    <w:rsid w:val="00CA53D0"/>
    <w:rsid w:val="00D00C06"/>
    <w:rsid w:val="00E31978"/>
    <w:rsid w:val="00EB1166"/>
    <w:rsid w:val="00EE40EB"/>
    <w:rsid w:val="00F41495"/>
    <w:rsid w:val="00F42847"/>
    <w:rsid w:val="00F76F5C"/>
    <w:rsid w:val="00F85901"/>
    <w:rsid w:val="00FD0626"/>
    <w:rsid w:val="00FE3F32"/>
    <w:rsid w:val="1BF77B0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FollowedHyperlink"/>
    <w:basedOn w:val="11"/>
    <w:semiHidden/>
    <w:unhideWhenUsed/>
    <w:uiPriority w:val="99"/>
    <w:rPr>
      <w:color w:val="954F72" w:themeColor="followedHyperlink"/>
      <w:u w:val="single"/>
      <w14:textFill>
        <w14:solidFill>
          <w14:schemeClr w14:val="folHlink"/>
        </w14:solidFill>
      </w14:textFill>
    </w:rPr>
  </w:style>
  <w:style w:type="character" w:styleId="15">
    <w:name w:val="Hyperlink"/>
    <w:basedOn w:val="11"/>
    <w:unhideWhenUsed/>
    <w:uiPriority w:val="99"/>
    <w:rPr>
      <w:color w:val="0000FF"/>
      <w:u w:val="single"/>
    </w:rPr>
  </w:style>
  <w:style w:type="paragraph" w:styleId="16">
    <w:name w:val="Normal (Web)"/>
    <w:basedOn w:val="1"/>
    <w:unhideWhenUsed/>
    <w:uiPriority w:val="99"/>
    <w:pPr>
      <w:spacing w:before="100" w:beforeAutospacing="1" w:after="100" w:afterAutospacing="1"/>
    </w:pPr>
    <w:rPr>
      <w:rFonts w:ascii="Times New Roman" w:hAnsi="Times New Roman" w:eastAsia="Times New Roman" w:cs="Times New Roman"/>
      <w:kern w:val="0"/>
      <w:lang w:val="zh-CN"/>
      <w14:ligatures w14:val="none"/>
    </w:rPr>
  </w:style>
  <w:style w:type="character" w:styleId="17">
    <w:name w:val="Strong"/>
    <w:basedOn w:val="11"/>
    <w:qFormat/>
    <w:uiPriority w:val="22"/>
    <w:rPr>
      <w:b/>
      <w:bCs/>
    </w:rPr>
  </w:style>
  <w:style w:type="paragraph" w:styleId="18">
    <w:name w:val="Subtitle"/>
    <w:basedOn w:val="1"/>
    <w:next w:val="1"/>
    <w:link w:val="30"/>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itle"/>
    <w:basedOn w:val="1"/>
    <w:next w:val="1"/>
    <w:link w:val="29"/>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uiPriority w:val="9"/>
    <w:rPr>
      <w:rFonts w:asciiTheme="majorHAnsi" w:hAnsiTheme="majorHAnsi" w:eastAsiaTheme="majorEastAsia" w:cstheme="majorBidi"/>
      <w:color w:val="2F5597" w:themeColor="accent1" w:themeShade="BF"/>
      <w:sz w:val="40"/>
      <w:szCs w:val="40"/>
      <w:lang w:val="en-GB"/>
    </w:rPr>
  </w:style>
  <w:style w:type="character" w:customStyle="1" w:styleId="21">
    <w:name w:val="Heading 2 Char"/>
    <w:basedOn w:val="11"/>
    <w:link w:val="3"/>
    <w:uiPriority w:val="9"/>
    <w:rPr>
      <w:rFonts w:asciiTheme="majorHAnsi" w:hAnsiTheme="majorHAnsi" w:eastAsiaTheme="majorEastAsia" w:cstheme="majorBidi"/>
      <w:color w:val="2F5597" w:themeColor="accent1" w:themeShade="BF"/>
      <w:sz w:val="32"/>
      <w:szCs w:val="32"/>
      <w:lang w:val="en-GB"/>
    </w:rPr>
  </w:style>
  <w:style w:type="character" w:customStyle="1" w:styleId="22">
    <w:name w:val="Heading 3 Char"/>
    <w:basedOn w:val="11"/>
    <w:link w:val="4"/>
    <w:uiPriority w:val="9"/>
    <w:rPr>
      <w:rFonts w:eastAsiaTheme="majorEastAsia" w:cstheme="majorBidi"/>
      <w:color w:val="2F5597" w:themeColor="accent1" w:themeShade="BF"/>
      <w:sz w:val="28"/>
      <w:szCs w:val="28"/>
      <w:lang w:val="en-GB"/>
    </w:rPr>
  </w:style>
  <w:style w:type="character" w:customStyle="1" w:styleId="23">
    <w:name w:val="Heading 4 Char"/>
    <w:basedOn w:val="11"/>
    <w:link w:val="5"/>
    <w:uiPriority w:val="9"/>
    <w:rPr>
      <w:rFonts w:eastAsiaTheme="majorEastAsia" w:cstheme="majorBidi"/>
      <w:i/>
      <w:iCs/>
      <w:color w:val="2F5597" w:themeColor="accent1" w:themeShade="BF"/>
      <w:lang w:val="en-GB"/>
    </w:rPr>
  </w:style>
  <w:style w:type="character" w:customStyle="1" w:styleId="24">
    <w:name w:val="Heading 5 Char"/>
    <w:basedOn w:val="11"/>
    <w:link w:val="6"/>
    <w:semiHidden/>
    <w:uiPriority w:val="9"/>
    <w:rPr>
      <w:rFonts w:eastAsiaTheme="majorEastAsia" w:cstheme="majorBidi"/>
      <w:color w:val="2F5597" w:themeColor="accent1" w:themeShade="BF"/>
      <w:lang w:val="en-GB"/>
    </w:rPr>
  </w:style>
  <w:style w:type="character" w:customStyle="1" w:styleId="25">
    <w:name w:val="Heading 6 Char"/>
    <w:basedOn w:val="11"/>
    <w:link w:val="7"/>
    <w:semiHidden/>
    <w:uiPriority w:val="9"/>
    <w:rPr>
      <w:rFonts w:eastAsiaTheme="majorEastAsia" w:cstheme="majorBidi"/>
      <w:i/>
      <w:iCs/>
      <w:color w:val="595959" w:themeColor="text1" w:themeTint="A6"/>
      <w:lang w:val="en-GB"/>
      <w14:textFill>
        <w14:solidFill>
          <w14:schemeClr w14:val="tx1">
            <w14:lumMod w14:val="65000"/>
            <w14:lumOff w14:val="35000"/>
          </w14:schemeClr>
        </w14:solidFill>
      </w14:textFill>
    </w:rPr>
  </w:style>
  <w:style w:type="character" w:customStyle="1" w:styleId="26">
    <w:name w:val="Heading 7 Char"/>
    <w:basedOn w:val="11"/>
    <w:link w:val="8"/>
    <w:semiHidden/>
    <w:uiPriority w:val="9"/>
    <w:rPr>
      <w:rFonts w:eastAsiaTheme="majorEastAsia" w:cstheme="majorBidi"/>
      <w:color w:val="595959" w:themeColor="text1" w:themeTint="A6"/>
      <w:lang w:val="en-GB"/>
      <w14:textFill>
        <w14:solidFill>
          <w14:schemeClr w14:val="tx1">
            <w14:lumMod w14:val="65000"/>
            <w14:lumOff w14:val="35000"/>
          </w14:schemeClr>
        </w14:solidFill>
      </w14:textFill>
    </w:rPr>
  </w:style>
  <w:style w:type="character" w:customStyle="1" w:styleId="27">
    <w:name w:val="Heading 8 Char"/>
    <w:basedOn w:val="11"/>
    <w:link w:val="9"/>
    <w:semiHidden/>
    <w:uiPriority w:val="9"/>
    <w:rPr>
      <w:rFonts w:eastAsiaTheme="majorEastAsia" w:cstheme="majorBidi"/>
      <w:i/>
      <w:iCs/>
      <w:color w:val="262626" w:themeColor="text1" w:themeTint="D9"/>
      <w:lang w:val="en-GB"/>
      <w14:textFill>
        <w14:solidFill>
          <w14:schemeClr w14:val="tx1">
            <w14:lumMod w14:val="85000"/>
            <w14:lumOff w14:val="15000"/>
          </w14:schemeClr>
        </w14:solidFill>
      </w14:textFill>
    </w:rPr>
  </w:style>
  <w:style w:type="character" w:customStyle="1" w:styleId="28">
    <w:name w:val="Heading 9 Char"/>
    <w:basedOn w:val="11"/>
    <w:link w:val="10"/>
    <w:semiHidden/>
    <w:uiPriority w:val="9"/>
    <w:rPr>
      <w:rFonts w:eastAsiaTheme="majorEastAsia" w:cstheme="majorBidi"/>
      <w:color w:val="262626" w:themeColor="text1" w:themeTint="D9"/>
      <w:lang w:val="en-GB"/>
      <w14:textFill>
        <w14:solidFill>
          <w14:schemeClr w14:val="tx1">
            <w14:lumMod w14:val="85000"/>
            <w14:lumOff w14:val="15000"/>
          </w14:schemeClr>
        </w14:solidFill>
      </w14:textFill>
    </w:rPr>
  </w:style>
  <w:style w:type="character" w:customStyle="1" w:styleId="29">
    <w:name w:val="Title Char"/>
    <w:basedOn w:val="11"/>
    <w:link w:val="19"/>
    <w:uiPriority w:val="10"/>
    <w:rPr>
      <w:rFonts w:asciiTheme="majorHAnsi" w:hAnsiTheme="majorHAnsi" w:eastAsiaTheme="majorEastAsia" w:cstheme="majorBidi"/>
      <w:spacing w:val="-10"/>
      <w:kern w:val="28"/>
      <w:sz w:val="56"/>
      <w:szCs w:val="56"/>
      <w:lang w:val="en-GB"/>
    </w:rPr>
  </w:style>
  <w:style w:type="character" w:customStyle="1" w:styleId="30">
    <w:name w:val="Subtitle Char"/>
    <w:basedOn w:val="11"/>
    <w:link w:val="18"/>
    <w:uiPriority w:val="11"/>
    <w:rPr>
      <w:rFonts w:eastAsiaTheme="majorEastAsia" w:cstheme="majorBidi"/>
      <w:color w:val="595959" w:themeColor="text1" w:themeTint="A6"/>
      <w:spacing w:val="15"/>
      <w:sz w:val="28"/>
      <w:szCs w:val="28"/>
      <w:lang w:val="en-GB"/>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uiPriority w:val="29"/>
    <w:rPr>
      <w:i/>
      <w:iCs/>
      <w:color w:val="404040" w:themeColor="text1" w:themeTint="BF"/>
      <w:lang w:val="en-GB"/>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uiPriority w:val="30"/>
    <w:rPr>
      <w:i/>
      <w:iCs/>
      <w:color w:val="2F5597" w:themeColor="accent1" w:themeShade="BF"/>
      <w:lang w:val="en-GB"/>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citation-31"/>
    <w:basedOn w:val="11"/>
    <w:uiPriority w:val="0"/>
  </w:style>
  <w:style w:type="character" w:customStyle="1" w:styleId="39">
    <w:name w:val="citation-30"/>
    <w:basedOn w:val="11"/>
    <w:uiPriority w:val="0"/>
  </w:style>
  <w:style w:type="character" w:customStyle="1" w:styleId="40">
    <w:name w:val="citation-29"/>
    <w:basedOn w:val="11"/>
    <w:uiPriority w:val="0"/>
  </w:style>
  <w:style w:type="character" w:customStyle="1" w:styleId="41">
    <w:name w:val="citation-26"/>
    <w:basedOn w:val="11"/>
    <w:uiPriority w:val="0"/>
  </w:style>
  <w:style w:type="character" w:customStyle="1" w:styleId="42">
    <w:name w:val="citation-25"/>
    <w:basedOn w:val="11"/>
    <w:uiPriority w:val="0"/>
  </w:style>
  <w:style w:type="character" w:customStyle="1" w:styleId="43">
    <w:name w:val="citation-9"/>
    <w:basedOn w:val="11"/>
    <w:uiPriority w:val="0"/>
  </w:style>
  <w:style w:type="character" w:customStyle="1" w:styleId="44">
    <w:name w:val="citation-8"/>
    <w:basedOn w:val="11"/>
    <w:uiPriority w:val="0"/>
  </w:style>
  <w:style w:type="character" w:customStyle="1" w:styleId="45">
    <w:name w:val="citation-7"/>
    <w:basedOn w:val="11"/>
    <w:uiPriority w:val="0"/>
  </w:style>
  <w:style w:type="character" w:customStyle="1" w:styleId="46">
    <w:name w:val="citation-6"/>
    <w:basedOn w:val="11"/>
    <w:uiPriority w:val="0"/>
  </w:style>
  <w:style w:type="character" w:customStyle="1" w:styleId="47">
    <w:name w:val="citation-5"/>
    <w:basedOn w:val="11"/>
    <w:uiPriority w:val="0"/>
  </w:style>
  <w:style w:type="character" w:customStyle="1" w:styleId="48">
    <w:name w:val="citation-4"/>
    <w:basedOn w:val="11"/>
    <w:uiPriority w:val="0"/>
  </w:style>
  <w:style w:type="character" w:customStyle="1" w:styleId="49">
    <w:name w:val="citation-3"/>
    <w:basedOn w:val="11"/>
    <w:uiPriority w:val="0"/>
  </w:style>
  <w:style w:type="character" w:customStyle="1" w:styleId="50">
    <w:name w:val="citation-2"/>
    <w:basedOn w:val="11"/>
    <w:uiPriority w:val="0"/>
  </w:style>
  <w:style w:type="character" w:customStyle="1" w:styleId="51">
    <w:name w:val="citation-1"/>
    <w:basedOn w:val="11"/>
    <w:uiPriority w:val="0"/>
  </w:style>
  <w:style w:type="character" w:customStyle="1" w:styleId="52">
    <w:name w:val="citation-0"/>
    <w:basedOn w:val="11"/>
    <w:uiPriority w:val="0"/>
  </w:style>
  <w:style w:type="character" w:customStyle="1" w:styleId="53">
    <w:name w:val="apple-converted-space"/>
    <w:basedOn w:val="11"/>
    <w:uiPriority w:val="0"/>
  </w:style>
  <w:style w:type="character" w:customStyle="1" w:styleId="54">
    <w:name w:val="citation-36"/>
    <w:basedOn w:val="11"/>
    <w:uiPriority w:val="0"/>
  </w:style>
  <w:style w:type="character" w:customStyle="1" w:styleId="5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4944</Words>
  <Characters>28186</Characters>
  <Lines>234</Lines>
  <Paragraphs>66</Paragraphs>
  <TotalTime>2</TotalTime>
  <ScaleCrop>false</ScaleCrop>
  <LinksUpToDate>false</LinksUpToDate>
  <CharactersWithSpaces>33064</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2025-06-09T21:49:00Z</dcterms:created>
  <dc:creator>Reviewer</dc:creator>
  <cp:lastModifiedBy>Kadupe Sofola</cp:lastModifiedBy>
  <dcterms:modified xsi:type="dcterms:W3CDTF">2026-02-02T16:42:08Z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43B0FEAD36993821B0A98069498E8AAE_42</vt:lpwstr>
  </property>
</Properties>
</file>