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1C" w:rsidRPr="001708B2" w:rsidRDefault="00743FAE" w:rsidP="002005D0">
      <w:pPr>
        <w:bidi/>
        <w:ind w:left="720"/>
        <w:jc w:val="center"/>
        <w:rPr>
          <w:rFonts w:ascii="Calibri" w:eastAsia="Calibri" w:hAnsi="Calibri" w:cs="Calibri"/>
          <w:b/>
          <w:bCs/>
          <w:sz w:val="28"/>
          <w:szCs w:val="28"/>
        </w:rPr>
      </w:pPr>
      <w:r w:rsidRPr="001708B2">
        <w:rPr>
          <w:rFonts w:ascii="Calibri" w:eastAsia="Calibri" w:hAnsi="Calibri" w:cs="Calibri"/>
          <w:b/>
          <w:bCs/>
          <w:sz w:val="28"/>
          <w:szCs w:val="28"/>
        </w:rPr>
        <w:t>Computational Thinking Skills and Computational Self-Efficacy as Predictors of Academic Well-Being</w:t>
      </w:r>
    </w:p>
    <w:p w:rsidR="008E49B2" w:rsidRDefault="00743FAE" w:rsidP="008E49B2">
      <w:pPr>
        <w:spacing w:before="240" w:after="0"/>
        <w:jc w:val="both"/>
        <w:rPr>
          <w:rFonts w:cs="Traditional Arabic"/>
          <w:sz w:val="24"/>
          <w:szCs w:val="24"/>
          <w:rtl/>
          <w:lang w:bidi="ar-EG"/>
        </w:rPr>
      </w:pPr>
      <w:r>
        <w:rPr>
          <w:rFonts w:cs="Traditional Arabic"/>
          <w:b/>
          <w:bCs/>
          <w:sz w:val="28"/>
          <w:szCs w:val="28"/>
          <w:lang w:bidi="ar-EG"/>
        </w:rPr>
        <w:t>Abstract</w:t>
      </w:r>
    </w:p>
    <w:p w:rsidR="008E49B2" w:rsidRPr="008E49B2" w:rsidRDefault="00743FAE" w:rsidP="00E01940">
      <w:pPr>
        <w:spacing w:before="240" w:after="0"/>
        <w:jc w:val="both"/>
        <w:rPr>
          <w:rFonts w:cs="Traditional Arabic"/>
          <w:sz w:val="24"/>
          <w:szCs w:val="24"/>
          <w:rtl/>
          <w:lang w:bidi="ar-EG"/>
        </w:rPr>
      </w:pPr>
      <w:r>
        <w:rPr>
          <w:rFonts w:cs="Traditional Arabic"/>
          <w:sz w:val="24"/>
          <w:szCs w:val="24"/>
          <w:lang w:bidi="ar-EG"/>
        </w:rPr>
        <w:t>This</w:t>
      </w:r>
      <w:r w:rsidRPr="008E49B2">
        <w:rPr>
          <w:rFonts w:cs="Traditional Arabic"/>
          <w:sz w:val="24"/>
          <w:szCs w:val="24"/>
          <w:lang w:bidi="ar-EG"/>
        </w:rPr>
        <w:t xml:space="preserve"> study aimed to identify the levels of computational thinking skills, computational self-efficacy, and academic well-being among students, identify the potential relationships </w:t>
      </w:r>
      <w:r>
        <w:rPr>
          <w:rFonts w:cs="Traditional Arabic"/>
          <w:sz w:val="24"/>
          <w:szCs w:val="24"/>
          <w:lang w:bidi="ar-EG"/>
        </w:rPr>
        <w:t>among</w:t>
      </w:r>
      <w:r w:rsidRPr="008E49B2">
        <w:rPr>
          <w:rFonts w:cs="Traditional Arabic"/>
          <w:sz w:val="24"/>
          <w:szCs w:val="24"/>
          <w:lang w:bidi="ar-EG"/>
        </w:rPr>
        <w:t xml:space="preserve"> them, and </w:t>
      </w:r>
      <w:r>
        <w:rPr>
          <w:rFonts w:cs="Traditional Arabic"/>
          <w:sz w:val="24"/>
          <w:szCs w:val="24"/>
          <w:lang w:bidi="ar-EG"/>
        </w:rPr>
        <w:t>determine</w:t>
      </w:r>
      <w:r w:rsidRPr="008E49B2">
        <w:rPr>
          <w:rFonts w:cs="Traditional Arabic"/>
          <w:sz w:val="24"/>
          <w:szCs w:val="24"/>
          <w:lang w:bidi="ar-EG"/>
        </w:rPr>
        <w:t xml:space="preserve"> the predictive </w:t>
      </w:r>
      <w:r>
        <w:rPr>
          <w:rFonts w:cs="Traditional Arabic"/>
          <w:sz w:val="24"/>
          <w:szCs w:val="24"/>
          <w:lang w:bidi="ar-EG"/>
        </w:rPr>
        <w:t>effects</w:t>
      </w:r>
      <w:r w:rsidRPr="008E49B2">
        <w:rPr>
          <w:rFonts w:cs="Traditional Arabic"/>
          <w:sz w:val="24"/>
          <w:szCs w:val="24"/>
          <w:lang w:bidi="ar-EG"/>
        </w:rPr>
        <w:t xml:space="preserve"> of computational thinking skills and computational self-efficacy on academic well-being. The study used the following tools: </w:t>
      </w:r>
      <w:r>
        <w:rPr>
          <w:rFonts w:cs="Traditional Arabic"/>
          <w:sz w:val="24"/>
          <w:szCs w:val="24"/>
          <w:lang w:bidi="ar-EG"/>
        </w:rPr>
        <w:t xml:space="preserve">the </w:t>
      </w:r>
      <w:r w:rsidRPr="008E49B2">
        <w:rPr>
          <w:rFonts w:cs="Traditional Arabic"/>
          <w:sz w:val="24"/>
          <w:szCs w:val="24"/>
          <w:lang w:bidi="ar-EG"/>
        </w:rPr>
        <w:t xml:space="preserve">Computational Thinking Skills Scale, </w:t>
      </w:r>
      <w:r>
        <w:rPr>
          <w:rFonts w:cs="Traditional Arabic"/>
          <w:sz w:val="24"/>
          <w:szCs w:val="24"/>
          <w:lang w:bidi="ar-EG"/>
        </w:rPr>
        <w:t xml:space="preserve">the </w:t>
      </w:r>
      <w:r w:rsidRPr="008E49B2">
        <w:rPr>
          <w:rFonts w:cs="Traditional Arabic"/>
          <w:sz w:val="24"/>
          <w:szCs w:val="24"/>
          <w:lang w:bidi="ar-EG"/>
        </w:rPr>
        <w:t xml:space="preserve">Self-Efficacy Scale, and </w:t>
      </w:r>
      <w:r>
        <w:rPr>
          <w:rFonts w:cs="Traditional Arabic"/>
          <w:sz w:val="24"/>
          <w:szCs w:val="24"/>
          <w:lang w:bidi="ar-EG"/>
        </w:rPr>
        <w:t xml:space="preserve">the </w:t>
      </w:r>
      <w:r w:rsidRPr="008E49B2">
        <w:rPr>
          <w:rFonts w:cs="Traditional Arabic"/>
          <w:sz w:val="24"/>
          <w:szCs w:val="24"/>
          <w:lang w:bidi="ar-EG"/>
        </w:rPr>
        <w:t xml:space="preserve">Academic Well-Being Scale. The study adopted a quantitative correlational predictive approach. The sample consisted of 280 students at the Faculty of Specific Education - Mansoura University. The study </w:t>
      </w:r>
      <w:r>
        <w:rPr>
          <w:rFonts w:cs="Traditional Arabic"/>
          <w:sz w:val="24"/>
          <w:szCs w:val="24"/>
          <w:lang w:bidi="ar-EG"/>
        </w:rPr>
        <w:t>revealed</w:t>
      </w:r>
      <w:r w:rsidRPr="008E49B2">
        <w:rPr>
          <w:rFonts w:cs="Traditional Arabic"/>
          <w:sz w:val="24"/>
          <w:szCs w:val="24"/>
          <w:lang w:bidi="ar-EG"/>
        </w:rPr>
        <w:t xml:space="preserve"> that there is an average level of computational thinking skills, computational self-efficacy, and academic well-being. There is also a statistically significant relationship between computational thinking skills, computational self-efficacy, and academic well-being among students. In addition, computational thinking skills and computational self-efficacy are good predictors of academic well-being. Finally, the study presented a set of recommendations and suggestions.</w:t>
      </w:r>
    </w:p>
    <w:p w:rsidR="008E49B2" w:rsidRPr="00E01940" w:rsidRDefault="00E01940" w:rsidP="00E01940">
      <w:pPr>
        <w:spacing w:before="240" w:after="0"/>
        <w:jc w:val="both"/>
        <w:rPr>
          <w:rFonts w:cs="Traditional Arabic"/>
          <w:sz w:val="24"/>
          <w:szCs w:val="24"/>
          <w:rtl/>
          <w:lang w:bidi="ar-EG"/>
        </w:rPr>
      </w:pPr>
      <w:r>
        <w:rPr>
          <w:rFonts w:cs="Traditional Arabic"/>
          <w:b/>
          <w:bCs/>
          <w:sz w:val="28"/>
          <w:szCs w:val="28"/>
          <w:lang w:bidi="ar-EG"/>
        </w:rPr>
        <w:t xml:space="preserve">Keywords: </w:t>
      </w:r>
      <w:r w:rsidRPr="00E01940">
        <w:rPr>
          <w:rFonts w:cs="Traditional Arabic"/>
          <w:sz w:val="24"/>
          <w:szCs w:val="24"/>
          <w:lang w:bidi="ar-EG"/>
        </w:rPr>
        <w:t>Computational Thinking Skills; Computational Self-Efficacy; Predictors of Academic Well-Being; Students</w:t>
      </w:r>
    </w:p>
    <w:p w:rsidR="00ED3B3A" w:rsidRPr="00883196" w:rsidRDefault="00743FAE" w:rsidP="00883196">
      <w:pPr>
        <w:spacing w:before="240" w:after="0"/>
        <w:jc w:val="both"/>
        <w:rPr>
          <w:rFonts w:cs="Traditional Arabic"/>
          <w:b/>
          <w:bCs/>
          <w:sz w:val="28"/>
          <w:szCs w:val="28"/>
          <w:rtl/>
          <w:lang w:bidi="ar-EG"/>
        </w:rPr>
      </w:pPr>
      <w:r w:rsidRPr="00883196">
        <w:rPr>
          <w:rFonts w:cs="Traditional Arabic"/>
          <w:b/>
          <w:bCs/>
          <w:sz w:val="28"/>
          <w:szCs w:val="28"/>
          <w:lang w:bidi="ar-EG"/>
        </w:rPr>
        <w:t>Introduction</w:t>
      </w:r>
    </w:p>
    <w:p w:rsidR="00D12BA7" w:rsidRPr="00C2546C" w:rsidRDefault="00743FAE" w:rsidP="00D12BA7">
      <w:pPr>
        <w:spacing w:before="240" w:after="0"/>
        <w:ind w:firstLine="360"/>
        <w:jc w:val="both"/>
        <w:rPr>
          <w:rFonts w:cs="Traditional Arabic"/>
          <w:sz w:val="24"/>
          <w:szCs w:val="24"/>
          <w:rtl/>
          <w:lang w:bidi="ar-EG"/>
        </w:rPr>
      </w:pPr>
      <w:r w:rsidRPr="00C2546C">
        <w:rPr>
          <w:rFonts w:cs="Traditional Arabic"/>
          <w:sz w:val="24"/>
          <w:szCs w:val="24"/>
          <w:lang w:bidi="ar-EG"/>
        </w:rPr>
        <w:t xml:space="preserve">The insertion of digital technologies into the educational field is a cultural process, and it forms part of </w:t>
      </w:r>
      <w:r>
        <w:rPr>
          <w:rFonts w:cs="Traditional Arabic"/>
          <w:sz w:val="24"/>
          <w:szCs w:val="24"/>
          <w:lang w:bidi="ar-EG"/>
        </w:rPr>
        <w:t>an</w:t>
      </w:r>
      <w:r w:rsidRPr="00C2546C">
        <w:rPr>
          <w:rFonts w:cs="Traditional Arabic"/>
          <w:sz w:val="24"/>
          <w:szCs w:val="24"/>
          <w:lang w:bidi="ar-EG"/>
        </w:rPr>
        <w:t xml:space="preserve"> individual’s culture (Grover &amp; Pea, 2013; Yen et al., 2012)</w:t>
      </w:r>
      <w:r>
        <w:rPr>
          <w:rFonts w:cs="Traditional Arabic"/>
          <w:sz w:val="24"/>
          <w:szCs w:val="24"/>
          <w:lang w:bidi="ar-EG"/>
        </w:rPr>
        <w:t>. Accepting</w:t>
      </w:r>
      <w:r w:rsidRPr="00C2546C">
        <w:rPr>
          <w:rFonts w:cs="Traditional Arabic"/>
          <w:sz w:val="24"/>
          <w:szCs w:val="24"/>
          <w:lang w:bidi="ar-EG"/>
        </w:rPr>
        <w:t xml:space="preserve"> learners as digital citizens requires them to acquire different patterns of thinking</w:t>
      </w:r>
      <w:r>
        <w:rPr>
          <w:rFonts w:cs="Traditional Arabic"/>
          <w:sz w:val="24"/>
          <w:szCs w:val="24"/>
          <w:lang w:bidi="ar-EG"/>
        </w:rPr>
        <w:t>,</w:t>
      </w:r>
      <w:r w:rsidRPr="00C2546C">
        <w:rPr>
          <w:rFonts w:cs="Traditional Arabic"/>
          <w:sz w:val="24"/>
          <w:szCs w:val="24"/>
          <w:lang w:bidi="ar-EG"/>
        </w:rPr>
        <w:t xml:space="preserve"> such as innovative and critical thinking, complex problem solving, and computational thinking (Richado et</w:t>
      </w:r>
      <w:r>
        <w:rPr>
          <w:rFonts w:cs="Traditional Arabic"/>
          <w:sz w:val="24"/>
          <w:szCs w:val="24"/>
          <w:lang w:bidi="ar-EG"/>
        </w:rPr>
        <w:t xml:space="preserve"> </w:t>
      </w:r>
      <w:r w:rsidRPr="00C2546C">
        <w:rPr>
          <w:rFonts w:cs="Traditional Arabic"/>
          <w:sz w:val="24"/>
          <w:szCs w:val="24"/>
          <w:lang w:bidi="ar-EG"/>
        </w:rPr>
        <w:t>al., 2023; Rich et al., 2021; Moore et al., 2020; Hou et</w:t>
      </w:r>
      <w:r>
        <w:rPr>
          <w:rFonts w:cs="Traditional Arabic"/>
          <w:sz w:val="24"/>
          <w:szCs w:val="24"/>
          <w:lang w:bidi="ar-EG"/>
        </w:rPr>
        <w:t xml:space="preserve"> </w:t>
      </w:r>
      <w:r w:rsidRPr="00C2546C">
        <w:rPr>
          <w:rFonts w:cs="Traditional Arabic"/>
          <w:sz w:val="24"/>
          <w:szCs w:val="24"/>
          <w:lang w:bidi="ar-EG"/>
        </w:rPr>
        <w:t>al., 2020; Kukul &amp; Karatas, 2019; Ching et</w:t>
      </w:r>
      <w:r>
        <w:rPr>
          <w:rFonts w:cs="Traditional Arabic"/>
          <w:sz w:val="24"/>
          <w:szCs w:val="24"/>
          <w:lang w:bidi="ar-EG"/>
        </w:rPr>
        <w:t xml:space="preserve"> </w:t>
      </w:r>
      <w:r w:rsidRPr="00C2546C">
        <w:rPr>
          <w:rFonts w:cs="Traditional Arabic"/>
          <w:sz w:val="24"/>
          <w:szCs w:val="24"/>
          <w:lang w:bidi="ar-EG"/>
        </w:rPr>
        <w:t xml:space="preserve">al., 2018; Yen et al., 2012), which represents a new pattern for understanding human behavior (Bundy, 2007; Wing, 2008). Computational thinking is </w:t>
      </w:r>
      <w:r>
        <w:rPr>
          <w:rFonts w:cs="Traditional Arabic"/>
          <w:sz w:val="24"/>
          <w:szCs w:val="24"/>
          <w:lang w:bidi="ar-EG"/>
        </w:rPr>
        <w:t>a skill</w:t>
      </w:r>
      <w:r w:rsidRPr="00C2546C">
        <w:rPr>
          <w:rFonts w:cs="Traditional Arabic"/>
          <w:sz w:val="24"/>
          <w:szCs w:val="24"/>
          <w:lang w:bidi="ar-EG"/>
        </w:rPr>
        <w:t xml:space="preserve"> that </w:t>
      </w:r>
      <w:r>
        <w:rPr>
          <w:rFonts w:cs="Traditional Arabic"/>
          <w:sz w:val="24"/>
          <w:szCs w:val="24"/>
          <w:lang w:bidi="ar-EG"/>
        </w:rPr>
        <w:t>shapes</w:t>
      </w:r>
      <w:r w:rsidRPr="00C2546C">
        <w:rPr>
          <w:rFonts w:cs="Traditional Arabic"/>
          <w:sz w:val="24"/>
          <w:szCs w:val="24"/>
          <w:lang w:bidi="ar-EG"/>
        </w:rPr>
        <w:t xml:space="preserve"> future professions (Avcu &amp; Ayverdi, 2020; Weese &amp; Feldhausen, 2017; Yadav et</w:t>
      </w:r>
      <w:r>
        <w:rPr>
          <w:rFonts w:cs="Traditional Arabic"/>
          <w:sz w:val="24"/>
          <w:szCs w:val="24"/>
          <w:lang w:bidi="ar-EG"/>
        </w:rPr>
        <w:t xml:space="preserve"> </w:t>
      </w:r>
      <w:r w:rsidRPr="00C2546C">
        <w:rPr>
          <w:rFonts w:cs="Traditional Arabic"/>
          <w:sz w:val="24"/>
          <w:szCs w:val="24"/>
          <w:lang w:bidi="ar-EG"/>
        </w:rPr>
        <w:t>al., 2017; Bers et al., 2014).</w:t>
      </w:r>
    </w:p>
    <w:p w:rsidR="00D12BA7" w:rsidRPr="00C2546C" w:rsidRDefault="00743FAE" w:rsidP="006E7A18">
      <w:pPr>
        <w:spacing w:before="240" w:after="0"/>
        <w:ind w:firstLine="360"/>
        <w:jc w:val="both"/>
        <w:rPr>
          <w:rFonts w:cs="Traditional Arabic"/>
          <w:sz w:val="24"/>
          <w:szCs w:val="24"/>
          <w:lang w:bidi="ar-EG"/>
        </w:rPr>
      </w:pPr>
      <w:r w:rsidRPr="00C2546C">
        <w:rPr>
          <w:rFonts w:cs="Traditional Arabic"/>
          <w:sz w:val="24"/>
          <w:szCs w:val="24"/>
          <w:lang w:bidi="ar-EG"/>
        </w:rPr>
        <w:t xml:space="preserve">Computational thinking skills can be developed by enhancing computational self-efficacy, which positively affects students’ learning (Ross et al., 2001; Cassidy &amp; Eachus, 2002; Thoonen et al., 2010) and represents a strong motivation for learning and practicing computational thinking skills (Malone &amp; </w:t>
      </w:r>
      <w:proofErr w:type="spellStart"/>
      <w:r w:rsidRPr="00C2546C">
        <w:rPr>
          <w:rFonts w:cs="Traditional Arabic"/>
          <w:sz w:val="24"/>
          <w:szCs w:val="24"/>
          <w:lang w:bidi="ar-EG"/>
        </w:rPr>
        <w:t>Lepper</w:t>
      </w:r>
      <w:proofErr w:type="spellEnd"/>
      <w:r w:rsidRPr="00C2546C">
        <w:rPr>
          <w:rFonts w:cs="Traditional Arabic"/>
          <w:sz w:val="24"/>
          <w:szCs w:val="24"/>
          <w:lang w:bidi="ar-EG"/>
        </w:rPr>
        <w:t xml:space="preserve">, 2021; </w:t>
      </w:r>
      <w:proofErr w:type="spellStart"/>
      <w:r w:rsidRPr="00C2546C">
        <w:rPr>
          <w:rFonts w:cs="Traditional Arabic"/>
          <w:sz w:val="24"/>
          <w:szCs w:val="24"/>
          <w:lang w:bidi="ar-EG"/>
        </w:rPr>
        <w:t>Murnieks</w:t>
      </w:r>
      <w:proofErr w:type="spellEnd"/>
      <w:r w:rsidRPr="00C2546C">
        <w:rPr>
          <w:rFonts w:cs="Traditional Arabic"/>
          <w:sz w:val="24"/>
          <w:szCs w:val="24"/>
          <w:lang w:bidi="ar-EG"/>
        </w:rPr>
        <w:t xml:space="preserve"> et</w:t>
      </w:r>
      <w:r>
        <w:rPr>
          <w:rFonts w:cs="Traditional Arabic"/>
          <w:sz w:val="24"/>
          <w:szCs w:val="24"/>
          <w:lang w:bidi="ar-EG"/>
        </w:rPr>
        <w:t xml:space="preserve"> </w:t>
      </w:r>
      <w:r w:rsidRPr="00C2546C">
        <w:rPr>
          <w:rFonts w:cs="Traditional Arabic"/>
          <w:sz w:val="24"/>
          <w:szCs w:val="24"/>
          <w:lang w:bidi="ar-EG"/>
        </w:rPr>
        <w:t xml:space="preserve">al., 2020). </w:t>
      </w:r>
      <w:proofErr w:type="spellStart"/>
      <w:r w:rsidRPr="00C2546C">
        <w:rPr>
          <w:rFonts w:cs="Traditional Arabic"/>
          <w:sz w:val="24"/>
          <w:szCs w:val="24"/>
          <w:lang w:bidi="ar-EG"/>
        </w:rPr>
        <w:t>Talsma</w:t>
      </w:r>
      <w:proofErr w:type="spellEnd"/>
      <w:r w:rsidRPr="00C2546C">
        <w:rPr>
          <w:rFonts w:cs="Traditional Arabic"/>
          <w:sz w:val="24"/>
          <w:szCs w:val="24"/>
          <w:lang w:bidi="ar-EG"/>
        </w:rPr>
        <w:t xml:space="preserve"> et al. (2018) </w:t>
      </w:r>
      <w:r>
        <w:rPr>
          <w:rFonts w:cs="Traditional Arabic"/>
          <w:sz w:val="24"/>
          <w:szCs w:val="24"/>
          <w:lang w:bidi="ar-EG"/>
        </w:rPr>
        <w:t xml:space="preserve">and </w:t>
      </w:r>
      <w:r w:rsidRPr="00C2546C">
        <w:rPr>
          <w:rFonts w:cs="Traditional Arabic"/>
          <w:sz w:val="24"/>
          <w:szCs w:val="24"/>
          <w:lang w:bidi="ar-EG"/>
        </w:rPr>
        <w:t>Özmen and Altun (2014) indicate that one of the reasons for students’ difficulties in learning and practicing computational thinking skills is low self-efficacy</w:t>
      </w:r>
      <w:r>
        <w:rPr>
          <w:rFonts w:cs="Traditional Arabic"/>
          <w:sz w:val="24"/>
          <w:szCs w:val="24"/>
          <w:lang w:bidi="ar-EG"/>
        </w:rPr>
        <w:t>;</w:t>
      </w:r>
      <w:r w:rsidRPr="00C2546C">
        <w:rPr>
          <w:rFonts w:cs="Traditional Arabic"/>
          <w:sz w:val="24"/>
          <w:szCs w:val="24"/>
          <w:lang w:bidi="ar-EG"/>
        </w:rPr>
        <w:t xml:space="preserve"> therefore</w:t>
      </w:r>
      <w:r>
        <w:rPr>
          <w:rFonts w:cs="Traditional Arabic"/>
          <w:sz w:val="24"/>
          <w:szCs w:val="24"/>
          <w:lang w:bidi="ar-EG"/>
        </w:rPr>
        <w:t>,</w:t>
      </w:r>
      <w:r w:rsidRPr="00C2546C">
        <w:rPr>
          <w:rFonts w:cs="Traditional Arabic"/>
          <w:sz w:val="24"/>
          <w:szCs w:val="24"/>
          <w:lang w:bidi="ar-EG"/>
        </w:rPr>
        <w:t xml:space="preserve"> studies have focused mainly on variables such as self-efficacy and its relationship </w:t>
      </w:r>
      <w:r>
        <w:rPr>
          <w:rFonts w:cs="Traditional Arabic"/>
          <w:sz w:val="24"/>
          <w:szCs w:val="24"/>
          <w:lang w:bidi="ar-EG"/>
        </w:rPr>
        <w:t>with</w:t>
      </w:r>
      <w:r w:rsidRPr="00C2546C">
        <w:rPr>
          <w:rFonts w:cs="Traditional Arabic"/>
          <w:sz w:val="24"/>
          <w:szCs w:val="24"/>
          <w:lang w:bidi="ar-EG"/>
        </w:rPr>
        <w:t xml:space="preserve"> computational performance </w:t>
      </w:r>
      <w:r w:rsidRPr="00C2546C">
        <w:rPr>
          <w:rFonts w:cs="Traditional Arabic"/>
          <w:sz w:val="24"/>
          <w:szCs w:val="24"/>
          <w:lang w:bidi="ar-EG"/>
        </w:rPr>
        <w:lastRenderedPageBreak/>
        <w:t>(Yildiz-Durak &amp; Saritepeci, 2018; Kong et</w:t>
      </w:r>
      <w:r>
        <w:rPr>
          <w:rFonts w:cs="Traditional Arabic"/>
          <w:sz w:val="24"/>
          <w:szCs w:val="24"/>
          <w:lang w:bidi="ar-EG"/>
        </w:rPr>
        <w:t xml:space="preserve"> </w:t>
      </w:r>
      <w:r w:rsidRPr="00C2546C">
        <w:rPr>
          <w:rFonts w:cs="Traditional Arabic"/>
          <w:sz w:val="24"/>
          <w:szCs w:val="24"/>
          <w:lang w:bidi="ar-EG"/>
        </w:rPr>
        <w:t>al., 2018; Yang &amp; Cheng, 2009; Cassidy &amp; Eachus, 2002).</w:t>
      </w:r>
    </w:p>
    <w:p w:rsidR="00D12BA7" w:rsidRPr="00C2546C" w:rsidRDefault="00743FAE" w:rsidP="00367489">
      <w:pPr>
        <w:spacing w:before="240" w:after="0"/>
        <w:ind w:firstLine="360"/>
        <w:jc w:val="both"/>
        <w:rPr>
          <w:rFonts w:cs="Traditional Arabic"/>
          <w:sz w:val="24"/>
          <w:szCs w:val="24"/>
          <w:rtl/>
          <w:lang w:bidi="ar-EG"/>
        </w:rPr>
      </w:pPr>
      <w:r w:rsidRPr="00C2546C">
        <w:rPr>
          <w:rFonts w:cs="Traditional Arabic"/>
          <w:sz w:val="24"/>
          <w:szCs w:val="24"/>
          <w:lang w:bidi="ar-EG"/>
        </w:rPr>
        <w:t xml:space="preserve">Korhonen (2018) </w:t>
      </w:r>
      <w:r>
        <w:rPr>
          <w:rFonts w:cs="Traditional Arabic"/>
          <w:sz w:val="24"/>
          <w:szCs w:val="24"/>
          <w:lang w:bidi="ar-EG"/>
        </w:rPr>
        <w:t xml:space="preserve">and </w:t>
      </w:r>
      <w:r w:rsidRPr="00C2546C">
        <w:rPr>
          <w:rFonts w:cs="Traditional Arabic"/>
          <w:sz w:val="24"/>
          <w:szCs w:val="24"/>
          <w:lang w:bidi="ar-EG"/>
        </w:rPr>
        <w:t xml:space="preserve">Huppert and So (2013) also </w:t>
      </w:r>
      <w:r>
        <w:rPr>
          <w:rFonts w:cs="Traditional Arabic"/>
          <w:sz w:val="24"/>
          <w:szCs w:val="24"/>
          <w:lang w:bidi="ar-EG"/>
        </w:rPr>
        <w:t>noted</w:t>
      </w:r>
      <w:r w:rsidRPr="00C2546C">
        <w:rPr>
          <w:rFonts w:cs="Traditional Arabic"/>
          <w:sz w:val="24"/>
          <w:szCs w:val="24"/>
          <w:lang w:bidi="ar-EG"/>
        </w:rPr>
        <w:t xml:space="preserve"> that students’ subject-related self-efficacy is an indicator of academic well-being. Self-efficacy represents an individual’s positive evaluation of his life and is a positive indicator of life satisfaction, which has implications for academic well-being (Shek and Chai, 2020; Chen et al., 2017; Howell et al., 2013; Rey et al., 2011; Proctor et al., 2009; Huebner et al., 2004). </w:t>
      </w:r>
      <w:r>
        <w:rPr>
          <w:rFonts w:cs="Traditional Arabic"/>
          <w:sz w:val="24"/>
          <w:szCs w:val="24"/>
          <w:lang w:bidi="ar-EG"/>
        </w:rPr>
        <w:t>Moreover</w:t>
      </w:r>
      <w:r w:rsidRPr="00C2546C">
        <w:rPr>
          <w:rFonts w:cs="Traditional Arabic"/>
          <w:sz w:val="24"/>
          <w:szCs w:val="24"/>
          <w:lang w:bidi="ar-EG"/>
        </w:rPr>
        <w:t xml:space="preserve">, computational thinking </w:t>
      </w:r>
      <w:r>
        <w:rPr>
          <w:rFonts w:cs="Traditional Arabic"/>
          <w:sz w:val="24"/>
          <w:szCs w:val="24"/>
          <w:lang w:bidi="ar-EG"/>
        </w:rPr>
        <w:t>involves</w:t>
      </w:r>
      <w:r w:rsidRPr="00C2546C">
        <w:rPr>
          <w:rFonts w:cs="Traditional Arabic"/>
          <w:sz w:val="24"/>
          <w:szCs w:val="24"/>
          <w:lang w:bidi="ar-EG"/>
        </w:rPr>
        <w:t xml:space="preserve"> complex patterns of thinking that require a degree of mental health in students (DeRosier et al., 2013) and a change in the learning culture from a culture of stress to a culture of well-being and flourishing (Gesun, 2021; Jensen, 2021), as academic well-being affects the learner’s thinking, attention, and information interpretation processes</w:t>
      </w:r>
      <w:r>
        <w:rPr>
          <w:rFonts w:cs="Traditional Arabic"/>
          <w:sz w:val="24"/>
          <w:szCs w:val="24"/>
          <w:lang w:bidi="ar-EG"/>
        </w:rPr>
        <w:t>, which</w:t>
      </w:r>
      <w:r w:rsidRPr="00C2546C">
        <w:rPr>
          <w:rFonts w:cs="Traditional Arabic"/>
          <w:sz w:val="24"/>
          <w:szCs w:val="24"/>
          <w:lang w:bidi="ar-EG"/>
        </w:rPr>
        <w:t xml:space="preserve"> are essential requirements for computational thinking (Lambert et al., 2015).</w:t>
      </w:r>
    </w:p>
    <w:p w:rsidR="00883196" w:rsidRPr="00C2546C" w:rsidRDefault="00743FAE" w:rsidP="00883196">
      <w:pPr>
        <w:spacing w:before="240" w:after="0"/>
        <w:ind w:firstLine="360"/>
        <w:jc w:val="both"/>
        <w:rPr>
          <w:rFonts w:cs="Traditional Arabic"/>
          <w:sz w:val="24"/>
          <w:szCs w:val="24"/>
          <w:lang w:bidi="ar-EG"/>
        </w:rPr>
      </w:pPr>
      <w:r w:rsidRPr="00C2546C">
        <w:rPr>
          <w:rFonts w:cs="Traditional Arabic"/>
          <w:sz w:val="24"/>
          <w:szCs w:val="24"/>
          <w:lang w:bidi="ar-EG"/>
        </w:rPr>
        <w:t>Therefore, it is important to know the levels of computational thinking skills, computational self-efficacy, and academic well-being</w:t>
      </w:r>
      <w:r>
        <w:rPr>
          <w:rFonts w:cs="Traditional Arabic"/>
          <w:sz w:val="24"/>
          <w:szCs w:val="24"/>
          <w:lang w:bidi="ar-EG"/>
        </w:rPr>
        <w:t>;</w:t>
      </w:r>
      <w:r w:rsidRPr="00C2546C">
        <w:rPr>
          <w:rFonts w:cs="Traditional Arabic"/>
          <w:sz w:val="24"/>
          <w:szCs w:val="24"/>
          <w:lang w:bidi="ar-EG"/>
        </w:rPr>
        <w:t xml:space="preserve"> to study the potential relationships </w:t>
      </w:r>
      <w:r>
        <w:rPr>
          <w:rFonts w:cs="Traditional Arabic"/>
          <w:sz w:val="24"/>
          <w:szCs w:val="24"/>
          <w:lang w:bidi="ar-EG"/>
        </w:rPr>
        <w:t>among</w:t>
      </w:r>
      <w:r w:rsidRPr="00C2546C">
        <w:rPr>
          <w:rFonts w:cs="Traditional Arabic"/>
          <w:sz w:val="24"/>
          <w:szCs w:val="24"/>
          <w:lang w:bidi="ar-EG"/>
        </w:rPr>
        <w:t xml:space="preserve"> computational self-efficacy, computational thinking skills, and academic well-being</w:t>
      </w:r>
      <w:r>
        <w:rPr>
          <w:rFonts w:cs="Traditional Arabic"/>
          <w:sz w:val="24"/>
          <w:szCs w:val="24"/>
          <w:lang w:bidi="ar-EG"/>
        </w:rPr>
        <w:t>;</w:t>
      </w:r>
      <w:r w:rsidRPr="00C2546C">
        <w:rPr>
          <w:rFonts w:cs="Traditional Arabic"/>
          <w:sz w:val="24"/>
          <w:szCs w:val="24"/>
          <w:lang w:bidi="ar-EG"/>
        </w:rPr>
        <w:t xml:space="preserve"> and to verify the role of computational thinking skills and computational self-efficacy in predicting academic well-being among university students.</w:t>
      </w:r>
    </w:p>
    <w:p w:rsidR="00AA1846" w:rsidRPr="00C2546C" w:rsidRDefault="00743FAE" w:rsidP="00883196">
      <w:pPr>
        <w:spacing w:before="240" w:after="0"/>
        <w:jc w:val="both"/>
        <w:rPr>
          <w:rFonts w:cstheme="minorHAnsi"/>
          <w:b/>
          <w:bCs/>
          <w:sz w:val="28"/>
          <w:szCs w:val="28"/>
          <w:lang w:bidi="ar-EG"/>
        </w:rPr>
      </w:pPr>
      <w:r w:rsidRPr="00C2546C">
        <w:rPr>
          <w:rFonts w:cstheme="minorHAnsi"/>
          <w:b/>
          <w:bCs/>
          <w:sz w:val="28"/>
          <w:szCs w:val="28"/>
          <w:lang w:bidi="ar-EG"/>
        </w:rPr>
        <w:t>Conceptual Framework</w:t>
      </w:r>
    </w:p>
    <w:p w:rsidR="00883196" w:rsidRPr="00C2546C" w:rsidRDefault="00743FAE" w:rsidP="00883196">
      <w:pPr>
        <w:spacing w:before="240" w:after="0"/>
        <w:rPr>
          <w:rFonts w:eastAsia="Calibri" w:cstheme="minorHAnsi"/>
          <w:b/>
          <w:bCs/>
          <w:sz w:val="24"/>
          <w:szCs w:val="24"/>
        </w:rPr>
      </w:pPr>
      <w:r w:rsidRPr="00C2546C">
        <w:rPr>
          <w:rFonts w:eastAsia="Calibri" w:cstheme="minorHAnsi"/>
          <w:b/>
          <w:bCs/>
          <w:sz w:val="24"/>
          <w:szCs w:val="24"/>
        </w:rPr>
        <w:t>Computational thinking skills</w:t>
      </w:r>
    </w:p>
    <w:p w:rsidR="00883196" w:rsidRPr="00C2546C" w:rsidRDefault="00743FAE" w:rsidP="00883196">
      <w:pPr>
        <w:spacing w:after="0"/>
        <w:jc w:val="both"/>
        <w:rPr>
          <w:rFonts w:eastAsia="Calibri" w:cstheme="minorHAnsi"/>
          <w:sz w:val="24"/>
          <w:szCs w:val="24"/>
        </w:rPr>
      </w:pPr>
      <w:r w:rsidRPr="00C2546C">
        <w:rPr>
          <w:rFonts w:eastAsia="Calibri" w:cstheme="minorHAnsi"/>
          <w:sz w:val="24"/>
          <w:szCs w:val="24"/>
        </w:rPr>
        <w:t>Computational thinking (CT) is defined as the mental activity of deriving problems and formulating solutions (de Jesusi et al., 2022; Yadav et al., 2014) and represents a combination of other thinking styles, such as abstract thinking, modeling thinking, and procedural thinking (</w:t>
      </w:r>
      <w:proofErr w:type="spellStart"/>
      <w:r w:rsidRPr="00C2546C">
        <w:rPr>
          <w:rFonts w:eastAsia="Calibri" w:cstheme="minorHAnsi"/>
          <w:sz w:val="24"/>
          <w:szCs w:val="24"/>
        </w:rPr>
        <w:t>Román</w:t>
      </w:r>
      <w:proofErr w:type="spellEnd"/>
      <w:r w:rsidRPr="00C2546C">
        <w:rPr>
          <w:rFonts w:eastAsia="Calibri" w:cstheme="minorHAnsi"/>
          <w:sz w:val="24"/>
          <w:szCs w:val="24"/>
        </w:rPr>
        <w:t>-González et</w:t>
      </w:r>
      <w:r>
        <w:rPr>
          <w:rFonts w:eastAsia="Calibri" w:cs="Calibri"/>
          <w:sz w:val="24"/>
          <w:szCs w:val="24"/>
        </w:rPr>
        <w:t xml:space="preserve"> </w:t>
      </w:r>
      <w:r w:rsidRPr="00C2546C">
        <w:rPr>
          <w:rFonts w:eastAsia="Calibri" w:cstheme="minorHAnsi"/>
          <w:sz w:val="24"/>
          <w:szCs w:val="24"/>
        </w:rPr>
        <w:t>al., 2017).</w:t>
      </w:r>
    </w:p>
    <w:p w:rsidR="00883196" w:rsidRPr="00C2546C" w:rsidRDefault="00743FAE" w:rsidP="00BA681F">
      <w:pPr>
        <w:spacing w:before="240" w:after="0"/>
        <w:jc w:val="both"/>
        <w:rPr>
          <w:rFonts w:eastAsia="Calibri" w:cstheme="minorHAnsi"/>
          <w:sz w:val="24"/>
          <w:szCs w:val="24"/>
        </w:rPr>
      </w:pPr>
      <w:r w:rsidRPr="00C2546C">
        <w:rPr>
          <w:rFonts w:eastAsia="Calibri" w:cstheme="minorHAnsi"/>
          <w:sz w:val="24"/>
          <w:szCs w:val="24"/>
        </w:rPr>
        <w:t>Computational thinking skills are defined in algorithmic thinking; abstraction; problem decomposition; data collection, representation, and analysis; parallelization; control flow; incremental and iterative; testing and debugging; and questioning (Weese &amp; Feldhausen, 2017; Barr et al., 2011).</w:t>
      </w:r>
    </w:p>
    <w:p w:rsidR="00883196" w:rsidRPr="00C2546C" w:rsidRDefault="00743FAE" w:rsidP="00BA681F">
      <w:pPr>
        <w:spacing w:before="240" w:after="0"/>
        <w:jc w:val="both"/>
        <w:rPr>
          <w:rFonts w:eastAsia="Calibri" w:cstheme="minorHAnsi"/>
          <w:sz w:val="24"/>
          <w:szCs w:val="24"/>
          <w:rtl/>
        </w:rPr>
      </w:pPr>
      <w:r w:rsidRPr="00C2546C">
        <w:rPr>
          <w:rFonts w:eastAsia="Calibri" w:cstheme="minorHAnsi"/>
          <w:sz w:val="24"/>
          <w:szCs w:val="24"/>
        </w:rPr>
        <w:t xml:space="preserve">These skills enable students to acquire new strategies for solving problems and finding new solutions for the real and virtual </w:t>
      </w:r>
      <w:r>
        <w:rPr>
          <w:rFonts w:eastAsia="Calibri" w:cs="Calibri"/>
          <w:sz w:val="24"/>
          <w:szCs w:val="24"/>
        </w:rPr>
        <w:t>worlds</w:t>
      </w:r>
      <w:r w:rsidRPr="00C2546C">
        <w:rPr>
          <w:rFonts w:eastAsia="Calibri" w:cstheme="minorHAnsi"/>
          <w:sz w:val="24"/>
          <w:szCs w:val="24"/>
        </w:rPr>
        <w:t xml:space="preserve"> (Wing, 2008), enhance creative thinking, provide new ways to view social and physical phenomena (Miller et al., 2013; Settle et al., 2012), improve students’ attitudes toward practicing computational thinking (Sun et al., 2022; Gulbahar et al., 2019; Dickerson, 2019; Brennan &amp; Resnick, 2012), enhance academic achievement (Lei et al., 2020), and </w:t>
      </w:r>
      <w:r>
        <w:rPr>
          <w:rFonts w:eastAsia="Calibri" w:cs="Calibri"/>
          <w:sz w:val="24"/>
          <w:szCs w:val="24"/>
        </w:rPr>
        <w:t>understand</w:t>
      </w:r>
      <w:r w:rsidRPr="00C2546C">
        <w:rPr>
          <w:rFonts w:eastAsia="Calibri" w:cstheme="minorHAnsi"/>
          <w:sz w:val="24"/>
          <w:szCs w:val="24"/>
        </w:rPr>
        <w:t xml:space="preserve"> many academic fields</w:t>
      </w:r>
      <w:r>
        <w:rPr>
          <w:rFonts w:eastAsia="Calibri" w:cs="Calibri"/>
          <w:sz w:val="24"/>
          <w:szCs w:val="24"/>
        </w:rPr>
        <w:t>,</w:t>
      </w:r>
      <w:r w:rsidRPr="00C2546C">
        <w:rPr>
          <w:rFonts w:eastAsia="Calibri" w:cstheme="minorHAnsi"/>
          <w:sz w:val="24"/>
          <w:szCs w:val="24"/>
        </w:rPr>
        <w:t xml:space="preserve"> such as mathematics</w:t>
      </w:r>
      <w:r>
        <w:rPr>
          <w:rFonts w:eastAsia="Calibri" w:cs="Calibri"/>
          <w:sz w:val="24"/>
          <w:szCs w:val="24"/>
        </w:rPr>
        <w:t>,</w:t>
      </w:r>
      <w:r w:rsidRPr="00C2546C">
        <w:rPr>
          <w:rFonts w:eastAsia="Calibri" w:cstheme="minorHAnsi"/>
          <w:sz w:val="24"/>
          <w:szCs w:val="24"/>
        </w:rPr>
        <w:t xml:space="preserve"> when mathematical algorithms </w:t>
      </w:r>
      <w:r>
        <w:rPr>
          <w:rFonts w:eastAsia="Calibri" w:cs="Calibri"/>
          <w:sz w:val="24"/>
          <w:szCs w:val="24"/>
        </w:rPr>
        <w:t xml:space="preserve">are applied </w:t>
      </w:r>
      <w:r w:rsidRPr="00C2546C">
        <w:rPr>
          <w:rFonts w:eastAsia="Calibri" w:cstheme="minorHAnsi"/>
          <w:sz w:val="24"/>
          <w:szCs w:val="24"/>
        </w:rPr>
        <w:t xml:space="preserve">(Grover &amp; Pea, 2013). Therefore, it becomes important to include </w:t>
      </w:r>
      <w:r w:rsidRPr="00C2546C">
        <w:rPr>
          <w:rFonts w:eastAsia="Calibri" w:cstheme="minorHAnsi"/>
          <w:sz w:val="24"/>
          <w:szCs w:val="24"/>
        </w:rPr>
        <w:lastRenderedPageBreak/>
        <w:t>computational thinking skills in the curriculum (Pewkam &amp; Chamrat, 2022; Nordén et al., 2017) and for the student to possess a high level of these skills by planning activities that allow for the effective application of computational thinking skills (Huda &amp; Rohaeti, 2024).</w:t>
      </w:r>
    </w:p>
    <w:p w:rsidR="00367489" w:rsidRPr="00C2546C" w:rsidRDefault="00743FAE" w:rsidP="00BA681F">
      <w:pPr>
        <w:spacing w:before="240" w:after="0"/>
        <w:jc w:val="both"/>
        <w:rPr>
          <w:rFonts w:eastAsia="Calibri" w:cstheme="minorHAnsi"/>
          <w:sz w:val="24"/>
          <w:szCs w:val="24"/>
        </w:rPr>
      </w:pPr>
      <w:r w:rsidRPr="00C2546C">
        <w:rPr>
          <w:rFonts w:eastAsia="Calibri" w:cstheme="minorHAnsi"/>
          <w:sz w:val="24"/>
          <w:szCs w:val="24"/>
        </w:rPr>
        <w:t xml:space="preserve">Studies have shown that students have a below-average level of computational thinking skills (Wardani et al., 2022; Rosali &amp; Suryadi, 2021), and Korkmaz et al. (2015) </w:t>
      </w:r>
      <w:r>
        <w:rPr>
          <w:rFonts w:eastAsia="Calibri" w:cs="Calibri"/>
          <w:sz w:val="24"/>
          <w:szCs w:val="24"/>
        </w:rPr>
        <w:t>reported</w:t>
      </w:r>
      <w:r w:rsidRPr="00C2546C">
        <w:rPr>
          <w:rFonts w:eastAsia="Calibri" w:cstheme="minorHAnsi"/>
          <w:sz w:val="24"/>
          <w:szCs w:val="24"/>
        </w:rPr>
        <w:t xml:space="preserve"> that students have an average level of perceptions </w:t>
      </w:r>
      <w:r>
        <w:rPr>
          <w:rFonts w:eastAsia="Calibri" w:cs="Calibri"/>
          <w:sz w:val="24"/>
          <w:szCs w:val="24"/>
        </w:rPr>
        <w:t>of</w:t>
      </w:r>
      <w:r w:rsidRPr="00C2546C">
        <w:rPr>
          <w:rFonts w:eastAsia="Calibri" w:cstheme="minorHAnsi"/>
          <w:sz w:val="24"/>
          <w:szCs w:val="24"/>
        </w:rPr>
        <w:t xml:space="preserve"> computational thinking skills. </w:t>
      </w:r>
      <w:proofErr w:type="spellStart"/>
      <w:r w:rsidRPr="00C2546C">
        <w:rPr>
          <w:rFonts w:eastAsia="Calibri" w:cstheme="minorHAnsi"/>
          <w:sz w:val="24"/>
          <w:szCs w:val="24"/>
        </w:rPr>
        <w:t>Prabawa</w:t>
      </w:r>
      <w:proofErr w:type="spellEnd"/>
      <w:r w:rsidRPr="00C2546C">
        <w:rPr>
          <w:rFonts w:eastAsia="Calibri" w:cstheme="minorHAnsi"/>
          <w:sz w:val="24"/>
          <w:szCs w:val="24"/>
        </w:rPr>
        <w:t xml:space="preserve"> et al. (2024) </w:t>
      </w:r>
      <w:r>
        <w:rPr>
          <w:rFonts w:eastAsia="Calibri" w:cs="Calibri"/>
          <w:sz w:val="24"/>
          <w:szCs w:val="24"/>
        </w:rPr>
        <w:t>reported</w:t>
      </w:r>
      <w:r w:rsidRPr="00C2546C">
        <w:rPr>
          <w:rFonts w:eastAsia="Calibri" w:cstheme="minorHAnsi"/>
          <w:sz w:val="24"/>
          <w:szCs w:val="24"/>
        </w:rPr>
        <w:t xml:space="preserve"> that students have an average level of computational thinking </w:t>
      </w:r>
      <w:r>
        <w:rPr>
          <w:rFonts w:eastAsia="Calibri" w:cs="Calibri"/>
          <w:sz w:val="24"/>
          <w:szCs w:val="24"/>
        </w:rPr>
        <w:t>ability,</w:t>
      </w:r>
      <w:r w:rsidRPr="00C2546C">
        <w:rPr>
          <w:rFonts w:eastAsia="Calibri" w:cstheme="minorHAnsi"/>
          <w:sz w:val="24"/>
          <w:szCs w:val="24"/>
        </w:rPr>
        <w:t xml:space="preserve"> problem-solving and innovation skills are the most dominant skills, and algorithmic thinking skills are the least dominant skills. Katai et al. (2021) </w:t>
      </w:r>
      <w:r>
        <w:rPr>
          <w:rFonts w:eastAsia="Calibri" w:cs="Calibri"/>
          <w:sz w:val="24"/>
          <w:szCs w:val="24"/>
        </w:rPr>
        <w:t>reported</w:t>
      </w:r>
      <w:r w:rsidRPr="00C2546C">
        <w:rPr>
          <w:rFonts w:eastAsia="Calibri" w:cstheme="minorHAnsi"/>
          <w:sz w:val="24"/>
          <w:szCs w:val="24"/>
        </w:rPr>
        <w:t xml:space="preserve"> that computational thinking skills increase with students’ cognitive development and maturity. Chongo et al. (2020) </w:t>
      </w:r>
      <w:r>
        <w:rPr>
          <w:rFonts w:eastAsia="Calibri" w:cs="Calibri"/>
          <w:sz w:val="24"/>
          <w:szCs w:val="24"/>
        </w:rPr>
        <w:t>reported</w:t>
      </w:r>
      <w:r w:rsidRPr="00C2546C">
        <w:rPr>
          <w:rFonts w:eastAsia="Calibri" w:cstheme="minorHAnsi"/>
          <w:sz w:val="24"/>
          <w:szCs w:val="24"/>
        </w:rPr>
        <w:t xml:space="preserve"> that students have a high level of computational thinking skills and that there is a relationship between computational thinking skills and achievement. Although studies have </w:t>
      </w:r>
      <w:r>
        <w:rPr>
          <w:rFonts w:eastAsia="Calibri" w:cs="Calibri"/>
          <w:sz w:val="24"/>
          <w:szCs w:val="24"/>
        </w:rPr>
        <w:t>reported</w:t>
      </w:r>
      <w:r w:rsidRPr="00C2546C">
        <w:rPr>
          <w:rFonts w:eastAsia="Calibri" w:cstheme="minorHAnsi"/>
          <w:sz w:val="24"/>
          <w:szCs w:val="24"/>
        </w:rPr>
        <w:t xml:space="preserve"> mixed results </w:t>
      </w:r>
      <w:r>
        <w:rPr>
          <w:rFonts w:eastAsia="Calibri" w:cs="Calibri"/>
          <w:sz w:val="24"/>
          <w:szCs w:val="24"/>
        </w:rPr>
        <w:t>concerning</w:t>
      </w:r>
      <w:r w:rsidRPr="00C2546C">
        <w:rPr>
          <w:rFonts w:eastAsia="Calibri" w:cstheme="minorHAnsi"/>
          <w:sz w:val="24"/>
          <w:szCs w:val="24"/>
        </w:rPr>
        <w:t xml:space="preserve"> the association between computational thinking and academic achievement, some have indicated a significant positive association between them (Lei et al., 2020; Mindetbay et al., 2019</w:t>
      </w:r>
      <w:r>
        <w:rPr>
          <w:rFonts w:eastAsia="Calibri" w:cs="Calibri"/>
          <w:sz w:val="24"/>
          <w:szCs w:val="24"/>
        </w:rPr>
        <w:t>;</w:t>
      </w:r>
      <w:r w:rsidRPr="00C2546C">
        <w:rPr>
          <w:rFonts w:eastAsia="Calibri" w:cstheme="minorHAnsi"/>
          <w:sz w:val="24"/>
          <w:szCs w:val="24"/>
        </w:rPr>
        <w:t xml:space="preserve"> Lishinski et al., 2016</w:t>
      </w:r>
      <w:r>
        <w:rPr>
          <w:rFonts w:eastAsia="Calibri" w:cs="Calibri"/>
          <w:sz w:val="24"/>
          <w:szCs w:val="24"/>
        </w:rPr>
        <w:t>;</w:t>
      </w:r>
      <w:r w:rsidRPr="00C2546C">
        <w:rPr>
          <w:rFonts w:eastAsia="Calibri" w:cstheme="minorHAnsi"/>
          <w:sz w:val="24"/>
          <w:szCs w:val="24"/>
        </w:rPr>
        <w:t xml:space="preserve"> Yildiz-Durak &amp; Saritepeci, 2018; Gülmez and Özdener, 2015; Haddad &amp; Kalaani, 2015), </w:t>
      </w:r>
      <w:r>
        <w:rPr>
          <w:rFonts w:eastAsia="Calibri" w:cs="Calibri"/>
          <w:sz w:val="24"/>
          <w:szCs w:val="24"/>
        </w:rPr>
        <w:t>indicating</w:t>
      </w:r>
      <w:r w:rsidRPr="00C2546C">
        <w:rPr>
          <w:rFonts w:eastAsia="Calibri" w:cstheme="minorHAnsi"/>
          <w:sz w:val="24"/>
          <w:szCs w:val="24"/>
        </w:rPr>
        <w:t xml:space="preserve"> that there </w:t>
      </w:r>
      <w:r>
        <w:rPr>
          <w:rFonts w:eastAsia="Calibri" w:cs="Calibri"/>
          <w:sz w:val="24"/>
          <w:szCs w:val="24"/>
        </w:rPr>
        <w:t>is</w:t>
      </w:r>
      <w:r w:rsidRPr="00C2546C">
        <w:rPr>
          <w:rFonts w:eastAsia="Calibri" w:cstheme="minorHAnsi"/>
          <w:sz w:val="24"/>
          <w:szCs w:val="24"/>
        </w:rPr>
        <w:t xml:space="preserve"> no significant association between them (Doleck et al., 2017</w:t>
      </w:r>
      <w:r>
        <w:rPr>
          <w:rFonts w:eastAsia="Calibri" w:cs="Calibri"/>
          <w:sz w:val="24"/>
          <w:szCs w:val="24"/>
        </w:rPr>
        <w:t>;</w:t>
      </w:r>
      <w:r w:rsidRPr="00C2546C">
        <w:rPr>
          <w:rFonts w:eastAsia="Calibri" w:cstheme="minorHAnsi"/>
          <w:sz w:val="24"/>
          <w:szCs w:val="24"/>
        </w:rPr>
        <w:t xml:space="preserve"> Miller et al., 2013).</w:t>
      </w:r>
    </w:p>
    <w:p w:rsidR="00883196" w:rsidRPr="00C2546C" w:rsidRDefault="00743FAE" w:rsidP="00794100">
      <w:pPr>
        <w:spacing w:before="240" w:after="0"/>
        <w:rPr>
          <w:rFonts w:eastAsia="Calibri" w:cstheme="minorHAnsi"/>
          <w:b/>
          <w:bCs/>
          <w:sz w:val="24"/>
          <w:szCs w:val="24"/>
          <w:rtl/>
        </w:rPr>
      </w:pPr>
      <w:r w:rsidRPr="00C2546C">
        <w:rPr>
          <w:rFonts w:eastAsia="Calibri" w:cstheme="minorHAnsi"/>
          <w:b/>
          <w:bCs/>
          <w:sz w:val="24"/>
          <w:szCs w:val="24"/>
        </w:rPr>
        <w:t>Computational Self-Efficacy</w:t>
      </w:r>
    </w:p>
    <w:p w:rsidR="00794100" w:rsidRPr="00C2546C" w:rsidRDefault="00743FAE" w:rsidP="00794100">
      <w:pPr>
        <w:spacing w:after="0"/>
        <w:jc w:val="both"/>
        <w:rPr>
          <w:rFonts w:eastAsia="Calibri" w:cstheme="minorHAnsi"/>
          <w:sz w:val="24"/>
          <w:szCs w:val="24"/>
          <w:rtl/>
        </w:rPr>
      </w:pPr>
      <w:r w:rsidRPr="00C2546C">
        <w:rPr>
          <w:rFonts w:eastAsia="Calibri" w:cstheme="minorHAnsi"/>
          <w:sz w:val="24"/>
          <w:szCs w:val="24"/>
        </w:rPr>
        <w:t>Bandura (1995; 1977)</w:t>
      </w:r>
      <w:r w:rsidRPr="00C2546C">
        <w:rPr>
          <w:rFonts w:eastAsia="Calibri" w:cstheme="minorHAnsi"/>
          <w:sz w:val="24"/>
          <w:szCs w:val="24"/>
          <w:rtl/>
        </w:rPr>
        <w:t xml:space="preserve"> </w:t>
      </w:r>
      <w:r>
        <w:rPr>
          <w:rFonts w:eastAsia="Calibri" w:cs="Calibri"/>
          <w:sz w:val="24"/>
          <w:szCs w:val="24"/>
        </w:rPr>
        <w:t>indicated</w:t>
      </w:r>
      <w:r w:rsidRPr="00C2546C">
        <w:rPr>
          <w:rFonts w:eastAsia="Calibri" w:cstheme="minorHAnsi"/>
          <w:sz w:val="24"/>
          <w:szCs w:val="24"/>
        </w:rPr>
        <w:t xml:space="preserve"> that self-efficacy is related to an individual's beliefs and motivations and expresses an individual's confidence in his ability to achieve a specific goal or solve a problem, control his level of performance (Bandura, 1993), persistence when facing difficult tasks, and resilience in the face of difficulty or failure (Nordén et al., 2017; Schunk et al., 2014). Computational self-efficacy is defined as the effort made by an individual to practice computational thinking, solve programming-based computer problems, and </w:t>
      </w:r>
      <w:r>
        <w:rPr>
          <w:rFonts w:eastAsia="Calibri" w:cs="Calibri"/>
          <w:sz w:val="24"/>
          <w:szCs w:val="24"/>
        </w:rPr>
        <w:t>achieve an</w:t>
      </w:r>
      <w:r w:rsidRPr="00C2546C">
        <w:rPr>
          <w:rFonts w:eastAsia="Calibri" w:cstheme="minorHAnsi"/>
          <w:sz w:val="24"/>
          <w:szCs w:val="24"/>
        </w:rPr>
        <w:t xml:space="preserve"> attitude </w:t>
      </w:r>
      <w:r>
        <w:rPr>
          <w:rFonts w:eastAsia="Calibri" w:cs="Calibri"/>
          <w:sz w:val="24"/>
          <w:szCs w:val="24"/>
        </w:rPr>
        <w:t>toward</w:t>
      </w:r>
      <w:r w:rsidRPr="00C2546C">
        <w:rPr>
          <w:rFonts w:eastAsia="Calibri" w:cstheme="minorHAnsi"/>
          <w:sz w:val="24"/>
          <w:szCs w:val="24"/>
        </w:rPr>
        <w:t xml:space="preserve"> computational thinking skills (Yagci, 2016; Trevelyan, 2011; Compeau and Higgins, 1995). It expresses an individual's judgments about using digital tools creatively (Espinosa et al., 2021; Marakas et al., 1998).</w:t>
      </w:r>
    </w:p>
    <w:p w:rsidR="00794100" w:rsidRPr="00C2546C" w:rsidRDefault="00743FAE" w:rsidP="008C7CFB">
      <w:pPr>
        <w:spacing w:before="240" w:after="0"/>
        <w:jc w:val="both"/>
        <w:rPr>
          <w:rFonts w:eastAsia="Calibri" w:cstheme="minorHAnsi"/>
          <w:sz w:val="24"/>
          <w:szCs w:val="24"/>
        </w:rPr>
      </w:pPr>
      <w:r w:rsidRPr="00C2546C">
        <w:rPr>
          <w:rFonts w:eastAsia="Calibri" w:cstheme="minorHAnsi"/>
          <w:sz w:val="24"/>
          <w:szCs w:val="24"/>
        </w:rPr>
        <w:t>Self-efficacy is associated with concepts such as academic success, motivation, competence building, self-regulation, self-knowledge, autonomy, and happiness (Espinosa et al., 2021; Yahyanezhad</w:t>
      </w:r>
      <w:r w:rsidR="00655CC8" w:rsidRPr="00C2546C">
        <w:rPr>
          <w:rFonts w:eastAsia="Calibri" w:cstheme="minorHAnsi"/>
          <w:sz w:val="24"/>
          <w:szCs w:val="24"/>
          <w:rtl/>
        </w:rPr>
        <w:t xml:space="preserve"> </w:t>
      </w:r>
      <w:r w:rsidRPr="00C2546C">
        <w:rPr>
          <w:rFonts w:eastAsia="Calibri" w:cstheme="minorHAnsi"/>
          <w:sz w:val="24"/>
          <w:szCs w:val="24"/>
        </w:rPr>
        <w:t>&amp; Moharer, 2020; Zee et al., 2016; Thoonen et al., 2010; Zimmerman, 2000), is positively associated with a high level of educational technology use (Buchanan et al., 2013), is associated with computer literacy (Gudek, 2019), is one of the most influential factors in behavior (Anastasiadou &amp; Karakos, 2011), represents the emotional aspect of computational thinking skills (</w:t>
      </w:r>
      <w:proofErr w:type="spellStart"/>
      <w:r w:rsidRPr="00C2546C">
        <w:rPr>
          <w:rFonts w:eastAsia="Calibri" w:cstheme="minorHAnsi"/>
          <w:sz w:val="24"/>
          <w:szCs w:val="24"/>
        </w:rPr>
        <w:t>Avcu</w:t>
      </w:r>
      <w:proofErr w:type="spellEnd"/>
      <w:r w:rsidRPr="00C2546C">
        <w:rPr>
          <w:rFonts w:eastAsia="Calibri" w:cstheme="minorHAnsi"/>
          <w:sz w:val="24"/>
          <w:szCs w:val="24"/>
        </w:rPr>
        <w:t xml:space="preserve"> &amp; </w:t>
      </w:r>
      <w:proofErr w:type="spellStart"/>
      <w:r w:rsidRPr="00C2546C">
        <w:rPr>
          <w:rFonts w:eastAsia="Calibri" w:cstheme="minorHAnsi"/>
          <w:sz w:val="24"/>
          <w:szCs w:val="24"/>
        </w:rPr>
        <w:t>Ayverdi</w:t>
      </w:r>
      <w:proofErr w:type="spellEnd"/>
      <w:r w:rsidRPr="00C2546C">
        <w:rPr>
          <w:rFonts w:eastAsia="Calibri" w:cstheme="minorHAnsi"/>
          <w:sz w:val="24"/>
          <w:szCs w:val="24"/>
        </w:rPr>
        <w:t xml:space="preserve">, 2020; Safari et al., 2020; Türker &amp; Pala, 2020), works to develop computational thinking skills such as analysis, problem solving, and error correction (Yildiz-Durak et al., 2019; Shell et al., 2014), </w:t>
      </w:r>
      <w:r>
        <w:rPr>
          <w:rFonts w:eastAsia="Calibri" w:cs="Calibri"/>
          <w:sz w:val="24"/>
          <w:szCs w:val="24"/>
        </w:rPr>
        <w:t xml:space="preserve">increases </w:t>
      </w:r>
      <w:r w:rsidRPr="00C2546C">
        <w:rPr>
          <w:rFonts w:eastAsia="Calibri" w:cstheme="minorHAnsi"/>
          <w:sz w:val="24"/>
          <w:szCs w:val="24"/>
        </w:rPr>
        <w:t xml:space="preserve">interest in the learning process and </w:t>
      </w:r>
      <w:r w:rsidRPr="00C2546C">
        <w:rPr>
          <w:rFonts w:eastAsia="Calibri" w:cstheme="minorHAnsi"/>
          <w:sz w:val="24"/>
          <w:szCs w:val="24"/>
        </w:rPr>
        <w:lastRenderedPageBreak/>
        <w:t>development of academic self-concept (</w:t>
      </w:r>
      <w:proofErr w:type="spellStart"/>
      <w:r w:rsidRPr="00C2546C">
        <w:rPr>
          <w:rFonts w:eastAsia="Calibri" w:cstheme="minorHAnsi"/>
          <w:sz w:val="24"/>
          <w:szCs w:val="24"/>
        </w:rPr>
        <w:t>Pellas</w:t>
      </w:r>
      <w:proofErr w:type="spellEnd"/>
      <w:r w:rsidRPr="00C2546C">
        <w:rPr>
          <w:rFonts w:eastAsia="Calibri" w:cstheme="minorHAnsi"/>
          <w:sz w:val="24"/>
          <w:szCs w:val="24"/>
        </w:rPr>
        <w:t xml:space="preserve"> &amp; </w:t>
      </w:r>
      <w:proofErr w:type="spellStart"/>
      <w:r w:rsidRPr="00C2546C">
        <w:rPr>
          <w:rFonts w:eastAsia="Calibri" w:cstheme="minorHAnsi"/>
          <w:sz w:val="24"/>
          <w:szCs w:val="24"/>
        </w:rPr>
        <w:t>Kazanidis</w:t>
      </w:r>
      <w:proofErr w:type="spellEnd"/>
      <w:r w:rsidRPr="00C2546C">
        <w:rPr>
          <w:rFonts w:eastAsia="Calibri" w:cstheme="minorHAnsi"/>
          <w:sz w:val="24"/>
          <w:szCs w:val="24"/>
        </w:rPr>
        <w:t xml:space="preserve">, 2014), increases </w:t>
      </w:r>
      <w:r>
        <w:rPr>
          <w:rFonts w:eastAsia="Calibri" w:cs="Calibri"/>
          <w:sz w:val="24"/>
          <w:szCs w:val="24"/>
        </w:rPr>
        <w:t>individuals’</w:t>
      </w:r>
      <w:r w:rsidRPr="00C2546C">
        <w:rPr>
          <w:rFonts w:eastAsia="Calibri" w:cstheme="minorHAnsi"/>
          <w:sz w:val="24"/>
          <w:szCs w:val="24"/>
        </w:rPr>
        <w:t xml:space="preserve"> intention to use technology and digital tools (Afari et al., 2023</w:t>
      </w:r>
      <w:r w:rsidR="004373DB">
        <w:rPr>
          <w:rFonts w:eastAsia="Calibri" w:cstheme="minorHAnsi"/>
          <w:sz w:val="24"/>
          <w:szCs w:val="24"/>
        </w:rPr>
        <w:t>;</w:t>
      </w:r>
      <w:r w:rsidR="004373DB" w:rsidRPr="004373DB">
        <w:t xml:space="preserve"> </w:t>
      </w:r>
      <w:proofErr w:type="spellStart"/>
      <w:r w:rsidR="004373DB" w:rsidRPr="004373DB">
        <w:rPr>
          <w:rFonts w:eastAsia="Calibri" w:cstheme="minorHAnsi"/>
          <w:sz w:val="24"/>
          <w:szCs w:val="24"/>
        </w:rPr>
        <w:t>Gudek</w:t>
      </w:r>
      <w:proofErr w:type="spellEnd"/>
      <w:r w:rsidR="004373DB" w:rsidRPr="004373DB">
        <w:rPr>
          <w:rFonts w:eastAsia="Calibri" w:cstheme="minorHAnsi"/>
          <w:sz w:val="24"/>
          <w:szCs w:val="24"/>
        </w:rPr>
        <w:t>, 2019</w:t>
      </w:r>
      <w:r w:rsidRPr="00C2546C">
        <w:rPr>
          <w:rFonts w:eastAsia="Calibri" w:cstheme="minorHAnsi"/>
          <w:sz w:val="24"/>
          <w:szCs w:val="24"/>
        </w:rPr>
        <w:t>),</w:t>
      </w:r>
      <w:r w:rsidR="00522735">
        <w:rPr>
          <w:rFonts w:eastAsia="Calibri" w:cstheme="minorHAnsi"/>
          <w:sz w:val="24"/>
          <w:szCs w:val="24"/>
        </w:rPr>
        <w:t xml:space="preserve"> and</w:t>
      </w:r>
      <w:r w:rsidRPr="00C2546C">
        <w:rPr>
          <w:rFonts w:eastAsia="Calibri" w:cstheme="minorHAnsi"/>
          <w:sz w:val="24"/>
          <w:szCs w:val="24"/>
        </w:rPr>
        <w:t xml:space="preserve"> reduces computer anxiety </w:t>
      </w:r>
      <w:r w:rsidRPr="00522735">
        <w:rPr>
          <w:rFonts w:eastAsia="Calibri" w:cstheme="minorHAnsi"/>
          <w:sz w:val="24"/>
          <w:szCs w:val="24"/>
        </w:rPr>
        <w:t>(</w:t>
      </w:r>
      <w:proofErr w:type="spellStart"/>
      <w:r>
        <w:rPr>
          <w:rFonts w:eastAsia="Calibri" w:cs="Calibri"/>
          <w:sz w:val="24"/>
          <w:szCs w:val="24"/>
        </w:rPr>
        <w:t>Gudek</w:t>
      </w:r>
      <w:proofErr w:type="spellEnd"/>
      <w:r>
        <w:rPr>
          <w:rFonts w:eastAsia="Calibri" w:cs="Calibri"/>
          <w:sz w:val="24"/>
          <w:szCs w:val="24"/>
        </w:rPr>
        <w:t>, 2019</w:t>
      </w:r>
      <w:r w:rsidR="00522735">
        <w:rPr>
          <w:rFonts w:eastAsia="Calibri" w:cs="Calibri"/>
          <w:sz w:val="24"/>
          <w:szCs w:val="24"/>
        </w:rPr>
        <w:t>;</w:t>
      </w:r>
      <w:r w:rsidR="00522735" w:rsidRPr="00522735">
        <w:rPr>
          <w:rFonts w:eastAsia="Calibri" w:cs="Calibri"/>
          <w:sz w:val="24"/>
          <w:szCs w:val="24"/>
        </w:rPr>
        <w:t xml:space="preserve"> </w:t>
      </w:r>
      <w:proofErr w:type="spellStart"/>
      <w:r w:rsidR="00522735" w:rsidRPr="00522735">
        <w:rPr>
          <w:rFonts w:eastAsia="Calibri" w:cs="Calibri"/>
          <w:sz w:val="24"/>
          <w:szCs w:val="24"/>
        </w:rPr>
        <w:t>Durndell</w:t>
      </w:r>
      <w:proofErr w:type="spellEnd"/>
      <w:r w:rsidR="00522735" w:rsidRPr="00522735">
        <w:rPr>
          <w:rFonts w:eastAsia="Calibri" w:cs="Calibri"/>
          <w:sz w:val="24"/>
          <w:szCs w:val="24"/>
        </w:rPr>
        <w:t xml:space="preserve"> &amp; Haag, 2002</w:t>
      </w:r>
      <w:r>
        <w:rPr>
          <w:rFonts w:eastAsia="Calibri" w:cs="Calibri"/>
          <w:sz w:val="24"/>
          <w:szCs w:val="24"/>
        </w:rPr>
        <w:t>),</w:t>
      </w:r>
      <w:r w:rsidRPr="00C2546C">
        <w:rPr>
          <w:rFonts w:eastAsia="Calibri" w:cstheme="minorHAnsi"/>
          <w:sz w:val="24"/>
          <w:szCs w:val="24"/>
        </w:rPr>
        <w:t xml:space="preserve"> Self-efficacy is an important variable in predicting computational thinking (Dickerson, 2019; Tsai et al., 2018) and influences the practice of computational thinking skills (Malone &amp; </w:t>
      </w:r>
      <w:proofErr w:type="spellStart"/>
      <w:r w:rsidRPr="00C2546C">
        <w:rPr>
          <w:rFonts w:eastAsia="Calibri" w:cstheme="minorHAnsi"/>
          <w:sz w:val="24"/>
          <w:szCs w:val="24"/>
        </w:rPr>
        <w:t>Lepper</w:t>
      </w:r>
      <w:proofErr w:type="spellEnd"/>
      <w:r w:rsidRPr="00C2546C">
        <w:rPr>
          <w:rFonts w:eastAsia="Calibri" w:cstheme="minorHAnsi"/>
          <w:sz w:val="24"/>
          <w:szCs w:val="24"/>
        </w:rPr>
        <w:t xml:space="preserve">, 2021; </w:t>
      </w:r>
      <w:proofErr w:type="spellStart"/>
      <w:r w:rsidRPr="00C2546C">
        <w:rPr>
          <w:rFonts w:eastAsia="Calibri" w:cstheme="minorHAnsi"/>
          <w:sz w:val="24"/>
          <w:szCs w:val="24"/>
        </w:rPr>
        <w:t>Murnieks</w:t>
      </w:r>
      <w:proofErr w:type="spellEnd"/>
      <w:r w:rsidRPr="00C2546C">
        <w:rPr>
          <w:rFonts w:eastAsia="Calibri" w:cstheme="minorHAnsi"/>
          <w:sz w:val="24"/>
          <w:szCs w:val="24"/>
        </w:rPr>
        <w:t xml:space="preserve"> et</w:t>
      </w:r>
      <w:r>
        <w:rPr>
          <w:rFonts w:eastAsia="Calibri" w:cs="Calibri"/>
          <w:sz w:val="24"/>
          <w:szCs w:val="24"/>
        </w:rPr>
        <w:t xml:space="preserve"> </w:t>
      </w:r>
      <w:r w:rsidRPr="00C2546C">
        <w:rPr>
          <w:rFonts w:eastAsia="Calibri" w:cstheme="minorHAnsi"/>
          <w:sz w:val="24"/>
          <w:szCs w:val="24"/>
        </w:rPr>
        <w:t>al., 2020; Kong et</w:t>
      </w:r>
      <w:r>
        <w:rPr>
          <w:rFonts w:eastAsia="Calibri" w:cs="Calibri"/>
          <w:sz w:val="24"/>
          <w:szCs w:val="24"/>
        </w:rPr>
        <w:t xml:space="preserve"> </w:t>
      </w:r>
      <w:r w:rsidRPr="00C2546C">
        <w:rPr>
          <w:rFonts w:eastAsia="Calibri" w:cstheme="minorHAnsi"/>
          <w:sz w:val="24"/>
          <w:szCs w:val="24"/>
        </w:rPr>
        <w:t>al., 2018; Yildiz-Durak &amp; Saritepeci, 2018; Nordén et al., 2017; Özmen and Altun, 2014; Thoonen et al., 2010; Yang &amp; Cheng, 2009).</w:t>
      </w:r>
      <w:r w:rsidR="00655CC8" w:rsidRPr="00C2546C">
        <w:rPr>
          <w:rFonts w:cstheme="minorHAnsi"/>
        </w:rPr>
        <w:t xml:space="preserve"> </w:t>
      </w:r>
      <w:r w:rsidR="00655CC8" w:rsidRPr="00C2546C">
        <w:rPr>
          <w:rFonts w:eastAsia="Calibri" w:cstheme="minorHAnsi"/>
          <w:sz w:val="24"/>
          <w:szCs w:val="24"/>
        </w:rPr>
        <w:t xml:space="preserve">Therefore, education in modern societies aims to </w:t>
      </w:r>
      <w:r>
        <w:rPr>
          <w:rFonts w:eastAsia="Calibri" w:cs="Calibri"/>
          <w:sz w:val="24"/>
          <w:szCs w:val="24"/>
        </w:rPr>
        <w:t>increase</w:t>
      </w:r>
      <w:r w:rsidR="00655CC8" w:rsidRPr="00C2546C">
        <w:rPr>
          <w:rFonts w:eastAsia="Calibri" w:cstheme="minorHAnsi"/>
          <w:sz w:val="24"/>
          <w:szCs w:val="24"/>
        </w:rPr>
        <w:t xml:space="preserve"> students' self-efficacy to improve </w:t>
      </w:r>
      <w:r>
        <w:rPr>
          <w:rFonts w:eastAsia="Calibri" w:cs="Calibri"/>
          <w:sz w:val="24"/>
          <w:szCs w:val="24"/>
        </w:rPr>
        <w:t xml:space="preserve">their </w:t>
      </w:r>
      <w:r w:rsidR="00655CC8" w:rsidRPr="00C2546C">
        <w:rPr>
          <w:rFonts w:eastAsia="Calibri" w:cstheme="minorHAnsi"/>
          <w:sz w:val="24"/>
          <w:szCs w:val="24"/>
        </w:rPr>
        <w:t>computational thinking skills and use technology (Korucu et al., 2017).</w:t>
      </w:r>
    </w:p>
    <w:p w:rsidR="00BB0DC7" w:rsidRPr="00C2546C" w:rsidRDefault="00743FAE" w:rsidP="00A924DF">
      <w:pPr>
        <w:spacing w:before="240" w:after="0"/>
        <w:jc w:val="both"/>
        <w:rPr>
          <w:rFonts w:eastAsia="Calibri" w:cstheme="minorHAnsi"/>
          <w:sz w:val="24"/>
          <w:szCs w:val="24"/>
        </w:rPr>
      </w:pPr>
      <w:r w:rsidRPr="00C2546C">
        <w:rPr>
          <w:rFonts w:eastAsia="Calibri" w:cstheme="minorHAnsi"/>
          <w:sz w:val="24"/>
          <w:szCs w:val="24"/>
        </w:rPr>
        <w:t xml:space="preserve">A person with high computational self-efficacy has good perceptions of his ability to use a computer (Turel, 2014), uses digital tools efficiently (Dumbauld et al., 2014), tries to maintain motivation and develop computer skills (Schunk, 1991), develops effective strategies for dealing with complex problems (Odaci, 2013), and expands the scope of his personal goals, which generates better psychological health (Safari et al., 2020). </w:t>
      </w:r>
      <w:r>
        <w:rPr>
          <w:rFonts w:eastAsia="Calibri" w:cs="Calibri"/>
          <w:sz w:val="24"/>
          <w:szCs w:val="24"/>
        </w:rPr>
        <w:t>A</w:t>
      </w:r>
      <w:r w:rsidRPr="00C2546C">
        <w:rPr>
          <w:rFonts w:eastAsia="Calibri" w:cstheme="minorHAnsi"/>
          <w:sz w:val="24"/>
          <w:szCs w:val="24"/>
        </w:rPr>
        <w:t xml:space="preserve"> person with lower computational self-efficacy exerts less effort in performing </w:t>
      </w:r>
      <w:r>
        <w:rPr>
          <w:rFonts w:eastAsia="Calibri" w:cs="Calibri"/>
          <w:sz w:val="24"/>
          <w:szCs w:val="24"/>
        </w:rPr>
        <w:t>a</w:t>
      </w:r>
      <w:r w:rsidRPr="00C2546C">
        <w:rPr>
          <w:rFonts w:eastAsia="Calibri" w:cstheme="minorHAnsi"/>
          <w:sz w:val="24"/>
          <w:szCs w:val="24"/>
        </w:rPr>
        <w:t xml:space="preserve"> task and fails to complete the task (Nordén et al., 2017). Thus, studies indicate the importance of having a high level of computational self-efficacy as a strong predictor of continuing performance and learning computational thinking skills (Espinosa et al., 2021; Krejčová et al., 2019; Yildiz-Durak et al., 2019; Valencia-Vallejo et al., 2016; Shell et al., 2014; Thoonen et al., 2010; Ramalingam &amp;</w:t>
      </w:r>
      <w:r>
        <w:rPr>
          <w:rFonts w:eastAsia="Calibri" w:cs="Calibri"/>
          <w:sz w:val="24"/>
          <w:szCs w:val="24"/>
        </w:rPr>
        <w:t xml:space="preserve"> </w:t>
      </w:r>
      <w:r w:rsidRPr="00C2546C">
        <w:rPr>
          <w:rFonts w:eastAsia="Calibri" w:cstheme="minorHAnsi"/>
          <w:sz w:val="24"/>
          <w:szCs w:val="24"/>
        </w:rPr>
        <w:t>Wiedenbeck, 1998).</w:t>
      </w:r>
    </w:p>
    <w:p w:rsidR="00655CC8" w:rsidRPr="00C2546C" w:rsidRDefault="00743FAE" w:rsidP="00BB0DC7">
      <w:pPr>
        <w:spacing w:before="240" w:after="0"/>
        <w:jc w:val="both"/>
        <w:rPr>
          <w:rFonts w:eastAsia="Calibri" w:cstheme="minorHAnsi"/>
          <w:sz w:val="24"/>
          <w:szCs w:val="24"/>
          <w:rtl/>
        </w:rPr>
      </w:pPr>
      <w:r w:rsidRPr="00C2546C">
        <w:rPr>
          <w:rFonts w:eastAsia="Calibri" w:cstheme="minorHAnsi"/>
          <w:sz w:val="24"/>
          <w:szCs w:val="24"/>
        </w:rPr>
        <w:t xml:space="preserve"> Studies have shown that students have low levels of self-efficacy in using computer skills and multimedia programs (Sarfo et al., 2016; 2017) and using technology in the classroom (Singh et al., 2018) and that this low level leads to difficulty in learning and practicing computational thinking skills (Schwarzhaupt et al., 2021; Espinosa et al., 2021; Talsma et al., 2018). Low perceptions of students about themselves in the field of computing (self-efficacy) and a perceived lack of self-confidence and ability to succeed were found to be inhibitors that hinder their entry into the fields of computational thinking (Ahadi et al., 2017; Stout and Tamer, 2016).</w:t>
      </w:r>
    </w:p>
    <w:p w:rsidR="00655CC8" w:rsidRPr="00C2546C" w:rsidRDefault="00743FAE" w:rsidP="00522735">
      <w:pPr>
        <w:spacing w:before="240" w:after="0"/>
        <w:jc w:val="both"/>
        <w:rPr>
          <w:rFonts w:eastAsia="Calibri" w:cstheme="minorHAnsi"/>
          <w:sz w:val="24"/>
          <w:szCs w:val="24"/>
          <w:rtl/>
        </w:rPr>
      </w:pPr>
      <w:r w:rsidRPr="00C2546C">
        <w:rPr>
          <w:rFonts w:eastAsia="Calibri" w:cstheme="minorHAnsi"/>
          <w:sz w:val="24"/>
          <w:szCs w:val="24"/>
        </w:rPr>
        <w:t>However, studies have shown mixed results</w:t>
      </w:r>
      <w:r>
        <w:rPr>
          <w:rFonts w:eastAsia="Calibri" w:cs="Calibri"/>
          <w:sz w:val="24"/>
          <w:szCs w:val="24"/>
        </w:rPr>
        <w:t>. There</w:t>
      </w:r>
      <w:r w:rsidRPr="00C2546C">
        <w:rPr>
          <w:rFonts w:eastAsia="Calibri" w:cstheme="minorHAnsi"/>
          <w:sz w:val="24"/>
          <w:szCs w:val="24"/>
        </w:rPr>
        <w:t xml:space="preserve"> is a strong relationship between self-efficacy and programming (Davidson et al., 2010), a relationship between self-efficacy and information and communication technology (Hatlevik et al., 2018), a relationship between the level of computational self-efficacy and general and specific computer knowledge and the attitude toward digital technology (</w:t>
      </w:r>
      <w:proofErr w:type="spellStart"/>
      <w:r w:rsidRPr="00C2546C">
        <w:rPr>
          <w:rFonts w:eastAsia="Calibri" w:cstheme="minorHAnsi"/>
          <w:sz w:val="24"/>
          <w:szCs w:val="24"/>
        </w:rPr>
        <w:t>Gudek</w:t>
      </w:r>
      <w:proofErr w:type="spellEnd"/>
      <w:r w:rsidRPr="00C2546C">
        <w:rPr>
          <w:rFonts w:eastAsia="Calibri" w:cstheme="minorHAnsi"/>
          <w:sz w:val="24"/>
          <w:szCs w:val="24"/>
        </w:rPr>
        <w:t xml:space="preserve">, 2019), and a direct and significant relationship between computational self-efficacy and information skills (Espinosa et al., 2021), </w:t>
      </w:r>
      <w:r>
        <w:rPr>
          <w:rFonts w:eastAsia="Calibri" w:cs="Calibri"/>
          <w:sz w:val="24"/>
          <w:szCs w:val="24"/>
        </w:rPr>
        <w:t>whereas</w:t>
      </w:r>
      <w:r w:rsidRPr="00C2546C">
        <w:rPr>
          <w:rFonts w:eastAsia="Calibri" w:cstheme="minorHAnsi"/>
          <w:sz w:val="24"/>
          <w:szCs w:val="24"/>
        </w:rPr>
        <w:t xml:space="preserve"> there is a positive and medium-level relationship between self-efficacy and both computer programming and computational thinking skills (</w:t>
      </w:r>
      <w:proofErr w:type="spellStart"/>
      <w:r w:rsidRPr="00C2546C">
        <w:rPr>
          <w:rFonts w:eastAsia="Calibri" w:cstheme="minorHAnsi"/>
          <w:sz w:val="24"/>
          <w:szCs w:val="24"/>
        </w:rPr>
        <w:t>Avcu</w:t>
      </w:r>
      <w:proofErr w:type="spellEnd"/>
      <w:r w:rsidRPr="00C2546C">
        <w:rPr>
          <w:rFonts w:eastAsia="Calibri" w:cstheme="minorHAnsi"/>
          <w:sz w:val="24"/>
          <w:szCs w:val="24"/>
        </w:rPr>
        <w:t xml:space="preserve"> &amp; </w:t>
      </w:r>
      <w:proofErr w:type="spellStart"/>
      <w:r w:rsidRPr="00C2546C">
        <w:rPr>
          <w:rFonts w:eastAsia="Calibri" w:cstheme="minorHAnsi"/>
          <w:sz w:val="24"/>
          <w:szCs w:val="24"/>
        </w:rPr>
        <w:t>Ayverdi</w:t>
      </w:r>
      <w:proofErr w:type="spellEnd"/>
      <w:r w:rsidRPr="00C2546C">
        <w:rPr>
          <w:rFonts w:eastAsia="Calibri" w:cstheme="minorHAnsi"/>
          <w:sz w:val="24"/>
          <w:szCs w:val="24"/>
        </w:rPr>
        <w:t>, 2020</w:t>
      </w:r>
      <w:r w:rsidR="00522735">
        <w:rPr>
          <w:rFonts w:eastAsia="Calibri" w:cstheme="minorHAnsi"/>
          <w:sz w:val="24"/>
          <w:szCs w:val="24"/>
        </w:rPr>
        <w:t xml:space="preserve">; </w:t>
      </w:r>
      <w:r>
        <w:rPr>
          <w:rFonts w:eastAsia="Calibri" w:cs="Calibri"/>
          <w:sz w:val="24"/>
          <w:szCs w:val="24"/>
        </w:rPr>
        <w:t xml:space="preserve">Wing, 2014; </w:t>
      </w:r>
      <w:r w:rsidRPr="00C2546C">
        <w:rPr>
          <w:rFonts w:eastAsia="Calibri" w:cstheme="minorHAnsi"/>
          <w:sz w:val="24"/>
          <w:szCs w:val="24"/>
        </w:rPr>
        <w:t xml:space="preserve">Roman-Gonzalez et al., 2018; Ciftci et al., 2018; Yildiz-Durak et al., 2019) and </w:t>
      </w:r>
      <w:r>
        <w:rPr>
          <w:rFonts w:eastAsia="Calibri" w:cs="Calibri"/>
          <w:sz w:val="24"/>
          <w:szCs w:val="24"/>
        </w:rPr>
        <w:t xml:space="preserve">between </w:t>
      </w:r>
      <w:r w:rsidRPr="00C2546C">
        <w:rPr>
          <w:rFonts w:eastAsia="Calibri" w:cstheme="minorHAnsi"/>
          <w:sz w:val="24"/>
          <w:szCs w:val="24"/>
        </w:rPr>
        <w:t xml:space="preserve">computational thinking, </w:t>
      </w:r>
      <w:r w:rsidRPr="00C2546C">
        <w:rPr>
          <w:rFonts w:eastAsia="Calibri" w:cstheme="minorHAnsi"/>
          <w:sz w:val="24"/>
          <w:szCs w:val="24"/>
        </w:rPr>
        <w:lastRenderedPageBreak/>
        <w:t>reflective thinking and problem solving (Durak &amp; Yilmaz, 2019; Bocconi et al., 2016; International Society for Technology in Education “ISTE”, 2016; Wing, 2014).</w:t>
      </w:r>
    </w:p>
    <w:p w:rsidR="006C31B5" w:rsidRPr="006C31B5" w:rsidRDefault="00743FAE" w:rsidP="006C31B5">
      <w:pPr>
        <w:spacing w:before="240" w:after="0"/>
        <w:jc w:val="both"/>
        <w:rPr>
          <w:rFonts w:eastAsia="Calibri" w:cstheme="minorHAnsi"/>
          <w:b/>
          <w:bCs/>
          <w:sz w:val="24"/>
          <w:szCs w:val="24"/>
        </w:rPr>
      </w:pPr>
      <w:r w:rsidRPr="006C31B5">
        <w:rPr>
          <w:rFonts w:eastAsia="Calibri" w:cstheme="minorHAnsi"/>
          <w:b/>
          <w:bCs/>
          <w:sz w:val="24"/>
          <w:szCs w:val="24"/>
        </w:rPr>
        <w:t xml:space="preserve">Academic </w:t>
      </w:r>
      <w:r>
        <w:rPr>
          <w:rFonts w:eastAsia="Calibri" w:cs="Calibri"/>
          <w:b/>
          <w:bCs/>
          <w:sz w:val="24"/>
          <w:szCs w:val="24"/>
        </w:rPr>
        <w:t>well-being</w:t>
      </w:r>
    </w:p>
    <w:p w:rsidR="00794100" w:rsidRDefault="00743FAE" w:rsidP="006C31B5">
      <w:pPr>
        <w:spacing w:before="240" w:after="0"/>
        <w:jc w:val="both"/>
        <w:rPr>
          <w:rFonts w:eastAsia="Calibri" w:cstheme="minorHAnsi"/>
          <w:sz w:val="24"/>
          <w:szCs w:val="24"/>
        </w:rPr>
      </w:pPr>
      <w:r w:rsidRPr="006C31B5">
        <w:rPr>
          <w:rFonts w:eastAsia="Calibri" w:cstheme="minorHAnsi"/>
          <w:sz w:val="24"/>
          <w:szCs w:val="24"/>
        </w:rPr>
        <w:t>The concept of well-being has been associated with positive psychology (Lambert et al., 2015; Biglan et al., 2012) and consists of a set of cognitive, emotional, and behavioral elements that enhance learner self-satisfaction (Akmal, et al., 2021; Renshaw and Bolognino, 2016)</w:t>
      </w:r>
      <w:r>
        <w:rPr>
          <w:rFonts w:eastAsia="Calibri" w:cs="Calibri"/>
          <w:sz w:val="24"/>
          <w:szCs w:val="24"/>
        </w:rPr>
        <w:t>.</w:t>
      </w:r>
      <w:r w:rsidRPr="006C31B5">
        <w:rPr>
          <w:rFonts w:eastAsia="Calibri" w:cstheme="minorHAnsi"/>
          <w:sz w:val="24"/>
          <w:szCs w:val="24"/>
        </w:rPr>
        <w:t xml:space="preserve"> It expresses </w:t>
      </w:r>
      <w:r>
        <w:rPr>
          <w:rFonts w:eastAsia="Calibri" w:cs="Calibri"/>
          <w:sz w:val="24"/>
          <w:szCs w:val="24"/>
        </w:rPr>
        <w:t>an</w:t>
      </w:r>
      <w:r w:rsidRPr="006C31B5">
        <w:rPr>
          <w:rFonts w:eastAsia="Calibri" w:cstheme="minorHAnsi"/>
          <w:sz w:val="24"/>
          <w:szCs w:val="24"/>
        </w:rPr>
        <w:t xml:space="preserve"> individual’s happiness and satisfaction with life and awareness of his positive behaviors, such as positive feelings and thoughts (</w:t>
      </w:r>
      <w:proofErr w:type="spellStart"/>
      <w:r w:rsidRPr="006C31B5">
        <w:rPr>
          <w:rFonts w:eastAsia="Calibri" w:cstheme="minorHAnsi"/>
          <w:sz w:val="24"/>
          <w:szCs w:val="24"/>
        </w:rPr>
        <w:t>Yahyanezhad</w:t>
      </w:r>
      <w:proofErr w:type="spellEnd"/>
      <w:r w:rsidRPr="006C31B5">
        <w:rPr>
          <w:rFonts w:eastAsia="Calibri" w:cstheme="minorHAnsi"/>
          <w:sz w:val="24"/>
          <w:szCs w:val="24"/>
        </w:rPr>
        <w:t xml:space="preserve"> &amp; </w:t>
      </w:r>
      <w:proofErr w:type="spellStart"/>
      <w:r w:rsidRPr="006C31B5">
        <w:rPr>
          <w:rFonts w:eastAsia="Calibri" w:cstheme="minorHAnsi"/>
          <w:sz w:val="24"/>
          <w:szCs w:val="24"/>
        </w:rPr>
        <w:t>Moharer</w:t>
      </w:r>
      <w:proofErr w:type="spellEnd"/>
      <w:r w:rsidRPr="006C31B5">
        <w:rPr>
          <w:rFonts w:eastAsia="Calibri" w:cstheme="minorHAnsi"/>
          <w:sz w:val="24"/>
          <w:szCs w:val="24"/>
        </w:rPr>
        <w:t>,</w:t>
      </w:r>
      <w:r>
        <w:rPr>
          <w:rFonts w:eastAsia="Calibri" w:cs="Calibri"/>
          <w:sz w:val="24"/>
          <w:szCs w:val="24"/>
        </w:rPr>
        <w:t xml:space="preserve"> </w:t>
      </w:r>
      <w:r w:rsidRPr="006C31B5">
        <w:rPr>
          <w:rFonts w:eastAsia="Calibri" w:cstheme="minorHAnsi"/>
          <w:sz w:val="24"/>
          <w:szCs w:val="24"/>
        </w:rPr>
        <w:t xml:space="preserve">2020; </w:t>
      </w:r>
      <w:proofErr w:type="spellStart"/>
      <w:r w:rsidRPr="006C31B5">
        <w:rPr>
          <w:rFonts w:eastAsia="Calibri" w:cstheme="minorHAnsi"/>
          <w:sz w:val="24"/>
          <w:szCs w:val="24"/>
        </w:rPr>
        <w:t>Renshaw</w:t>
      </w:r>
      <w:proofErr w:type="spellEnd"/>
      <w:r w:rsidRPr="006C31B5">
        <w:rPr>
          <w:rFonts w:eastAsia="Calibri" w:cstheme="minorHAnsi"/>
          <w:sz w:val="24"/>
          <w:szCs w:val="24"/>
        </w:rPr>
        <w:t>, 2018), self-acceptance, personal growth, positive relationships with others, social acceptance, and freedom from physical and psychological diseases (Youssef –Morgan &amp; Luthans, 2015)</w:t>
      </w:r>
      <w:r>
        <w:rPr>
          <w:rFonts w:eastAsia="Calibri" w:cs="Calibri"/>
          <w:sz w:val="24"/>
          <w:szCs w:val="24"/>
        </w:rPr>
        <w:t>,</w:t>
      </w:r>
      <w:r w:rsidRPr="006C31B5">
        <w:rPr>
          <w:rFonts w:eastAsia="Calibri" w:cstheme="minorHAnsi"/>
          <w:sz w:val="24"/>
          <w:szCs w:val="24"/>
        </w:rPr>
        <w:t xml:space="preserve"> expresses the learner’s mental health (World Health Organization “WHO”, 2021), and </w:t>
      </w:r>
      <w:r>
        <w:rPr>
          <w:rFonts w:eastAsia="Calibri" w:cs="Calibri"/>
          <w:sz w:val="24"/>
          <w:szCs w:val="24"/>
        </w:rPr>
        <w:t>achieves</w:t>
      </w:r>
      <w:r w:rsidRPr="006C31B5">
        <w:rPr>
          <w:rFonts w:eastAsia="Calibri" w:cstheme="minorHAnsi"/>
          <w:sz w:val="24"/>
          <w:szCs w:val="24"/>
        </w:rPr>
        <w:t xml:space="preserve"> future results (Reynolds et al., 2024).</w:t>
      </w:r>
    </w:p>
    <w:p w:rsidR="006C31B5" w:rsidRDefault="00743FAE" w:rsidP="002D3BFD">
      <w:pPr>
        <w:spacing w:before="240" w:after="0"/>
        <w:jc w:val="both"/>
        <w:rPr>
          <w:rFonts w:eastAsia="Calibri" w:cstheme="minorHAnsi"/>
          <w:sz w:val="24"/>
          <w:szCs w:val="24"/>
        </w:rPr>
      </w:pPr>
      <w:r w:rsidRPr="006C31B5">
        <w:rPr>
          <w:rFonts w:eastAsia="Calibri" w:cstheme="minorHAnsi"/>
          <w:sz w:val="24"/>
          <w:szCs w:val="24"/>
        </w:rPr>
        <w:t>Academic well-being is the investment of the concept of well-being in the academic field, is related to academic achievement, academic stress, and academic satisfaction (Shek and Chai, 2020; Widlund et al., 2020; Govorova et al., 2020; Fiorilli et al., 2017), is related to school-related engagement and the creation of a positive, fulfilling study-related state of mind characterized by energy, dedication, and absorption (</w:t>
      </w:r>
      <w:proofErr w:type="spellStart"/>
      <w:r w:rsidRPr="006C31B5">
        <w:rPr>
          <w:rFonts w:eastAsia="Calibri" w:cstheme="minorHAnsi"/>
          <w:sz w:val="24"/>
          <w:szCs w:val="24"/>
        </w:rPr>
        <w:t>Salmela-Aro</w:t>
      </w:r>
      <w:proofErr w:type="spellEnd"/>
      <w:r w:rsidRPr="006C31B5">
        <w:rPr>
          <w:rFonts w:eastAsia="Calibri" w:cstheme="minorHAnsi"/>
          <w:sz w:val="24"/>
          <w:szCs w:val="24"/>
        </w:rPr>
        <w:t xml:space="preserve"> &amp; </w:t>
      </w:r>
      <w:proofErr w:type="spellStart"/>
      <w:r w:rsidRPr="006C31B5">
        <w:rPr>
          <w:rFonts w:eastAsia="Calibri" w:cstheme="minorHAnsi"/>
          <w:sz w:val="24"/>
          <w:szCs w:val="24"/>
        </w:rPr>
        <w:t>Upadyaya</w:t>
      </w:r>
      <w:proofErr w:type="spellEnd"/>
      <w:r w:rsidRPr="006C31B5">
        <w:rPr>
          <w:rFonts w:eastAsia="Calibri" w:cstheme="minorHAnsi"/>
          <w:sz w:val="24"/>
          <w:szCs w:val="24"/>
        </w:rPr>
        <w:t xml:space="preserve">, </w:t>
      </w:r>
      <w:r w:rsidRPr="008C7CFB">
        <w:rPr>
          <w:rFonts w:eastAsia="Calibri" w:cstheme="minorHAnsi"/>
          <w:sz w:val="24"/>
          <w:szCs w:val="24"/>
        </w:rPr>
        <w:t>2012), and is also associated with happiness (Yahyanezhad</w:t>
      </w:r>
      <w:r w:rsidR="002D3BFD" w:rsidRPr="008C7CFB">
        <w:rPr>
          <w:rFonts w:eastAsia="Calibri" w:cstheme="minorHAnsi" w:hint="cs"/>
          <w:sz w:val="24"/>
          <w:szCs w:val="24"/>
          <w:rtl/>
        </w:rPr>
        <w:t xml:space="preserve"> </w:t>
      </w:r>
      <w:r w:rsidRPr="008C7CFB">
        <w:rPr>
          <w:rFonts w:eastAsia="Calibri" w:cstheme="minorHAnsi"/>
          <w:sz w:val="24"/>
          <w:szCs w:val="24"/>
        </w:rPr>
        <w:t xml:space="preserve">&amp; Moharer, 2020; Diener et al., 1985; Andrews &amp; </w:t>
      </w:r>
      <w:proofErr w:type="spellStart"/>
      <w:r w:rsidRPr="008C7CFB">
        <w:rPr>
          <w:rFonts w:eastAsia="Calibri" w:cstheme="minorHAnsi"/>
          <w:sz w:val="24"/>
          <w:szCs w:val="24"/>
        </w:rPr>
        <w:t>Withey</w:t>
      </w:r>
      <w:proofErr w:type="spellEnd"/>
      <w:r w:rsidRPr="008C7CFB">
        <w:rPr>
          <w:rFonts w:eastAsia="Calibri" w:cstheme="minorHAnsi"/>
          <w:sz w:val="24"/>
          <w:szCs w:val="24"/>
        </w:rPr>
        <w:t>, 1976) because</w:t>
      </w:r>
      <w:r w:rsidRPr="008C7CFB">
        <w:rPr>
          <w:rFonts w:eastAsia="Calibri" w:cs="Calibri"/>
          <w:sz w:val="24"/>
          <w:szCs w:val="24"/>
        </w:rPr>
        <w:t>,</w:t>
      </w:r>
      <w:r w:rsidRPr="008C7CFB">
        <w:rPr>
          <w:rFonts w:eastAsia="Calibri" w:cstheme="minorHAnsi"/>
          <w:sz w:val="24"/>
          <w:szCs w:val="24"/>
        </w:rPr>
        <w:t xml:space="preserve"> according to the hedonic model, academic</w:t>
      </w:r>
      <w:r w:rsidRPr="006C31B5">
        <w:rPr>
          <w:rFonts w:eastAsia="Calibri" w:cstheme="minorHAnsi"/>
          <w:sz w:val="24"/>
          <w:szCs w:val="24"/>
        </w:rPr>
        <w:t xml:space="preserve"> well-being and happiness depend primarily on experiencing pleasurable moments (Diener et al., 1985). Therefore, academic well-being plays a role in students’ academic achievement (Korhonen, 2018).</w:t>
      </w:r>
    </w:p>
    <w:p w:rsidR="006C31B5" w:rsidRDefault="00743FAE" w:rsidP="006C31B5">
      <w:pPr>
        <w:spacing w:before="240" w:after="0"/>
        <w:jc w:val="both"/>
        <w:rPr>
          <w:rFonts w:eastAsia="Calibri" w:cstheme="minorHAnsi"/>
          <w:sz w:val="24"/>
          <w:szCs w:val="24"/>
        </w:rPr>
      </w:pPr>
      <w:r w:rsidRPr="002D3BFD">
        <w:rPr>
          <w:rFonts w:eastAsia="Calibri" w:cstheme="minorHAnsi"/>
          <w:sz w:val="24"/>
          <w:szCs w:val="24"/>
        </w:rPr>
        <w:t>Researchers have conceptualized academic well-being as a multidimensional concept (Korhonen et al., 2016) consisting of cognitive and affective components of well-being (Chávez-Castillo, et al., 2023; Asghar et al., 2022) and shaped by a wide variety of variables</w:t>
      </w:r>
      <w:r>
        <w:rPr>
          <w:rFonts w:eastAsia="Calibri" w:cs="Calibri"/>
          <w:sz w:val="24"/>
          <w:szCs w:val="24"/>
        </w:rPr>
        <w:t>,</w:t>
      </w:r>
      <w:r w:rsidRPr="002D3BFD">
        <w:rPr>
          <w:rFonts w:eastAsia="Calibri" w:cstheme="minorHAnsi"/>
          <w:sz w:val="24"/>
          <w:szCs w:val="24"/>
        </w:rPr>
        <w:t xml:space="preserve"> such as academic efficiency (an individual’s belief in their ability to perform or complete academic tasks), academic satisfaction (an individual’s assessment of the quality of their academic life), and college connection (an individual’s perceptions of pleasant and supportive relationships at school) (Renshaw, 2018; Renshaw &amp; Bolognino, 2016).</w:t>
      </w:r>
    </w:p>
    <w:p w:rsidR="002D3BFD" w:rsidRDefault="00743FAE" w:rsidP="002D3BFD">
      <w:pPr>
        <w:spacing w:before="240" w:after="0"/>
        <w:jc w:val="both"/>
        <w:rPr>
          <w:rFonts w:eastAsia="Calibri" w:cstheme="minorHAnsi"/>
          <w:sz w:val="24"/>
          <w:szCs w:val="24"/>
          <w:rtl/>
          <w:lang w:bidi="ar-EG"/>
        </w:rPr>
      </w:pPr>
      <w:r w:rsidRPr="002D3BFD">
        <w:rPr>
          <w:rFonts w:eastAsia="Calibri" w:cstheme="minorHAnsi"/>
          <w:sz w:val="24"/>
          <w:szCs w:val="24"/>
        </w:rPr>
        <w:t>Many studies have also examined the relationship between academic well-being and students’ academic achievement. It has become clear that the relationship between well-being and actual academic achievement is complex and that there is some contradiction in the results</w:t>
      </w:r>
      <w:r>
        <w:rPr>
          <w:rFonts w:eastAsia="Calibri" w:cs="Calibri"/>
          <w:sz w:val="24"/>
          <w:szCs w:val="24"/>
        </w:rPr>
        <w:t>.</w:t>
      </w:r>
      <w:r w:rsidRPr="002D3BFD">
        <w:rPr>
          <w:rFonts w:eastAsia="Calibri" w:cstheme="minorHAnsi"/>
          <w:sz w:val="24"/>
          <w:szCs w:val="24"/>
        </w:rPr>
        <w:t xml:space="preserve"> Some studies show a positive relationship between cognitive academic well-being, mental health, and academic achievement (Klapp et al., 2024; Chávez-Castillo et al., 2023; Kansky et al., 2016; Luhmann et al., 2012; Ansari et al., 2011), some studies show low and weak positive relationships between academic achievement and subjective well-being </w:t>
      </w:r>
      <w:r>
        <w:rPr>
          <w:rFonts w:eastAsia="Calibri" w:cs="Calibri"/>
          <w:sz w:val="24"/>
          <w:szCs w:val="24"/>
        </w:rPr>
        <w:t>in</w:t>
      </w:r>
      <w:r w:rsidRPr="002D3BFD">
        <w:rPr>
          <w:rFonts w:eastAsia="Calibri" w:cstheme="minorHAnsi"/>
          <w:sz w:val="24"/>
          <w:szCs w:val="24"/>
        </w:rPr>
        <w:t xml:space="preserve"> students (</w:t>
      </w:r>
      <w:proofErr w:type="spellStart"/>
      <w:r w:rsidRPr="002D3BFD">
        <w:rPr>
          <w:rFonts w:eastAsia="Calibri" w:cstheme="minorHAnsi"/>
          <w:sz w:val="24"/>
          <w:szCs w:val="24"/>
        </w:rPr>
        <w:t>Amholt</w:t>
      </w:r>
      <w:proofErr w:type="spellEnd"/>
      <w:r w:rsidRPr="002D3BFD">
        <w:rPr>
          <w:rFonts w:eastAsia="Calibri" w:cstheme="minorHAnsi"/>
          <w:sz w:val="24"/>
          <w:szCs w:val="24"/>
        </w:rPr>
        <w:t xml:space="preserve"> et </w:t>
      </w:r>
      <w:r w:rsidRPr="002D3BFD">
        <w:rPr>
          <w:rFonts w:eastAsia="Calibri" w:cstheme="minorHAnsi"/>
          <w:sz w:val="24"/>
          <w:szCs w:val="24"/>
        </w:rPr>
        <w:lastRenderedPageBreak/>
        <w:t>al., 2020; Roeser et al., 1999; Watt, 2004; Eccles &amp; Roeser, 2009; Lv et al., 2016; Cheng &amp; Furnham, 2001; Huebner, 1991), while others fail to find such a relationship (Heller-Sahlgren, 2018; Reisberg, 2000).</w:t>
      </w:r>
    </w:p>
    <w:p w:rsidR="002D3BFD" w:rsidRDefault="00743FAE" w:rsidP="00795A94">
      <w:pPr>
        <w:spacing w:before="240" w:after="0"/>
        <w:jc w:val="both"/>
        <w:rPr>
          <w:rFonts w:eastAsia="Calibri" w:cstheme="minorHAnsi"/>
          <w:sz w:val="24"/>
          <w:szCs w:val="24"/>
          <w:rtl/>
          <w:lang w:bidi="ar-EG"/>
        </w:rPr>
      </w:pPr>
      <w:r>
        <w:rPr>
          <w:rFonts w:eastAsia="Calibri" w:cstheme="minorHAnsi"/>
          <w:sz w:val="24"/>
          <w:szCs w:val="24"/>
          <w:lang w:bidi="ar-EG"/>
        </w:rPr>
        <w:t xml:space="preserve">There is also a relationship between cognitive well-being and self-efficacy (Robinson and Snipes, 2009), student satisfaction and life within the learning environment (Carter &amp; Yeo, 2018), </w:t>
      </w:r>
      <w:r w:rsidRPr="008C7CFB">
        <w:rPr>
          <w:rFonts w:eastAsia="Calibri" w:cstheme="minorHAnsi"/>
          <w:sz w:val="24"/>
          <w:szCs w:val="24"/>
          <w:lang w:bidi="ar-EG"/>
        </w:rPr>
        <w:t xml:space="preserve">between academic self-efficacy and subjective well-being (Serinci et al., 2023), and </w:t>
      </w:r>
      <w:r w:rsidRPr="008C7CFB">
        <w:rPr>
          <w:rFonts w:eastAsia="Calibri" w:cs="Calibri"/>
          <w:sz w:val="24"/>
          <w:szCs w:val="24"/>
          <w:lang w:bidi="ar-EG"/>
        </w:rPr>
        <w:t>between a</w:t>
      </w:r>
      <w:r w:rsidRPr="008C7CFB">
        <w:rPr>
          <w:rFonts w:eastAsia="Calibri" w:cstheme="minorHAnsi"/>
          <w:sz w:val="24"/>
          <w:szCs w:val="24"/>
          <w:lang w:bidi="ar-EG"/>
        </w:rPr>
        <w:t xml:space="preserve"> learner with a high level of self-efficacy </w:t>
      </w:r>
      <w:r w:rsidRPr="008C7CFB">
        <w:rPr>
          <w:rFonts w:eastAsia="Calibri" w:cs="Calibri"/>
          <w:sz w:val="24"/>
          <w:szCs w:val="24"/>
          <w:lang w:bidi="ar-EG"/>
        </w:rPr>
        <w:t>and</w:t>
      </w:r>
      <w:r w:rsidRPr="008C7CFB">
        <w:rPr>
          <w:rFonts w:eastAsia="Calibri" w:cstheme="minorHAnsi"/>
          <w:sz w:val="24"/>
          <w:szCs w:val="24"/>
          <w:lang w:bidi="ar-EG"/>
        </w:rPr>
        <w:t xml:space="preserve"> high levels of subjective well-being (Santos et al., 2014; Mohtasham et al., 2024), as</w:t>
      </w:r>
      <w:r>
        <w:rPr>
          <w:rFonts w:eastAsia="Calibri" w:cstheme="minorHAnsi"/>
          <w:sz w:val="24"/>
          <w:szCs w:val="24"/>
          <w:lang w:bidi="ar-EG"/>
        </w:rPr>
        <w:t xml:space="preserve"> </w:t>
      </w:r>
      <w:r>
        <w:rPr>
          <w:rFonts w:eastAsia="Calibri" w:cs="Calibri"/>
          <w:sz w:val="24"/>
          <w:szCs w:val="24"/>
          <w:lang w:bidi="ar-EG"/>
        </w:rPr>
        <w:t>a</w:t>
      </w:r>
      <w:r>
        <w:rPr>
          <w:rFonts w:eastAsia="Calibri" w:cstheme="minorHAnsi"/>
          <w:sz w:val="24"/>
          <w:szCs w:val="24"/>
          <w:lang w:bidi="ar-EG"/>
        </w:rPr>
        <w:t xml:space="preserve"> learner with higher academic self-efficacy exerts more effort and perseverance to solve problems and overcome obstacles and challenges during learning and has a positive attitude and greater ability to adapt, which leads to increased academic well-being (Khodapanah &amp; Tamannaeifar, 2023).</w:t>
      </w:r>
    </w:p>
    <w:p w:rsidR="002D3BFD" w:rsidRDefault="00743FAE" w:rsidP="00EE5722">
      <w:pPr>
        <w:spacing w:before="240" w:after="0"/>
        <w:jc w:val="both"/>
        <w:rPr>
          <w:rFonts w:eastAsia="Calibri" w:cstheme="minorHAnsi"/>
          <w:sz w:val="24"/>
          <w:szCs w:val="24"/>
        </w:rPr>
      </w:pPr>
      <w:r>
        <w:rPr>
          <w:rFonts w:eastAsia="Calibri" w:cstheme="minorHAnsi"/>
          <w:sz w:val="24"/>
          <w:szCs w:val="24"/>
        </w:rPr>
        <w:t xml:space="preserve">Datu and Mateo (2020) </w:t>
      </w:r>
      <w:r>
        <w:rPr>
          <w:rFonts w:eastAsia="Calibri" w:cs="Calibri"/>
          <w:sz w:val="24"/>
          <w:szCs w:val="24"/>
        </w:rPr>
        <w:t>reported</w:t>
      </w:r>
      <w:r>
        <w:rPr>
          <w:rFonts w:eastAsia="Calibri" w:cstheme="minorHAnsi"/>
          <w:sz w:val="24"/>
          <w:szCs w:val="24"/>
        </w:rPr>
        <w:t xml:space="preserve"> that there is an association between well-being (positive emotions and happiness) and self-efficacy. Callaghan et al. (2020)</w:t>
      </w:r>
      <w:r>
        <w:rPr>
          <w:rFonts w:eastAsia="Calibri" w:cs="Calibri"/>
          <w:sz w:val="24"/>
          <w:szCs w:val="24"/>
        </w:rPr>
        <w:t>,</w:t>
      </w:r>
      <w:r>
        <w:rPr>
          <w:rFonts w:eastAsia="Calibri" w:cstheme="minorHAnsi"/>
          <w:sz w:val="24"/>
          <w:szCs w:val="24"/>
        </w:rPr>
        <w:t xml:space="preserve"> Khodapanah, &amp; Tamannaeifar (2023)</w:t>
      </w:r>
      <w:r>
        <w:rPr>
          <w:rFonts w:eastAsia="Calibri" w:cs="Calibri"/>
          <w:sz w:val="24"/>
          <w:szCs w:val="24"/>
        </w:rPr>
        <w:t>,</w:t>
      </w:r>
      <w:r>
        <w:rPr>
          <w:rFonts w:eastAsia="Calibri" w:cstheme="minorHAnsi"/>
          <w:sz w:val="24"/>
          <w:szCs w:val="24"/>
        </w:rPr>
        <w:t xml:space="preserve"> </w:t>
      </w:r>
      <w:r>
        <w:rPr>
          <w:rFonts w:eastAsia="Calibri" w:cs="Calibri"/>
          <w:sz w:val="24"/>
          <w:szCs w:val="24"/>
        </w:rPr>
        <w:t xml:space="preserve">and </w:t>
      </w:r>
      <w:r>
        <w:rPr>
          <w:rFonts w:eastAsia="Calibri" w:cstheme="minorHAnsi"/>
          <w:sz w:val="24"/>
          <w:szCs w:val="24"/>
        </w:rPr>
        <w:t xml:space="preserve">Mohtasham et al. (2024) </w:t>
      </w:r>
      <w:r>
        <w:rPr>
          <w:rFonts w:eastAsia="Calibri" w:cs="Calibri"/>
          <w:sz w:val="24"/>
          <w:szCs w:val="24"/>
        </w:rPr>
        <w:t>reported</w:t>
      </w:r>
      <w:r>
        <w:rPr>
          <w:rFonts w:eastAsia="Calibri" w:cstheme="minorHAnsi"/>
          <w:sz w:val="24"/>
          <w:szCs w:val="24"/>
        </w:rPr>
        <w:t xml:space="preserve"> that there is a relationship </w:t>
      </w:r>
      <w:r>
        <w:rPr>
          <w:rFonts w:eastAsia="Calibri" w:cs="Calibri"/>
          <w:sz w:val="24"/>
          <w:szCs w:val="24"/>
        </w:rPr>
        <w:t>among</w:t>
      </w:r>
      <w:r>
        <w:rPr>
          <w:rFonts w:eastAsia="Calibri" w:cstheme="minorHAnsi"/>
          <w:sz w:val="24"/>
          <w:szCs w:val="24"/>
        </w:rPr>
        <w:t xml:space="preserve"> academic well-being, academic self-efficacy, and academic achievement among students. Serinci et al. (2023) </w:t>
      </w:r>
      <w:r>
        <w:rPr>
          <w:rFonts w:eastAsia="Calibri" w:cs="Calibri"/>
          <w:sz w:val="24"/>
          <w:szCs w:val="24"/>
        </w:rPr>
        <w:t>reported</w:t>
      </w:r>
      <w:r>
        <w:rPr>
          <w:rFonts w:eastAsia="Calibri" w:cstheme="minorHAnsi"/>
          <w:sz w:val="24"/>
          <w:szCs w:val="24"/>
        </w:rPr>
        <w:t xml:space="preserve"> that there is an effect of self-efficacy on psychological well-being among students</w:t>
      </w:r>
      <w:r>
        <w:rPr>
          <w:rFonts w:eastAsia="Calibri" w:cs="Calibri"/>
          <w:sz w:val="24"/>
          <w:szCs w:val="24"/>
        </w:rPr>
        <w:t>,</w:t>
      </w:r>
      <w:r>
        <w:rPr>
          <w:rFonts w:eastAsia="Calibri" w:cstheme="minorHAnsi"/>
          <w:sz w:val="24"/>
          <w:szCs w:val="24"/>
        </w:rPr>
        <w:t xml:space="preserve"> that there is a relationship between them, and that academic self-efficacy is a good predictor of psychological well-being. </w:t>
      </w:r>
      <w:proofErr w:type="spellStart"/>
      <w:r>
        <w:rPr>
          <w:rFonts w:eastAsia="Calibri" w:cstheme="minorHAnsi"/>
          <w:sz w:val="24"/>
          <w:szCs w:val="24"/>
        </w:rPr>
        <w:t>Khodapanah</w:t>
      </w:r>
      <w:proofErr w:type="spellEnd"/>
      <w:r>
        <w:rPr>
          <w:rFonts w:eastAsia="Calibri" w:cstheme="minorHAnsi"/>
          <w:sz w:val="24"/>
          <w:szCs w:val="24"/>
        </w:rPr>
        <w:t xml:space="preserve"> &amp; </w:t>
      </w:r>
      <w:proofErr w:type="spellStart"/>
      <w:r>
        <w:rPr>
          <w:rFonts w:eastAsia="Calibri" w:cstheme="minorHAnsi"/>
          <w:sz w:val="24"/>
          <w:szCs w:val="24"/>
        </w:rPr>
        <w:t>Tamannaeifar</w:t>
      </w:r>
      <w:proofErr w:type="spellEnd"/>
      <w:r>
        <w:rPr>
          <w:rFonts w:eastAsia="Calibri" w:cstheme="minorHAnsi"/>
          <w:sz w:val="24"/>
          <w:szCs w:val="24"/>
        </w:rPr>
        <w:t xml:space="preserve"> (2023) </w:t>
      </w:r>
      <w:r>
        <w:rPr>
          <w:rFonts w:eastAsia="Calibri" w:cs="Calibri"/>
          <w:sz w:val="24"/>
          <w:szCs w:val="24"/>
        </w:rPr>
        <w:t>reported</w:t>
      </w:r>
      <w:r>
        <w:rPr>
          <w:rFonts w:eastAsia="Calibri" w:cstheme="minorHAnsi"/>
          <w:sz w:val="24"/>
          <w:szCs w:val="24"/>
        </w:rPr>
        <w:t xml:space="preserve"> that academic self-efficacy predicts academic well-being and that academic self-efficacy plays a stronger role in explaining the variance </w:t>
      </w:r>
      <w:r>
        <w:rPr>
          <w:rFonts w:eastAsia="Calibri" w:cs="Calibri"/>
          <w:sz w:val="24"/>
          <w:szCs w:val="24"/>
        </w:rPr>
        <w:t>in</w:t>
      </w:r>
      <w:r>
        <w:rPr>
          <w:rFonts w:eastAsia="Calibri" w:cstheme="minorHAnsi"/>
          <w:sz w:val="24"/>
          <w:szCs w:val="24"/>
        </w:rPr>
        <w:t xml:space="preserve"> academic well-being. Sahrai et al. (2017) </w:t>
      </w:r>
      <w:r>
        <w:rPr>
          <w:rFonts w:eastAsia="Calibri" w:cs="Calibri"/>
          <w:sz w:val="24"/>
          <w:szCs w:val="24"/>
        </w:rPr>
        <w:t>suggested</w:t>
      </w:r>
      <w:r>
        <w:rPr>
          <w:rFonts w:eastAsia="Calibri" w:cstheme="minorHAnsi"/>
          <w:sz w:val="24"/>
          <w:szCs w:val="24"/>
        </w:rPr>
        <w:t xml:space="preserve"> that academic well-being can be </w:t>
      </w:r>
      <w:r>
        <w:rPr>
          <w:rFonts w:eastAsia="Calibri" w:cs="Calibri"/>
          <w:sz w:val="24"/>
          <w:szCs w:val="24"/>
        </w:rPr>
        <w:t xml:space="preserve">partially </w:t>
      </w:r>
      <w:r>
        <w:rPr>
          <w:rFonts w:eastAsia="Calibri" w:cstheme="minorHAnsi"/>
          <w:sz w:val="24"/>
          <w:szCs w:val="24"/>
        </w:rPr>
        <w:t xml:space="preserve">explained by academic self-efficacy. Therefore, McGeown et al. (2014) </w:t>
      </w:r>
      <w:r>
        <w:rPr>
          <w:rFonts w:eastAsia="Calibri" w:cs="Calibri"/>
          <w:sz w:val="24"/>
          <w:szCs w:val="24"/>
        </w:rPr>
        <w:t>reported</w:t>
      </w:r>
      <w:r>
        <w:rPr>
          <w:rFonts w:eastAsia="Calibri" w:cstheme="minorHAnsi"/>
          <w:sz w:val="24"/>
          <w:szCs w:val="24"/>
        </w:rPr>
        <w:t xml:space="preserve"> that academic self-efficacy is </w:t>
      </w:r>
      <w:r>
        <w:rPr>
          <w:rFonts w:eastAsia="Calibri" w:cs="Calibri"/>
          <w:sz w:val="24"/>
          <w:szCs w:val="24"/>
        </w:rPr>
        <w:t>an</w:t>
      </w:r>
      <w:r>
        <w:rPr>
          <w:rFonts w:eastAsia="Calibri" w:cstheme="minorHAnsi"/>
          <w:sz w:val="24"/>
          <w:szCs w:val="24"/>
        </w:rPr>
        <w:t xml:space="preserve"> important </w:t>
      </w:r>
      <w:r>
        <w:rPr>
          <w:rFonts w:eastAsia="Calibri" w:cs="Calibri"/>
          <w:sz w:val="24"/>
          <w:szCs w:val="24"/>
        </w:rPr>
        <w:t>factor</w:t>
      </w:r>
      <w:r>
        <w:rPr>
          <w:rFonts w:eastAsia="Calibri" w:cstheme="minorHAnsi"/>
          <w:sz w:val="24"/>
          <w:szCs w:val="24"/>
        </w:rPr>
        <w:t xml:space="preserve"> that </w:t>
      </w:r>
      <w:r>
        <w:rPr>
          <w:rFonts w:eastAsia="Calibri" w:cs="Calibri"/>
          <w:sz w:val="24"/>
          <w:szCs w:val="24"/>
        </w:rPr>
        <w:t>predicts</w:t>
      </w:r>
      <w:r>
        <w:rPr>
          <w:rFonts w:eastAsia="Calibri" w:cstheme="minorHAnsi"/>
          <w:sz w:val="24"/>
          <w:szCs w:val="24"/>
        </w:rPr>
        <w:t xml:space="preserve"> academic well-being.</w:t>
      </w:r>
    </w:p>
    <w:p w:rsidR="00EE5722" w:rsidRPr="006C31B5" w:rsidRDefault="00743FAE" w:rsidP="00B510CE">
      <w:pPr>
        <w:spacing w:before="240" w:after="0"/>
        <w:jc w:val="both"/>
        <w:rPr>
          <w:rFonts w:eastAsia="Calibri" w:cstheme="minorHAnsi"/>
          <w:sz w:val="24"/>
          <w:szCs w:val="24"/>
          <w:rtl/>
        </w:rPr>
      </w:pPr>
      <w:r w:rsidRPr="00EE5722">
        <w:rPr>
          <w:rFonts w:eastAsia="Calibri" w:cstheme="minorHAnsi"/>
          <w:sz w:val="24"/>
          <w:szCs w:val="24"/>
        </w:rPr>
        <w:t xml:space="preserve">Although studies have revealed a decline in students’ well-being (Ye et al., 2012) and a deterioration in students’ levels of well-being and mental health (Alkureishi et al., 2022; Chen et al., 2022) and that academic well-being ranks lower than </w:t>
      </w:r>
      <w:r>
        <w:rPr>
          <w:rFonts w:eastAsia="Calibri" w:cs="Calibri"/>
          <w:sz w:val="24"/>
          <w:szCs w:val="24"/>
        </w:rPr>
        <w:t xml:space="preserve">does </w:t>
      </w:r>
      <w:r w:rsidRPr="00EE5722">
        <w:rPr>
          <w:rFonts w:eastAsia="Calibri" w:cstheme="minorHAnsi"/>
          <w:sz w:val="24"/>
          <w:szCs w:val="24"/>
        </w:rPr>
        <w:t xml:space="preserve">spiritual well-being, psychological, physical, subjective and social well-being among students (Ling et al., 2022), and students in higher education have low levels of well-being (Rynke et al., 2023) and that some students suffer from poor or very poor well-being (Szepe </w:t>
      </w:r>
      <w:r w:rsidR="00B510CE">
        <w:rPr>
          <w:rFonts w:eastAsia="Calibri" w:cstheme="minorHAnsi" w:hint="cs"/>
          <w:sz w:val="24"/>
          <w:szCs w:val="24"/>
          <w:rtl/>
        </w:rPr>
        <w:t>&amp;</w:t>
      </w:r>
      <w:r w:rsidR="00B510CE">
        <w:rPr>
          <w:rFonts w:eastAsia="Calibri" w:cstheme="minorHAnsi"/>
          <w:sz w:val="24"/>
          <w:szCs w:val="24"/>
        </w:rPr>
        <w:t xml:space="preserve"> Meszaros, 2024), academic well-being is </w:t>
      </w:r>
      <w:r>
        <w:rPr>
          <w:rFonts w:eastAsia="Calibri" w:cs="Calibri"/>
          <w:sz w:val="24"/>
          <w:szCs w:val="24"/>
        </w:rPr>
        <w:t>among</w:t>
      </w:r>
      <w:r w:rsidR="00B510CE">
        <w:rPr>
          <w:rFonts w:eastAsia="Calibri" w:cstheme="minorHAnsi"/>
          <w:sz w:val="24"/>
          <w:szCs w:val="24"/>
        </w:rPr>
        <w:t xml:space="preserve"> the most important indicators that affect the quality of </w:t>
      </w:r>
      <w:r>
        <w:rPr>
          <w:rFonts w:eastAsia="Calibri" w:cs="Calibri"/>
          <w:sz w:val="24"/>
          <w:szCs w:val="24"/>
        </w:rPr>
        <w:t xml:space="preserve">their </w:t>
      </w:r>
      <w:r w:rsidR="00B510CE">
        <w:rPr>
          <w:rFonts w:eastAsia="Calibri" w:cstheme="minorHAnsi"/>
          <w:sz w:val="24"/>
          <w:szCs w:val="24"/>
        </w:rPr>
        <w:t>academic life (Durlak et al., 2011), plays a fundamental role in individual performance</w:t>
      </w:r>
      <w:r>
        <w:rPr>
          <w:rFonts w:eastAsia="Calibri" w:cs="Calibri"/>
          <w:sz w:val="24"/>
          <w:szCs w:val="24"/>
        </w:rPr>
        <w:t>,</w:t>
      </w:r>
      <w:r w:rsidR="00B510CE">
        <w:rPr>
          <w:rFonts w:eastAsia="Calibri" w:cstheme="minorHAnsi"/>
          <w:sz w:val="24"/>
          <w:szCs w:val="24"/>
        </w:rPr>
        <w:t xml:space="preserve"> enhances </w:t>
      </w:r>
      <w:r>
        <w:rPr>
          <w:rFonts w:eastAsia="Calibri" w:cs="Calibri"/>
          <w:sz w:val="24"/>
          <w:szCs w:val="24"/>
        </w:rPr>
        <w:t xml:space="preserve">their </w:t>
      </w:r>
      <w:r w:rsidR="00B510CE">
        <w:rPr>
          <w:rFonts w:eastAsia="Calibri" w:cstheme="minorHAnsi"/>
          <w:sz w:val="24"/>
          <w:szCs w:val="24"/>
        </w:rPr>
        <w:t xml:space="preserve">thinking and problem-solving abilities (Faqih &amp; Nasab, 2023), and contributes to good performance in school, academic satisfaction, stress reduction, and lower dropout rates (Shek &amp; Chai, 2020; Korhonen et al., 2014), and develops a sense of life satisfaction and positive feelings </w:t>
      </w:r>
      <w:r>
        <w:rPr>
          <w:rFonts w:eastAsia="Calibri" w:cs="Calibri"/>
          <w:sz w:val="24"/>
          <w:szCs w:val="24"/>
        </w:rPr>
        <w:t>toward</w:t>
      </w:r>
      <w:r w:rsidR="00B510CE">
        <w:rPr>
          <w:rFonts w:eastAsia="Calibri" w:cstheme="minorHAnsi"/>
          <w:sz w:val="24"/>
          <w:szCs w:val="24"/>
        </w:rPr>
        <w:t xml:space="preserve"> the present and the future (Wu et al., 2020).</w:t>
      </w:r>
    </w:p>
    <w:p w:rsidR="007A1AD6" w:rsidRDefault="00743FAE" w:rsidP="005A4029">
      <w:pPr>
        <w:spacing w:before="240" w:after="0"/>
        <w:jc w:val="both"/>
        <w:rPr>
          <w:rFonts w:ascii="Times New Roman" w:eastAsia="Calibri" w:hAnsi="Times New Roman" w:cs="Times New Roman"/>
          <w:b/>
          <w:bCs/>
          <w:i/>
          <w:iCs/>
          <w:sz w:val="20"/>
          <w:szCs w:val="20"/>
        </w:rPr>
      </w:pPr>
      <w:r>
        <w:rPr>
          <w:rFonts w:ascii="Times New Roman" w:eastAsia="Calibri" w:hAnsi="Times New Roman" w:cs="Times New Roman"/>
          <w:b/>
          <w:bCs/>
          <w:i/>
          <w:iCs/>
          <w:sz w:val="20"/>
          <w:szCs w:val="20"/>
        </w:rPr>
        <w:lastRenderedPageBreak/>
        <w:t>On the basis of</w:t>
      </w:r>
      <w:r w:rsidRPr="007A1AD6">
        <w:rPr>
          <w:rFonts w:ascii="Times New Roman" w:eastAsia="Calibri" w:hAnsi="Times New Roman" w:cs="Times New Roman"/>
          <w:b/>
          <w:bCs/>
          <w:i/>
          <w:iCs/>
          <w:sz w:val="20"/>
          <w:szCs w:val="20"/>
        </w:rPr>
        <w:t xml:space="preserve"> the above, the </w:t>
      </w:r>
      <w:r>
        <w:rPr>
          <w:rFonts w:ascii="Times New Roman" w:eastAsia="Calibri" w:hAnsi="Times New Roman" w:cs="Times New Roman"/>
          <w:b/>
          <w:bCs/>
          <w:i/>
          <w:iCs/>
          <w:sz w:val="20"/>
          <w:szCs w:val="20"/>
        </w:rPr>
        <w:t xml:space="preserve">following </w:t>
      </w:r>
      <w:r w:rsidRPr="007A1AD6">
        <w:rPr>
          <w:rFonts w:ascii="Times New Roman" w:eastAsia="Calibri" w:hAnsi="Times New Roman" w:cs="Times New Roman"/>
          <w:b/>
          <w:bCs/>
          <w:i/>
          <w:iCs/>
          <w:sz w:val="20"/>
          <w:szCs w:val="20"/>
        </w:rPr>
        <w:t>questions can be addressed:</w:t>
      </w:r>
    </w:p>
    <w:p w:rsidR="007A1AD6" w:rsidRPr="00772D5C" w:rsidRDefault="00743FAE" w:rsidP="00406B36">
      <w:pPr>
        <w:spacing w:before="240"/>
        <w:jc w:val="both"/>
        <w:rPr>
          <w:rFonts w:ascii="Times New Roman" w:eastAsia="Calibri" w:hAnsi="Times New Roman" w:cs="Times New Roman"/>
          <w:b/>
          <w:bCs/>
          <w:i/>
          <w:iCs/>
          <w:sz w:val="20"/>
          <w:szCs w:val="20"/>
          <w:rtl/>
          <w:lang w:val="en-GB"/>
        </w:rPr>
      </w:pPr>
      <w:r w:rsidRPr="00772D5C">
        <w:rPr>
          <w:rFonts w:ascii="Times New Roman" w:eastAsia="Calibri" w:hAnsi="Times New Roman" w:cs="Times New Roman"/>
          <w:b/>
          <w:bCs/>
          <w:i/>
          <w:iCs/>
          <w:sz w:val="20"/>
          <w:szCs w:val="20"/>
        </w:rPr>
        <w:t>Q1. What</w:t>
      </w:r>
      <w:r>
        <w:rPr>
          <w:rFonts w:ascii="Times New Roman" w:eastAsia="Calibri" w:hAnsi="Times New Roman" w:cs="Times New Roman"/>
          <w:b/>
          <w:bCs/>
          <w:i/>
          <w:iCs/>
          <w:sz w:val="20"/>
          <w:szCs w:val="20"/>
        </w:rPr>
        <w:t xml:space="preserve"> </w:t>
      </w:r>
      <w:r w:rsidRPr="00772D5C">
        <w:rPr>
          <w:rFonts w:ascii="Times New Roman" w:eastAsia="Calibri" w:hAnsi="Times New Roman" w:cs="Times New Roman"/>
          <w:b/>
          <w:bCs/>
          <w:i/>
          <w:iCs/>
          <w:sz w:val="20"/>
          <w:szCs w:val="20"/>
        </w:rPr>
        <w:t>are</w:t>
      </w:r>
      <w:r>
        <w:rPr>
          <w:rFonts w:ascii="Times New Roman" w:eastAsia="Calibri" w:hAnsi="Times New Roman" w:cs="Times New Roman"/>
          <w:b/>
          <w:bCs/>
          <w:i/>
          <w:iCs/>
          <w:sz w:val="20"/>
          <w:szCs w:val="20"/>
        </w:rPr>
        <w:t xml:space="preserve"> </w:t>
      </w:r>
      <w:r w:rsidRPr="00772D5C">
        <w:rPr>
          <w:rFonts w:ascii="Times New Roman" w:eastAsia="Calibri" w:hAnsi="Times New Roman" w:cs="Times New Roman"/>
          <w:b/>
          <w:bCs/>
          <w:i/>
          <w:iCs/>
          <w:sz w:val="20"/>
          <w:szCs w:val="20"/>
        </w:rPr>
        <w:t xml:space="preserve">the </w:t>
      </w:r>
      <w:r>
        <w:rPr>
          <w:rFonts w:ascii="Times New Roman" w:eastAsia="Calibri" w:hAnsi="Times New Roman" w:cs="Times New Roman"/>
          <w:b/>
          <w:bCs/>
          <w:i/>
          <w:iCs/>
          <w:sz w:val="20"/>
          <w:szCs w:val="20"/>
        </w:rPr>
        <w:t>students’ levels of computational thinking skills, computational self-efficacy, and academic well-being?</w:t>
      </w:r>
    </w:p>
    <w:p w:rsidR="007A1AD6" w:rsidRPr="007A1AD6" w:rsidRDefault="00743FAE" w:rsidP="00406B36">
      <w:pPr>
        <w:tabs>
          <w:tab w:val="left" w:pos="180"/>
        </w:tabs>
        <w:spacing w:before="240" w:after="0" w:line="240" w:lineRule="auto"/>
        <w:ind w:left="-90" w:right="-244"/>
        <w:jc w:val="both"/>
        <w:rPr>
          <w:rFonts w:ascii="Times New Roman" w:eastAsia="Calibri" w:hAnsi="Times New Roman" w:cs="Times New Roman"/>
          <w:b/>
          <w:bCs/>
          <w:i/>
          <w:iCs/>
          <w:sz w:val="20"/>
          <w:szCs w:val="20"/>
          <w:rtl/>
        </w:rPr>
      </w:pPr>
      <w:r w:rsidRPr="007A1AD6">
        <w:rPr>
          <w:rFonts w:ascii="Times New Roman" w:eastAsia="Calibri" w:hAnsi="Times New Roman" w:cs="Times New Roman"/>
          <w:b/>
          <w:bCs/>
          <w:i/>
          <w:iCs/>
          <w:sz w:val="20"/>
          <w:szCs w:val="20"/>
        </w:rPr>
        <w:t xml:space="preserve">Q2. Is there a relationship between </w:t>
      </w:r>
      <w:r>
        <w:rPr>
          <w:rFonts w:ascii="Times New Roman" w:eastAsia="Calibri" w:hAnsi="Times New Roman" w:cs="Times New Roman"/>
          <w:b/>
          <w:bCs/>
          <w:i/>
          <w:iCs/>
          <w:sz w:val="20"/>
          <w:szCs w:val="20"/>
        </w:rPr>
        <w:t>computational thinking skills, computational self-efficacy, and academic well-being</w:t>
      </w:r>
      <w:r w:rsidRPr="007A1AD6">
        <w:rPr>
          <w:rFonts w:ascii="Times New Roman" w:eastAsia="Calibri" w:hAnsi="Times New Roman" w:cs="Times New Roman"/>
          <w:b/>
          <w:bCs/>
          <w:i/>
          <w:iCs/>
          <w:sz w:val="20"/>
          <w:szCs w:val="20"/>
        </w:rPr>
        <w:t>?</w:t>
      </w:r>
    </w:p>
    <w:p w:rsidR="007A1AD6" w:rsidRPr="00406B36" w:rsidRDefault="00743FAE" w:rsidP="004F1CA4">
      <w:pPr>
        <w:spacing w:before="240"/>
        <w:jc w:val="both"/>
        <w:rPr>
          <w:rFonts w:ascii="Times New Roman" w:eastAsia="Calibri" w:hAnsi="Times New Roman" w:cs="Times New Roman"/>
          <w:b/>
          <w:bCs/>
          <w:i/>
          <w:iCs/>
          <w:sz w:val="20"/>
          <w:szCs w:val="20"/>
        </w:rPr>
      </w:pPr>
      <w:r w:rsidRPr="00406B36">
        <w:rPr>
          <w:rFonts w:ascii="Times New Roman" w:eastAsia="Calibri" w:hAnsi="Times New Roman" w:cs="Times New Roman"/>
          <w:b/>
          <w:bCs/>
          <w:i/>
          <w:iCs/>
          <w:sz w:val="20"/>
          <w:szCs w:val="20"/>
        </w:rPr>
        <w:t xml:space="preserve">Q3. Can academic well-being be predicted by </w:t>
      </w:r>
      <w:r>
        <w:rPr>
          <w:rFonts w:ascii="Times New Roman" w:eastAsia="Calibri" w:hAnsi="Times New Roman" w:cs="Times New Roman"/>
          <w:b/>
          <w:bCs/>
          <w:i/>
          <w:iCs/>
          <w:sz w:val="20"/>
          <w:szCs w:val="20"/>
        </w:rPr>
        <w:t>computational thinking skills and computational self-efficacy</w:t>
      </w:r>
      <w:r w:rsidRPr="00406B36">
        <w:rPr>
          <w:rFonts w:ascii="Times New Roman" w:eastAsia="Calibri" w:hAnsi="Times New Roman" w:cs="Times New Roman"/>
          <w:b/>
          <w:bCs/>
          <w:i/>
          <w:iCs/>
          <w:sz w:val="20"/>
          <w:szCs w:val="20"/>
        </w:rPr>
        <w:t xml:space="preserve"> among university students?</w:t>
      </w:r>
    </w:p>
    <w:p w:rsidR="006F6B1C" w:rsidRPr="006F6B1C" w:rsidRDefault="00743FAE" w:rsidP="006F6B1C">
      <w:pPr>
        <w:spacing w:before="240" w:after="0"/>
        <w:jc w:val="both"/>
        <w:rPr>
          <w:rFonts w:eastAsia="Calibri" w:cstheme="minorHAnsi"/>
          <w:b/>
          <w:bCs/>
          <w:sz w:val="24"/>
          <w:szCs w:val="24"/>
        </w:rPr>
      </w:pPr>
      <w:r w:rsidRPr="006F6B1C">
        <w:rPr>
          <w:rFonts w:eastAsia="Calibri" w:cstheme="minorHAnsi"/>
          <w:b/>
          <w:bCs/>
          <w:sz w:val="24"/>
          <w:szCs w:val="24"/>
        </w:rPr>
        <w:t>METHODS</w:t>
      </w:r>
    </w:p>
    <w:p w:rsidR="006F6B1C" w:rsidRPr="006F6B1C" w:rsidRDefault="00743FAE" w:rsidP="00E01940">
      <w:pPr>
        <w:spacing w:before="240" w:after="0"/>
        <w:jc w:val="both"/>
        <w:rPr>
          <w:rFonts w:eastAsia="Calibri" w:cstheme="minorHAnsi"/>
          <w:sz w:val="24"/>
          <w:szCs w:val="24"/>
        </w:rPr>
      </w:pPr>
      <w:r w:rsidRPr="006F6B1C">
        <w:rPr>
          <w:rFonts w:eastAsia="Calibri" w:cstheme="minorHAnsi"/>
          <w:sz w:val="24"/>
          <w:szCs w:val="24"/>
        </w:rPr>
        <w:t xml:space="preserve">The study used the quantitative correlational predictive approach, as it focuses on determining the levels of computational self-efficacy, computational thinking skills, and academic well-being among students, determining the </w:t>
      </w:r>
      <w:r>
        <w:rPr>
          <w:rFonts w:eastAsia="Calibri" w:cs="Calibri"/>
          <w:sz w:val="24"/>
          <w:szCs w:val="24"/>
        </w:rPr>
        <w:t>relationships among</w:t>
      </w:r>
      <w:r w:rsidRPr="006F6B1C">
        <w:rPr>
          <w:rFonts w:eastAsia="Calibri" w:cstheme="minorHAnsi"/>
          <w:sz w:val="24"/>
          <w:szCs w:val="24"/>
        </w:rPr>
        <w:t xml:space="preserve"> computational self-efficacy, computational thinking skills, and academic well-being. In addition</w:t>
      </w:r>
      <w:r>
        <w:rPr>
          <w:rFonts w:eastAsia="Calibri" w:cs="Calibri"/>
          <w:sz w:val="24"/>
          <w:szCs w:val="24"/>
        </w:rPr>
        <w:t>,</w:t>
      </w:r>
      <w:r w:rsidRPr="006F6B1C">
        <w:rPr>
          <w:rFonts w:eastAsia="Calibri" w:cstheme="minorHAnsi"/>
          <w:sz w:val="24"/>
          <w:szCs w:val="24"/>
        </w:rPr>
        <w:t xml:space="preserve"> academic well-being </w:t>
      </w:r>
      <w:r>
        <w:rPr>
          <w:rFonts w:eastAsia="Calibri" w:cs="Calibri"/>
          <w:sz w:val="24"/>
          <w:szCs w:val="24"/>
        </w:rPr>
        <w:t xml:space="preserve">may be predicted </w:t>
      </w:r>
      <w:r w:rsidRPr="006F6B1C">
        <w:rPr>
          <w:rFonts w:eastAsia="Calibri" w:cstheme="minorHAnsi"/>
          <w:sz w:val="24"/>
          <w:szCs w:val="24"/>
        </w:rPr>
        <w:t>through computational thinking skills and computational self-efficacy among university students</w:t>
      </w:r>
      <w:r w:rsidRPr="006F6B1C">
        <w:rPr>
          <w:rFonts w:eastAsia="Calibri" w:cstheme="minorHAnsi"/>
          <w:sz w:val="24"/>
          <w:szCs w:val="24"/>
          <w:rtl/>
        </w:rPr>
        <w:t>.</w:t>
      </w:r>
    </w:p>
    <w:p w:rsidR="006F6B1C" w:rsidRPr="006F6B1C" w:rsidRDefault="00743FAE" w:rsidP="006F6B1C">
      <w:pPr>
        <w:spacing w:before="240" w:after="0"/>
        <w:rPr>
          <w:rFonts w:eastAsia="Calibri" w:cstheme="minorHAnsi"/>
          <w:b/>
          <w:bCs/>
          <w:sz w:val="24"/>
          <w:szCs w:val="24"/>
        </w:rPr>
      </w:pPr>
      <w:r w:rsidRPr="006F6B1C">
        <w:rPr>
          <w:rFonts w:eastAsia="Calibri" w:cstheme="minorHAnsi"/>
          <w:b/>
          <w:bCs/>
          <w:sz w:val="24"/>
          <w:szCs w:val="24"/>
        </w:rPr>
        <w:t>The sample</w:t>
      </w:r>
    </w:p>
    <w:p w:rsidR="00772D5C" w:rsidRPr="006F6B1C" w:rsidRDefault="00743FAE" w:rsidP="006F6B1C">
      <w:pPr>
        <w:spacing w:before="240" w:after="0"/>
        <w:jc w:val="both"/>
        <w:rPr>
          <w:rFonts w:eastAsia="Calibri" w:cstheme="minorHAnsi"/>
          <w:sz w:val="24"/>
          <w:szCs w:val="24"/>
        </w:rPr>
      </w:pPr>
      <w:r w:rsidRPr="006F6B1C">
        <w:rPr>
          <w:rFonts w:eastAsia="Calibri" w:cstheme="minorHAnsi"/>
          <w:sz w:val="24"/>
          <w:szCs w:val="24"/>
        </w:rPr>
        <w:t>The targeted research sample consisted of 320 students at the Faculty of Specific Education</w:t>
      </w:r>
      <w:r>
        <w:rPr>
          <w:rFonts w:eastAsia="Calibri" w:cs="Calibri"/>
          <w:sz w:val="24"/>
          <w:szCs w:val="24"/>
        </w:rPr>
        <w:t>,</w:t>
      </w:r>
      <w:r w:rsidRPr="006F6B1C">
        <w:rPr>
          <w:rFonts w:eastAsia="Calibri" w:cstheme="minorHAnsi"/>
          <w:sz w:val="24"/>
          <w:szCs w:val="24"/>
        </w:rPr>
        <w:t xml:space="preserve"> Mansoura University, </w:t>
      </w:r>
      <w:r>
        <w:rPr>
          <w:rFonts w:eastAsia="Calibri" w:cs="Calibri"/>
          <w:sz w:val="24"/>
          <w:szCs w:val="24"/>
        </w:rPr>
        <w:t>whose</w:t>
      </w:r>
      <w:r w:rsidRPr="006F6B1C">
        <w:rPr>
          <w:rFonts w:eastAsia="Calibri" w:cstheme="minorHAnsi"/>
          <w:sz w:val="24"/>
          <w:szCs w:val="24"/>
        </w:rPr>
        <w:t xml:space="preserve"> ages ranged </w:t>
      </w:r>
      <w:r>
        <w:rPr>
          <w:rFonts w:eastAsia="Calibri" w:cs="Calibri"/>
          <w:sz w:val="24"/>
          <w:szCs w:val="24"/>
        </w:rPr>
        <w:t xml:space="preserve">from </w:t>
      </w:r>
      <w:r w:rsidRPr="006F6B1C">
        <w:rPr>
          <w:rFonts w:eastAsia="Calibri" w:cstheme="minorHAnsi"/>
          <w:sz w:val="24"/>
          <w:szCs w:val="24"/>
        </w:rPr>
        <w:t>19-</w:t>
      </w:r>
      <w:r>
        <w:rPr>
          <w:rFonts w:eastAsia="Calibri" w:cs="Calibri"/>
          <w:sz w:val="24"/>
          <w:szCs w:val="24"/>
        </w:rPr>
        <w:t>-</w:t>
      </w:r>
      <w:r w:rsidRPr="006F6B1C">
        <w:rPr>
          <w:rFonts w:eastAsia="Calibri" w:cstheme="minorHAnsi"/>
          <w:sz w:val="24"/>
          <w:szCs w:val="24"/>
        </w:rPr>
        <w:t>21 years</w:t>
      </w:r>
      <w:r>
        <w:rPr>
          <w:rFonts w:eastAsia="Calibri" w:cs="Calibri"/>
          <w:sz w:val="24"/>
          <w:szCs w:val="24"/>
        </w:rPr>
        <w:t>,</w:t>
      </w:r>
      <w:r w:rsidRPr="006F6B1C">
        <w:rPr>
          <w:rFonts w:eastAsia="Calibri" w:cstheme="minorHAnsi"/>
          <w:sz w:val="24"/>
          <w:szCs w:val="24"/>
        </w:rPr>
        <w:t xml:space="preserve"> with an average age of 20.6</w:t>
      </w:r>
      <w:r>
        <w:rPr>
          <w:rFonts w:eastAsia="Calibri" w:cs="Calibri"/>
          <w:sz w:val="24"/>
          <w:szCs w:val="24"/>
        </w:rPr>
        <w:t xml:space="preserve"> years and</w:t>
      </w:r>
      <w:r w:rsidRPr="006F6B1C">
        <w:rPr>
          <w:rFonts w:eastAsia="Calibri" w:cstheme="minorHAnsi"/>
          <w:sz w:val="24"/>
          <w:szCs w:val="24"/>
        </w:rPr>
        <w:t xml:space="preserve"> a standard deviation of 6.3 years</w:t>
      </w:r>
      <w:r>
        <w:rPr>
          <w:rFonts w:eastAsia="Calibri" w:cs="Calibri"/>
          <w:sz w:val="24"/>
          <w:szCs w:val="24"/>
        </w:rPr>
        <w:t>. The</w:t>
      </w:r>
      <w:r w:rsidRPr="006F6B1C">
        <w:rPr>
          <w:rFonts w:eastAsia="Calibri" w:cstheme="minorHAnsi"/>
          <w:sz w:val="24"/>
          <w:szCs w:val="24"/>
        </w:rPr>
        <w:t xml:space="preserve"> age </w:t>
      </w:r>
      <w:proofErr w:type="spellStart"/>
      <w:r w:rsidRPr="006F6B1C">
        <w:rPr>
          <w:rFonts w:eastAsia="Calibri" w:cstheme="minorHAnsi"/>
          <w:sz w:val="24"/>
          <w:szCs w:val="24"/>
        </w:rPr>
        <w:t>skewness</w:t>
      </w:r>
      <w:proofErr w:type="spellEnd"/>
      <w:r w:rsidRPr="006F6B1C">
        <w:rPr>
          <w:rFonts w:eastAsia="Calibri" w:cstheme="minorHAnsi"/>
          <w:sz w:val="24"/>
          <w:szCs w:val="24"/>
        </w:rPr>
        <w:t xml:space="preserve"> coefficient was 0.432, meaning that there </w:t>
      </w:r>
      <w:r>
        <w:rPr>
          <w:rFonts w:eastAsia="Calibri" w:cs="Calibri"/>
          <w:sz w:val="24"/>
          <w:szCs w:val="24"/>
        </w:rPr>
        <w:t>was</w:t>
      </w:r>
      <w:r w:rsidRPr="006F6B1C">
        <w:rPr>
          <w:rFonts w:eastAsia="Calibri" w:cstheme="minorHAnsi"/>
          <w:sz w:val="24"/>
          <w:szCs w:val="24"/>
        </w:rPr>
        <w:t xml:space="preserve"> moderation in the distribution of sample members on the research variables, and students who did not complete the response to the measurement were excluded</w:t>
      </w:r>
      <w:r>
        <w:rPr>
          <w:rFonts w:eastAsia="Calibri" w:cs="Calibri"/>
          <w:sz w:val="24"/>
          <w:szCs w:val="24"/>
        </w:rPr>
        <w:t>; thus</w:t>
      </w:r>
      <w:r w:rsidRPr="006F6B1C">
        <w:rPr>
          <w:rFonts w:eastAsia="Calibri" w:cstheme="minorHAnsi"/>
          <w:sz w:val="24"/>
          <w:szCs w:val="24"/>
        </w:rPr>
        <w:t>, the sample on which the analyses were conducted in its final form consisted of 280 male and female students, with 105 males at a rate of 37.5% and 175 females at a rate of 62.5%.</w:t>
      </w:r>
    </w:p>
    <w:p w:rsidR="00617BE2" w:rsidRPr="006F6B1C" w:rsidRDefault="00743FAE" w:rsidP="006F6B1C">
      <w:pPr>
        <w:spacing w:before="240" w:after="0"/>
        <w:rPr>
          <w:rFonts w:eastAsia="Calibri" w:cstheme="minorHAnsi"/>
          <w:b/>
          <w:bCs/>
          <w:sz w:val="24"/>
          <w:szCs w:val="24"/>
          <w:rtl/>
        </w:rPr>
      </w:pPr>
      <w:r w:rsidRPr="006F6B1C">
        <w:rPr>
          <w:rFonts w:eastAsia="Calibri" w:cstheme="minorHAnsi"/>
          <w:b/>
          <w:bCs/>
          <w:sz w:val="24"/>
          <w:szCs w:val="24"/>
        </w:rPr>
        <w:t xml:space="preserve">Data </w:t>
      </w:r>
      <w:r>
        <w:rPr>
          <w:rFonts w:eastAsia="Calibri" w:cs="Calibri"/>
          <w:b/>
          <w:bCs/>
          <w:sz w:val="24"/>
          <w:szCs w:val="24"/>
        </w:rPr>
        <w:t>collection tools</w:t>
      </w:r>
    </w:p>
    <w:p w:rsidR="00D977DB" w:rsidRPr="006F6B1C" w:rsidRDefault="00743FAE" w:rsidP="000C2C97">
      <w:pPr>
        <w:spacing w:before="240" w:after="0"/>
        <w:rPr>
          <w:rFonts w:eastAsia="Calibri" w:cstheme="minorHAnsi"/>
          <w:b/>
          <w:bCs/>
          <w:i/>
          <w:iCs/>
          <w:sz w:val="24"/>
          <w:szCs w:val="24"/>
          <w:rtl/>
          <w:lang w:bidi="ar-EG"/>
        </w:rPr>
      </w:pPr>
      <w:r w:rsidRPr="006F6B1C">
        <w:rPr>
          <w:rFonts w:eastAsia="Calibri" w:cstheme="minorHAnsi"/>
          <w:b/>
          <w:bCs/>
          <w:i/>
          <w:iCs/>
          <w:sz w:val="24"/>
          <w:szCs w:val="24"/>
        </w:rPr>
        <w:t>Computational Thinking Scale</w:t>
      </w:r>
    </w:p>
    <w:p w:rsidR="006F6B1C" w:rsidRPr="006F6B1C" w:rsidRDefault="000C2C97" w:rsidP="005A4029">
      <w:pPr>
        <w:spacing w:before="240" w:after="0"/>
        <w:jc w:val="both"/>
        <w:rPr>
          <w:rFonts w:eastAsia="Calibri" w:cstheme="minorHAnsi"/>
          <w:sz w:val="24"/>
          <w:szCs w:val="24"/>
          <w:rtl/>
        </w:rPr>
      </w:pPr>
      <w:r w:rsidRPr="000C2C97">
        <w:rPr>
          <w:rFonts w:eastAsia="Calibri" w:cstheme="minorHAnsi"/>
          <w:sz w:val="24"/>
          <w:szCs w:val="24"/>
        </w:rPr>
        <w:t xml:space="preserve">The scale aims to measure students' computational thinking skills. To </w:t>
      </w:r>
      <w:r w:rsidR="00743FAE">
        <w:rPr>
          <w:rFonts w:eastAsia="Calibri" w:cs="Calibri"/>
          <w:sz w:val="24"/>
          <w:szCs w:val="24"/>
        </w:rPr>
        <w:t>construct</w:t>
      </w:r>
      <w:r w:rsidRPr="000C2C97">
        <w:rPr>
          <w:rFonts w:eastAsia="Calibri" w:cstheme="minorHAnsi"/>
          <w:sz w:val="24"/>
          <w:szCs w:val="24"/>
        </w:rPr>
        <w:t xml:space="preserve"> the scale's items, previous literature and studies dealing with computational thinking were reviewed (Pewkam &amp; Chamrat, 2022; de Jesusi et al., 2022; Román-González et</w:t>
      </w:r>
      <w:r w:rsidR="00743FAE">
        <w:rPr>
          <w:rFonts w:eastAsia="Calibri" w:cs="Calibri"/>
          <w:sz w:val="24"/>
          <w:szCs w:val="24"/>
        </w:rPr>
        <w:t xml:space="preserve"> </w:t>
      </w:r>
      <w:r w:rsidRPr="000C2C97">
        <w:rPr>
          <w:rFonts w:eastAsia="Calibri" w:cstheme="minorHAnsi"/>
          <w:sz w:val="24"/>
          <w:szCs w:val="24"/>
        </w:rPr>
        <w:t xml:space="preserve">al., 2017; Korkmaz et al., 2015; Bocconi et al., 2016; Grover &amp; Pea, 2013; Wing, 2008). Accordingly, the tool </w:t>
      </w:r>
      <w:r w:rsidR="00743FAE">
        <w:rPr>
          <w:rFonts w:eastAsia="Calibri" w:cs="Calibri"/>
          <w:sz w:val="24"/>
          <w:szCs w:val="24"/>
        </w:rPr>
        <w:t>consists</w:t>
      </w:r>
      <w:r w:rsidRPr="000C2C97">
        <w:rPr>
          <w:rFonts w:eastAsia="Calibri" w:cstheme="minorHAnsi"/>
          <w:sz w:val="24"/>
          <w:szCs w:val="24"/>
        </w:rPr>
        <w:t xml:space="preserve"> of (20) items distributed into five dimensions of computational thinking: </w:t>
      </w:r>
      <w:r w:rsidR="00743FAE">
        <w:rPr>
          <w:rFonts w:eastAsia="Calibri" w:cs="Calibri"/>
          <w:sz w:val="24"/>
          <w:szCs w:val="24"/>
        </w:rPr>
        <w:t>creative thinking, algorithmic thinking, collaborative thinking, critical thinking, and problem solving</w:t>
      </w:r>
      <w:r w:rsidRPr="000C2C97">
        <w:rPr>
          <w:rFonts w:eastAsia="Calibri" w:cstheme="minorHAnsi"/>
          <w:sz w:val="24"/>
          <w:szCs w:val="24"/>
        </w:rPr>
        <w:t xml:space="preserve">. The items were formulated </w:t>
      </w:r>
      <w:r w:rsidR="00743FAE">
        <w:rPr>
          <w:rFonts w:eastAsia="Calibri" w:cs="Calibri"/>
          <w:sz w:val="24"/>
          <w:szCs w:val="24"/>
        </w:rPr>
        <w:t>on</w:t>
      </w:r>
      <w:r w:rsidRPr="000C2C97">
        <w:rPr>
          <w:rFonts w:eastAsia="Calibri" w:cstheme="minorHAnsi"/>
          <w:sz w:val="24"/>
          <w:szCs w:val="24"/>
        </w:rPr>
        <w:t xml:space="preserve"> a five-point </w:t>
      </w:r>
      <w:proofErr w:type="spellStart"/>
      <w:r w:rsidRPr="000C2C97">
        <w:rPr>
          <w:rFonts w:eastAsia="Calibri" w:cstheme="minorHAnsi"/>
          <w:sz w:val="24"/>
          <w:szCs w:val="24"/>
        </w:rPr>
        <w:t>Likert</w:t>
      </w:r>
      <w:proofErr w:type="spellEnd"/>
      <w:r w:rsidRPr="000C2C97">
        <w:rPr>
          <w:rFonts w:eastAsia="Calibri" w:cstheme="minorHAnsi"/>
          <w:sz w:val="24"/>
          <w:szCs w:val="24"/>
        </w:rPr>
        <w:t xml:space="preserve"> scale (1 = "I completely disagree", 2 = "I disagree", 3 = "Neutral", 4 = "I agree", 5 = "I completely agree"). Thus, the maximum score of the scale becomes 100</w:t>
      </w:r>
      <w:r w:rsidR="00743FAE">
        <w:rPr>
          <w:rFonts w:eastAsia="Calibri" w:cs="Calibri"/>
          <w:sz w:val="24"/>
          <w:szCs w:val="24"/>
        </w:rPr>
        <w:t>,</w:t>
      </w:r>
      <w:r w:rsidRPr="000C2C97">
        <w:rPr>
          <w:rFonts w:eastAsia="Calibri" w:cstheme="minorHAnsi"/>
          <w:sz w:val="24"/>
          <w:szCs w:val="24"/>
        </w:rPr>
        <w:t xml:space="preserve"> and the minimum score becomes 20. The reliability of the computational thinking </w:t>
      </w:r>
      <w:r w:rsidRPr="000C2C97">
        <w:rPr>
          <w:rFonts w:eastAsia="Calibri" w:cstheme="minorHAnsi"/>
          <w:sz w:val="24"/>
          <w:szCs w:val="24"/>
        </w:rPr>
        <w:lastRenderedPageBreak/>
        <w:t xml:space="preserve">skills scale was verified </w:t>
      </w:r>
      <w:r w:rsidR="00743FAE">
        <w:rPr>
          <w:rFonts w:eastAsia="Calibri" w:cs="Calibri"/>
          <w:sz w:val="24"/>
          <w:szCs w:val="24"/>
        </w:rPr>
        <w:t>via Cronbach’s alpha in</w:t>
      </w:r>
      <w:r w:rsidRPr="000C2C97">
        <w:rPr>
          <w:rFonts w:eastAsia="Calibri" w:cstheme="minorHAnsi"/>
          <w:sz w:val="24"/>
          <w:szCs w:val="24"/>
        </w:rPr>
        <w:t xml:space="preserve"> a sample of 32 university students. Table 1 shows the stability coefficients for the scale dimensions.</w:t>
      </w:r>
    </w:p>
    <w:p w:rsidR="00337A94" w:rsidRPr="006F6B1C" w:rsidRDefault="00743FAE" w:rsidP="006F6B1C">
      <w:pPr>
        <w:spacing w:before="240" w:after="0"/>
        <w:jc w:val="center"/>
        <w:rPr>
          <w:rFonts w:eastAsia="Calibri" w:cstheme="minorHAnsi"/>
          <w:b/>
          <w:bCs/>
          <w:i/>
          <w:iCs/>
          <w:sz w:val="24"/>
          <w:szCs w:val="24"/>
          <w:rtl/>
        </w:rPr>
      </w:pPr>
      <w:r w:rsidRPr="006F6B1C">
        <w:rPr>
          <w:rFonts w:eastAsia="Calibri" w:cstheme="minorHAnsi"/>
          <w:b/>
          <w:bCs/>
          <w:i/>
          <w:iCs/>
          <w:sz w:val="24"/>
          <w:szCs w:val="24"/>
        </w:rPr>
        <w:t>Table (1)</w:t>
      </w:r>
      <w:r w:rsidR="006F6B1C">
        <w:rPr>
          <w:rFonts w:eastAsia="Calibri" w:cstheme="minorHAnsi" w:hint="cs"/>
          <w:b/>
          <w:bCs/>
          <w:i/>
          <w:iCs/>
          <w:sz w:val="24"/>
          <w:szCs w:val="24"/>
          <w:rtl/>
        </w:rPr>
        <w:t xml:space="preserve"> </w:t>
      </w:r>
      <w:r w:rsidRPr="006F6B1C">
        <w:rPr>
          <w:rFonts w:eastAsia="Calibri" w:cstheme="minorHAnsi"/>
          <w:b/>
          <w:bCs/>
          <w:i/>
          <w:iCs/>
          <w:sz w:val="24"/>
          <w:szCs w:val="24"/>
        </w:rPr>
        <w:t xml:space="preserve">Reliability Coefficients </w:t>
      </w:r>
      <w:r>
        <w:rPr>
          <w:rFonts w:eastAsia="Calibri" w:cs="Calibri"/>
          <w:b/>
          <w:bCs/>
          <w:i/>
          <w:iCs/>
          <w:sz w:val="24"/>
          <w:szCs w:val="24"/>
        </w:rPr>
        <w:t>Related</w:t>
      </w:r>
      <w:r w:rsidRPr="006F6B1C">
        <w:rPr>
          <w:rFonts w:eastAsia="Calibri" w:cstheme="minorHAnsi"/>
          <w:b/>
          <w:bCs/>
          <w:i/>
          <w:iCs/>
          <w:sz w:val="24"/>
          <w:szCs w:val="24"/>
        </w:rPr>
        <w:t xml:space="preserve"> to </w:t>
      </w:r>
      <w:r>
        <w:rPr>
          <w:rFonts w:eastAsia="Calibri" w:cs="Calibri"/>
          <w:b/>
          <w:bCs/>
          <w:i/>
          <w:iCs/>
          <w:sz w:val="24"/>
          <w:szCs w:val="24"/>
        </w:rPr>
        <w:t xml:space="preserve">the </w:t>
      </w:r>
      <w:r w:rsidRPr="006F6B1C">
        <w:rPr>
          <w:rFonts w:eastAsia="Calibri" w:cstheme="minorHAnsi"/>
          <w:b/>
          <w:bCs/>
          <w:i/>
          <w:iCs/>
          <w:sz w:val="24"/>
          <w:szCs w:val="24"/>
        </w:rPr>
        <w:t>Computational Thinking Scale</w:t>
      </w:r>
    </w:p>
    <w:tbl>
      <w:tblPr>
        <w:tblStyle w:val="aa"/>
        <w:bidiVisual/>
        <w:tblW w:w="0" w:type="auto"/>
        <w:tblInd w:w="360" w:type="dxa"/>
        <w:tblLook w:val="04A0" w:firstRow="1" w:lastRow="0" w:firstColumn="1" w:lastColumn="0" w:noHBand="0" w:noVBand="1"/>
      </w:tblPr>
      <w:tblGrid>
        <w:gridCol w:w="1356"/>
        <w:gridCol w:w="1542"/>
        <w:gridCol w:w="1672"/>
        <w:gridCol w:w="1478"/>
        <w:gridCol w:w="3168"/>
      </w:tblGrid>
      <w:tr w:rsidR="00A34770" w:rsidTr="006C25C9">
        <w:tc>
          <w:tcPr>
            <w:tcW w:w="1356" w:type="dxa"/>
          </w:tcPr>
          <w:p w:rsidR="00D977DB" w:rsidRPr="001708B2" w:rsidRDefault="00743FAE" w:rsidP="006C25C9">
            <w:pPr>
              <w:bidi/>
              <w:jc w:val="center"/>
              <w:rPr>
                <w:b/>
                <w:bCs/>
                <w:sz w:val="24"/>
                <w:szCs w:val="24"/>
                <w:rtl/>
              </w:rPr>
            </w:pPr>
            <w:r w:rsidRPr="001708B2">
              <w:rPr>
                <w:b/>
                <w:bCs/>
                <w:sz w:val="24"/>
                <w:szCs w:val="24"/>
              </w:rPr>
              <w:t>Reliability Level</w:t>
            </w:r>
          </w:p>
        </w:tc>
        <w:tc>
          <w:tcPr>
            <w:tcW w:w="1542" w:type="dxa"/>
          </w:tcPr>
          <w:p w:rsidR="00D977DB" w:rsidRPr="001708B2" w:rsidRDefault="00743FAE" w:rsidP="006C25C9">
            <w:pPr>
              <w:bidi/>
              <w:jc w:val="center"/>
              <w:rPr>
                <w:b/>
                <w:bCs/>
                <w:sz w:val="24"/>
                <w:szCs w:val="24"/>
                <w:rtl/>
              </w:rPr>
            </w:pPr>
            <w:r w:rsidRPr="001708B2">
              <w:rPr>
                <w:b/>
                <w:bCs/>
                <w:sz w:val="24"/>
                <w:szCs w:val="24"/>
              </w:rPr>
              <w:t>Sig.</w:t>
            </w:r>
          </w:p>
        </w:tc>
        <w:tc>
          <w:tcPr>
            <w:tcW w:w="1672" w:type="dxa"/>
          </w:tcPr>
          <w:p w:rsidR="00D977DB" w:rsidRPr="001708B2" w:rsidRDefault="00743FAE" w:rsidP="00F51863">
            <w:pPr>
              <w:pStyle w:val="Pa11"/>
              <w:jc w:val="center"/>
              <w:rPr>
                <w:sz w:val="16"/>
                <w:szCs w:val="16"/>
              </w:rPr>
            </w:pPr>
            <w:r w:rsidRPr="001708B2">
              <w:rPr>
                <w:rStyle w:val="A00"/>
                <w:color w:val="auto"/>
              </w:rPr>
              <w:t>Cronbach’s Alpha Coefficient</w:t>
            </w:r>
          </w:p>
        </w:tc>
        <w:tc>
          <w:tcPr>
            <w:tcW w:w="1478" w:type="dxa"/>
          </w:tcPr>
          <w:tbl>
            <w:tblPr>
              <w:tblW w:w="0" w:type="auto"/>
              <w:tblBorders>
                <w:top w:val="nil"/>
                <w:left w:val="nil"/>
                <w:bottom w:val="nil"/>
                <w:right w:val="nil"/>
              </w:tblBorders>
              <w:tblLook w:val="0000" w:firstRow="0" w:lastRow="0" w:firstColumn="0" w:lastColumn="0" w:noHBand="0" w:noVBand="0"/>
            </w:tblPr>
            <w:tblGrid>
              <w:gridCol w:w="1262"/>
            </w:tblGrid>
            <w:tr w:rsidR="00A34770" w:rsidTr="006C25C9">
              <w:trPr>
                <w:trHeight w:val="105"/>
              </w:trPr>
              <w:tc>
                <w:tcPr>
                  <w:tcW w:w="0" w:type="auto"/>
                </w:tcPr>
                <w:p w:rsidR="00D977DB" w:rsidRPr="001708B2" w:rsidRDefault="00743FAE" w:rsidP="006C25C9">
                  <w:pPr>
                    <w:bidi/>
                    <w:spacing w:after="0" w:line="240" w:lineRule="auto"/>
                    <w:jc w:val="center"/>
                    <w:rPr>
                      <w:b/>
                      <w:bCs/>
                      <w:sz w:val="24"/>
                      <w:szCs w:val="24"/>
                    </w:rPr>
                  </w:pPr>
                  <w:r w:rsidRPr="001708B2">
                    <w:rPr>
                      <w:b/>
                      <w:bCs/>
                      <w:sz w:val="24"/>
                      <w:szCs w:val="24"/>
                    </w:rPr>
                    <w:t>Number of Items</w:t>
                  </w:r>
                </w:p>
              </w:tc>
            </w:tr>
          </w:tbl>
          <w:p w:rsidR="00D977DB" w:rsidRPr="001708B2" w:rsidRDefault="00D977DB" w:rsidP="006C25C9">
            <w:pPr>
              <w:bidi/>
              <w:jc w:val="center"/>
              <w:rPr>
                <w:b/>
                <w:bCs/>
                <w:sz w:val="24"/>
                <w:szCs w:val="24"/>
                <w:rtl/>
              </w:rPr>
            </w:pPr>
          </w:p>
        </w:tc>
        <w:tc>
          <w:tcPr>
            <w:tcW w:w="3168" w:type="dxa"/>
          </w:tcPr>
          <w:p w:rsidR="00D977DB" w:rsidRPr="001708B2" w:rsidRDefault="00743FAE" w:rsidP="006C25C9">
            <w:pPr>
              <w:bidi/>
              <w:jc w:val="center"/>
              <w:rPr>
                <w:b/>
                <w:bCs/>
                <w:sz w:val="24"/>
                <w:szCs w:val="24"/>
              </w:rPr>
            </w:pPr>
            <w:r w:rsidRPr="001708B2">
              <w:rPr>
                <w:b/>
                <w:bCs/>
                <w:sz w:val="24"/>
                <w:szCs w:val="24"/>
              </w:rPr>
              <w:t>Dimension</w:t>
            </w:r>
          </w:p>
        </w:tc>
      </w:tr>
      <w:tr w:rsidR="00A34770" w:rsidTr="006C25C9">
        <w:tc>
          <w:tcPr>
            <w:tcW w:w="1356" w:type="dxa"/>
          </w:tcPr>
          <w:p w:rsidR="00D977DB" w:rsidRPr="001708B2" w:rsidRDefault="00743FAE" w:rsidP="006C25C9">
            <w:pPr>
              <w:bidi/>
              <w:jc w:val="center"/>
              <w:rPr>
                <w:b/>
                <w:bCs/>
                <w:sz w:val="24"/>
                <w:szCs w:val="24"/>
                <w:rtl/>
              </w:rPr>
            </w:pPr>
            <w:r w:rsidRPr="001708B2">
              <w:rPr>
                <w:b/>
                <w:bCs/>
                <w:sz w:val="24"/>
                <w:szCs w:val="24"/>
              </w:rPr>
              <w:t>high</w:t>
            </w:r>
          </w:p>
        </w:tc>
        <w:tc>
          <w:tcPr>
            <w:tcW w:w="1542" w:type="dxa"/>
          </w:tcPr>
          <w:p w:rsidR="00D977DB" w:rsidRPr="001708B2" w:rsidRDefault="00743FAE" w:rsidP="00D977DB">
            <w:pPr>
              <w:bidi/>
              <w:jc w:val="center"/>
              <w:rPr>
                <w:b/>
                <w:bCs/>
                <w:sz w:val="24"/>
                <w:szCs w:val="24"/>
                <w:rtl/>
              </w:rPr>
            </w:pPr>
            <w:r w:rsidRPr="001708B2">
              <w:rPr>
                <w:b/>
                <w:bCs/>
                <w:sz w:val="24"/>
                <w:szCs w:val="24"/>
              </w:rPr>
              <w:t>0.01</w:t>
            </w:r>
          </w:p>
        </w:tc>
        <w:tc>
          <w:tcPr>
            <w:tcW w:w="1672" w:type="dxa"/>
          </w:tcPr>
          <w:p w:rsidR="00D977DB" w:rsidRPr="001708B2" w:rsidRDefault="00743FAE" w:rsidP="00D977DB">
            <w:pPr>
              <w:bidi/>
              <w:jc w:val="center"/>
              <w:rPr>
                <w:b/>
                <w:bCs/>
                <w:sz w:val="24"/>
                <w:szCs w:val="24"/>
                <w:rtl/>
              </w:rPr>
            </w:pPr>
            <w:r w:rsidRPr="001708B2">
              <w:rPr>
                <w:b/>
                <w:bCs/>
                <w:sz w:val="24"/>
                <w:szCs w:val="24"/>
              </w:rPr>
              <w:t>0.</w:t>
            </w:r>
            <w:r w:rsidRPr="001708B2">
              <w:rPr>
                <w:b/>
                <w:bCs/>
                <w:sz w:val="20"/>
                <w:szCs w:val="20"/>
              </w:rPr>
              <w:t xml:space="preserve"> 7</w:t>
            </w:r>
            <w:r w:rsidRPr="001708B2">
              <w:rPr>
                <w:b/>
                <w:bCs/>
                <w:sz w:val="24"/>
                <w:szCs w:val="24"/>
              </w:rPr>
              <w:t>8</w:t>
            </w:r>
          </w:p>
        </w:tc>
        <w:tc>
          <w:tcPr>
            <w:tcW w:w="1478" w:type="dxa"/>
          </w:tcPr>
          <w:p w:rsidR="00D977DB" w:rsidRPr="001708B2" w:rsidRDefault="00743FAE" w:rsidP="006C25C9">
            <w:pPr>
              <w:bidi/>
              <w:jc w:val="center"/>
              <w:rPr>
                <w:sz w:val="24"/>
                <w:szCs w:val="24"/>
                <w:rtl/>
              </w:rPr>
            </w:pPr>
            <w:r w:rsidRPr="001708B2">
              <w:rPr>
                <w:sz w:val="24"/>
                <w:szCs w:val="24"/>
              </w:rPr>
              <w:t>4</w:t>
            </w:r>
            <w:r w:rsidRPr="001708B2">
              <w:rPr>
                <w:rFonts w:hint="cs"/>
                <w:sz w:val="24"/>
                <w:szCs w:val="24"/>
                <w:rtl/>
              </w:rPr>
              <w:t xml:space="preserve"> </w:t>
            </w:r>
          </w:p>
        </w:tc>
        <w:tc>
          <w:tcPr>
            <w:tcW w:w="3168" w:type="dxa"/>
          </w:tcPr>
          <w:p w:rsidR="00D977DB" w:rsidRPr="001708B2" w:rsidRDefault="00743FAE" w:rsidP="006C25C9">
            <w:pPr>
              <w:bidi/>
              <w:jc w:val="center"/>
              <w:rPr>
                <w:b/>
                <w:bCs/>
                <w:sz w:val="24"/>
                <w:szCs w:val="24"/>
                <w:rtl/>
              </w:rPr>
            </w:pPr>
            <w:r w:rsidRPr="001708B2">
              <w:rPr>
                <w:b/>
                <w:bCs/>
                <w:sz w:val="24"/>
                <w:szCs w:val="24"/>
              </w:rPr>
              <w:t>Creative Thinking</w:t>
            </w:r>
          </w:p>
        </w:tc>
      </w:tr>
      <w:tr w:rsidR="00A34770" w:rsidTr="006C25C9">
        <w:tc>
          <w:tcPr>
            <w:tcW w:w="1356" w:type="dxa"/>
          </w:tcPr>
          <w:p w:rsidR="00D977DB" w:rsidRPr="001708B2" w:rsidRDefault="00743FAE" w:rsidP="006C25C9">
            <w:pPr>
              <w:jc w:val="center"/>
            </w:pPr>
            <w:r w:rsidRPr="001708B2">
              <w:rPr>
                <w:b/>
                <w:bCs/>
                <w:sz w:val="24"/>
                <w:szCs w:val="24"/>
              </w:rPr>
              <w:t>high</w:t>
            </w:r>
          </w:p>
        </w:tc>
        <w:tc>
          <w:tcPr>
            <w:tcW w:w="1542" w:type="dxa"/>
          </w:tcPr>
          <w:p w:rsidR="00D977DB" w:rsidRPr="001708B2" w:rsidRDefault="00743FAE" w:rsidP="00D977DB">
            <w:pPr>
              <w:jc w:val="center"/>
            </w:pPr>
            <w:r w:rsidRPr="001708B2">
              <w:t>0.01</w:t>
            </w:r>
          </w:p>
        </w:tc>
        <w:tc>
          <w:tcPr>
            <w:tcW w:w="1672" w:type="dxa"/>
          </w:tcPr>
          <w:p w:rsidR="00D977DB" w:rsidRPr="001708B2" w:rsidRDefault="00743FAE" w:rsidP="006C25C9">
            <w:pPr>
              <w:bidi/>
              <w:jc w:val="center"/>
              <w:rPr>
                <w:b/>
                <w:bCs/>
                <w:sz w:val="24"/>
                <w:szCs w:val="24"/>
                <w:rtl/>
              </w:rPr>
            </w:pPr>
            <w:r w:rsidRPr="001708B2">
              <w:rPr>
                <w:b/>
                <w:bCs/>
                <w:sz w:val="24"/>
                <w:szCs w:val="24"/>
              </w:rPr>
              <w:t>0.83</w:t>
            </w:r>
          </w:p>
        </w:tc>
        <w:tc>
          <w:tcPr>
            <w:tcW w:w="1478" w:type="dxa"/>
          </w:tcPr>
          <w:p w:rsidR="00D977DB" w:rsidRPr="001708B2" w:rsidRDefault="00743FAE" w:rsidP="006C25C9">
            <w:pPr>
              <w:bidi/>
              <w:jc w:val="center"/>
              <w:rPr>
                <w:sz w:val="24"/>
                <w:szCs w:val="24"/>
                <w:rtl/>
              </w:rPr>
            </w:pPr>
            <w:r w:rsidRPr="001708B2">
              <w:rPr>
                <w:sz w:val="24"/>
                <w:szCs w:val="24"/>
              </w:rPr>
              <w:t>4</w:t>
            </w:r>
          </w:p>
        </w:tc>
        <w:tc>
          <w:tcPr>
            <w:tcW w:w="3168" w:type="dxa"/>
          </w:tcPr>
          <w:p w:rsidR="00D977DB" w:rsidRPr="001708B2" w:rsidRDefault="00743FAE" w:rsidP="006C25C9">
            <w:pPr>
              <w:bidi/>
              <w:jc w:val="center"/>
              <w:rPr>
                <w:b/>
                <w:bCs/>
                <w:sz w:val="24"/>
                <w:szCs w:val="24"/>
                <w:rtl/>
              </w:rPr>
            </w:pPr>
            <w:r w:rsidRPr="001708B2">
              <w:rPr>
                <w:b/>
                <w:bCs/>
                <w:sz w:val="24"/>
                <w:szCs w:val="24"/>
              </w:rPr>
              <w:t>Algorithmic Thinking</w:t>
            </w:r>
          </w:p>
        </w:tc>
      </w:tr>
      <w:tr w:rsidR="00A34770" w:rsidTr="006C25C9">
        <w:tc>
          <w:tcPr>
            <w:tcW w:w="1356" w:type="dxa"/>
          </w:tcPr>
          <w:p w:rsidR="00D977DB" w:rsidRPr="001708B2" w:rsidRDefault="00743FAE" w:rsidP="006C25C9">
            <w:pPr>
              <w:jc w:val="center"/>
            </w:pPr>
            <w:r w:rsidRPr="001708B2">
              <w:rPr>
                <w:b/>
                <w:bCs/>
                <w:sz w:val="24"/>
                <w:szCs w:val="24"/>
              </w:rPr>
              <w:t>high</w:t>
            </w:r>
          </w:p>
        </w:tc>
        <w:tc>
          <w:tcPr>
            <w:tcW w:w="1542" w:type="dxa"/>
          </w:tcPr>
          <w:p w:rsidR="00D977DB" w:rsidRPr="001708B2" w:rsidRDefault="00743FAE" w:rsidP="00D977DB">
            <w:pPr>
              <w:jc w:val="center"/>
            </w:pPr>
            <w:r w:rsidRPr="001708B2">
              <w:t>0.01</w:t>
            </w:r>
          </w:p>
        </w:tc>
        <w:tc>
          <w:tcPr>
            <w:tcW w:w="1672" w:type="dxa"/>
          </w:tcPr>
          <w:p w:rsidR="00D977DB" w:rsidRPr="001708B2" w:rsidRDefault="00743FAE" w:rsidP="00D977DB">
            <w:pPr>
              <w:bidi/>
              <w:jc w:val="center"/>
              <w:rPr>
                <w:b/>
                <w:bCs/>
                <w:sz w:val="24"/>
                <w:szCs w:val="24"/>
                <w:rtl/>
              </w:rPr>
            </w:pPr>
            <w:r w:rsidRPr="001708B2">
              <w:rPr>
                <w:b/>
                <w:bCs/>
                <w:sz w:val="24"/>
                <w:szCs w:val="24"/>
              </w:rPr>
              <w:t>0.87</w:t>
            </w:r>
          </w:p>
        </w:tc>
        <w:tc>
          <w:tcPr>
            <w:tcW w:w="1478" w:type="dxa"/>
          </w:tcPr>
          <w:p w:rsidR="00D977DB" w:rsidRPr="001708B2" w:rsidRDefault="00743FAE" w:rsidP="006C25C9">
            <w:pPr>
              <w:bidi/>
              <w:jc w:val="center"/>
              <w:rPr>
                <w:sz w:val="24"/>
                <w:szCs w:val="24"/>
                <w:rtl/>
              </w:rPr>
            </w:pPr>
            <w:r w:rsidRPr="001708B2">
              <w:rPr>
                <w:sz w:val="24"/>
                <w:szCs w:val="24"/>
              </w:rPr>
              <w:t>4</w:t>
            </w:r>
          </w:p>
        </w:tc>
        <w:tc>
          <w:tcPr>
            <w:tcW w:w="3168" w:type="dxa"/>
          </w:tcPr>
          <w:p w:rsidR="00D977DB" w:rsidRPr="001708B2" w:rsidRDefault="00743FAE" w:rsidP="006C25C9">
            <w:pPr>
              <w:bidi/>
              <w:jc w:val="center"/>
              <w:rPr>
                <w:b/>
                <w:bCs/>
                <w:sz w:val="24"/>
                <w:szCs w:val="24"/>
                <w:rtl/>
              </w:rPr>
            </w:pPr>
            <w:r w:rsidRPr="001708B2">
              <w:rPr>
                <w:b/>
                <w:bCs/>
                <w:sz w:val="24"/>
                <w:szCs w:val="24"/>
              </w:rPr>
              <w:t>Collaborative Thinking</w:t>
            </w:r>
          </w:p>
        </w:tc>
      </w:tr>
      <w:tr w:rsidR="00A34770" w:rsidTr="006C25C9">
        <w:tc>
          <w:tcPr>
            <w:tcW w:w="1356" w:type="dxa"/>
          </w:tcPr>
          <w:p w:rsidR="00D977DB" w:rsidRPr="001708B2" w:rsidRDefault="00743FAE" w:rsidP="006C25C9">
            <w:pPr>
              <w:jc w:val="center"/>
            </w:pPr>
            <w:r w:rsidRPr="001708B2">
              <w:rPr>
                <w:b/>
                <w:bCs/>
                <w:sz w:val="24"/>
                <w:szCs w:val="24"/>
              </w:rPr>
              <w:t>high</w:t>
            </w:r>
          </w:p>
        </w:tc>
        <w:tc>
          <w:tcPr>
            <w:tcW w:w="1542" w:type="dxa"/>
          </w:tcPr>
          <w:p w:rsidR="00D977DB" w:rsidRPr="001708B2" w:rsidRDefault="00743FAE" w:rsidP="00D977DB">
            <w:pPr>
              <w:jc w:val="center"/>
            </w:pPr>
            <w:r w:rsidRPr="001708B2">
              <w:t>0.01</w:t>
            </w:r>
          </w:p>
        </w:tc>
        <w:tc>
          <w:tcPr>
            <w:tcW w:w="1672" w:type="dxa"/>
          </w:tcPr>
          <w:p w:rsidR="00D977DB" w:rsidRPr="001708B2" w:rsidRDefault="00743FAE" w:rsidP="00D977DB">
            <w:pPr>
              <w:bidi/>
              <w:jc w:val="center"/>
              <w:rPr>
                <w:b/>
                <w:bCs/>
                <w:sz w:val="24"/>
                <w:szCs w:val="24"/>
                <w:rtl/>
              </w:rPr>
            </w:pPr>
            <w:r w:rsidRPr="001708B2">
              <w:rPr>
                <w:b/>
                <w:bCs/>
                <w:sz w:val="24"/>
                <w:szCs w:val="24"/>
              </w:rPr>
              <w:t>0.76</w:t>
            </w:r>
          </w:p>
        </w:tc>
        <w:tc>
          <w:tcPr>
            <w:tcW w:w="1478" w:type="dxa"/>
          </w:tcPr>
          <w:p w:rsidR="00D977DB" w:rsidRPr="001708B2" w:rsidRDefault="00743FAE" w:rsidP="006C25C9">
            <w:pPr>
              <w:bidi/>
              <w:jc w:val="center"/>
              <w:rPr>
                <w:sz w:val="24"/>
                <w:szCs w:val="24"/>
                <w:rtl/>
              </w:rPr>
            </w:pPr>
            <w:r w:rsidRPr="001708B2">
              <w:rPr>
                <w:sz w:val="24"/>
                <w:szCs w:val="24"/>
              </w:rPr>
              <w:t>4</w:t>
            </w:r>
          </w:p>
        </w:tc>
        <w:tc>
          <w:tcPr>
            <w:tcW w:w="3168" w:type="dxa"/>
          </w:tcPr>
          <w:p w:rsidR="00D977DB" w:rsidRPr="001708B2" w:rsidRDefault="00743FAE" w:rsidP="006C25C9">
            <w:pPr>
              <w:bidi/>
              <w:jc w:val="center"/>
              <w:rPr>
                <w:b/>
                <w:bCs/>
                <w:sz w:val="24"/>
                <w:szCs w:val="24"/>
                <w:rtl/>
              </w:rPr>
            </w:pPr>
            <w:r w:rsidRPr="001708B2">
              <w:rPr>
                <w:b/>
                <w:bCs/>
                <w:sz w:val="24"/>
                <w:szCs w:val="24"/>
              </w:rPr>
              <w:t>Critical Thinking</w:t>
            </w:r>
          </w:p>
        </w:tc>
      </w:tr>
      <w:tr w:rsidR="00A34770" w:rsidTr="006C25C9">
        <w:tc>
          <w:tcPr>
            <w:tcW w:w="1356" w:type="dxa"/>
          </w:tcPr>
          <w:p w:rsidR="00D977DB" w:rsidRPr="001708B2" w:rsidRDefault="00743FAE" w:rsidP="006C25C9">
            <w:pPr>
              <w:jc w:val="center"/>
            </w:pPr>
            <w:r w:rsidRPr="001708B2">
              <w:rPr>
                <w:b/>
                <w:bCs/>
                <w:sz w:val="24"/>
                <w:szCs w:val="24"/>
              </w:rPr>
              <w:t>high</w:t>
            </w:r>
          </w:p>
        </w:tc>
        <w:tc>
          <w:tcPr>
            <w:tcW w:w="1542" w:type="dxa"/>
          </w:tcPr>
          <w:p w:rsidR="00D977DB" w:rsidRPr="001708B2" w:rsidRDefault="00743FAE" w:rsidP="00D977DB">
            <w:pPr>
              <w:jc w:val="center"/>
            </w:pPr>
            <w:r w:rsidRPr="001708B2">
              <w:t>0.01</w:t>
            </w:r>
          </w:p>
        </w:tc>
        <w:tc>
          <w:tcPr>
            <w:tcW w:w="1672" w:type="dxa"/>
          </w:tcPr>
          <w:p w:rsidR="00D977DB" w:rsidRPr="001708B2" w:rsidRDefault="00743FAE" w:rsidP="00D977DB">
            <w:pPr>
              <w:bidi/>
              <w:jc w:val="center"/>
              <w:rPr>
                <w:b/>
                <w:bCs/>
                <w:sz w:val="24"/>
                <w:szCs w:val="24"/>
                <w:rtl/>
              </w:rPr>
            </w:pPr>
            <w:r w:rsidRPr="001708B2">
              <w:rPr>
                <w:b/>
                <w:bCs/>
                <w:sz w:val="24"/>
                <w:szCs w:val="24"/>
              </w:rPr>
              <w:t>0.81</w:t>
            </w:r>
          </w:p>
        </w:tc>
        <w:tc>
          <w:tcPr>
            <w:tcW w:w="1478" w:type="dxa"/>
          </w:tcPr>
          <w:p w:rsidR="00D977DB" w:rsidRPr="001708B2" w:rsidRDefault="00743FAE" w:rsidP="006C25C9">
            <w:pPr>
              <w:bidi/>
              <w:jc w:val="center"/>
              <w:rPr>
                <w:sz w:val="24"/>
                <w:szCs w:val="24"/>
                <w:rtl/>
              </w:rPr>
            </w:pPr>
            <w:r w:rsidRPr="001708B2">
              <w:rPr>
                <w:sz w:val="24"/>
                <w:szCs w:val="24"/>
              </w:rPr>
              <w:t>4</w:t>
            </w:r>
          </w:p>
        </w:tc>
        <w:tc>
          <w:tcPr>
            <w:tcW w:w="3168" w:type="dxa"/>
          </w:tcPr>
          <w:p w:rsidR="00D977DB" w:rsidRPr="001708B2" w:rsidRDefault="00743FAE" w:rsidP="006C25C9">
            <w:pPr>
              <w:bidi/>
              <w:jc w:val="center"/>
              <w:rPr>
                <w:b/>
                <w:bCs/>
                <w:sz w:val="24"/>
                <w:szCs w:val="24"/>
                <w:rtl/>
              </w:rPr>
            </w:pPr>
            <w:r w:rsidRPr="001708B2">
              <w:rPr>
                <w:b/>
                <w:bCs/>
                <w:sz w:val="24"/>
                <w:szCs w:val="24"/>
              </w:rPr>
              <w:t>Problem-Solving</w:t>
            </w:r>
          </w:p>
        </w:tc>
      </w:tr>
      <w:tr w:rsidR="00A34770" w:rsidTr="006C25C9">
        <w:tc>
          <w:tcPr>
            <w:tcW w:w="1356" w:type="dxa"/>
          </w:tcPr>
          <w:p w:rsidR="00D977DB" w:rsidRPr="001708B2" w:rsidRDefault="00743FAE" w:rsidP="006C25C9">
            <w:pPr>
              <w:jc w:val="center"/>
            </w:pPr>
            <w:r w:rsidRPr="001708B2">
              <w:rPr>
                <w:b/>
                <w:bCs/>
                <w:sz w:val="24"/>
                <w:szCs w:val="24"/>
              </w:rPr>
              <w:t>high</w:t>
            </w:r>
          </w:p>
        </w:tc>
        <w:tc>
          <w:tcPr>
            <w:tcW w:w="1542" w:type="dxa"/>
          </w:tcPr>
          <w:p w:rsidR="00D977DB" w:rsidRPr="001708B2" w:rsidRDefault="00743FAE" w:rsidP="00D977DB">
            <w:pPr>
              <w:jc w:val="center"/>
            </w:pPr>
            <w:r w:rsidRPr="001708B2">
              <w:t>0.01</w:t>
            </w:r>
          </w:p>
        </w:tc>
        <w:tc>
          <w:tcPr>
            <w:tcW w:w="1672" w:type="dxa"/>
          </w:tcPr>
          <w:p w:rsidR="00D977DB" w:rsidRPr="001708B2" w:rsidRDefault="00743FAE" w:rsidP="006C25C9">
            <w:pPr>
              <w:bidi/>
              <w:jc w:val="center"/>
              <w:rPr>
                <w:b/>
                <w:bCs/>
                <w:sz w:val="24"/>
                <w:szCs w:val="24"/>
                <w:rtl/>
              </w:rPr>
            </w:pPr>
            <w:r w:rsidRPr="001708B2">
              <w:rPr>
                <w:b/>
                <w:bCs/>
                <w:sz w:val="24"/>
                <w:szCs w:val="24"/>
              </w:rPr>
              <w:t>0.84</w:t>
            </w:r>
          </w:p>
        </w:tc>
        <w:tc>
          <w:tcPr>
            <w:tcW w:w="1478" w:type="dxa"/>
          </w:tcPr>
          <w:p w:rsidR="00D977DB" w:rsidRPr="001708B2" w:rsidRDefault="00743FAE" w:rsidP="006C25C9">
            <w:pPr>
              <w:bidi/>
              <w:jc w:val="center"/>
              <w:rPr>
                <w:b/>
                <w:bCs/>
                <w:sz w:val="24"/>
                <w:szCs w:val="24"/>
                <w:rtl/>
              </w:rPr>
            </w:pPr>
            <w:r w:rsidRPr="001708B2">
              <w:rPr>
                <w:b/>
                <w:bCs/>
                <w:sz w:val="24"/>
                <w:szCs w:val="24"/>
              </w:rPr>
              <w:t>20</w:t>
            </w:r>
          </w:p>
        </w:tc>
        <w:tc>
          <w:tcPr>
            <w:tcW w:w="3168" w:type="dxa"/>
          </w:tcPr>
          <w:p w:rsidR="00D977DB" w:rsidRPr="001708B2" w:rsidRDefault="00743FAE" w:rsidP="006C25C9">
            <w:pPr>
              <w:bidi/>
              <w:jc w:val="center"/>
              <w:rPr>
                <w:b/>
                <w:bCs/>
                <w:sz w:val="24"/>
                <w:szCs w:val="24"/>
                <w:rtl/>
              </w:rPr>
            </w:pPr>
            <w:r w:rsidRPr="001708B2">
              <w:rPr>
                <w:b/>
                <w:bCs/>
                <w:sz w:val="24"/>
                <w:szCs w:val="24"/>
              </w:rPr>
              <w:t>Computational Thinking Skills Scale</w:t>
            </w:r>
          </w:p>
        </w:tc>
      </w:tr>
    </w:tbl>
    <w:p w:rsidR="006F6B1C" w:rsidRPr="006F6B1C" w:rsidRDefault="00743FAE" w:rsidP="009C5B7F">
      <w:pPr>
        <w:spacing w:before="240" w:after="0"/>
        <w:jc w:val="both"/>
        <w:rPr>
          <w:rFonts w:eastAsia="Calibri" w:cstheme="minorHAnsi"/>
          <w:sz w:val="24"/>
          <w:szCs w:val="24"/>
          <w:rtl/>
        </w:rPr>
      </w:pPr>
      <w:r w:rsidRPr="006F6B1C">
        <w:rPr>
          <w:rFonts w:eastAsia="Calibri" w:cstheme="minorHAnsi"/>
          <w:sz w:val="24"/>
          <w:szCs w:val="24"/>
        </w:rPr>
        <w:t xml:space="preserve">The validity of the scale was also determined </w:t>
      </w:r>
      <w:r>
        <w:rPr>
          <w:rFonts w:eastAsia="Calibri" w:cs="Calibri"/>
          <w:sz w:val="24"/>
          <w:szCs w:val="24"/>
        </w:rPr>
        <w:t>via</w:t>
      </w:r>
      <w:r w:rsidRPr="006F6B1C">
        <w:rPr>
          <w:rFonts w:eastAsia="Calibri" w:cstheme="minorHAnsi"/>
          <w:sz w:val="24"/>
          <w:szCs w:val="24"/>
        </w:rPr>
        <w:t xml:space="preserve"> the internal consistency method by calculating the correlation coefficient between the dimensions of the Computational Thinking Skills Scale, which ranged between 0.78 </w:t>
      </w:r>
      <w:r>
        <w:rPr>
          <w:rFonts w:eastAsia="Calibri" w:cs="Calibri"/>
          <w:sz w:val="24"/>
          <w:szCs w:val="24"/>
        </w:rPr>
        <w:t>and</w:t>
      </w:r>
      <w:r w:rsidRPr="006F6B1C">
        <w:rPr>
          <w:rFonts w:eastAsia="Calibri" w:cstheme="minorHAnsi"/>
          <w:sz w:val="24"/>
          <w:szCs w:val="24"/>
        </w:rPr>
        <w:t xml:space="preserve"> 0.85 and </w:t>
      </w:r>
      <w:r>
        <w:rPr>
          <w:rFonts w:eastAsia="Calibri" w:cs="Calibri"/>
          <w:sz w:val="24"/>
          <w:szCs w:val="24"/>
        </w:rPr>
        <w:t>was</w:t>
      </w:r>
      <w:r w:rsidRPr="006F6B1C">
        <w:rPr>
          <w:rFonts w:eastAsia="Calibri" w:cstheme="minorHAnsi"/>
          <w:sz w:val="24"/>
          <w:szCs w:val="24"/>
        </w:rPr>
        <w:t xml:space="preserve"> significant at the 0.01 level. The correlation coefficients between the dimensions of the Computational Thinking Skills Scale and the scale as a whole ranged between 0.81 </w:t>
      </w:r>
      <w:r>
        <w:rPr>
          <w:rFonts w:eastAsia="Calibri" w:cs="Calibri"/>
          <w:sz w:val="24"/>
          <w:szCs w:val="24"/>
        </w:rPr>
        <w:t>and</w:t>
      </w:r>
      <w:r w:rsidRPr="006F6B1C">
        <w:rPr>
          <w:rFonts w:eastAsia="Calibri" w:cstheme="minorHAnsi"/>
          <w:sz w:val="24"/>
          <w:szCs w:val="24"/>
        </w:rPr>
        <w:t xml:space="preserve"> 0.89 and </w:t>
      </w:r>
      <w:r>
        <w:rPr>
          <w:rFonts w:eastAsia="Calibri" w:cs="Calibri"/>
          <w:sz w:val="24"/>
          <w:szCs w:val="24"/>
        </w:rPr>
        <w:t>were</w:t>
      </w:r>
      <w:r w:rsidRPr="006F6B1C">
        <w:rPr>
          <w:rFonts w:eastAsia="Calibri" w:cstheme="minorHAnsi"/>
          <w:sz w:val="24"/>
          <w:szCs w:val="24"/>
        </w:rPr>
        <w:t xml:space="preserve"> significant at the 0.01 level. This indicates that the scale has high scores of validity, stability and internal consistency.</w:t>
      </w:r>
    </w:p>
    <w:p w:rsidR="009A28DC" w:rsidRPr="006F6B1C" w:rsidRDefault="00743FAE" w:rsidP="006F6B1C">
      <w:pPr>
        <w:spacing w:before="240" w:after="0"/>
        <w:rPr>
          <w:rFonts w:eastAsia="Calibri" w:cstheme="minorHAnsi"/>
          <w:b/>
          <w:bCs/>
          <w:i/>
          <w:iCs/>
          <w:sz w:val="24"/>
          <w:szCs w:val="24"/>
        </w:rPr>
      </w:pPr>
      <w:r w:rsidRPr="006F6B1C">
        <w:rPr>
          <w:rFonts w:eastAsia="Calibri" w:cstheme="minorHAnsi"/>
          <w:b/>
          <w:bCs/>
          <w:i/>
          <w:iCs/>
          <w:sz w:val="24"/>
          <w:szCs w:val="24"/>
        </w:rPr>
        <w:t>Computational Self-Efficacy Scale</w:t>
      </w:r>
    </w:p>
    <w:p w:rsidR="000C2C97" w:rsidRPr="000C2C97" w:rsidRDefault="00743FAE" w:rsidP="009C5B7F">
      <w:pPr>
        <w:spacing w:before="240" w:after="0"/>
        <w:jc w:val="both"/>
        <w:rPr>
          <w:rFonts w:eastAsia="Calibri" w:cstheme="minorHAnsi"/>
          <w:sz w:val="24"/>
          <w:szCs w:val="24"/>
          <w:rtl/>
        </w:rPr>
      </w:pPr>
      <w:r w:rsidRPr="000C2C97">
        <w:rPr>
          <w:rFonts w:eastAsia="Calibri" w:cstheme="minorHAnsi"/>
          <w:sz w:val="24"/>
          <w:szCs w:val="24"/>
        </w:rPr>
        <w:t xml:space="preserve">The scale aims to measure students' computational self-efficacy. To </w:t>
      </w:r>
      <w:r>
        <w:rPr>
          <w:rFonts w:eastAsia="Calibri" w:cs="Calibri"/>
          <w:sz w:val="24"/>
          <w:szCs w:val="24"/>
        </w:rPr>
        <w:t>construct</w:t>
      </w:r>
      <w:r w:rsidRPr="000C2C97">
        <w:rPr>
          <w:rFonts w:eastAsia="Calibri" w:cstheme="minorHAnsi"/>
          <w:sz w:val="24"/>
          <w:szCs w:val="24"/>
        </w:rPr>
        <w:t xml:space="preserve"> the scale's items, the literature and previous studies that dealt with self-efficacy in general, computational self-efficacy, and digital self-efficacy were reviewed (Espinosa et al., 2021; Kukul and Karatas, 2019; Dickerson, 2019; Tsai et al., 2018; Nordén et al., 2017; Yang &amp; Cheng, 2009; Cassidy &amp; Eachus, 2002). Accordingly, the tool </w:t>
      </w:r>
      <w:r>
        <w:rPr>
          <w:rFonts w:eastAsia="Calibri" w:cs="Calibri"/>
          <w:sz w:val="24"/>
          <w:szCs w:val="24"/>
        </w:rPr>
        <w:t>consists</w:t>
      </w:r>
      <w:r w:rsidRPr="000C2C97">
        <w:rPr>
          <w:rFonts w:eastAsia="Calibri" w:cstheme="minorHAnsi"/>
          <w:sz w:val="24"/>
          <w:szCs w:val="24"/>
        </w:rPr>
        <w:t xml:space="preserve"> of 27 items distributed in nine dimensions of computational thinking: </w:t>
      </w:r>
      <w:r>
        <w:rPr>
          <w:rFonts w:eastAsia="Calibri" w:cs="Calibri"/>
          <w:sz w:val="24"/>
          <w:szCs w:val="24"/>
        </w:rPr>
        <w:t>algorithms, abstraction, problem, decomposition, parallelization, data collection, control flow, incremental and iterative, testing and debugging, and questioning. The items were formulated on</w:t>
      </w:r>
      <w:r w:rsidRPr="000C2C97">
        <w:rPr>
          <w:rFonts w:eastAsia="Calibri" w:cstheme="minorHAnsi"/>
          <w:sz w:val="24"/>
          <w:szCs w:val="24"/>
        </w:rPr>
        <w:t xml:space="preserve"> a five-point Likert scale (1 = "I completely disagree", 2 = "I disagree", 3 = "Neutral", 4 = "I agree", 5 = "I completely agree"). Thus, the maximum score of the scale becomes 135</w:t>
      </w:r>
      <w:r>
        <w:rPr>
          <w:rFonts w:eastAsia="Calibri" w:cs="Calibri"/>
          <w:sz w:val="24"/>
          <w:szCs w:val="24"/>
        </w:rPr>
        <w:t>,</w:t>
      </w:r>
      <w:r w:rsidRPr="000C2C97">
        <w:rPr>
          <w:rFonts w:eastAsia="Calibri" w:cstheme="minorHAnsi"/>
          <w:sz w:val="24"/>
          <w:szCs w:val="24"/>
        </w:rPr>
        <w:t xml:space="preserve"> and the minimum score becomes 27. The stability of the computational self-efficacy scale was verified </w:t>
      </w:r>
      <w:r>
        <w:rPr>
          <w:rFonts w:eastAsia="Calibri" w:cs="Calibri"/>
          <w:sz w:val="24"/>
          <w:szCs w:val="24"/>
        </w:rPr>
        <w:t>via</w:t>
      </w:r>
      <w:r w:rsidRPr="000C2C97">
        <w:rPr>
          <w:rFonts w:eastAsia="Calibri" w:cstheme="minorHAnsi"/>
          <w:sz w:val="24"/>
          <w:szCs w:val="24"/>
        </w:rPr>
        <w:t xml:space="preserve"> the </w:t>
      </w:r>
      <w:r>
        <w:rPr>
          <w:rFonts w:eastAsia="Calibri" w:cs="Calibri"/>
          <w:sz w:val="24"/>
          <w:szCs w:val="24"/>
        </w:rPr>
        <w:t>alpha‒</w:t>
      </w:r>
      <w:proofErr w:type="spellStart"/>
      <w:r>
        <w:rPr>
          <w:rFonts w:eastAsia="Calibri" w:cs="Calibri"/>
          <w:sz w:val="24"/>
          <w:szCs w:val="24"/>
        </w:rPr>
        <w:t>Cronbach</w:t>
      </w:r>
      <w:proofErr w:type="spellEnd"/>
      <w:r w:rsidRPr="000C2C97">
        <w:rPr>
          <w:rFonts w:eastAsia="Calibri" w:cstheme="minorHAnsi"/>
          <w:sz w:val="24"/>
          <w:szCs w:val="24"/>
        </w:rPr>
        <w:t xml:space="preserve"> method on a sample of 32 university students. Table 2 shows the stability coefficients for the scale dimensions</w:t>
      </w:r>
      <w:r w:rsidRPr="000C2C97">
        <w:rPr>
          <w:rFonts w:eastAsia="Calibri" w:cstheme="minorHAnsi"/>
          <w:sz w:val="24"/>
          <w:szCs w:val="24"/>
          <w:rtl/>
        </w:rPr>
        <w:t>.</w:t>
      </w:r>
    </w:p>
    <w:p w:rsidR="00BF5459" w:rsidRPr="000C2C97" w:rsidRDefault="00743FAE" w:rsidP="000C2C97">
      <w:pPr>
        <w:spacing w:before="240" w:after="0"/>
        <w:jc w:val="center"/>
        <w:rPr>
          <w:rFonts w:eastAsia="Calibri" w:cstheme="minorHAnsi"/>
          <w:b/>
          <w:bCs/>
          <w:i/>
          <w:iCs/>
          <w:sz w:val="24"/>
          <w:szCs w:val="24"/>
          <w:rtl/>
        </w:rPr>
      </w:pPr>
      <w:r w:rsidRPr="000C2C97">
        <w:rPr>
          <w:rFonts w:eastAsia="Calibri" w:cstheme="minorHAnsi"/>
          <w:b/>
          <w:bCs/>
          <w:i/>
          <w:iCs/>
          <w:sz w:val="24"/>
          <w:szCs w:val="24"/>
        </w:rPr>
        <w:t xml:space="preserve"> Table (2)</w:t>
      </w:r>
      <w:r>
        <w:rPr>
          <w:rFonts w:eastAsia="Calibri" w:cs="Calibri"/>
          <w:b/>
          <w:bCs/>
          <w:i/>
          <w:iCs/>
          <w:sz w:val="24"/>
          <w:szCs w:val="24"/>
        </w:rPr>
        <w:t xml:space="preserve"> </w:t>
      </w:r>
      <w:r w:rsidRPr="000C2C97">
        <w:rPr>
          <w:rFonts w:eastAsia="Calibri" w:cstheme="minorHAnsi"/>
          <w:b/>
          <w:bCs/>
          <w:i/>
          <w:iCs/>
          <w:sz w:val="24"/>
          <w:szCs w:val="24"/>
        </w:rPr>
        <w:t xml:space="preserve">Reliability Coefficients Relating to </w:t>
      </w:r>
      <w:r>
        <w:rPr>
          <w:rFonts w:eastAsia="Calibri" w:cs="Calibri"/>
          <w:b/>
          <w:bCs/>
          <w:i/>
          <w:iCs/>
          <w:sz w:val="24"/>
          <w:szCs w:val="24"/>
        </w:rPr>
        <w:t xml:space="preserve">the </w:t>
      </w:r>
      <w:r w:rsidRPr="000C2C97">
        <w:rPr>
          <w:rFonts w:eastAsia="Calibri" w:cstheme="minorHAnsi"/>
          <w:b/>
          <w:bCs/>
          <w:i/>
          <w:iCs/>
          <w:sz w:val="24"/>
          <w:szCs w:val="24"/>
        </w:rPr>
        <w:t>Computational Self-Efficacy Scale</w:t>
      </w:r>
    </w:p>
    <w:tbl>
      <w:tblPr>
        <w:tblStyle w:val="aa"/>
        <w:bidiVisual/>
        <w:tblW w:w="0" w:type="auto"/>
        <w:tblInd w:w="360" w:type="dxa"/>
        <w:tblLook w:val="04A0" w:firstRow="1" w:lastRow="0" w:firstColumn="1" w:lastColumn="0" w:noHBand="0" w:noVBand="1"/>
      </w:tblPr>
      <w:tblGrid>
        <w:gridCol w:w="1356"/>
        <w:gridCol w:w="929"/>
        <w:gridCol w:w="2285"/>
        <w:gridCol w:w="1478"/>
        <w:gridCol w:w="3168"/>
      </w:tblGrid>
      <w:tr w:rsidR="00A34770" w:rsidTr="00B17A04">
        <w:tc>
          <w:tcPr>
            <w:tcW w:w="1356" w:type="dxa"/>
          </w:tcPr>
          <w:p w:rsidR="00B17A04" w:rsidRPr="003725CA" w:rsidRDefault="00743FAE" w:rsidP="00BF5459">
            <w:pPr>
              <w:bidi/>
              <w:jc w:val="center"/>
              <w:rPr>
                <w:b/>
                <w:bCs/>
                <w:sz w:val="24"/>
                <w:szCs w:val="24"/>
                <w:rtl/>
              </w:rPr>
            </w:pPr>
            <w:r w:rsidRPr="003725CA">
              <w:rPr>
                <w:b/>
                <w:bCs/>
                <w:sz w:val="24"/>
                <w:szCs w:val="24"/>
              </w:rPr>
              <w:t>Reliability Level</w:t>
            </w:r>
          </w:p>
        </w:tc>
        <w:tc>
          <w:tcPr>
            <w:tcW w:w="929" w:type="dxa"/>
          </w:tcPr>
          <w:p w:rsidR="00B17A04" w:rsidRPr="003725CA" w:rsidRDefault="00743FAE" w:rsidP="00BF5459">
            <w:pPr>
              <w:bidi/>
              <w:jc w:val="center"/>
              <w:rPr>
                <w:b/>
                <w:bCs/>
                <w:sz w:val="24"/>
                <w:szCs w:val="24"/>
                <w:rtl/>
              </w:rPr>
            </w:pPr>
            <w:r w:rsidRPr="003725CA">
              <w:rPr>
                <w:b/>
                <w:bCs/>
                <w:sz w:val="24"/>
                <w:szCs w:val="24"/>
              </w:rPr>
              <w:t>Sig.</w:t>
            </w:r>
          </w:p>
        </w:tc>
        <w:tc>
          <w:tcPr>
            <w:tcW w:w="2285" w:type="dxa"/>
          </w:tcPr>
          <w:p w:rsidR="00B17A04" w:rsidRPr="003725CA" w:rsidRDefault="00743FAE">
            <w:pPr>
              <w:pStyle w:val="Pa11"/>
              <w:rPr>
                <w:sz w:val="16"/>
                <w:szCs w:val="16"/>
              </w:rPr>
            </w:pPr>
            <w:r w:rsidRPr="003725CA">
              <w:rPr>
                <w:rStyle w:val="A00"/>
                <w:color w:val="auto"/>
              </w:rPr>
              <w:t>Cronbach’s Alpha Coefficient</w:t>
            </w:r>
          </w:p>
        </w:tc>
        <w:tc>
          <w:tcPr>
            <w:tcW w:w="1478" w:type="dxa"/>
          </w:tcPr>
          <w:tbl>
            <w:tblPr>
              <w:tblW w:w="0" w:type="auto"/>
              <w:tblBorders>
                <w:top w:val="nil"/>
                <w:left w:val="nil"/>
                <w:bottom w:val="nil"/>
                <w:right w:val="nil"/>
              </w:tblBorders>
              <w:tblLook w:val="0000" w:firstRow="0" w:lastRow="0" w:firstColumn="0" w:lastColumn="0" w:noHBand="0" w:noVBand="0"/>
            </w:tblPr>
            <w:tblGrid>
              <w:gridCol w:w="1262"/>
            </w:tblGrid>
            <w:tr w:rsidR="00A34770">
              <w:trPr>
                <w:trHeight w:val="105"/>
              </w:trPr>
              <w:tc>
                <w:tcPr>
                  <w:tcW w:w="0" w:type="auto"/>
                </w:tcPr>
                <w:p w:rsidR="00B17A04" w:rsidRPr="003725CA" w:rsidRDefault="00743FAE" w:rsidP="00B17A04">
                  <w:pPr>
                    <w:bidi/>
                    <w:spacing w:after="0" w:line="240" w:lineRule="auto"/>
                    <w:jc w:val="center"/>
                    <w:rPr>
                      <w:b/>
                      <w:bCs/>
                      <w:sz w:val="24"/>
                      <w:szCs w:val="24"/>
                    </w:rPr>
                  </w:pPr>
                  <w:r w:rsidRPr="003725CA">
                    <w:rPr>
                      <w:b/>
                      <w:bCs/>
                      <w:sz w:val="24"/>
                      <w:szCs w:val="24"/>
                    </w:rPr>
                    <w:t>Number of Items</w:t>
                  </w:r>
                </w:p>
              </w:tc>
            </w:tr>
          </w:tbl>
          <w:p w:rsidR="00B17A04" w:rsidRPr="003725CA" w:rsidRDefault="00B17A04" w:rsidP="00BF5459">
            <w:pPr>
              <w:bidi/>
              <w:jc w:val="center"/>
              <w:rPr>
                <w:b/>
                <w:bCs/>
                <w:sz w:val="24"/>
                <w:szCs w:val="24"/>
                <w:rtl/>
              </w:rPr>
            </w:pPr>
          </w:p>
        </w:tc>
        <w:tc>
          <w:tcPr>
            <w:tcW w:w="3168" w:type="dxa"/>
          </w:tcPr>
          <w:p w:rsidR="00B17A04" w:rsidRPr="003725CA" w:rsidRDefault="00743FAE" w:rsidP="00BF5459">
            <w:pPr>
              <w:bidi/>
              <w:jc w:val="center"/>
              <w:rPr>
                <w:b/>
                <w:bCs/>
                <w:sz w:val="24"/>
                <w:szCs w:val="24"/>
              </w:rPr>
            </w:pPr>
            <w:r w:rsidRPr="003725CA">
              <w:rPr>
                <w:b/>
                <w:bCs/>
                <w:sz w:val="24"/>
                <w:szCs w:val="24"/>
              </w:rPr>
              <w:t>Dimension</w:t>
            </w:r>
          </w:p>
        </w:tc>
      </w:tr>
      <w:tr w:rsidR="00A34770" w:rsidTr="00B17A04">
        <w:tc>
          <w:tcPr>
            <w:tcW w:w="1356" w:type="dxa"/>
          </w:tcPr>
          <w:p w:rsidR="00B17A04" w:rsidRPr="003725CA" w:rsidRDefault="00743FAE" w:rsidP="00BF5459">
            <w:pPr>
              <w:bidi/>
              <w:jc w:val="center"/>
              <w:rPr>
                <w:b/>
                <w:bCs/>
                <w:sz w:val="24"/>
                <w:szCs w:val="24"/>
                <w:rtl/>
              </w:rPr>
            </w:pPr>
            <w:r w:rsidRPr="003725CA">
              <w:rPr>
                <w:b/>
                <w:bCs/>
                <w:sz w:val="24"/>
                <w:szCs w:val="24"/>
              </w:rPr>
              <w:t>high</w:t>
            </w:r>
          </w:p>
        </w:tc>
        <w:tc>
          <w:tcPr>
            <w:tcW w:w="929" w:type="dxa"/>
          </w:tcPr>
          <w:p w:rsidR="00B17A04" w:rsidRPr="003725CA" w:rsidRDefault="00743FAE" w:rsidP="00BF5459">
            <w:pPr>
              <w:bidi/>
              <w:jc w:val="center"/>
              <w:rPr>
                <w:b/>
                <w:bCs/>
                <w:sz w:val="24"/>
                <w:szCs w:val="24"/>
                <w:rtl/>
              </w:rPr>
            </w:pPr>
            <w:r w:rsidRPr="003725CA">
              <w:rPr>
                <w:b/>
                <w:bCs/>
                <w:sz w:val="24"/>
                <w:szCs w:val="24"/>
              </w:rPr>
              <w:t>0.01</w:t>
            </w:r>
          </w:p>
        </w:tc>
        <w:tc>
          <w:tcPr>
            <w:tcW w:w="2285" w:type="dxa"/>
          </w:tcPr>
          <w:p w:rsidR="00B17A04" w:rsidRPr="003725CA" w:rsidRDefault="00743FAE" w:rsidP="00BF5459">
            <w:pPr>
              <w:bidi/>
              <w:jc w:val="center"/>
              <w:rPr>
                <w:b/>
                <w:bCs/>
                <w:sz w:val="24"/>
                <w:szCs w:val="24"/>
                <w:rtl/>
              </w:rPr>
            </w:pPr>
            <w:r w:rsidRPr="003725CA">
              <w:rPr>
                <w:b/>
                <w:bCs/>
                <w:sz w:val="24"/>
                <w:szCs w:val="24"/>
              </w:rPr>
              <w:t>0.81</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Algorithms</w:t>
            </w:r>
          </w:p>
        </w:tc>
      </w:tr>
      <w:tr w:rsidR="00A34770" w:rsidTr="00B17A04">
        <w:tc>
          <w:tcPr>
            <w:tcW w:w="1356" w:type="dxa"/>
          </w:tcPr>
          <w:p w:rsidR="00B17A04" w:rsidRPr="003725CA" w:rsidRDefault="00743FAE" w:rsidP="00B17A04">
            <w:pPr>
              <w:jc w:val="center"/>
            </w:pPr>
            <w:r w:rsidRPr="003725CA">
              <w:rPr>
                <w:b/>
                <w:bCs/>
                <w:sz w:val="24"/>
                <w:szCs w:val="24"/>
              </w:rPr>
              <w:t>high</w:t>
            </w:r>
          </w:p>
        </w:tc>
        <w:tc>
          <w:tcPr>
            <w:tcW w:w="929" w:type="dxa"/>
          </w:tcPr>
          <w:p w:rsidR="00B17A04" w:rsidRPr="003725CA" w:rsidRDefault="00743FAE">
            <w:r w:rsidRPr="003725CA">
              <w:t>0.01</w:t>
            </w:r>
          </w:p>
        </w:tc>
        <w:tc>
          <w:tcPr>
            <w:tcW w:w="2285" w:type="dxa"/>
          </w:tcPr>
          <w:p w:rsidR="00B17A04" w:rsidRPr="003725CA" w:rsidRDefault="00743FAE" w:rsidP="00BF5459">
            <w:pPr>
              <w:bidi/>
              <w:jc w:val="center"/>
              <w:rPr>
                <w:b/>
                <w:bCs/>
                <w:sz w:val="24"/>
                <w:szCs w:val="24"/>
                <w:rtl/>
              </w:rPr>
            </w:pPr>
            <w:r w:rsidRPr="003725CA">
              <w:rPr>
                <w:b/>
                <w:bCs/>
                <w:sz w:val="24"/>
                <w:szCs w:val="24"/>
              </w:rPr>
              <w:t>0.87</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Abstraction</w:t>
            </w:r>
          </w:p>
        </w:tc>
      </w:tr>
      <w:tr w:rsidR="00A34770" w:rsidTr="00B17A04">
        <w:tc>
          <w:tcPr>
            <w:tcW w:w="1356" w:type="dxa"/>
          </w:tcPr>
          <w:p w:rsidR="00B17A04" w:rsidRPr="003725CA" w:rsidRDefault="00743FAE" w:rsidP="00B17A04">
            <w:pPr>
              <w:jc w:val="center"/>
            </w:pPr>
            <w:r w:rsidRPr="003725CA">
              <w:rPr>
                <w:b/>
                <w:bCs/>
                <w:sz w:val="24"/>
                <w:szCs w:val="24"/>
              </w:rPr>
              <w:lastRenderedPageBreak/>
              <w:t>high</w:t>
            </w:r>
          </w:p>
        </w:tc>
        <w:tc>
          <w:tcPr>
            <w:tcW w:w="929" w:type="dxa"/>
          </w:tcPr>
          <w:p w:rsidR="00B17A04" w:rsidRPr="003725CA" w:rsidRDefault="00743FAE">
            <w:r w:rsidRPr="003725CA">
              <w:t>0.01</w:t>
            </w:r>
          </w:p>
        </w:tc>
        <w:tc>
          <w:tcPr>
            <w:tcW w:w="2285" w:type="dxa"/>
          </w:tcPr>
          <w:p w:rsidR="00B17A04" w:rsidRPr="003725CA" w:rsidRDefault="00743FAE" w:rsidP="00BF5459">
            <w:pPr>
              <w:bidi/>
              <w:jc w:val="center"/>
              <w:rPr>
                <w:b/>
                <w:bCs/>
                <w:sz w:val="24"/>
                <w:szCs w:val="24"/>
                <w:rtl/>
              </w:rPr>
            </w:pPr>
            <w:r w:rsidRPr="003725CA">
              <w:rPr>
                <w:b/>
                <w:bCs/>
                <w:sz w:val="24"/>
                <w:szCs w:val="24"/>
              </w:rPr>
              <w:t>0.80</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Problem Decomposition</w:t>
            </w:r>
          </w:p>
        </w:tc>
      </w:tr>
      <w:tr w:rsidR="00A34770" w:rsidTr="00B17A04">
        <w:tc>
          <w:tcPr>
            <w:tcW w:w="1356" w:type="dxa"/>
          </w:tcPr>
          <w:p w:rsidR="00B17A04" w:rsidRPr="003725CA" w:rsidRDefault="00743FAE" w:rsidP="00B17A04">
            <w:pPr>
              <w:jc w:val="center"/>
            </w:pPr>
            <w:r w:rsidRPr="003725CA">
              <w:rPr>
                <w:b/>
                <w:bCs/>
                <w:sz w:val="24"/>
                <w:szCs w:val="24"/>
              </w:rPr>
              <w:t>high</w:t>
            </w:r>
          </w:p>
        </w:tc>
        <w:tc>
          <w:tcPr>
            <w:tcW w:w="929" w:type="dxa"/>
          </w:tcPr>
          <w:p w:rsidR="00B17A04" w:rsidRPr="003725CA" w:rsidRDefault="00743FAE">
            <w:r w:rsidRPr="003725CA">
              <w:t>0.01</w:t>
            </w:r>
          </w:p>
        </w:tc>
        <w:tc>
          <w:tcPr>
            <w:tcW w:w="2285" w:type="dxa"/>
          </w:tcPr>
          <w:p w:rsidR="00B17A04" w:rsidRPr="003725CA" w:rsidRDefault="00743FAE" w:rsidP="00BF5459">
            <w:pPr>
              <w:bidi/>
              <w:jc w:val="center"/>
              <w:rPr>
                <w:b/>
                <w:bCs/>
                <w:sz w:val="24"/>
                <w:szCs w:val="24"/>
                <w:rtl/>
              </w:rPr>
            </w:pPr>
            <w:r w:rsidRPr="003725CA">
              <w:rPr>
                <w:b/>
                <w:bCs/>
                <w:sz w:val="24"/>
                <w:szCs w:val="24"/>
              </w:rPr>
              <w:t>0.86</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Parallelization</w:t>
            </w:r>
          </w:p>
        </w:tc>
      </w:tr>
      <w:tr w:rsidR="00A34770" w:rsidTr="00B17A04">
        <w:tc>
          <w:tcPr>
            <w:tcW w:w="1356" w:type="dxa"/>
          </w:tcPr>
          <w:p w:rsidR="00B17A04" w:rsidRPr="003725CA" w:rsidRDefault="00743FAE" w:rsidP="00B17A04">
            <w:pPr>
              <w:jc w:val="center"/>
            </w:pPr>
            <w:r w:rsidRPr="003725CA">
              <w:rPr>
                <w:b/>
                <w:bCs/>
                <w:sz w:val="24"/>
                <w:szCs w:val="24"/>
              </w:rPr>
              <w:t>high</w:t>
            </w:r>
          </w:p>
        </w:tc>
        <w:tc>
          <w:tcPr>
            <w:tcW w:w="929" w:type="dxa"/>
          </w:tcPr>
          <w:p w:rsidR="00B17A04" w:rsidRPr="003725CA" w:rsidRDefault="00743FAE">
            <w:r w:rsidRPr="003725CA">
              <w:t>0.01</w:t>
            </w:r>
          </w:p>
        </w:tc>
        <w:tc>
          <w:tcPr>
            <w:tcW w:w="2285" w:type="dxa"/>
          </w:tcPr>
          <w:p w:rsidR="00B17A04" w:rsidRPr="003725CA" w:rsidRDefault="00743FAE" w:rsidP="00BF5459">
            <w:pPr>
              <w:bidi/>
              <w:jc w:val="center"/>
              <w:rPr>
                <w:b/>
                <w:bCs/>
                <w:sz w:val="24"/>
                <w:szCs w:val="24"/>
                <w:rtl/>
              </w:rPr>
            </w:pPr>
            <w:r w:rsidRPr="003725CA">
              <w:rPr>
                <w:b/>
                <w:bCs/>
                <w:sz w:val="24"/>
                <w:szCs w:val="24"/>
              </w:rPr>
              <w:t>0.85</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Data Collection</w:t>
            </w:r>
          </w:p>
        </w:tc>
      </w:tr>
      <w:tr w:rsidR="00A34770" w:rsidTr="00B17A04">
        <w:tc>
          <w:tcPr>
            <w:tcW w:w="1356" w:type="dxa"/>
          </w:tcPr>
          <w:p w:rsidR="00B17A04" w:rsidRPr="003725CA" w:rsidRDefault="00743FAE" w:rsidP="00B17A04">
            <w:pPr>
              <w:jc w:val="center"/>
            </w:pPr>
            <w:r w:rsidRPr="003725CA">
              <w:rPr>
                <w:b/>
                <w:bCs/>
                <w:sz w:val="24"/>
                <w:szCs w:val="24"/>
              </w:rPr>
              <w:t>high</w:t>
            </w:r>
          </w:p>
        </w:tc>
        <w:tc>
          <w:tcPr>
            <w:tcW w:w="929" w:type="dxa"/>
          </w:tcPr>
          <w:p w:rsidR="00B17A04" w:rsidRPr="003725CA" w:rsidRDefault="00743FAE">
            <w:r w:rsidRPr="003725CA">
              <w:t>0.01</w:t>
            </w:r>
          </w:p>
        </w:tc>
        <w:tc>
          <w:tcPr>
            <w:tcW w:w="2285" w:type="dxa"/>
          </w:tcPr>
          <w:p w:rsidR="00B17A04" w:rsidRPr="003725CA" w:rsidRDefault="00743FAE" w:rsidP="00BF5459">
            <w:pPr>
              <w:bidi/>
              <w:jc w:val="center"/>
              <w:rPr>
                <w:b/>
                <w:bCs/>
                <w:sz w:val="24"/>
                <w:szCs w:val="24"/>
                <w:rtl/>
              </w:rPr>
            </w:pPr>
            <w:r w:rsidRPr="003725CA">
              <w:rPr>
                <w:b/>
                <w:bCs/>
                <w:sz w:val="24"/>
                <w:szCs w:val="24"/>
              </w:rPr>
              <w:t>0.88</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Control Flow</w:t>
            </w:r>
          </w:p>
        </w:tc>
      </w:tr>
      <w:tr w:rsidR="00A34770" w:rsidTr="00B17A04">
        <w:tc>
          <w:tcPr>
            <w:tcW w:w="1356" w:type="dxa"/>
          </w:tcPr>
          <w:p w:rsidR="00B17A04" w:rsidRPr="003725CA" w:rsidRDefault="00743FAE" w:rsidP="00B17A04">
            <w:pPr>
              <w:jc w:val="center"/>
            </w:pPr>
            <w:r w:rsidRPr="003725CA">
              <w:rPr>
                <w:b/>
                <w:bCs/>
                <w:sz w:val="24"/>
                <w:szCs w:val="24"/>
              </w:rPr>
              <w:t>high</w:t>
            </w:r>
          </w:p>
        </w:tc>
        <w:tc>
          <w:tcPr>
            <w:tcW w:w="929" w:type="dxa"/>
          </w:tcPr>
          <w:p w:rsidR="00B17A04" w:rsidRPr="003725CA" w:rsidRDefault="00743FAE">
            <w:r w:rsidRPr="003725CA">
              <w:t>0.01</w:t>
            </w:r>
          </w:p>
        </w:tc>
        <w:tc>
          <w:tcPr>
            <w:tcW w:w="2285" w:type="dxa"/>
          </w:tcPr>
          <w:p w:rsidR="00B17A04" w:rsidRPr="003725CA" w:rsidRDefault="00743FAE" w:rsidP="00BF5459">
            <w:pPr>
              <w:bidi/>
              <w:jc w:val="center"/>
              <w:rPr>
                <w:b/>
                <w:bCs/>
                <w:sz w:val="24"/>
                <w:szCs w:val="24"/>
                <w:rtl/>
              </w:rPr>
            </w:pPr>
            <w:r w:rsidRPr="003725CA">
              <w:rPr>
                <w:b/>
                <w:bCs/>
                <w:sz w:val="24"/>
                <w:szCs w:val="24"/>
              </w:rPr>
              <w:t>0.81</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Incremental and Iterative</w:t>
            </w:r>
          </w:p>
        </w:tc>
      </w:tr>
      <w:tr w:rsidR="00A34770" w:rsidTr="00B17A04">
        <w:tc>
          <w:tcPr>
            <w:tcW w:w="1356" w:type="dxa"/>
          </w:tcPr>
          <w:p w:rsidR="00B17A04" w:rsidRPr="003725CA" w:rsidRDefault="00743FAE" w:rsidP="00B17A04">
            <w:pPr>
              <w:jc w:val="center"/>
            </w:pPr>
            <w:r w:rsidRPr="003725CA">
              <w:rPr>
                <w:b/>
                <w:bCs/>
                <w:sz w:val="24"/>
                <w:szCs w:val="24"/>
              </w:rPr>
              <w:t>high</w:t>
            </w:r>
          </w:p>
        </w:tc>
        <w:tc>
          <w:tcPr>
            <w:tcW w:w="929" w:type="dxa"/>
          </w:tcPr>
          <w:p w:rsidR="00B17A04" w:rsidRPr="003725CA" w:rsidRDefault="00743FAE">
            <w:r w:rsidRPr="003725CA">
              <w:t>0.01</w:t>
            </w:r>
          </w:p>
        </w:tc>
        <w:tc>
          <w:tcPr>
            <w:tcW w:w="2285" w:type="dxa"/>
          </w:tcPr>
          <w:p w:rsidR="00B17A04" w:rsidRPr="003725CA" w:rsidRDefault="00743FAE" w:rsidP="00BF5459">
            <w:pPr>
              <w:bidi/>
              <w:jc w:val="center"/>
              <w:rPr>
                <w:b/>
                <w:bCs/>
                <w:sz w:val="24"/>
                <w:szCs w:val="24"/>
                <w:rtl/>
              </w:rPr>
            </w:pPr>
            <w:r w:rsidRPr="003725CA">
              <w:rPr>
                <w:b/>
                <w:bCs/>
                <w:sz w:val="24"/>
                <w:szCs w:val="24"/>
              </w:rPr>
              <w:t>0.82</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Testing and Debugging</w:t>
            </w:r>
          </w:p>
        </w:tc>
      </w:tr>
      <w:tr w:rsidR="00A34770" w:rsidTr="00B17A04">
        <w:tc>
          <w:tcPr>
            <w:tcW w:w="1356" w:type="dxa"/>
          </w:tcPr>
          <w:p w:rsidR="00B17A04" w:rsidRPr="003725CA" w:rsidRDefault="00743FAE" w:rsidP="00B17A04">
            <w:pPr>
              <w:jc w:val="center"/>
            </w:pPr>
            <w:r w:rsidRPr="003725CA">
              <w:rPr>
                <w:b/>
                <w:bCs/>
                <w:sz w:val="24"/>
                <w:szCs w:val="24"/>
              </w:rPr>
              <w:t>high</w:t>
            </w:r>
          </w:p>
        </w:tc>
        <w:tc>
          <w:tcPr>
            <w:tcW w:w="929" w:type="dxa"/>
          </w:tcPr>
          <w:p w:rsidR="00B17A04" w:rsidRPr="003725CA" w:rsidRDefault="00743FAE">
            <w:r w:rsidRPr="003725CA">
              <w:t>0.01</w:t>
            </w:r>
          </w:p>
        </w:tc>
        <w:tc>
          <w:tcPr>
            <w:tcW w:w="2285" w:type="dxa"/>
          </w:tcPr>
          <w:p w:rsidR="00B17A04" w:rsidRPr="003725CA" w:rsidRDefault="00743FAE" w:rsidP="00BF5459">
            <w:pPr>
              <w:bidi/>
              <w:jc w:val="center"/>
              <w:rPr>
                <w:b/>
                <w:bCs/>
                <w:sz w:val="24"/>
                <w:szCs w:val="24"/>
                <w:rtl/>
              </w:rPr>
            </w:pPr>
            <w:r w:rsidRPr="003725CA">
              <w:rPr>
                <w:b/>
                <w:bCs/>
                <w:sz w:val="24"/>
                <w:szCs w:val="24"/>
              </w:rPr>
              <w:t>0.86</w:t>
            </w:r>
          </w:p>
        </w:tc>
        <w:tc>
          <w:tcPr>
            <w:tcW w:w="1478" w:type="dxa"/>
          </w:tcPr>
          <w:p w:rsidR="00B17A04" w:rsidRPr="003725CA" w:rsidRDefault="00743FAE" w:rsidP="00BF5459">
            <w:pPr>
              <w:bidi/>
              <w:jc w:val="center"/>
              <w:rPr>
                <w:b/>
                <w:bCs/>
                <w:sz w:val="24"/>
                <w:szCs w:val="24"/>
                <w:rtl/>
              </w:rPr>
            </w:pPr>
            <w:r w:rsidRPr="003725CA">
              <w:rPr>
                <w:b/>
                <w:bCs/>
                <w:sz w:val="24"/>
                <w:szCs w:val="24"/>
              </w:rPr>
              <w:t>3</w:t>
            </w:r>
          </w:p>
        </w:tc>
        <w:tc>
          <w:tcPr>
            <w:tcW w:w="3168" w:type="dxa"/>
          </w:tcPr>
          <w:p w:rsidR="00B17A04" w:rsidRPr="003725CA" w:rsidRDefault="00743FAE" w:rsidP="00B17A04">
            <w:pPr>
              <w:bidi/>
              <w:jc w:val="center"/>
              <w:rPr>
                <w:b/>
                <w:bCs/>
                <w:sz w:val="24"/>
                <w:szCs w:val="24"/>
                <w:rtl/>
              </w:rPr>
            </w:pPr>
            <w:r w:rsidRPr="003725CA">
              <w:rPr>
                <w:b/>
                <w:bCs/>
                <w:sz w:val="24"/>
                <w:szCs w:val="24"/>
              </w:rPr>
              <w:t>Questioning</w:t>
            </w:r>
          </w:p>
        </w:tc>
      </w:tr>
      <w:tr w:rsidR="00A34770" w:rsidTr="00B17A04">
        <w:tc>
          <w:tcPr>
            <w:tcW w:w="1356" w:type="dxa"/>
          </w:tcPr>
          <w:p w:rsidR="00B17A04" w:rsidRPr="003725CA" w:rsidRDefault="00743FAE" w:rsidP="00B17A04">
            <w:pPr>
              <w:jc w:val="center"/>
            </w:pPr>
            <w:r w:rsidRPr="003725CA">
              <w:rPr>
                <w:b/>
                <w:bCs/>
                <w:sz w:val="24"/>
                <w:szCs w:val="24"/>
              </w:rPr>
              <w:t>high</w:t>
            </w:r>
          </w:p>
        </w:tc>
        <w:tc>
          <w:tcPr>
            <w:tcW w:w="929" w:type="dxa"/>
          </w:tcPr>
          <w:p w:rsidR="00B17A04" w:rsidRPr="003725CA" w:rsidRDefault="00743FAE">
            <w:r w:rsidRPr="003725CA">
              <w:t>0.01</w:t>
            </w:r>
          </w:p>
        </w:tc>
        <w:tc>
          <w:tcPr>
            <w:tcW w:w="2285" w:type="dxa"/>
          </w:tcPr>
          <w:p w:rsidR="00B17A04" w:rsidRPr="003725CA" w:rsidRDefault="00743FAE" w:rsidP="00F829B9">
            <w:pPr>
              <w:bidi/>
              <w:jc w:val="center"/>
              <w:rPr>
                <w:b/>
                <w:bCs/>
                <w:sz w:val="24"/>
                <w:szCs w:val="24"/>
                <w:rtl/>
              </w:rPr>
            </w:pPr>
            <w:r w:rsidRPr="003725CA">
              <w:rPr>
                <w:b/>
                <w:bCs/>
                <w:sz w:val="24"/>
                <w:szCs w:val="24"/>
              </w:rPr>
              <w:t>0.85</w:t>
            </w:r>
          </w:p>
        </w:tc>
        <w:tc>
          <w:tcPr>
            <w:tcW w:w="1478" w:type="dxa"/>
          </w:tcPr>
          <w:p w:rsidR="00B17A04" w:rsidRPr="003725CA" w:rsidRDefault="00743FAE" w:rsidP="00BF5459">
            <w:pPr>
              <w:bidi/>
              <w:jc w:val="center"/>
              <w:rPr>
                <w:b/>
                <w:bCs/>
                <w:sz w:val="24"/>
                <w:szCs w:val="24"/>
                <w:rtl/>
              </w:rPr>
            </w:pPr>
            <w:r w:rsidRPr="003725CA">
              <w:rPr>
                <w:b/>
                <w:bCs/>
                <w:sz w:val="24"/>
                <w:szCs w:val="24"/>
              </w:rPr>
              <w:t>27</w:t>
            </w:r>
          </w:p>
        </w:tc>
        <w:tc>
          <w:tcPr>
            <w:tcW w:w="3168" w:type="dxa"/>
          </w:tcPr>
          <w:p w:rsidR="00B17A04" w:rsidRPr="003725CA" w:rsidRDefault="00743FAE" w:rsidP="00B17A04">
            <w:pPr>
              <w:bidi/>
              <w:jc w:val="center"/>
              <w:rPr>
                <w:b/>
                <w:bCs/>
                <w:sz w:val="24"/>
                <w:szCs w:val="24"/>
                <w:rtl/>
              </w:rPr>
            </w:pPr>
            <w:r w:rsidRPr="003725CA">
              <w:rPr>
                <w:b/>
                <w:bCs/>
                <w:sz w:val="24"/>
                <w:szCs w:val="24"/>
              </w:rPr>
              <w:t>Computational Thinking Self-Efficacy Scale</w:t>
            </w:r>
          </w:p>
        </w:tc>
      </w:tr>
    </w:tbl>
    <w:p w:rsidR="00037371" w:rsidRDefault="00743FAE" w:rsidP="009C5B7F">
      <w:pPr>
        <w:spacing w:before="240" w:after="0"/>
        <w:jc w:val="both"/>
        <w:rPr>
          <w:rFonts w:eastAsia="Calibri" w:cstheme="minorHAnsi"/>
          <w:sz w:val="24"/>
          <w:szCs w:val="24"/>
          <w:rtl/>
        </w:rPr>
      </w:pPr>
      <w:r w:rsidRPr="00037371">
        <w:rPr>
          <w:rFonts w:eastAsia="Calibri" w:cstheme="minorHAnsi"/>
          <w:sz w:val="24"/>
          <w:szCs w:val="24"/>
        </w:rPr>
        <w:t xml:space="preserve">The validity of the scale was also calculated </w:t>
      </w:r>
      <w:r>
        <w:rPr>
          <w:rFonts w:eastAsia="Calibri" w:cs="Calibri"/>
          <w:sz w:val="24"/>
          <w:szCs w:val="24"/>
        </w:rPr>
        <w:t>via</w:t>
      </w:r>
      <w:r w:rsidRPr="00037371">
        <w:rPr>
          <w:rFonts w:eastAsia="Calibri" w:cstheme="minorHAnsi"/>
          <w:sz w:val="24"/>
          <w:szCs w:val="24"/>
        </w:rPr>
        <w:t xml:space="preserve"> the internal consistency method by calculating the correlation coefficient between the dimensions of the computational self-efficacy scale and the correlation coefficients between the dimensions of the computational self-efficacy scale and the scale as a whole</w:t>
      </w:r>
      <w:r>
        <w:rPr>
          <w:rFonts w:eastAsia="Calibri" w:cs="Calibri"/>
          <w:sz w:val="24"/>
          <w:szCs w:val="24"/>
        </w:rPr>
        <w:t>,</w:t>
      </w:r>
      <w:r w:rsidRPr="00037371">
        <w:rPr>
          <w:rFonts w:eastAsia="Calibri" w:cstheme="minorHAnsi"/>
          <w:sz w:val="24"/>
          <w:szCs w:val="24"/>
        </w:rPr>
        <w:t xml:space="preserve"> which ranged between 0.79</w:t>
      </w:r>
      <w:r>
        <w:rPr>
          <w:rFonts w:eastAsia="Calibri" w:cs="Calibri"/>
          <w:sz w:val="24"/>
          <w:szCs w:val="24"/>
        </w:rPr>
        <w:t xml:space="preserve"> and </w:t>
      </w:r>
      <w:r w:rsidRPr="00037371">
        <w:rPr>
          <w:rFonts w:eastAsia="Calibri" w:cstheme="minorHAnsi"/>
          <w:sz w:val="24"/>
          <w:szCs w:val="24"/>
        </w:rPr>
        <w:t xml:space="preserve">0.88 and </w:t>
      </w:r>
      <w:r>
        <w:rPr>
          <w:rFonts w:eastAsia="Calibri" w:cs="Calibri"/>
          <w:sz w:val="24"/>
          <w:szCs w:val="24"/>
        </w:rPr>
        <w:t>was</w:t>
      </w:r>
      <w:r w:rsidRPr="00037371">
        <w:rPr>
          <w:rFonts w:eastAsia="Calibri" w:cstheme="minorHAnsi"/>
          <w:sz w:val="24"/>
          <w:szCs w:val="24"/>
        </w:rPr>
        <w:t xml:space="preserve"> significant at the 0.01 level. This indicates that the scale has high scores of validity, stability and internal consistency</w:t>
      </w:r>
      <w:r w:rsidRPr="00037371">
        <w:rPr>
          <w:rFonts w:eastAsia="Calibri" w:cstheme="minorHAnsi"/>
          <w:sz w:val="24"/>
          <w:szCs w:val="24"/>
          <w:rtl/>
        </w:rPr>
        <w:t>.</w:t>
      </w:r>
    </w:p>
    <w:p w:rsidR="00037371" w:rsidRPr="00037371" w:rsidRDefault="00743FAE" w:rsidP="00037371">
      <w:pPr>
        <w:spacing w:before="240" w:after="0"/>
        <w:rPr>
          <w:rFonts w:eastAsia="Calibri" w:cstheme="minorHAnsi"/>
          <w:b/>
          <w:bCs/>
          <w:i/>
          <w:iCs/>
          <w:sz w:val="24"/>
          <w:szCs w:val="24"/>
        </w:rPr>
      </w:pPr>
      <w:r w:rsidRPr="00037371">
        <w:rPr>
          <w:rFonts w:eastAsia="Calibri" w:cstheme="minorHAnsi"/>
          <w:b/>
          <w:bCs/>
          <w:i/>
          <w:iCs/>
          <w:sz w:val="24"/>
          <w:szCs w:val="24"/>
        </w:rPr>
        <w:t>Academic Well-Being Scale</w:t>
      </w:r>
    </w:p>
    <w:p w:rsidR="00037371" w:rsidRPr="00037371" w:rsidRDefault="009C5B7F" w:rsidP="009C5B7F">
      <w:pPr>
        <w:spacing w:before="240" w:after="0"/>
        <w:jc w:val="both"/>
        <w:rPr>
          <w:rFonts w:eastAsia="Calibri" w:cstheme="minorHAnsi"/>
          <w:sz w:val="24"/>
          <w:szCs w:val="24"/>
          <w:rtl/>
        </w:rPr>
      </w:pPr>
      <w:r w:rsidRPr="009C5B7F">
        <w:rPr>
          <w:rFonts w:eastAsia="Calibri" w:cstheme="minorHAnsi"/>
          <w:sz w:val="24"/>
          <w:szCs w:val="24"/>
        </w:rPr>
        <w:t xml:space="preserve">The scale aims to measure students' academic well-being. To build the scale's vocabulary, the literature and previous studies that dealt with academic well-being were reviewed (Chávez-Castillo et al., 2023; Moliner et al., 2021; Renshaw, 2018; Nainian et al., 2017; Li et al., 2015; Renshaw &amp; Arslan, 2016; Renshaw &amp; Bolognino, 2016). Accordingly, the tool consists of 15 items distributed </w:t>
      </w:r>
      <w:r w:rsidR="00743FAE">
        <w:rPr>
          <w:rFonts w:eastAsia="Calibri" w:cs="Calibri"/>
          <w:sz w:val="24"/>
          <w:szCs w:val="24"/>
        </w:rPr>
        <w:t>across</w:t>
      </w:r>
      <w:r w:rsidRPr="009C5B7F">
        <w:rPr>
          <w:rFonts w:eastAsia="Calibri" w:cstheme="minorHAnsi"/>
          <w:sz w:val="24"/>
          <w:szCs w:val="24"/>
        </w:rPr>
        <w:t xml:space="preserve"> three dimensions: </w:t>
      </w:r>
      <w:r w:rsidR="00743FAE">
        <w:rPr>
          <w:rFonts w:eastAsia="Calibri" w:cs="Calibri"/>
          <w:sz w:val="24"/>
          <w:szCs w:val="24"/>
        </w:rPr>
        <w:t>academic</w:t>
      </w:r>
      <w:r w:rsidRPr="009C5B7F">
        <w:rPr>
          <w:rFonts w:eastAsia="Calibri" w:cstheme="minorHAnsi"/>
          <w:sz w:val="24"/>
          <w:szCs w:val="24"/>
        </w:rPr>
        <w:t xml:space="preserve"> satisfaction, </w:t>
      </w:r>
      <w:r w:rsidR="00743FAE">
        <w:rPr>
          <w:rFonts w:eastAsia="Calibri" w:cs="Calibri"/>
          <w:sz w:val="24"/>
          <w:szCs w:val="24"/>
        </w:rPr>
        <w:t>academic</w:t>
      </w:r>
      <w:r w:rsidRPr="009C5B7F">
        <w:rPr>
          <w:rFonts w:eastAsia="Calibri" w:cstheme="minorHAnsi"/>
          <w:sz w:val="24"/>
          <w:szCs w:val="24"/>
        </w:rPr>
        <w:t xml:space="preserve"> efficacy and </w:t>
      </w:r>
      <w:r w:rsidR="00743FAE">
        <w:rPr>
          <w:rFonts w:eastAsia="Calibri" w:cs="Calibri"/>
          <w:sz w:val="24"/>
          <w:szCs w:val="24"/>
        </w:rPr>
        <w:t>enjoying</w:t>
      </w:r>
      <w:r w:rsidRPr="009C5B7F">
        <w:rPr>
          <w:rFonts w:eastAsia="Calibri" w:cstheme="minorHAnsi"/>
          <w:sz w:val="24"/>
          <w:szCs w:val="24"/>
        </w:rPr>
        <w:t xml:space="preserve"> learning. The items were sent to 3 experts in the field of education and psychology, and in light of the experts' comments, the required modifications were made. The instrument</w:t>
      </w:r>
      <w:r w:rsidR="00743FAE">
        <w:rPr>
          <w:rFonts w:eastAsia="Calibri" w:cs="Calibri"/>
          <w:sz w:val="24"/>
          <w:szCs w:val="24"/>
        </w:rPr>
        <w:t>,</w:t>
      </w:r>
      <w:r w:rsidRPr="009C5B7F">
        <w:rPr>
          <w:rFonts w:eastAsia="Calibri" w:cstheme="minorHAnsi"/>
          <w:sz w:val="24"/>
          <w:szCs w:val="24"/>
        </w:rPr>
        <w:t xml:space="preserve"> in its final form</w:t>
      </w:r>
      <w:r w:rsidR="00743FAE">
        <w:rPr>
          <w:rFonts w:eastAsia="Calibri" w:cs="Calibri"/>
          <w:sz w:val="24"/>
          <w:szCs w:val="24"/>
        </w:rPr>
        <w:t>,</w:t>
      </w:r>
      <w:r w:rsidRPr="009C5B7F">
        <w:rPr>
          <w:rFonts w:eastAsia="Calibri" w:cstheme="minorHAnsi"/>
          <w:sz w:val="24"/>
          <w:szCs w:val="24"/>
        </w:rPr>
        <w:t xml:space="preserve"> consists of 15 items distributed </w:t>
      </w:r>
      <w:r w:rsidR="00743FAE">
        <w:rPr>
          <w:rFonts w:eastAsia="Calibri" w:cs="Calibri"/>
          <w:sz w:val="24"/>
          <w:szCs w:val="24"/>
        </w:rPr>
        <w:t>across</w:t>
      </w:r>
      <w:r w:rsidRPr="009C5B7F">
        <w:rPr>
          <w:rFonts w:eastAsia="Calibri" w:cstheme="minorHAnsi"/>
          <w:sz w:val="24"/>
          <w:szCs w:val="24"/>
        </w:rPr>
        <w:t xml:space="preserve"> three dimensions: </w:t>
      </w:r>
      <w:r w:rsidR="00743FAE">
        <w:rPr>
          <w:rFonts w:eastAsia="Calibri" w:cs="Calibri"/>
          <w:sz w:val="24"/>
          <w:szCs w:val="24"/>
        </w:rPr>
        <w:t>academic</w:t>
      </w:r>
      <w:r w:rsidRPr="009C5B7F">
        <w:rPr>
          <w:rFonts w:eastAsia="Calibri" w:cstheme="minorHAnsi"/>
          <w:sz w:val="24"/>
          <w:szCs w:val="24"/>
        </w:rPr>
        <w:t xml:space="preserve"> satisfaction, </w:t>
      </w:r>
      <w:r w:rsidR="00743FAE">
        <w:rPr>
          <w:rFonts w:eastAsia="Calibri" w:cs="Calibri"/>
          <w:sz w:val="24"/>
          <w:szCs w:val="24"/>
        </w:rPr>
        <w:t>academic</w:t>
      </w:r>
      <w:r w:rsidRPr="009C5B7F">
        <w:rPr>
          <w:rFonts w:eastAsia="Calibri" w:cstheme="minorHAnsi"/>
          <w:sz w:val="24"/>
          <w:szCs w:val="24"/>
        </w:rPr>
        <w:t xml:space="preserve"> efficacy, and </w:t>
      </w:r>
      <w:r w:rsidR="00743FAE">
        <w:rPr>
          <w:rFonts w:eastAsia="Calibri" w:cs="Calibri"/>
          <w:sz w:val="24"/>
          <w:szCs w:val="24"/>
        </w:rPr>
        <w:t>enjoying</w:t>
      </w:r>
      <w:r w:rsidRPr="009C5B7F">
        <w:rPr>
          <w:rFonts w:eastAsia="Calibri" w:cstheme="minorHAnsi"/>
          <w:sz w:val="24"/>
          <w:szCs w:val="24"/>
        </w:rPr>
        <w:t xml:space="preserve"> learning. The items were formulated </w:t>
      </w:r>
      <w:r w:rsidR="00743FAE">
        <w:rPr>
          <w:rFonts w:eastAsia="Calibri" w:cs="Calibri"/>
          <w:sz w:val="24"/>
          <w:szCs w:val="24"/>
        </w:rPr>
        <w:t>on</w:t>
      </w:r>
      <w:r w:rsidRPr="009C5B7F">
        <w:rPr>
          <w:rFonts w:eastAsia="Calibri" w:cstheme="minorHAnsi"/>
          <w:sz w:val="24"/>
          <w:szCs w:val="24"/>
        </w:rPr>
        <w:t xml:space="preserve"> a five-point </w:t>
      </w:r>
      <w:proofErr w:type="spellStart"/>
      <w:r w:rsidRPr="009C5B7F">
        <w:rPr>
          <w:rFonts w:eastAsia="Calibri" w:cstheme="minorHAnsi"/>
          <w:sz w:val="24"/>
          <w:szCs w:val="24"/>
        </w:rPr>
        <w:t>Likert</w:t>
      </w:r>
      <w:proofErr w:type="spellEnd"/>
      <w:r w:rsidRPr="009C5B7F">
        <w:rPr>
          <w:rFonts w:eastAsia="Calibri" w:cstheme="minorHAnsi"/>
          <w:sz w:val="24"/>
          <w:szCs w:val="24"/>
        </w:rPr>
        <w:t xml:space="preserve"> scale (1 = "I completely disagree", 2 = "I disagree", 3 = "Neutral", 4 = "I agree", 5 = "I completely agree"). Thus, the maximum score of the scale becomes 75</w:t>
      </w:r>
      <w:r w:rsidR="00743FAE">
        <w:rPr>
          <w:rFonts w:eastAsia="Calibri" w:cs="Calibri"/>
          <w:sz w:val="24"/>
          <w:szCs w:val="24"/>
        </w:rPr>
        <w:t>,</w:t>
      </w:r>
      <w:r>
        <w:rPr>
          <w:rFonts w:eastAsia="Calibri" w:cstheme="minorHAnsi" w:hint="cs"/>
          <w:sz w:val="24"/>
          <w:szCs w:val="24"/>
          <w:rtl/>
        </w:rPr>
        <w:t xml:space="preserve"> </w:t>
      </w:r>
      <w:r w:rsidR="00743FAE" w:rsidRPr="00037371">
        <w:rPr>
          <w:rFonts w:eastAsia="Calibri" w:cstheme="minorHAnsi"/>
          <w:sz w:val="24"/>
          <w:szCs w:val="24"/>
        </w:rPr>
        <w:t xml:space="preserve">and the minimum score is 15. The reliability of the academic well-being scale was verified </w:t>
      </w:r>
      <w:r w:rsidR="00743FAE">
        <w:rPr>
          <w:rFonts w:eastAsia="Calibri" w:cs="Calibri"/>
          <w:sz w:val="24"/>
          <w:szCs w:val="24"/>
        </w:rPr>
        <w:t>via</w:t>
      </w:r>
      <w:r w:rsidR="00743FAE" w:rsidRPr="00037371">
        <w:rPr>
          <w:rFonts w:eastAsia="Calibri" w:cstheme="minorHAnsi"/>
          <w:sz w:val="24"/>
          <w:szCs w:val="24"/>
        </w:rPr>
        <w:t xml:space="preserve"> the </w:t>
      </w:r>
      <w:r w:rsidR="00743FAE">
        <w:rPr>
          <w:rFonts w:eastAsia="Calibri" w:cs="Calibri"/>
          <w:sz w:val="24"/>
          <w:szCs w:val="24"/>
        </w:rPr>
        <w:t>alpha‒</w:t>
      </w:r>
      <w:proofErr w:type="spellStart"/>
      <w:r w:rsidR="00743FAE">
        <w:rPr>
          <w:rFonts w:eastAsia="Calibri" w:cs="Calibri"/>
          <w:sz w:val="24"/>
          <w:szCs w:val="24"/>
        </w:rPr>
        <w:t>Cronbach</w:t>
      </w:r>
      <w:proofErr w:type="spellEnd"/>
      <w:r w:rsidR="00743FAE" w:rsidRPr="00037371">
        <w:rPr>
          <w:rFonts w:eastAsia="Calibri" w:cstheme="minorHAnsi"/>
          <w:sz w:val="24"/>
          <w:szCs w:val="24"/>
        </w:rPr>
        <w:t xml:space="preserve"> method on a sample of 32 university students. Table 3 shows the reliability coefficients for the scale dimensions.</w:t>
      </w:r>
    </w:p>
    <w:p w:rsidR="00B53F93" w:rsidRPr="009C5B7F" w:rsidRDefault="00337A94" w:rsidP="00FB1221">
      <w:pPr>
        <w:bidi/>
        <w:ind w:left="360"/>
        <w:jc w:val="center"/>
        <w:rPr>
          <w:rFonts w:eastAsia="Calibri" w:cstheme="minorHAnsi"/>
          <w:b/>
          <w:bCs/>
          <w:i/>
          <w:iCs/>
          <w:sz w:val="24"/>
          <w:szCs w:val="24"/>
          <w:rtl/>
        </w:rPr>
      </w:pPr>
      <w:r w:rsidRPr="009C5B7F">
        <w:rPr>
          <w:rFonts w:eastAsia="Calibri" w:cstheme="minorHAnsi"/>
          <w:b/>
          <w:bCs/>
          <w:i/>
          <w:iCs/>
          <w:sz w:val="24"/>
          <w:szCs w:val="24"/>
        </w:rPr>
        <w:t>Table 3</w:t>
      </w:r>
      <w:r w:rsidR="00165510" w:rsidRPr="009C5B7F">
        <w:rPr>
          <w:rFonts w:eastAsia="Calibri" w:cstheme="minorHAnsi" w:hint="cs"/>
          <w:b/>
          <w:bCs/>
          <w:i/>
          <w:iCs/>
          <w:sz w:val="24"/>
          <w:szCs w:val="24"/>
          <w:rtl/>
        </w:rPr>
        <w:t xml:space="preserve"> </w:t>
      </w:r>
      <w:r w:rsidR="00743FAE" w:rsidRPr="009C5B7F">
        <w:rPr>
          <w:rFonts w:eastAsia="Calibri" w:cstheme="minorHAnsi"/>
          <w:b/>
          <w:bCs/>
          <w:i/>
          <w:iCs/>
          <w:sz w:val="24"/>
          <w:szCs w:val="24"/>
        </w:rPr>
        <w:t xml:space="preserve">Reliability Coefficients Relating to </w:t>
      </w:r>
      <w:r w:rsidR="00743FAE">
        <w:rPr>
          <w:rFonts w:eastAsia="Calibri" w:cs="Calibri"/>
          <w:b/>
          <w:bCs/>
          <w:i/>
          <w:iCs/>
          <w:sz w:val="24"/>
          <w:szCs w:val="24"/>
        </w:rPr>
        <w:t xml:space="preserve">the </w:t>
      </w:r>
      <w:r w:rsidR="00743FAE" w:rsidRPr="009C5B7F">
        <w:rPr>
          <w:rFonts w:eastAsia="Calibri" w:cstheme="minorHAnsi"/>
          <w:b/>
          <w:bCs/>
          <w:i/>
          <w:iCs/>
          <w:sz w:val="24"/>
          <w:szCs w:val="24"/>
        </w:rPr>
        <w:t>Academic Well-Being Scale</w:t>
      </w:r>
    </w:p>
    <w:tbl>
      <w:tblPr>
        <w:tblStyle w:val="aa"/>
        <w:bidiVisual/>
        <w:tblW w:w="0" w:type="auto"/>
        <w:tblInd w:w="360" w:type="dxa"/>
        <w:tblLook w:val="04A0" w:firstRow="1" w:lastRow="0" w:firstColumn="1" w:lastColumn="0" w:noHBand="0" w:noVBand="1"/>
      </w:tblPr>
      <w:tblGrid>
        <w:gridCol w:w="1356"/>
        <w:gridCol w:w="912"/>
        <w:gridCol w:w="17"/>
        <w:gridCol w:w="2285"/>
        <w:gridCol w:w="1478"/>
        <w:gridCol w:w="3168"/>
      </w:tblGrid>
      <w:tr w:rsidR="00A34770" w:rsidTr="0096174D">
        <w:tc>
          <w:tcPr>
            <w:tcW w:w="1356" w:type="dxa"/>
          </w:tcPr>
          <w:p w:rsidR="00AC2C15" w:rsidRPr="003725CA" w:rsidRDefault="00743FAE" w:rsidP="0096174D">
            <w:pPr>
              <w:bidi/>
              <w:jc w:val="center"/>
              <w:rPr>
                <w:b/>
                <w:bCs/>
                <w:sz w:val="24"/>
                <w:szCs w:val="24"/>
                <w:rtl/>
              </w:rPr>
            </w:pPr>
            <w:r w:rsidRPr="003725CA">
              <w:rPr>
                <w:b/>
                <w:bCs/>
                <w:sz w:val="24"/>
                <w:szCs w:val="24"/>
              </w:rPr>
              <w:t>Reliability Level</w:t>
            </w:r>
          </w:p>
        </w:tc>
        <w:tc>
          <w:tcPr>
            <w:tcW w:w="929" w:type="dxa"/>
            <w:gridSpan w:val="2"/>
          </w:tcPr>
          <w:p w:rsidR="00AC2C15" w:rsidRPr="003725CA" w:rsidRDefault="00743FAE" w:rsidP="0096174D">
            <w:pPr>
              <w:bidi/>
              <w:jc w:val="center"/>
              <w:rPr>
                <w:b/>
                <w:bCs/>
                <w:sz w:val="24"/>
                <w:szCs w:val="24"/>
                <w:rtl/>
              </w:rPr>
            </w:pPr>
            <w:r w:rsidRPr="003725CA">
              <w:rPr>
                <w:b/>
                <w:bCs/>
                <w:sz w:val="24"/>
                <w:szCs w:val="24"/>
              </w:rPr>
              <w:t>Sig.</w:t>
            </w:r>
          </w:p>
        </w:tc>
        <w:tc>
          <w:tcPr>
            <w:tcW w:w="2285" w:type="dxa"/>
          </w:tcPr>
          <w:p w:rsidR="00AC2C15" w:rsidRPr="003725CA" w:rsidRDefault="00743FAE" w:rsidP="0096174D">
            <w:pPr>
              <w:pStyle w:val="Pa11"/>
              <w:rPr>
                <w:sz w:val="16"/>
                <w:szCs w:val="16"/>
              </w:rPr>
            </w:pPr>
            <w:r w:rsidRPr="003725CA">
              <w:rPr>
                <w:rStyle w:val="A00"/>
                <w:color w:val="auto"/>
              </w:rPr>
              <w:t>Cronbach’s Alpha Coefficient</w:t>
            </w:r>
          </w:p>
        </w:tc>
        <w:tc>
          <w:tcPr>
            <w:tcW w:w="1478" w:type="dxa"/>
          </w:tcPr>
          <w:tbl>
            <w:tblPr>
              <w:tblW w:w="0" w:type="auto"/>
              <w:tblBorders>
                <w:top w:val="nil"/>
                <w:left w:val="nil"/>
                <w:bottom w:val="nil"/>
                <w:right w:val="nil"/>
              </w:tblBorders>
              <w:tblLook w:val="0000" w:firstRow="0" w:lastRow="0" w:firstColumn="0" w:lastColumn="0" w:noHBand="0" w:noVBand="0"/>
            </w:tblPr>
            <w:tblGrid>
              <w:gridCol w:w="1262"/>
            </w:tblGrid>
            <w:tr w:rsidR="00A34770" w:rsidTr="0096174D">
              <w:trPr>
                <w:trHeight w:val="105"/>
              </w:trPr>
              <w:tc>
                <w:tcPr>
                  <w:tcW w:w="0" w:type="auto"/>
                </w:tcPr>
                <w:p w:rsidR="00AC2C15" w:rsidRPr="003725CA" w:rsidRDefault="00743FAE" w:rsidP="0096174D">
                  <w:pPr>
                    <w:bidi/>
                    <w:spacing w:after="0" w:line="240" w:lineRule="auto"/>
                    <w:jc w:val="center"/>
                    <w:rPr>
                      <w:b/>
                      <w:bCs/>
                      <w:sz w:val="24"/>
                      <w:szCs w:val="24"/>
                    </w:rPr>
                  </w:pPr>
                  <w:r w:rsidRPr="003725CA">
                    <w:rPr>
                      <w:b/>
                      <w:bCs/>
                      <w:sz w:val="24"/>
                      <w:szCs w:val="24"/>
                    </w:rPr>
                    <w:t>Number of Items</w:t>
                  </w:r>
                </w:p>
              </w:tc>
            </w:tr>
          </w:tbl>
          <w:p w:rsidR="00AC2C15" w:rsidRPr="003725CA" w:rsidRDefault="00AC2C15" w:rsidP="0096174D">
            <w:pPr>
              <w:bidi/>
              <w:jc w:val="center"/>
              <w:rPr>
                <w:b/>
                <w:bCs/>
                <w:sz w:val="24"/>
                <w:szCs w:val="24"/>
                <w:rtl/>
              </w:rPr>
            </w:pPr>
          </w:p>
        </w:tc>
        <w:tc>
          <w:tcPr>
            <w:tcW w:w="3168" w:type="dxa"/>
          </w:tcPr>
          <w:p w:rsidR="00AC2C15" w:rsidRPr="003725CA" w:rsidRDefault="00743FAE" w:rsidP="0096174D">
            <w:pPr>
              <w:bidi/>
              <w:jc w:val="center"/>
              <w:rPr>
                <w:b/>
                <w:bCs/>
                <w:sz w:val="24"/>
                <w:szCs w:val="24"/>
              </w:rPr>
            </w:pPr>
            <w:r w:rsidRPr="003725CA">
              <w:rPr>
                <w:b/>
                <w:bCs/>
                <w:sz w:val="24"/>
                <w:szCs w:val="24"/>
              </w:rPr>
              <w:t>Dimension</w:t>
            </w:r>
          </w:p>
        </w:tc>
      </w:tr>
      <w:tr w:rsidR="00A34770" w:rsidTr="0096174D">
        <w:tc>
          <w:tcPr>
            <w:tcW w:w="1356" w:type="dxa"/>
          </w:tcPr>
          <w:p w:rsidR="00AC2C15" w:rsidRPr="003725CA" w:rsidRDefault="00743FAE" w:rsidP="0096174D">
            <w:pPr>
              <w:bidi/>
              <w:jc w:val="center"/>
              <w:rPr>
                <w:b/>
                <w:bCs/>
                <w:sz w:val="24"/>
                <w:szCs w:val="24"/>
                <w:rtl/>
              </w:rPr>
            </w:pPr>
            <w:r w:rsidRPr="003725CA">
              <w:rPr>
                <w:b/>
                <w:bCs/>
                <w:sz w:val="24"/>
                <w:szCs w:val="24"/>
              </w:rPr>
              <w:t>high</w:t>
            </w:r>
          </w:p>
        </w:tc>
        <w:tc>
          <w:tcPr>
            <w:tcW w:w="929" w:type="dxa"/>
            <w:gridSpan w:val="2"/>
          </w:tcPr>
          <w:p w:rsidR="00AC2C15" w:rsidRPr="003725CA" w:rsidRDefault="00743FAE" w:rsidP="0096174D">
            <w:pPr>
              <w:bidi/>
              <w:jc w:val="center"/>
              <w:rPr>
                <w:b/>
                <w:bCs/>
                <w:sz w:val="24"/>
                <w:szCs w:val="24"/>
                <w:rtl/>
              </w:rPr>
            </w:pPr>
            <w:r w:rsidRPr="003725CA">
              <w:rPr>
                <w:b/>
                <w:bCs/>
                <w:sz w:val="24"/>
                <w:szCs w:val="24"/>
              </w:rPr>
              <w:t>0.01</w:t>
            </w:r>
          </w:p>
        </w:tc>
        <w:tc>
          <w:tcPr>
            <w:tcW w:w="2285" w:type="dxa"/>
          </w:tcPr>
          <w:p w:rsidR="00AC2C15" w:rsidRPr="003725CA" w:rsidRDefault="00743FAE" w:rsidP="00AC2C15">
            <w:pPr>
              <w:bidi/>
              <w:jc w:val="center"/>
              <w:rPr>
                <w:b/>
                <w:bCs/>
                <w:sz w:val="24"/>
                <w:szCs w:val="24"/>
                <w:rtl/>
              </w:rPr>
            </w:pPr>
            <w:r w:rsidRPr="003725CA">
              <w:rPr>
                <w:b/>
                <w:bCs/>
                <w:sz w:val="24"/>
                <w:szCs w:val="24"/>
              </w:rPr>
              <w:t>0.</w:t>
            </w:r>
            <w:r w:rsidRPr="003725CA">
              <w:rPr>
                <w:b/>
                <w:bCs/>
                <w:sz w:val="20"/>
                <w:szCs w:val="20"/>
              </w:rPr>
              <w:t xml:space="preserve"> </w:t>
            </w:r>
            <w:r w:rsidRPr="003725CA">
              <w:rPr>
                <w:b/>
                <w:bCs/>
                <w:sz w:val="24"/>
                <w:szCs w:val="24"/>
              </w:rPr>
              <w:t>79</w:t>
            </w:r>
          </w:p>
        </w:tc>
        <w:tc>
          <w:tcPr>
            <w:tcW w:w="1478" w:type="dxa"/>
          </w:tcPr>
          <w:p w:rsidR="00AC2C15" w:rsidRPr="003725CA" w:rsidRDefault="00743FAE" w:rsidP="0096174D">
            <w:pPr>
              <w:bidi/>
              <w:jc w:val="center"/>
              <w:rPr>
                <w:b/>
                <w:bCs/>
                <w:sz w:val="24"/>
                <w:szCs w:val="24"/>
                <w:rtl/>
              </w:rPr>
            </w:pPr>
            <w:r w:rsidRPr="003725CA">
              <w:rPr>
                <w:b/>
                <w:bCs/>
                <w:sz w:val="24"/>
                <w:szCs w:val="24"/>
              </w:rPr>
              <w:t>5</w:t>
            </w:r>
            <w:r w:rsidRPr="003725CA">
              <w:rPr>
                <w:rFonts w:hint="cs"/>
                <w:b/>
                <w:bCs/>
                <w:sz w:val="24"/>
                <w:szCs w:val="24"/>
                <w:rtl/>
              </w:rPr>
              <w:t xml:space="preserve"> </w:t>
            </w:r>
          </w:p>
        </w:tc>
        <w:tc>
          <w:tcPr>
            <w:tcW w:w="3168" w:type="dxa"/>
          </w:tcPr>
          <w:p w:rsidR="00AC2C15" w:rsidRPr="003725CA" w:rsidRDefault="00743FAE" w:rsidP="0096174D">
            <w:pPr>
              <w:bidi/>
              <w:jc w:val="center"/>
              <w:rPr>
                <w:b/>
                <w:bCs/>
                <w:sz w:val="24"/>
                <w:szCs w:val="24"/>
                <w:rtl/>
              </w:rPr>
            </w:pPr>
            <w:r w:rsidRPr="003725CA">
              <w:rPr>
                <w:b/>
                <w:bCs/>
                <w:sz w:val="24"/>
                <w:szCs w:val="24"/>
              </w:rPr>
              <w:t>Academic satisfaction</w:t>
            </w:r>
          </w:p>
        </w:tc>
      </w:tr>
      <w:tr w:rsidR="00A34770" w:rsidTr="0096174D">
        <w:tc>
          <w:tcPr>
            <w:tcW w:w="1356" w:type="dxa"/>
          </w:tcPr>
          <w:p w:rsidR="00AC2C15" w:rsidRPr="003725CA" w:rsidRDefault="00743FAE" w:rsidP="0096174D">
            <w:pPr>
              <w:jc w:val="center"/>
            </w:pPr>
            <w:r w:rsidRPr="003725CA">
              <w:rPr>
                <w:b/>
                <w:bCs/>
                <w:sz w:val="24"/>
                <w:szCs w:val="24"/>
              </w:rPr>
              <w:t>high</w:t>
            </w:r>
          </w:p>
        </w:tc>
        <w:tc>
          <w:tcPr>
            <w:tcW w:w="929" w:type="dxa"/>
            <w:gridSpan w:val="2"/>
          </w:tcPr>
          <w:p w:rsidR="00AC2C15" w:rsidRPr="003725CA" w:rsidRDefault="00743FAE" w:rsidP="0096174D">
            <w:r w:rsidRPr="003725CA">
              <w:t>0.01</w:t>
            </w:r>
          </w:p>
        </w:tc>
        <w:tc>
          <w:tcPr>
            <w:tcW w:w="2285" w:type="dxa"/>
          </w:tcPr>
          <w:p w:rsidR="00AC2C15" w:rsidRPr="003725CA" w:rsidRDefault="00743FAE" w:rsidP="00AC2C15">
            <w:pPr>
              <w:bidi/>
              <w:jc w:val="center"/>
              <w:rPr>
                <w:b/>
                <w:bCs/>
                <w:sz w:val="24"/>
                <w:szCs w:val="24"/>
                <w:rtl/>
              </w:rPr>
            </w:pPr>
            <w:r w:rsidRPr="003725CA">
              <w:rPr>
                <w:b/>
                <w:bCs/>
                <w:sz w:val="24"/>
                <w:szCs w:val="24"/>
              </w:rPr>
              <w:t>0.86</w:t>
            </w:r>
          </w:p>
        </w:tc>
        <w:tc>
          <w:tcPr>
            <w:tcW w:w="1478" w:type="dxa"/>
          </w:tcPr>
          <w:p w:rsidR="00AC2C15" w:rsidRPr="003725CA" w:rsidRDefault="00743FAE" w:rsidP="0096174D">
            <w:pPr>
              <w:bidi/>
              <w:jc w:val="center"/>
              <w:rPr>
                <w:b/>
                <w:bCs/>
                <w:sz w:val="24"/>
                <w:szCs w:val="24"/>
                <w:rtl/>
              </w:rPr>
            </w:pPr>
            <w:r w:rsidRPr="003725CA">
              <w:rPr>
                <w:rFonts w:hint="cs"/>
                <w:b/>
                <w:bCs/>
                <w:sz w:val="24"/>
                <w:szCs w:val="24"/>
                <w:rtl/>
              </w:rPr>
              <w:t>6</w:t>
            </w:r>
          </w:p>
        </w:tc>
        <w:tc>
          <w:tcPr>
            <w:tcW w:w="3168" w:type="dxa"/>
          </w:tcPr>
          <w:p w:rsidR="00AC2C15" w:rsidRPr="003725CA" w:rsidRDefault="00743FAE" w:rsidP="0096174D">
            <w:pPr>
              <w:bidi/>
              <w:jc w:val="center"/>
              <w:rPr>
                <w:b/>
                <w:bCs/>
                <w:sz w:val="24"/>
                <w:szCs w:val="24"/>
                <w:rtl/>
              </w:rPr>
            </w:pPr>
            <w:r w:rsidRPr="003725CA">
              <w:rPr>
                <w:b/>
                <w:bCs/>
                <w:sz w:val="24"/>
                <w:szCs w:val="24"/>
              </w:rPr>
              <w:t>Academic efficacy</w:t>
            </w:r>
          </w:p>
        </w:tc>
      </w:tr>
      <w:tr w:rsidR="00A34770" w:rsidTr="0096174D">
        <w:tc>
          <w:tcPr>
            <w:tcW w:w="1356" w:type="dxa"/>
          </w:tcPr>
          <w:p w:rsidR="00AC2C15" w:rsidRPr="003725CA" w:rsidRDefault="00743FAE" w:rsidP="0096174D">
            <w:pPr>
              <w:jc w:val="center"/>
            </w:pPr>
            <w:r w:rsidRPr="003725CA">
              <w:rPr>
                <w:b/>
                <w:bCs/>
                <w:sz w:val="24"/>
                <w:szCs w:val="24"/>
              </w:rPr>
              <w:t>high</w:t>
            </w:r>
          </w:p>
        </w:tc>
        <w:tc>
          <w:tcPr>
            <w:tcW w:w="929" w:type="dxa"/>
            <w:gridSpan w:val="2"/>
          </w:tcPr>
          <w:p w:rsidR="00AC2C15" w:rsidRPr="003725CA" w:rsidRDefault="00743FAE" w:rsidP="0096174D">
            <w:r w:rsidRPr="003725CA">
              <w:t>0.01</w:t>
            </w:r>
          </w:p>
        </w:tc>
        <w:tc>
          <w:tcPr>
            <w:tcW w:w="2285" w:type="dxa"/>
          </w:tcPr>
          <w:p w:rsidR="00AC2C15" w:rsidRPr="003725CA" w:rsidRDefault="00743FAE" w:rsidP="0096174D">
            <w:pPr>
              <w:bidi/>
              <w:jc w:val="center"/>
              <w:rPr>
                <w:b/>
                <w:bCs/>
                <w:sz w:val="24"/>
                <w:szCs w:val="24"/>
                <w:rtl/>
              </w:rPr>
            </w:pPr>
            <w:r w:rsidRPr="003725CA">
              <w:rPr>
                <w:b/>
                <w:bCs/>
                <w:sz w:val="24"/>
                <w:szCs w:val="24"/>
              </w:rPr>
              <w:t>0.82</w:t>
            </w:r>
          </w:p>
        </w:tc>
        <w:tc>
          <w:tcPr>
            <w:tcW w:w="1478" w:type="dxa"/>
          </w:tcPr>
          <w:p w:rsidR="00AC2C15" w:rsidRPr="003725CA" w:rsidRDefault="00743FAE" w:rsidP="0096174D">
            <w:pPr>
              <w:bidi/>
              <w:jc w:val="center"/>
              <w:rPr>
                <w:b/>
                <w:bCs/>
                <w:sz w:val="24"/>
                <w:szCs w:val="24"/>
                <w:rtl/>
              </w:rPr>
            </w:pPr>
            <w:r w:rsidRPr="003725CA">
              <w:rPr>
                <w:b/>
                <w:bCs/>
                <w:sz w:val="24"/>
                <w:szCs w:val="24"/>
              </w:rPr>
              <w:t>7</w:t>
            </w:r>
          </w:p>
        </w:tc>
        <w:tc>
          <w:tcPr>
            <w:tcW w:w="3168" w:type="dxa"/>
          </w:tcPr>
          <w:p w:rsidR="00AC2C15" w:rsidRPr="003725CA" w:rsidRDefault="00743FAE" w:rsidP="0096174D">
            <w:pPr>
              <w:bidi/>
              <w:jc w:val="center"/>
              <w:rPr>
                <w:b/>
                <w:bCs/>
                <w:sz w:val="24"/>
                <w:szCs w:val="24"/>
                <w:rtl/>
              </w:rPr>
            </w:pPr>
            <w:r w:rsidRPr="003725CA">
              <w:rPr>
                <w:b/>
                <w:bCs/>
                <w:sz w:val="24"/>
                <w:szCs w:val="24"/>
              </w:rPr>
              <w:t>Enjoy learning</w:t>
            </w:r>
          </w:p>
        </w:tc>
      </w:tr>
      <w:tr w:rsidR="00A34770" w:rsidTr="0096174D">
        <w:tc>
          <w:tcPr>
            <w:tcW w:w="1356" w:type="dxa"/>
          </w:tcPr>
          <w:p w:rsidR="00AC2C15" w:rsidRPr="003725CA" w:rsidRDefault="00743FAE" w:rsidP="0096174D">
            <w:pPr>
              <w:jc w:val="center"/>
            </w:pPr>
            <w:r w:rsidRPr="003725CA">
              <w:rPr>
                <w:b/>
                <w:bCs/>
                <w:sz w:val="24"/>
                <w:szCs w:val="24"/>
              </w:rPr>
              <w:t>high</w:t>
            </w:r>
          </w:p>
        </w:tc>
        <w:tc>
          <w:tcPr>
            <w:tcW w:w="912" w:type="dxa"/>
          </w:tcPr>
          <w:p w:rsidR="00AC2C15" w:rsidRPr="003725CA" w:rsidRDefault="00743FAE" w:rsidP="0096174D">
            <w:r w:rsidRPr="003725CA">
              <w:t>0.01</w:t>
            </w:r>
          </w:p>
        </w:tc>
        <w:tc>
          <w:tcPr>
            <w:tcW w:w="2302" w:type="dxa"/>
            <w:gridSpan w:val="2"/>
          </w:tcPr>
          <w:p w:rsidR="00AC2C15" w:rsidRPr="003725CA" w:rsidRDefault="00743FAE" w:rsidP="00AC2C15">
            <w:pPr>
              <w:bidi/>
              <w:jc w:val="center"/>
              <w:rPr>
                <w:b/>
                <w:bCs/>
                <w:sz w:val="24"/>
                <w:szCs w:val="24"/>
                <w:rtl/>
              </w:rPr>
            </w:pPr>
            <w:r w:rsidRPr="003725CA">
              <w:rPr>
                <w:b/>
                <w:bCs/>
                <w:sz w:val="24"/>
                <w:szCs w:val="24"/>
              </w:rPr>
              <w:t>0.83</w:t>
            </w:r>
          </w:p>
        </w:tc>
        <w:tc>
          <w:tcPr>
            <w:tcW w:w="1478" w:type="dxa"/>
          </w:tcPr>
          <w:p w:rsidR="00AC2C15" w:rsidRPr="003725CA" w:rsidRDefault="00743FAE" w:rsidP="0096174D">
            <w:pPr>
              <w:bidi/>
              <w:jc w:val="center"/>
              <w:rPr>
                <w:b/>
                <w:bCs/>
                <w:sz w:val="24"/>
                <w:szCs w:val="24"/>
                <w:rtl/>
              </w:rPr>
            </w:pPr>
            <w:r w:rsidRPr="003725CA">
              <w:rPr>
                <w:b/>
                <w:bCs/>
                <w:sz w:val="24"/>
                <w:szCs w:val="24"/>
              </w:rPr>
              <w:t>18</w:t>
            </w:r>
          </w:p>
        </w:tc>
        <w:tc>
          <w:tcPr>
            <w:tcW w:w="3168" w:type="dxa"/>
          </w:tcPr>
          <w:p w:rsidR="00AC2C15" w:rsidRPr="003725CA" w:rsidRDefault="00743FAE" w:rsidP="0096174D">
            <w:pPr>
              <w:bidi/>
              <w:jc w:val="center"/>
              <w:rPr>
                <w:b/>
                <w:bCs/>
                <w:sz w:val="24"/>
                <w:szCs w:val="24"/>
                <w:rtl/>
              </w:rPr>
            </w:pPr>
            <w:r w:rsidRPr="003725CA">
              <w:rPr>
                <w:b/>
                <w:bCs/>
                <w:sz w:val="24"/>
                <w:szCs w:val="24"/>
              </w:rPr>
              <w:t>Academic Well-Being Scale</w:t>
            </w:r>
          </w:p>
        </w:tc>
      </w:tr>
    </w:tbl>
    <w:p w:rsidR="009C5B7F" w:rsidRPr="009C5B7F" w:rsidRDefault="00743FAE" w:rsidP="009C5B7F">
      <w:pPr>
        <w:spacing w:before="240" w:after="0"/>
        <w:jc w:val="both"/>
        <w:rPr>
          <w:rFonts w:eastAsia="Calibri" w:cstheme="minorHAnsi"/>
          <w:sz w:val="24"/>
          <w:szCs w:val="24"/>
          <w:rtl/>
        </w:rPr>
      </w:pPr>
      <w:r w:rsidRPr="009C5B7F">
        <w:rPr>
          <w:rFonts w:eastAsia="Calibri" w:cstheme="minorHAnsi"/>
          <w:sz w:val="24"/>
          <w:szCs w:val="24"/>
        </w:rPr>
        <w:lastRenderedPageBreak/>
        <w:t xml:space="preserve">The validity of the scale was also calculated </w:t>
      </w:r>
      <w:r>
        <w:rPr>
          <w:rFonts w:eastAsia="Calibri" w:cs="Calibri"/>
          <w:sz w:val="24"/>
          <w:szCs w:val="24"/>
        </w:rPr>
        <w:t>via</w:t>
      </w:r>
      <w:r w:rsidRPr="009C5B7F">
        <w:rPr>
          <w:rFonts w:eastAsia="Calibri" w:cstheme="minorHAnsi"/>
          <w:sz w:val="24"/>
          <w:szCs w:val="24"/>
        </w:rPr>
        <w:t xml:space="preserve"> the internal consistency method by calculating the correlation coefficient between the dimensions of the academic well-being scale, which ranged between 0.76 </w:t>
      </w:r>
      <w:r>
        <w:rPr>
          <w:rFonts w:eastAsia="Calibri" w:cs="Calibri"/>
          <w:sz w:val="24"/>
          <w:szCs w:val="24"/>
        </w:rPr>
        <w:t>and</w:t>
      </w:r>
      <w:r w:rsidRPr="009C5B7F">
        <w:rPr>
          <w:rFonts w:eastAsia="Calibri" w:cstheme="minorHAnsi"/>
          <w:sz w:val="24"/>
          <w:szCs w:val="24"/>
        </w:rPr>
        <w:t xml:space="preserve"> 0.84 and </w:t>
      </w:r>
      <w:r>
        <w:rPr>
          <w:rFonts w:eastAsia="Calibri" w:cs="Calibri"/>
          <w:sz w:val="24"/>
          <w:szCs w:val="24"/>
        </w:rPr>
        <w:t>was</w:t>
      </w:r>
      <w:r w:rsidRPr="009C5B7F">
        <w:rPr>
          <w:rFonts w:eastAsia="Calibri" w:cstheme="minorHAnsi"/>
          <w:sz w:val="24"/>
          <w:szCs w:val="24"/>
        </w:rPr>
        <w:t xml:space="preserve"> significant at the 0.01 level. The correlation coefficients between the dimensions of the academic well-being scale and the scale as a whole ranged between 0.77 </w:t>
      </w:r>
      <w:r>
        <w:rPr>
          <w:rFonts w:eastAsia="Calibri" w:cs="Calibri"/>
          <w:sz w:val="24"/>
          <w:szCs w:val="24"/>
        </w:rPr>
        <w:t>and</w:t>
      </w:r>
      <w:r w:rsidRPr="009C5B7F">
        <w:rPr>
          <w:rFonts w:eastAsia="Calibri" w:cstheme="minorHAnsi"/>
          <w:sz w:val="24"/>
          <w:szCs w:val="24"/>
        </w:rPr>
        <w:t xml:space="preserve"> 0.86 and </w:t>
      </w:r>
      <w:r>
        <w:rPr>
          <w:rFonts w:eastAsia="Calibri" w:cs="Calibri"/>
          <w:sz w:val="24"/>
          <w:szCs w:val="24"/>
        </w:rPr>
        <w:t>were</w:t>
      </w:r>
      <w:r w:rsidRPr="009C5B7F">
        <w:rPr>
          <w:rFonts w:eastAsia="Calibri" w:cstheme="minorHAnsi"/>
          <w:sz w:val="24"/>
          <w:szCs w:val="24"/>
        </w:rPr>
        <w:t xml:space="preserve"> significant at the 0.01 level. This indicates that the scale has high scores of validity, stability and internal consistency</w:t>
      </w:r>
      <w:r w:rsidRPr="009C5B7F">
        <w:rPr>
          <w:rFonts w:eastAsia="Calibri" w:cstheme="minorHAnsi"/>
          <w:sz w:val="24"/>
          <w:szCs w:val="24"/>
          <w:rtl/>
        </w:rPr>
        <w:t>.</w:t>
      </w:r>
    </w:p>
    <w:p w:rsidR="009C5B7F" w:rsidRPr="009C5B7F" w:rsidRDefault="00743FAE" w:rsidP="009C5B7F">
      <w:pPr>
        <w:spacing w:before="240" w:after="0"/>
        <w:rPr>
          <w:rFonts w:eastAsia="Calibri" w:cstheme="minorHAnsi"/>
          <w:b/>
          <w:bCs/>
          <w:sz w:val="24"/>
          <w:szCs w:val="24"/>
        </w:rPr>
      </w:pPr>
      <w:r w:rsidRPr="009C5B7F">
        <w:rPr>
          <w:rFonts w:eastAsia="Calibri" w:cstheme="minorHAnsi"/>
          <w:b/>
          <w:bCs/>
          <w:sz w:val="24"/>
          <w:szCs w:val="24"/>
        </w:rPr>
        <w:t xml:space="preserve">Data </w:t>
      </w:r>
      <w:r>
        <w:rPr>
          <w:rFonts w:eastAsia="Calibri" w:cs="Calibri"/>
          <w:b/>
          <w:bCs/>
          <w:sz w:val="24"/>
          <w:szCs w:val="24"/>
        </w:rPr>
        <w:t>analysis</w:t>
      </w:r>
    </w:p>
    <w:p w:rsidR="009C5B7F" w:rsidRPr="009C5B7F" w:rsidRDefault="00743FAE" w:rsidP="00FB1221">
      <w:pPr>
        <w:spacing w:before="240" w:after="0"/>
        <w:jc w:val="both"/>
        <w:rPr>
          <w:rFonts w:eastAsia="Calibri" w:cstheme="minorHAnsi"/>
          <w:sz w:val="24"/>
          <w:szCs w:val="24"/>
          <w:rtl/>
        </w:rPr>
      </w:pPr>
      <w:r w:rsidRPr="009C5B7F">
        <w:rPr>
          <w:rFonts w:eastAsia="Calibri" w:cstheme="minorHAnsi"/>
          <w:sz w:val="24"/>
          <w:szCs w:val="24"/>
        </w:rPr>
        <w:t xml:space="preserve">To classify university students into high, medium, and low levels </w:t>
      </w:r>
      <w:r>
        <w:rPr>
          <w:rFonts w:eastAsia="Calibri" w:cs="Calibri"/>
          <w:sz w:val="24"/>
          <w:szCs w:val="24"/>
        </w:rPr>
        <w:t>of computational thinking skills, computational self-efficacy, and academic well-being, respectively</w:t>
      </w:r>
      <w:r w:rsidRPr="009C5B7F">
        <w:rPr>
          <w:rFonts w:eastAsia="Calibri" w:cstheme="minorHAnsi"/>
          <w:sz w:val="24"/>
          <w:szCs w:val="24"/>
        </w:rPr>
        <w:t xml:space="preserve">, and since the three scales follow a five-point scale in </w:t>
      </w:r>
      <w:r>
        <w:rPr>
          <w:rFonts w:eastAsia="Calibri" w:cs="Calibri"/>
          <w:sz w:val="24"/>
          <w:szCs w:val="24"/>
        </w:rPr>
        <w:t>response</w:t>
      </w:r>
      <w:r w:rsidRPr="009C5B7F">
        <w:rPr>
          <w:rFonts w:eastAsia="Calibri" w:cstheme="minorHAnsi"/>
          <w:sz w:val="24"/>
          <w:szCs w:val="24"/>
        </w:rPr>
        <w:t xml:space="preserve"> to them, the scores used in each scale (the five-point scale) were divided into three levels of equal range by using the following equation: Category length = (highest value - lowest value) ÷ </w:t>
      </w:r>
      <w:r>
        <w:rPr>
          <w:rFonts w:eastAsia="Calibri" w:cstheme="minorHAnsi" w:hint="cs"/>
          <w:sz w:val="24"/>
          <w:szCs w:val="24"/>
          <w:rtl/>
        </w:rPr>
        <w:t>3</w:t>
      </w:r>
      <w:r w:rsidR="00FB1221">
        <w:rPr>
          <w:rFonts w:eastAsia="Calibri" w:cstheme="minorHAnsi"/>
          <w:sz w:val="24"/>
          <w:szCs w:val="24"/>
        </w:rPr>
        <w:t xml:space="preserve"> = (5-1) ÷ 3 = 1.33.</w:t>
      </w:r>
      <w:r w:rsidR="00FB1221" w:rsidRPr="00FB1221">
        <w:t xml:space="preserve"> </w:t>
      </w:r>
      <w:r w:rsidRPr="009C5B7F">
        <w:rPr>
          <w:rFonts w:eastAsia="Calibri" w:cstheme="minorHAnsi"/>
          <w:sz w:val="24"/>
          <w:szCs w:val="24"/>
        </w:rPr>
        <w:t>Table 4 shows this classification.</w:t>
      </w:r>
    </w:p>
    <w:p w:rsidR="00E52A25" w:rsidRDefault="00743FAE" w:rsidP="00216F0C">
      <w:pPr>
        <w:bidi/>
        <w:ind w:left="360"/>
        <w:jc w:val="center"/>
        <w:rPr>
          <w:rFonts w:eastAsia="Calibri" w:cstheme="minorHAnsi"/>
          <w:b/>
          <w:bCs/>
          <w:i/>
          <w:iCs/>
          <w:sz w:val="24"/>
          <w:szCs w:val="24"/>
        </w:rPr>
      </w:pPr>
      <w:r w:rsidRPr="00FB1221">
        <w:rPr>
          <w:rFonts w:eastAsia="Calibri" w:cstheme="minorHAnsi"/>
          <w:b/>
          <w:bCs/>
          <w:i/>
          <w:iCs/>
          <w:sz w:val="24"/>
          <w:szCs w:val="24"/>
        </w:rPr>
        <w:t>Table 4 The actual limits of the response level scores (relative weights) on the scales according to the five-point Likert scale</w:t>
      </w:r>
    </w:p>
    <w:tbl>
      <w:tblPr>
        <w:tblStyle w:val="aa"/>
        <w:tblW w:w="0" w:type="auto"/>
        <w:tblInd w:w="1638" w:type="dxa"/>
        <w:tblLook w:val="04A0" w:firstRow="1" w:lastRow="0" w:firstColumn="1" w:lastColumn="0" w:noHBand="0" w:noVBand="1"/>
      </w:tblPr>
      <w:tblGrid>
        <w:gridCol w:w="2610"/>
        <w:gridCol w:w="2070"/>
        <w:gridCol w:w="1440"/>
      </w:tblGrid>
      <w:tr w:rsidR="00A34770" w:rsidTr="00216F0C">
        <w:tc>
          <w:tcPr>
            <w:tcW w:w="2610" w:type="dxa"/>
          </w:tcPr>
          <w:p w:rsidR="00F51863" w:rsidRDefault="00743FAE" w:rsidP="00F51863">
            <w:pPr>
              <w:jc w:val="center"/>
              <w:rPr>
                <w:rFonts w:eastAsia="Calibri" w:cstheme="minorHAnsi"/>
                <w:b/>
                <w:bCs/>
                <w:i/>
                <w:iCs/>
                <w:sz w:val="24"/>
                <w:szCs w:val="24"/>
              </w:rPr>
            </w:pPr>
            <w:r w:rsidRPr="00F51863">
              <w:rPr>
                <w:rFonts w:eastAsia="Calibri" w:cstheme="minorHAnsi"/>
                <w:b/>
                <w:bCs/>
                <w:i/>
                <w:iCs/>
                <w:sz w:val="24"/>
                <w:szCs w:val="24"/>
              </w:rPr>
              <w:t>Arithmetic mean value</w:t>
            </w:r>
          </w:p>
        </w:tc>
        <w:tc>
          <w:tcPr>
            <w:tcW w:w="2070" w:type="dxa"/>
          </w:tcPr>
          <w:p w:rsidR="00F51863" w:rsidRDefault="00743FAE" w:rsidP="00F51863">
            <w:pPr>
              <w:jc w:val="center"/>
              <w:rPr>
                <w:rFonts w:eastAsia="Calibri" w:cstheme="minorHAnsi"/>
                <w:b/>
                <w:bCs/>
                <w:i/>
                <w:iCs/>
                <w:sz w:val="24"/>
                <w:szCs w:val="24"/>
              </w:rPr>
            </w:pPr>
            <w:r w:rsidRPr="00F51863">
              <w:rPr>
                <w:rFonts w:eastAsia="Calibri" w:cstheme="minorHAnsi"/>
                <w:b/>
                <w:bCs/>
                <w:i/>
                <w:iCs/>
                <w:sz w:val="24"/>
                <w:szCs w:val="24"/>
              </w:rPr>
              <w:t>Percentage</w:t>
            </w:r>
          </w:p>
        </w:tc>
        <w:tc>
          <w:tcPr>
            <w:tcW w:w="1440" w:type="dxa"/>
          </w:tcPr>
          <w:p w:rsidR="00F51863" w:rsidRDefault="00F51863" w:rsidP="00F51863">
            <w:pPr>
              <w:jc w:val="center"/>
              <w:rPr>
                <w:rFonts w:eastAsia="Calibri" w:cstheme="minorHAnsi"/>
                <w:b/>
                <w:bCs/>
                <w:i/>
                <w:iCs/>
                <w:sz w:val="24"/>
                <w:szCs w:val="24"/>
              </w:rPr>
            </w:pPr>
          </w:p>
        </w:tc>
      </w:tr>
      <w:tr w:rsidR="00A34770" w:rsidTr="00216F0C">
        <w:trPr>
          <w:trHeight w:val="179"/>
        </w:trPr>
        <w:tc>
          <w:tcPr>
            <w:tcW w:w="2610" w:type="dxa"/>
          </w:tcPr>
          <w:p w:rsidR="00F51863" w:rsidRPr="00E52A25" w:rsidRDefault="00743FAE" w:rsidP="00F51863">
            <w:pPr>
              <w:spacing w:line="259" w:lineRule="auto"/>
              <w:jc w:val="center"/>
              <w:rPr>
                <w:rFonts w:ascii="Traditional Arabic" w:eastAsia="Calibri" w:hAnsi="Traditional Arabic" w:cs="Traditional Arabic"/>
                <w:b/>
                <w:bCs/>
                <w:sz w:val="28"/>
                <w:szCs w:val="28"/>
              </w:rPr>
            </w:pPr>
            <w:r w:rsidRPr="00E52A25">
              <w:rPr>
                <w:rFonts w:ascii="Traditional Arabic" w:eastAsia="Calibri" w:hAnsi="Traditional Arabic" w:cs="Traditional Arabic"/>
                <w:b/>
                <w:bCs/>
                <w:sz w:val="28"/>
                <w:szCs w:val="28"/>
                <w:lang w:bidi="ar-EG"/>
              </w:rPr>
              <w:t>3.67- 5.00</w:t>
            </w:r>
          </w:p>
        </w:tc>
        <w:tc>
          <w:tcPr>
            <w:tcW w:w="2070" w:type="dxa"/>
          </w:tcPr>
          <w:p w:rsidR="00F51863" w:rsidRPr="00E52A25" w:rsidRDefault="00743FAE" w:rsidP="00372344">
            <w:pPr>
              <w:bidi/>
              <w:spacing w:line="259" w:lineRule="auto"/>
              <w:jc w:val="center"/>
              <w:rPr>
                <w:rFonts w:ascii="Traditional Arabic" w:eastAsia="Calibri" w:hAnsi="Traditional Arabic" w:cs="Traditional Arabic"/>
                <w:b/>
                <w:bCs/>
                <w:sz w:val="28"/>
                <w:szCs w:val="28"/>
              </w:rPr>
            </w:pPr>
            <w:r w:rsidRPr="00E52A25">
              <w:rPr>
                <w:rFonts w:ascii="Traditional Arabic" w:eastAsia="Calibri" w:hAnsi="Traditional Arabic" w:cs="Traditional Arabic"/>
                <w:b/>
                <w:bCs/>
                <w:sz w:val="28"/>
                <w:szCs w:val="28"/>
                <w:lang w:bidi="ar-EG"/>
              </w:rPr>
              <w:t>100%</w:t>
            </w:r>
            <w:r w:rsidRPr="00E52A25">
              <w:rPr>
                <w:rFonts w:ascii="Traditional Arabic" w:eastAsia="Calibri" w:hAnsi="Traditional Arabic" w:cs="Traditional Arabic"/>
                <w:b/>
                <w:bCs/>
                <w:sz w:val="28"/>
                <w:szCs w:val="28"/>
                <w:rtl/>
                <w:lang w:bidi="ar-EG"/>
              </w:rPr>
              <w:t>– %</w:t>
            </w:r>
            <w:r w:rsidR="00372344">
              <w:rPr>
                <w:rFonts w:ascii="Traditional Arabic" w:eastAsia="Calibri" w:hAnsi="Traditional Arabic" w:cs="Traditional Arabic"/>
                <w:b/>
                <w:bCs/>
                <w:sz w:val="28"/>
                <w:szCs w:val="28"/>
                <w:lang w:bidi="ar-EG"/>
              </w:rPr>
              <w:t xml:space="preserve">73.4 </w:t>
            </w:r>
          </w:p>
        </w:tc>
        <w:tc>
          <w:tcPr>
            <w:tcW w:w="1440" w:type="dxa"/>
          </w:tcPr>
          <w:p w:rsidR="00F51863" w:rsidRDefault="00743FAE" w:rsidP="00F51863">
            <w:pPr>
              <w:jc w:val="center"/>
              <w:rPr>
                <w:rFonts w:eastAsia="Calibri" w:cstheme="minorHAnsi"/>
                <w:b/>
                <w:bCs/>
                <w:i/>
                <w:iCs/>
                <w:sz w:val="24"/>
                <w:szCs w:val="24"/>
              </w:rPr>
            </w:pPr>
            <w:r>
              <w:rPr>
                <w:rFonts w:eastAsia="Calibri" w:cstheme="minorHAnsi"/>
                <w:b/>
                <w:bCs/>
                <w:i/>
                <w:iCs/>
                <w:sz w:val="24"/>
                <w:szCs w:val="24"/>
              </w:rPr>
              <w:t>High</w:t>
            </w:r>
          </w:p>
        </w:tc>
      </w:tr>
      <w:tr w:rsidR="00A34770" w:rsidTr="00216F0C">
        <w:tc>
          <w:tcPr>
            <w:tcW w:w="2610" w:type="dxa"/>
          </w:tcPr>
          <w:p w:rsidR="00F51863" w:rsidRPr="00E52A25" w:rsidRDefault="00743FAE" w:rsidP="00F51863">
            <w:pPr>
              <w:spacing w:line="259" w:lineRule="auto"/>
              <w:jc w:val="center"/>
              <w:rPr>
                <w:rFonts w:ascii="Traditional Arabic" w:eastAsia="Calibri" w:hAnsi="Traditional Arabic" w:cs="Traditional Arabic"/>
                <w:b/>
                <w:bCs/>
                <w:sz w:val="28"/>
                <w:szCs w:val="28"/>
              </w:rPr>
            </w:pPr>
            <w:r w:rsidRPr="00E52A25">
              <w:rPr>
                <w:rFonts w:ascii="Traditional Arabic" w:eastAsia="Calibri" w:hAnsi="Traditional Arabic" w:cs="Traditional Arabic"/>
                <w:b/>
                <w:bCs/>
                <w:sz w:val="28"/>
                <w:szCs w:val="28"/>
                <w:lang w:bidi="ar-EG"/>
              </w:rPr>
              <w:t>2.34 – 3.66</w:t>
            </w:r>
          </w:p>
        </w:tc>
        <w:tc>
          <w:tcPr>
            <w:tcW w:w="2070" w:type="dxa"/>
          </w:tcPr>
          <w:p w:rsidR="00F51863" w:rsidRPr="00E52A25" w:rsidRDefault="00743FAE" w:rsidP="00372344">
            <w:pPr>
              <w:bidi/>
              <w:spacing w:line="259" w:lineRule="auto"/>
              <w:jc w:val="center"/>
              <w:rPr>
                <w:rFonts w:ascii="Traditional Arabic" w:eastAsia="Calibri" w:hAnsi="Traditional Arabic" w:cs="Traditional Arabic"/>
                <w:b/>
                <w:bCs/>
                <w:sz w:val="28"/>
                <w:szCs w:val="28"/>
              </w:rPr>
            </w:pPr>
            <w:r w:rsidRPr="00E52A25">
              <w:rPr>
                <w:rFonts w:ascii="Traditional Arabic" w:eastAsia="Calibri" w:hAnsi="Traditional Arabic" w:cs="Traditional Arabic"/>
                <w:b/>
                <w:bCs/>
                <w:sz w:val="28"/>
                <w:szCs w:val="28"/>
                <w:lang w:bidi="ar-EG"/>
              </w:rPr>
              <w:t>%73.2</w:t>
            </w:r>
            <w:r w:rsidRPr="00E52A25">
              <w:rPr>
                <w:rFonts w:ascii="Traditional Arabic" w:eastAsia="Calibri" w:hAnsi="Traditional Arabic" w:cs="Traditional Arabic"/>
                <w:b/>
                <w:bCs/>
                <w:sz w:val="28"/>
                <w:szCs w:val="28"/>
                <w:rtl/>
                <w:lang w:bidi="ar-EG"/>
              </w:rPr>
              <w:t xml:space="preserve"> – </w:t>
            </w:r>
            <w:r w:rsidR="00372344">
              <w:rPr>
                <w:rFonts w:ascii="Traditional Arabic" w:eastAsia="Calibri" w:hAnsi="Traditional Arabic" w:cs="Traditional Arabic"/>
                <w:b/>
                <w:bCs/>
                <w:sz w:val="28"/>
                <w:szCs w:val="28"/>
                <w:lang w:bidi="ar-EG"/>
              </w:rPr>
              <w:t xml:space="preserve">46.8 </w:t>
            </w:r>
            <w:r w:rsidRPr="00E52A25">
              <w:rPr>
                <w:rFonts w:ascii="Traditional Arabic" w:eastAsia="Calibri" w:hAnsi="Traditional Arabic" w:cs="Traditional Arabic"/>
                <w:b/>
                <w:bCs/>
                <w:sz w:val="28"/>
                <w:szCs w:val="28"/>
                <w:lang w:bidi="ar-EG"/>
              </w:rPr>
              <w:t>%</w:t>
            </w:r>
          </w:p>
        </w:tc>
        <w:tc>
          <w:tcPr>
            <w:tcW w:w="1440" w:type="dxa"/>
          </w:tcPr>
          <w:p w:rsidR="00F51863" w:rsidRDefault="00743FAE" w:rsidP="00F51863">
            <w:pPr>
              <w:jc w:val="center"/>
              <w:rPr>
                <w:rFonts w:eastAsia="Calibri" w:cstheme="minorHAnsi"/>
                <w:b/>
                <w:bCs/>
                <w:i/>
                <w:iCs/>
                <w:sz w:val="24"/>
                <w:szCs w:val="24"/>
              </w:rPr>
            </w:pPr>
            <w:r w:rsidRPr="00F51863">
              <w:rPr>
                <w:rFonts w:eastAsia="Calibri" w:cstheme="minorHAnsi"/>
                <w:b/>
                <w:bCs/>
                <w:i/>
                <w:iCs/>
                <w:sz w:val="24"/>
                <w:szCs w:val="24"/>
              </w:rPr>
              <w:t>Medium</w:t>
            </w:r>
          </w:p>
        </w:tc>
      </w:tr>
      <w:tr w:rsidR="00A34770" w:rsidTr="00216F0C">
        <w:tc>
          <w:tcPr>
            <w:tcW w:w="2610" w:type="dxa"/>
          </w:tcPr>
          <w:p w:rsidR="00F51863" w:rsidRPr="00E52A25" w:rsidRDefault="00743FAE" w:rsidP="00F51863">
            <w:pPr>
              <w:spacing w:line="259" w:lineRule="auto"/>
              <w:jc w:val="center"/>
              <w:rPr>
                <w:rFonts w:ascii="Traditional Arabic" w:eastAsia="Calibri" w:hAnsi="Traditional Arabic" w:cs="Traditional Arabic"/>
                <w:b/>
                <w:bCs/>
                <w:sz w:val="28"/>
                <w:szCs w:val="28"/>
              </w:rPr>
            </w:pPr>
            <w:r>
              <w:rPr>
                <w:rFonts w:ascii="Traditional Arabic" w:eastAsia="Calibri" w:hAnsi="Traditional Arabic" w:cs="Traditional Arabic"/>
                <w:b/>
                <w:bCs/>
                <w:sz w:val="28"/>
                <w:szCs w:val="28"/>
                <w:lang w:bidi="ar-EG"/>
              </w:rPr>
              <w:t>1- 2.33</w:t>
            </w:r>
          </w:p>
        </w:tc>
        <w:tc>
          <w:tcPr>
            <w:tcW w:w="2070" w:type="dxa"/>
          </w:tcPr>
          <w:p w:rsidR="00F51863" w:rsidRPr="00E52A25" w:rsidRDefault="00743FAE" w:rsidP="00372344">
            <w:pPr>
              <w:bidi/>
              <w:spacing w:line="259" w:lineRule="auto"/>
              <w:jc w:val="center"/>
              <w:rPr>
                <w:rFonts w:ascii="Traditional Arabic" w:eastAsia="Calibri" w:hAnsi="Traditional Arabic" w:cs="Traditional Arabic"/>
                <w:b/>
                <w:bCs/>
                <w:sz w:val="28"/>
                <w:szCs w:val="28"/>
              </w:rPr>
            </w:pPr>
            <w:r w:rsidRPr="00E52A25">
              <w:rPr>
                <w:rFonts w:ascii="Traditional Arabic" w:eastAsia="Calibri" w:hAnsi="Traditional Arabic" w:cs="Traditional Arabic"/>
                <w:b/>
                <w:bCs/>
                <w:sz w:val="28"/>
                <w:szCs w:val="28"/>
                <w:lang w:bidi="ar-EG"/>
              </w:rPr>
              <w:t>46.6%</w:t>
            </w:r>
            <w:r w:rsidRPr="00E52A25">
              <w:rPr>
                <w:rFonts w:ascii="Traditional Arabic" w:eastAsia="Calibri" w:hAnsi="Traditional Arabic" w:cs="Traditional Arabic"/>
                <w:b/>
                <w:bCs/>
                <w:sz w:val="28"/>
                <w:szCs w:val="28"/>
                <w:rtl/>
                <w:lang w:bidi="ar-EG"/>
              </w:rPr>
              <w:t xml:space="preserve"> –</w:t>
            </w:r>
            <w:r w:rsidR="00372344">
              <w:rPr>
                <w:rFonts w:ascii="Traditional Arabic" w:eastAsia="Calibri" w:hAnsi="Traditional Arabic" w:cs="Traditional Arabic"/>
                <w:b/>
                <w:bCs/>
                <w:sz w:val="28"/>
                <w:szCs w:val="28"/>
                <w:lang w:bidi="ar-EG"/>
              </w:rPr>
              <w:t xml:space="preserve"> </w:t>
            </w:r>
            <w:r w:rsidRPr="00E52A25">
              <w:rPr>
                <w:rFonts w:ascii="Traditional Arabic" w:eastAsia="Calibri" w:hAnsi="Traditional Arabic" w:cs="Traditional Arabic"/>
                <w:b/>
                <w:bCs/>
                <w:sz w:val="28"/>
                <w:szCs w:val="28"/>
                <w:rtl/>
                <w:lang w:bidi="ar-EG"/>
              </w:rPr>
              <w:t>%</w:t>
            </w:r>
            <w:r w:rsidR="00372344" w:rsidRPr="00E52A25">
              <w:rPr>
                <w:rFonts w:ascii="Traditional Arabic" w:eastAsia="Calibri" w:hAnsi="Traditional Arabic" w:cs="Traditional Arabic"/>
                <w:b/>
                <w:bCs/>
                <w:sz w:val="28"/>
                <w:szCs w:val="28"/>
                <w:rtl/>
                <w:lang w:bidi="ar-EG"/>
              </w:rPr>
              <w:t>20</w:t>
            </w:r>
          </w:p>
        </w:tc>
        <w:tc>
          <w:tcPr>
            <w:tcW w:w="1440" w:type="dxa"/>
          </w:tcPr>
          <w:p w:rsidR="00F51863" w:rsidRDefault="00743FAE" w:rsidP="00F51863">
            <w:pPr>
              <w:jc w:val="center"/>
              <w:rPr>
                <w:rFonts w:eastAsia="Calibri" w:cstheme="minorHAnsi"/>
                <w:b/>
                <w:bCs/>
                <w:i/>
                <w:iCs/>
                <w:sz w:val="24"/>
                <w:szCs w:val="24"/>
              </w:rPr>
            </w:pPr>
            <w:r>
              <w:rPr>
                <w:rFonts w:eastAsia="Calibri" w:cstheme="minorHAnsi"/>
                <w:b/>
                <w:bCs/>
                <w:i/>
                <w:iCs/>
                <w:sz w:val="24"/>
                <w:szCs w:val="24"/>
              </w:rPr>
              <w:t>Low</w:t>
            </w:r>
          </w:p>
        </w:tc>
      </w:tr>
    </w:tbl>
    <w:p w:rsidR="00F51863" w:rsidRDefault="00F51863" w:rsidP="00F51863">
      <w:pPr>
        <w:ind w:left="360"/>
        <w:jc w:val="center"/>
        <w:rPr>
          <w:rFonts w:eastAsia="Calibri" w:cstheme="minorHAnsi"/>
          <w:b/>
          <w:bCs/>
          <w:i/>
          <w:iCs/>
          <w:sz w:val="24"/>
          <w:szCs w:val="24"/>
        </w:rPr>
      </w:pPr>
    </w:p>
    <w:p w:rsidR="00602B1B" w:rsidRPr="00DA73BD" w:rsidRDefault="00743FAE" w:rsidP="00602B1B">
      <w:pPr>
        <w:spacing w:before="240" w:after="0"/>
        <w:jc w:val="both"/>
        <w:rPr>
          <w:rFonts w:eastAsia="Calibri" w:cstheme="minorHAnsi"/>
          <w:sz w:val="24"/>
          <w:szCs w:val="24"/>
        </w:rPr>
      </w:pPr>
      <w:r w:rsidRPr="00FB1221">
        <w:rPr>
          <w:rFonts w:eastAsia="Calibri" w:cstheme="minorHAnsi"/>
          <w:sz w:val="24"/>
          <w:szCs w:val="24"/>
        </w:rPr>
        <w:t xml:space="preserve">The data were analyzed </w:t>
      </w:r>
      <w:r>
        <w:rPr>
          <w:rFonts w:eastAsia="Calibri" w:cs="Calibri"/>
          <w:sz w:val="24"/>
          <w:szCs w:val="24"/>
        </w:rPr>
        <w:t>via</w:t>
      </w:r>
      <w:r w:rsidRPr="00FB1221">
        <w:rPr>
          <w:rFonts w:eastAsia="Calibri" w:cstheme="minorHAnsi"/>
          <w:sz w:val="24"/>
          <w:szCs w:val="24"/>
        </w:rPr>
        <w:t xml:space="preserve"> descriptive statistics, specifically arithmetic means, relative means, standard deviations, percentages, and the hypothetical mean (highest theoretical score + lowest theoretical score/2) for each dimension of the scale and at the scale level as a whole. Pearson's correlation coefficient was used to calculate the </w:t>
      </w:r>
      <w:r>
        <w:rPr>
          <w:rFonts w:eastAsia="Calibri" w:cs="Calibri"/>
          <w:sz w:val="24"/>
          <w:szCs w:val="24"/>
        </w:rPr>
        <w:t>relationships among</w:t>
      </w:r>
      <w:r w:rsidRPr="00FB1221">
        <w:rPr>
          <w:rFonts w:eastAsia="Calibri" w:cstheme="minorHAnsi"/>
          <w:sz w:val="24"/>
          <w:szCs w:val="24"/>
        </w:rPr>
        <w:t xml:space="preserve"> the three variables (computational thinking skills, computational self-efficacy, and academic well-being). Regression </w:t>
      </w:r>
      <w:r w:rsidRPr="00EC6EB9">
        <w:rPr>
          <w:rFonts w:ascii="Times New Roman" w:eastAsia="Calibri" w:hAnsi="Times New Roman" w:cs="Times New Roman"/>
          <w:sz w:val="20"/>
          <w:szCs w:val="20"/>
        </w:rPr>
        <w:t xml:space="preserve">coefficients </w:t>
      </w:r>
      <w:r>
        <w:rPr>
          <w:rFonts w:eastAsia="Calibri" w:cs="Calibri"/>
          <w:sz w:val="24"/>
          <w:szCs w:val="24"/>
        </w:rPr>
        <w:t>were</w:t>
      </w:r>
      <w:r w:rsidRPr="00FB1221">
        <w:rPr>
          <w:rFonts w:eastAsia="Calibri" w:cstheme="minorHAnsi"/>
          <w:sz w:val="24"/>
          <w:szCs w:val="24"/>
        </w:rPr>
        <w:t xml:space="preserve"> also used to study the effect of the independent variables on the dependent variable with the aim of predicting the scores of the dependent variable from the scores of the independent variables. In addition</w:t>
      </w:r>
      <w:r>
        <w:rPr>
          <w:rFonts w:eastAsia="Calibri" w:cs="Calibri"/>
          <w:sz w:val="24"/>
          <w:szCs w:val="24"/>
        </w:rPr>
        <w:t>,</w:t>
      </w:r>
      <w:r w:rsidRPr="00FB1221">
        <w:rPr>
          <w:rFonts w:eastAsia="Calibri" w:cstheme="minorHAnsi"/>
          <w:sz w:val="24"/>
          <w:szCs w:val="24"/>
        </w:rPr>
        <w:t xml:space="preserve"> inferential statistics</w:t>
      </w:r>
      <w:r>
        <w:rPr>
          <w:rFonts w:eastAsia="Calibri" w:cs="Calibri"/>
          <w:sz w:val="24"/>
          <w:szCs w:val="24"/>
        </w:rPr>
        <w:t>,</w:t>
      </w:r>
      <w:r w:rsidRPr="00FB1221">
        <w:rPr>
          <w:rFonts w:eastAsia="Calibri" w:cstheme="minorHAnsi"/>
          <w:sz w:val="24"/>
          <w:szCs w:val="24"/>
        </w:rPr>
        <w:t xml:space="preserve"> such as </w:t>
      </w:r>
      <w:r>
        <w:rPr>
          <w:rFonts w:eastAsia="Calibri" w:cs="Calibri"/>
          <w:sz w:val="24"/>
          <w:szCs w:val="24"/>
        </w:rPr>
        <w:t>t tests, were used</w:t>
      </w:r>
      <w:r w:rsidRPr="00FB1221">
        <w:rPr>
          <w:rFonts w:eastAsia="Calibri" w:cstheme="minorHAnsi"/>
          <w:sz w:val="24"/>
          <w:szCs w:val="24"/>
        </w:rPr>
        <w:t xml:space="preserve"> to determine the differences between the students' score means and the hypothetical </w:t>
      </w:r>
      <w:r>
        <w:rPr>
          <w:rFonts w:eastAsia="Calibri" w:cs="Calibri"/>
          <w:sz w:val="24"/>
          <w:szCs w:val="24"/>
        </w:rPr>
        <w:t>means at</w:t>
      </w:r>
      <w:r w:rsidRPr="00FB1221">
        <w:rPr>
          <w:rFonts w:eastAsia="Calibri" w:cstheme="minorHAnsi"/>
          <w:sz w:val="24"/>
          <w:szCs w:val="24"/>
        </w:rPr>
        <w:t xml:space="preserve"> the three scales</w:t>
      </w:r>
      <w:r w:rsidRPr="00FB1221">
        <w:rPr>
          <w:rFonts w:eastAsia="Calibri" w:cstheme="minorHAnsi"/>
          <w:sz w:val="24"/>
          <w:szCs w:val="24"/>
          <w:rtl/>
        </w:rPr>
        <w:t>.</w:t>
      </w:r>
      <w:r w:rsidRPr="00DA73BD">
        <w:rPr>
          <w:rFonts w:eastAsia="Calibri" w:cstheme="minorHAnsi"/>
          <w:sz w:val="24"/>
          <w:szCs w:val="24"/>
        </w:rPr>
        <w:t xml:space="preserve"> (Relative mean = arithmetic mean/number of scale items. The range of scores </w:t>
      </w:r>
      <w:r>
        <w:rPr>
          <w:rFonts w:eastAsia="Calibri" w:cs="Calibri"/>
          <w:sz w:val="24"/>
          <w:szCs w:val="24"/>
        </w:rPr>
        <w:t>for</w:t>
      </w:r>
      <w:r w:rsidRPr="00DA73BD">
        <w:rPr>
          <w:rFonts w:eastAsia="Calibri" w:cstheme="minorHAnsi"/>
          <w:sz w:val="24"/>
          <w:szCs w:val="24"/>
        </w:rPr>
        <w:t xml:space="preserve"> the item (5 - 1 = 4) was divided into equal segments, so that the low level </w:t>
      </w:r>
      <w:r>
        <w:rPr>
          <w:rFonts w:eastAsia="Calibri" w:cs="Calibri"/>
          <w:sz w:val="24"/>
          <w:szCs w:val="24"/>
        </w:rPr>
        <w:t>ranged</w:t>
      </w:r>
      <w:r w:rsidRPr="00DA73BD">
        <w:rPr>
          <w:rFonts w:eastAsia="Calibri" w:cstheme="minorHAnsi"/>
          <w:sz w:val="24"/>
          <w:szCs w:val="24"/>
        </w:rPr>
        <w:t xml:space="preserve"> from 1</w:t>
      </w:r>
      <w:r>
        <w:rPr>
          <w:rFonts w:eastAsia="Calibri" w:cs="Calibri"/>
          <w:sz w:val="24"/>
          <w:szCs w:val="24"/>
        </w:rPr>
        <w:t>--</w:t>
      </w:r>
      <w:r w:rsidRPr="00DA73BD">
        <w:rPr>
          <w:rFonts w:eastAsia="Calibri" w:cstheme="minorHAnsi"/>
          <w:sz w:val="24"/>
          <w:szCs w:val="24"/>
        </w:rPr>
        <w:t xml:space="preserve">2.32, the medium level </w:t>
      </w:r>
      <w:r>
        <w:rPr>
          <w:rFonts w:eastAsia="Calibri" w:cs="Calibri"/>
          <w:sz w:val="24"/>
          <w:szCs w:val="24"/>
        </w:rPr>
        <w:t xml:space="preserve">ranged </w:t>
      </w:r>
      <w:r w:rsidRPr="00DA73BD">
        <w:rPr>
          <w:rFonts w:eastAsia="Calibri" w:cstheme="minorHAnsi"/>
          <w:sz w:val="24"/>
          <w:szCs w:val="24"/>
        </w:rPr>
        <w:t>from 2.33</w:t>
      </w:r>
      <w:r>
        <w:rPr>
          <w:rFonts w:eastAsia="Calibri" w:cs="Calibri"/>
          <w:sz w:val="24"/>
          <w:szCs w:val="24"/>
        </w:rPr>
        <w:t>--</w:t>
      </w:r>
      <w:r w:rsidRPr="00DA73BD">
        <w:rPr>
          <w:rFonts w:eastAsia="Calibri" w:cstheme="minorHAnsi"/>
          <w:sz w:val="24"/>
          <w:szCs w:val="24"/>
        </w:rPr>
        <w:t xml:space="preserve">3.66, and the high level </w:t>
      </w:r>
      <w:r>
        <w:rPr>
          <w:rFonts w:eastAsia="Calibri" w:cs="Calibri"/>
          <w:sz w:val="24"/>
          <w:szCs w:val="24"/>
        </w:rPr>
        <w:t>ranged from 3.67--5.</w:t>
      </w:r>
    </w:p>
    <w:p w:rsidR="00602B1B" w:rsidRDefault="00602B1B" w:rsidP="00FB1221">
      <w:pPr>
        <w:spacing w:before="240" w:after="0"/>
        <w:jc w:val="both"/>
        <w:rPr>
          <w:rFonts w:eastAsia="Calibri" w:cstheme="minorHAnsi"/>
          <w:sz w:val="24"/>
          <w:szCs w:val="24"/>
          <w:rtl/>
        </w:rPr>
      </w:pPr>
    </w:p>
    <w:p w:rsidR="008C7CFB" w:rsidRPr="00DA73BD" w:rsidRDefault="008C7CFB" w:rsidP="00FB1221">
      <w:pPr>
        <w:spacing w:before="240" w:after="0"/>
        <w:jc w:val="both"/>
        <w:rPr>
          <w:rFonts w:eastAsia="Calibri" w:cstheme="minorHAnsi"/>
          <w:sz w:val="24"/>
          <w:szCs w:val="24"/>
        </w:rPr>
      </w:pPr>
    </w:p>
    <w:p w:rsidR="00EC6EB9" w:rsidRPr="00BE2F99" w:rsidRDefault="00743FAE" w:rsidP="00BE2F99">
      <w:pPr>
        <w:tabs>
          <w:tab w:val="left" w:pos="180"/>
        </w:tabs>
        <w:spacing w:before="240" w:after="0" w:line="240" w:lineRule="auto"/>
        <w:ind w:right="-244"/>
        <w:contextualSpacing/>
        <w:jc w:val="both"/>
        <w:rPr>
          <w:rFonts w:ascii="Times New Roman" w:eastAsia="Calibri" w:hAnsi="Times New Roman" w:cs="Times New Roman"/>
          <w:b/>
          <w:bCs/>
          <w:sz w:val="24"/>
          <w:szCs w:val="24"/>
          <w:lang w:val="en-GB"/>
        </w:rPr>
      </w:pPr>
      <w:r w:rsidRPr="00BE2F99">
        <w:rPr>
          <w:rFonts w:ascii="Times New Roman" w:eastAsia="Calibri" w:hAnsi="Times New Roman" w:cs="Times New Roman"/>
          <w:b/>
          <w:bCs/>
          <w:sz w:val="24"/>
          <w:szCs w:val="24"/>
        </w:rPr>
        <w:lastRenderedPageBreak/>
        <w:t>Results and Discussion</w:t>
      </w:r>
    </w:p>
    <w:p w:rsidR="004F1CA4" w:rsidRPr="00772D5C" w:rsidRDefault="00743FAE" w:rsidP="004F1CA4">
      <w:pPr>
        <w:spacing w:before="240"/>
        <w:jc w:val="both"/>
        <w:rPr>
          <w:rFonts w:ascii="Times New Roman" w:eastAsia="Calibri" w:hAnsi="Times New Roman" w:cs="Times New Roman"/>
          <w:b/>
          <w:bCs/>
          <w:i/>
          <w:iCs/>
          <w:sz w:val="20"/>
          <w:szCs w:val="20"/>
          <w:rtl/>
          <w:lang w:val="en-GB"/>
        </w:rPr>
      </w:pPr>
      <w:r w:rsidRPr="00772D5C">
        <w:rPr>
          <w:rFonts w:ascii="Times New Roman" w:eastAsia="Calibri" w:hAnsi="Times New Roman" w:cs="Times New Roman"/>
          <w:b/>
          <w:bCs/>
          <w:i/>
          <w:iCs/>
          <w:sz w:val="20"/>
          <w:szCs w:val="20"/>
        </w:rPr>
        <w:t>Q1. What</w:t>
      </w:r>
      <w:r>
        <w:rPr>
          <w:rFonts w:ascii="Times New Roman" w:eastAsia="Calibri" w:hAnsi="Times New Roman" w:cs="Times New Roman"/>
          <w:b/>
          <w:bCs/>
          <w:i/>
          <w:iCs/>
          <w:sz w:val="20"/>
          <w:szCs w:val="20"/>
        </w:rPr>
        <w:t xml:space="preserve"> </w:t>
      </w:r>
      <w:r w:rsidRPr="00772D5C">
        <w:rPr>
          <w:rFonts w:ascii="Times New Roman" w:eastAsia="Calibri" w:hAnsi="Times New Roman" w:cs="Times New Roman"/>
          <w:b/>
          <w:bCs/>
          <w:i/>
          <w:iCs/>
          <w:sz w:val="20"/>
          <w:szCs w:val="20"/>
        </w:rPr>
        <w:t>are</w:t>
      </w:r>
      <w:r>
        <w:rPr>
          <w:rFonts w:ascii="Times New Roman" w:eastAsia="Calibri" w:hAnsi="Times New Roman" w:cs="Times New Roman"/>
          <w:b/>
          <w:bCs/>
          <w:i/>
          <w:iCs/>
          <w:sz w:val="20"/>
          <w:szCs w:val="20"/>
        </w:rPr>
        <w:t xml:space="preserve"> </w:t>
      </w:r>
      <w:r w:rsidRPr="00772D5C">
        <w:rPr>
          <w:rFonts w:ascii="Times New Roman" w:eastAsia="Calibri" w:hAnsi="Times New Roman" w:cs="Times New Roman"/>
          <w:b/>
          <w:bCs/>
          <w:i/>
          <w:iCs/>
          <w:sz w:val="20"/>
          <w:szCs w:val="20"/>
        </w:rPr>
        <w:t xml:space="preserve">the </w:t>
      </w:r>
      <w:r>
        <w:rPr>
          <w:rFonts w:ascii="Times New Roman" w:eastAsia="Calibri" w:hAnsi="Times New Roman" w:cs="Times New Roman"/>
          <w:b/>
          <w:bCs/>
          <w:i/>
          <w:iCs/>
          <w:sz w:val="20"/>
          <w:szCs w:val="20"/>
        </w:rPr>
        <w:t>students’ levels of computational thinking skills, computational self-efficacy, and academic well-being?</w:t>
      </w:r>
    </w:p>
    <w:p w:rsidR="008C6329" w:rsidRDefault="00743FAE" w:rsidP="00337A94">
      <w:pPr>
        <w:spacing w:before="240"/>
        <w:jc w:val="both"/>
        <w:rPr>
          <w:rFonts w:eastAsia="Calibri" w:cstheme="minorHAnsi"/>
          <w:sz w:val="20"/>
          <w:szCs w:val="20"/>
          <w:rtl/>
          <w:lang w:val="en-GB"/>
        </w:rPr>
      </w:pPr>
      <w:r w:rsidRPr="008C6329">
        <w:rPr>
          <w:rFonts w:eastAsia="Calibri" w:cstheme="minorHAnsi"/>
          <w:sz w:val="20"/>
          <w:szCs w:val="20"/>
        </w:rPr>
        <w:t>To answer this question, the relative mean was calculated</w:t>
      </w:r>
      <w:r>
        <w:rPr>
          <w:rFonts w:eastAsia="Calibri" w:cs="Calibri"/>
          <w:sz w:val="20"/>
          <w:szCs w:val="20"/>
        </w:rPr>
        <w:t>,</w:t>
      </w:r>
      <w:r w:rsidRPr="008C6329">
        <w:rPr>
          <w:rFonts w:eastAsia="Calibri" w:cstheme="minorHAnsi"/>
          <w:sz w:val="20"/>
          <w:szCs w:val="20"/>
        </w:rPr>
        <w:t xml:space="preserve"> and a t</w:t>
      </w:r>
      <w:r>
        <w:rPr>
          <w:rFonts w:eastAsia="Calibri" w:cs="Calibri"/>
          <w:sz w:val="20"/>
          <w:szCs w:val="20"/>
        </w:rPr>
        <w:t xml:space="preserve"> </w:t>
      </w:r>
      <w:r w:rsidRPr="008C6329">
        <w:rPr>
          <w:rFonts w:eastAsia="Calibri" w:cstheme="minorHAnsi"/>
          <w:sz w:val="20"/>
          <w:szCs w:val="20"/>
        </w:rPr>
        <w:t xml:space="preserve">test was used to compare the mean scores of the research sample and the hypothetical </w:t>
      </w:r>
      <w:r>
        <w:rPr>
          <w:rFonts w:eastAsia="Calibri" w:cs="Calibri"/>
          <w:sz w:val="20"/>
          <w:szCs w:val="20"/>
        </w:rPr>
        <w:t>means of</w:t>
      </w:r>
      <w:r w:rsidRPr="008C6329">
        <w:rPr>
          <w:rFonts w:eastAsia="Calibri" w:cstheme="minorHAnsi"/>
          <w:sz w:val="20"/>
          <w:szCs w:val="20"/>
        </w:rPr>
        <w:t xml:space="preserve"> the three scales. Table 5 shows these results.</w:t>
      </w:r>
    </w:p>
    <w:p w:rsidR="00D911C3" w:rsidRPr="009548BD" w:rsidRDefault="00B2481E" w:rsidP="00337A94">
      <w:pPr>
        <w:spacing w:before="240"/>
        <w:jc w:val="both"/>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rPr>
        <w:t>Table 5. t</w:t>
      </w:r>
      <w:r w:rsidR="00743FAE">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 xml:space="preserve">test to compare the mean of the sample’s scores on the Computational Thinking Skills, Computational Self-Efficacy, and </w:t>
      </w:r>
      <w:r w:rsidRPr="00B2481E">
        <w:rPr>
          <w:rFonts w:ascii="Times New Roman" w:eastAsia="Calibri" w:hAnsi="Times New Roman" w:cs="Times New Roman"/>
          <w:b/>
          <w:bCs/>
          <w:sz w:val="20"/>
          <w:szCs w:val="20"/>
        </w:rPr>
        <w:t>Academic Well-Being</w:t>
      </w:r>
      <w:r w:rsidR="00ED0E69" w:rsidRPr="009548BD">
        <w:rPr>
          <w:rFonts w:ascii="Times New Roman" w:eastAsia="Calibri" w:hAnsi="Times New Roman" w:cs="Times New Roman"/>
          <w:b/>
          <w:bCs/>
          <w:sz w:val="20"/>
          <w:szCs w:val="20"/>
        </w:rPr>
        <w:t xml:space="preserve"> and the hypothesized mean.</w:t>
      </w:r>
    </w:p>
    <w:tbl>
      <w:tblPr>
        <w:tblStyle w:val="aa"/>
        <w:tblW w:w="0" w:type="auto"/>
        <w:tblInd w:w="18" w:type="dxa"/>
        <w:tblLayout w:type="fixed"/>
        <w:tblLook w:val="04A0" w:firstRow="1" w:lastRow="0" w:firstColumn="1" w:lastColumn="0" w:noHBand="0" w:noVBand="1"/>
      </w:tblPr>
      <w:tblGrid>
        <w:gridCol w:w="2340"/>
        <w:gridCol w:w="704"/>
        <w:gridCol w:w="1306"/>
        <w:gridCol w:w="1015"/>
        <w:gridCol w:w="843"/>
        <w:gridCol w:w="865"/>
        <w:gridCol w:w="903"/>
        <w:gridCol w:w="1054"/>
      </w:tblGrid>
      <w:tr w:rsidR="00A34770" w:rsidTr="00E436B0">
        <w:tc>
          <w:tcPr>
            <w:tcW w:w="2340" w:type="dxa"/>
          </w:tcPr>
          <w:p w:rsidR="00703FB6"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hint="cs"/>
                <w:b/>
                <w:bCs/>
                <w:sz w:val="20"/>
                <w:szCs w:val="20"/>
                <w:rtl/>
              </w:rPr>
              <w:t xml:space="preserve"> </w:t>
            </w:r>
          </w:p>
        </w:tc>
        <w:tc>
          <w:tcPr>
            <w:tcW w:w="704" w:type="dxa"/>
          </w:tcPr>
          <w:p w:rsidR="00703FB6"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Mean</w:t>
            </w:r>
          </w:p>
        </w:tc>
        <w:tc>
          <w:tcPr>
            <w:tcW w:w="1306" w:type="dxa"/>
          </w:tcPr>
          <w:p w:rsidR="00703FB6" w:rsidRDefault="00743FAE" w:rsidP="00E436B0">
            <w:pPr>
              <w:tabs>
                <w:tab w:val="left" w:pos="180"/>
                <w:tab w:val="center" w:pos="442"/>
              </w:tabs>
              <w:jc w:val="center"/>
              <w:rPr>
                <w:rFonts w:ascii="Times New Roman" w:eastAsia="Calibri" w:hAnsi="Times New Roman" w:cs="Times New Roman"/>
                <w:sz w:val="20"/>
                <w:szCs w:val="20"/>
                <w:lang w:val="en-GB"/>
              </w:rPr>
            </w:pPr>
            <w:r w:rsidRPr="00E436B0">
              <w:rPr>
                <w:rFonts w:ascii="Times New Roman" w:eastAsia="Calibri" w:hAnsi="Times New Roman" w:cs="Times New Roman"/>
                <w:sz w:val="20"/>
                <w:szCs w:val="20"/>
              </w:rPr>
              <w:t>Hypothetical mean</w:t>
            </w:r>
          </w:p>
        </w:tc>
        <w:tc>
          <w:tcPr>
            <w:tcW w:w="1015" w:type="dxa"/>
          </w:tcPr>
          <w:p w:rsidR="00703FB6" w:rsidRDefault="00743FAE" w:rsidP="00E436B0">
            <w:pPr>
              <w:jc w:val="center"/>
              <w:rPr>
                <w:rFonts w:ascii="Times New Roman" w:eastAsia="Calibri" w:hAnsi="Times New Roman" w:cs="Times New Roman"/>
                <w:sz w:val="20"/>
                <w:szCs w:val="20"/>
                <w:lang w:val="en-GB"/>
              </w:rPr>
            </w:pPr>
            <w:r w:rsidRPr="007854EA">
              <w:rPr>
                <w:rFonts w:ascii="Times New Roman" w:hAnsi="Times New Roman" w:cs="Times New Roman"/>
                <w:color w:val="000000"/>
                <w:sz w:val="20"/>
                <w:szCs w:val="20"/>
              </w:rPr>
              <w:t>Std. Deviation</w:t>
            </w:r>
          </w:p>
        </w:tc>
        <w:tc>
          <w:tcPr>
            <w:tcW w:w="843" w:type="dxa"/>
          </w:tcPr>
          <w:p w:rsidR="00703FB6"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t- test</w:t>
            </w:r>
          </w:p>
        </w:tc>
        <w:tc>
          <w:tcPr>
            <w:tcW w:w="865" w:type="dxa"/>
          </w:tcPr>
          <w:p w:rsidR="00703FB6"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Sign.</w:t>
            </w:r>
          </w:p>
        </w:tc>
        <w:tc>
          <w:tcPr>
            <w:tcW w:w="903" w:type="dxa"/>
          </w:tcPr>
          <w:p w:rsidR="00703FB6" w:rsidRDefault="00743FAE" w:rsidP="00E436B0">
            <w:pPr>
              <w:jc w:val="center"/>
              <w:rPr>
                <w:rFonts w:ascii="Times New Roman" w:eastAsia="Calibri" w:hAnsi="Times New Roman" w:cs="Times New Roman"/>
                <w:sz w:val="20"/>
                <w:szCs w:val="20"/>
                <w:lang w:val="en-GB"/>
              </w:rPr>
            </w:pPr>
            <w:r w:rsidRPr="007854EA">
              <w:rPr>
                <w:rFonts w:ascii="Times New Roman" w:eastAsia="Calibri" w:hAnsi="Times New Roman" w:cs="Times New Roman"/>
                <w:sz w:val="20"/>
                <w:szCs w:val="20"/>
              </w:rPr>
              <w:t>Relative mean</w:t>
            </w:r>
          </w:p>
        </w:tc>
        <w:tc>
          <w:tcPr>
            <w:tcW w:w="1054" w:type="dxa"/>
          </w:tcPr>
          <w:p w:rsidR="00703FB6" w:rsidRPr="00E436B0" w:rsidRDefault="00743FAE" w:rsidP="00E436B0">
            <w:pPr>
              <w:tabs>
                <w:tab w:val="left" w:pos="0"/>
              </w:tabs>
              <w:bidi/>
              <w:spacing w:after="160" w:line="259" w:lineRule="auto"/>
              <w:ind w:left="-90" w:right="-244"/>
              <w:jc w:val="center"/>
              <w:rPr>
                <w:rFonts w:ascii="Times New Roman" w:eastAsia="Calibri" w:hAnsi="Times New Roman" w:cs="Times New Roman"/>
                <w:sz w:val="20"/>
                <w:szCs w:val="20"/>
              </w:rPr>
            </w:pPr>
            <w:r>
              <w:rPr>
                <w:rFonts w:ascii="Times New Roman" w:eastAsia="Calibri" w:hAnsi="Times New Roman" w:cs="Times New Roman"/>
                <w:sz w:val="20"/>
                <w:szCs w:val="20"/>
              </w:rPr>
              <w:t>The Level</w:t>
            </w:r>
          </w:p>
        </w:tc>
      </w:tr>
      <w:tr w:rsidR="00A34770" w:rsidTr="00E436B0">
        <w:tc>
          <w:tcPr>
            <w:tcW w:w="2340" w:type="dxa"/>
          </w:tcPr>
          <w:p w:rsidR="00703FB6" w:rsidRPr="00B2481E" w:rsidRDefault="00743FAE" w:rsidP="00F345A6">
            <w:pPr>
              <w:jc w:val="both"/>
              <w:rPr>
                <w:rFonts w:ascii="Times New Roman" w:eastAsia="Calibri" w:hAnsi="Times New Roman" w:cs="Times New Roman"/>
                <w:b/>
                <w:bCs/>
                <w:sz w:val="20"/>
                <w:szCs w:val="20"/>
              </w:rPr>
            </w:pPr>
            <w:r w:rsidRPr="00B14383">
              <w:rPr>
                <w:rFonts w:ascii="Times New Roman" w:eastAsia="Calibri" w:hAnsi="Times New Roman" w:cs="Times New Roman"/>
                <w:b/>
                <w:bCs/>
                <w:sz w:val="20"/>
                <w:szCs w:val="20"/>
              </w:rPr>
              <w:t>Computational Thinking Skills</w:t>
            </w:r>
          </w:p>
        </w:tc>
        <w:tc>
          <w:tcPr>
            <w:tcW w:w="704" w:type="dxa"/>
          </w:tcPr>
          <w:p w:rsidR="00703FB6" w:rsidRPr="004803F4" w:rsidRDefault="00743FAE" w:rsidP="008759BB">
            <w:pPr>
              <w:jc w:val="center"/>
              <w:rPr>
                <w:rFonts w:ascii="Times New Roman" w:eastAsia="Calibri" w:hAnsi="Times New Roman" w:cs="Times New Roman"/>
                <w:sz w:val="20"/>
                <w:szCs w:val="20"/>
              </w:rPr>
            </w:pPr>
            <w:r>
              <w:rPr>
                <w:rFonts w:ascii="Times New Roman" w:eastAsia="Calibri" w:hAnsi="Times New Roman" w:cs="Times New Roman"/>
                <w:sz w:val="20"/>
                <w:szCs w:val="20"/>
              </w:rPr>
              <w:t>54.7</w:t>
            </w:r>
            <w:r w:rsidR="008759BB">
              <w:rPr>
                <w:rFonts w:ascii="Times New Roman" w:eastAsia="Calibri" w:hAnsi="Times New Roman" w:cs="Times New Roman" w:hint="cs"/>
                <w:sz w:val="20"/>
                <w:szCs w:val="20"/>
                <w:rtl/>
              </w:rPr>
              <w:t>5</w:t>
            </w:r>
          </w:p>
        </w:tc>
        <w:tc>
          <w:tcPr>
            <w:tcW w:w="1306" w:type="dxa"/>
          </w:tcPr>
          <w:p w:rsidR="00703FB6" w:rsidRPr="00B14383"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hint="cs"/>
                <w:sz w:val="20"/>
                <w:szCs w:val="20"/>
                <w:rtl/>
              </w:rPr>
              <w:t>60</w:t>
            </w:r>
          </w:p>
        </w:tc>
        <w:tc>
          <w:tcPr>
            <w:tcW w:w="1015" w:type="dxa"/>
          </w:tcPr>
          <w:p w:rsidR="00703FB6" w:rsidRPr="00B14383"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6.22</w:t>
            </w:r>
          </w:p>
        </w:tc>
        <w:tc>
          <w:tcPr>
            <w:tcW w:w="843" w:type="dxa"/>
          </w:tcPr>
          <w:p w:rsidR="00703FB6" w:rsidRPr="008759BB" w:rsidRDefault="00743FAE" w:rsidP="00E436B0">
            <w:pPr>
              <w:jc w:val="center"/>
              <w:rPr>
                <w:rFonts w:ascii="Times New Roman" w:eastAsia="Calibri" w:hAnsi="Times New Roman" w:cs="Times New Roman"/>
                <w:sz w:val="20"/>
                <w:szCs w:val="20"/>
              </w:rPr>
            </w:pPr>
            <w:r>
              <w:rPr>
                <w:rFonts w:ascii="Times New Roman" w:eastAsia="Calibri" w:hAnsi="Times New Roman" w:cs="Times New Roman"/>
                <w:sz w:val="20"/>
                <w:szCs w:val="20"/>
              </w:rPr>
              <w:t>14.18</w:t>
            </w:r>
          </w:p>
        </w:tc>
        <w:tc>
          <w:tcPr>
            <w:tcW w:w="865" w:type="dxa"/>
          </w:tcPr>
          <w:p w:rsidR="00703FB6" w:rsidRPr="00B14383" w:rsidRDefault="00743FAE" w:rsidP="00E436B0">
            <w:pPr>
              <w:jc w:val="center"/>
              <w:rPr>
                <w:rFonts w:ascii="Times New Roman" w:eastAsia="Calibri" w:hAnsi="Times New Roman" w:cs="Times New Roman"/>
                <w:sz w:val="20"/>
                <w:szCs w:val="20"/>
                <w:rtl/>
                <w:lang w:val="en-GB" w:bidi="ar-EG"/>
              </w:rPr>
            </w:pPr>
            <w:r>
              <w:rPr>
                <w:rFonts w:ascii="Times New Roman" w:eastAsia="Calibri" w:hAnsi="Times New Roman" w:cs="Times New Roman" w:hint="cs"/>
                <w:sz w:val="20"/>
                <w:szCs w:val="20"/>
                <w:rtl/>
                <w:lang w:bidi="ar-EG"/>
              </w:rPr>
              <w:t>0.01</w:t>
            </w:r>
          </w:p>
        </w:tc>
        <w:tc>
          <w:tcPr>
            <w:tcW w:w="903" w:type="dxa"/>
          </w:tcPr>
          <w:p w:rsidR="00703FB6" w:rsidRPr="00B14383"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2.74</w:t>
            </w:r>
          </w:p>
        </w:tc>
        <w:tc>
          <w:tcPr>
            <w:tcW w:w="1054" w:type="dxa"/>
          </w:tcPr>
          <w:p w:rsidR="00703FB6" w:rsidRPr="00F92533" w:rsidRDefault="00743FAE" w:rsidP="00F92533">
            <w:pPr>
              <w:rPr>
                <w:rFonts w:ascii="Times New Roman" w:eastAsia="Calibri" w:hAnsi="Times New Roman" w:cs="Times New Roman"/>
                <w:sz w:val="20"/>
                <w:szCs w:val="20"/>
                <w:lang w:bidi="ar-EG"/>
              </w:rPr>
            </w:pPr>
            <w:r>
              <w:rPr>
                <w:rFonts w:ascii="Times New Roman" w:eastAsia="Calibri" w:hAnsi="Times New Roman" w:cs="Times New Roman"/>
                <w:sz w:val="20"/>
                <w:szCs w:val="20"/>
                <w:lang w:bidi="ar-EG"/>
              </w:rPr>
              <w:t>Medium</w:t>
            </w:r>
          </w:p>
        </w:tc>
      </w:tr>
      <w:tr w:rsidR="00A34770" w:rsidTr="00E436B0">
        <w:tc>
          <w:tcPr>
            <w:tcW w:w="2340" w:type="dxa"/>
          </w:tcPr>
          <w:p w:rsidR="00F92533" w:rsidRPr="00B2481E" w:rsidRDefault="00743FAE" w:rsidP="00B14383">
            <w:pPr>
              <w:jc w:val="both"/>
              <w:rPr>
                <w:rFonts w:ascii="Times New Roman" w:eastAsia="Calibri" w:hAnsi="Times New Roman" w:cs="Times New Roman"/>
                <w:b/>
                <w:bCs/>
                <w:sz w:val="20"/>
                <w:szCs w:val="20"/>
              </w:rPr>
            </w:pPr>
            <w:r w:rsidRPr="00B2481E">
              <w:rPr>
                <w:rFonts w:ascii="Times New Roman" w:eastAsia="Calibri" w:hAnsi="Times New Roman" w:cs="Times New Roman"/>
                <w:b/>
                <w:bCs/>
                <w:sz w:val="20"/>
                <w:szCs w:val="20"/>
              </w:rPr>
              <w:t xml:space="preserve">Computational </w:t>
            </w:r>
            <w:r w:rsidRPr="00B2481E">
              <w:rPr>
                <w:rFonts w:ascii="Times New Roman" w:eastAsia="Calibri" w:hAnsi="Times New Roman" w:cs="Times New Roman" w:hint="cs"/>
                <w:b/>
                <w:bCs/>
                <w:sz w:val="20"/>
                <w:szCs w:val="20"/>
                <w:rtl/>
              </w:rPr>
              <w:t xml:space="preserve"> </w:t>
            </w:r>
            <w:r w:rsidRPr="00B2481E">
              <w:rPr>
                <w:rFonts w:ascii="Times New Roman" w:eastAsia="Calibri" w:hAnsi="Times New Roman" w:cs="Times New Roman"/>
                <w:b/>
                <w:bCs/>
                <w:sz w:val="20"/>
                <w:szCs w:val="20"/>
              </w:rPr>
              <w:t xml:space="preserve"> Self-Efficacy</w:t>
            </w:r>
          </w:p>
        </w:tc>
        <w:tc>
          <w:tcPr>
            <w:tcW w:w="704" w:type="dxa"/>
          </w:tcPr>
          <w:p w:rsidR="00F92533" w:rsidRPr="00247C89" w:rsidRDefault="00743FAE" w:rsidP="00EA2712">
            <w:pPr>
              <w:jc w:val="center"/>
              <w:rPr>
                <w:rFonts w:ascii="Times New Roman" w:eastAsia="Calibri" w:hAnsi="Times New Roman" w:cs="Times New Roman"/>
                <w:sz w:val="20"/>
                <w:szCs w:val="20"/>
              </w:rPr>
            </w:pPr>
            <w:r>
              <w:rPr>
                <w:rFonts w:ascii="Times New Roman" w:eastAsia="Calibri" w:hAnsi="Times New Roman" w:cs="Times New Roman"/>
                <w:sz w:val="20"/>
                <w:szCs w:val="20"/>
              </w:rPr>
              <w:t>66.</w:t>
            </w:r>
            <w:r>
              <w:rPr>
                <w:rFonts w:ascii="Times New Roman" w:eastAsia="Calibri" w:hAnsi="Times New Roman" w:cs="Times New Roman" w:hint="cs"/>
                <w:sz w:val="20"/>
                <w:szCs w:val="20"/>
                <w:rtl/>
              </w:rPr>
              <w:t>99</w:t>
            </w:r>
          </w:p>
        </w:tc>
        <w:tc>
          <w:tcPr>
            <w:tcW w:w="1306" w:type="dxa"/>
          </w:tcPr>
          <w:p w:rsidR="00F92533" w:rsidRPr="00B14383"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hint="cs"/>
                <w:sz w:val="20"/>
                <w:szCs w:val="20"/>
                <w:rtl/>
              </w:rPr>
              <w:t>81</w:t>
            </w:r>
          </w:p>
        </w:tc>
        <w:tc>
          <w:tcPr>
            <w:tcW w:w="1015" w:type="dxa"/>
          </w:tcPr>
          <w:p w:rsidR="00F92533" w:rsidRPr="00B14383"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12.43</w:t>
            </w:r>
          </w:p>
        </w:tc>
        <w:tc>
          <w:tcPr>
            <w:tcW w:w="843" w:type="dxa"/>
          </w:tcPr>
          <w:p w:rsidR="00F92533" w:rsidRPr="00B14383"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19.09</w:t>
            </w:r>
          </w:p>
        </w:tc>
        <w:tc>
          <w:tcPr>
            <w:tcW w:w="865" w:type="dxa"/>
          </w:tcPr>
          <w:p w:rsidR="00F92533" w:rsidRPr="00B14383" w:rsidRDefault="00743FAE" w:rsidP="00E436B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0.01</w:t>
            </w:r>
          </w:p>
        </w:tc>
        <w:tc>
          <w:tcPr>
            <w:tcW w:w="903" w:type="dxa"/>
          </w:tcPr>
          <w:p w:rsidR="00F92533" w:rsidRPr="00B14383" w:rsidRDefault="00743FAE" w:rsidP="00361E60">
            <w:pPr>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2.48</w:t>
            </w:r>
          </w:p>
        </w:tc>
        <w:tc>
          <w:tcPr>
            <w:tcW w:w="1054" w:type="dxa"/>
          </w:tcPr>
          <w:p w:rsidR="00F92533" w:rsidRDefault="00743FAE">
            <w:r w:rsidRPr="002B4566">
              <w:rPr>
                <w:rFonts w:ascii="Times New Roman" w:eastAsia="Calibri" w:hAnsi="Times New Roman" w:cs="Times New Roman"/>
                <w:sz w:val="20"/>
                <w:szCs w:val="20"/>
                <w:lang w:bidi="ar-EG"/>
              </w:rPr>
              <w:t>Medium</w:t>
            </w:r>
          </w:p>
        </w:tc>
      </w:tr>
      <w:tr w:rsidR="00A34770" w:rsidTr="00E436B0">
        <w:tc>
          <w:tcPr>
            <w:tcW w:w="2340" w:type="dxa"/>
          </w:tcPr>
          <w:p w:rsidR="00F92533" w:rsidRPr="00B2481E" w:rsidRDefault="00743FAE" w:rsidP="00B14383">
            <w:pPr>
              <w:jc w:val="both"/>
              <w:rPr>
                <w:rFonts w:ascii="Times New Roman" w:eastAsia="Calibri" w:hAnsi="Times New Roman" w:cs="Times New Roman"/>
                <w:b/>
                <w:bCs/>
                <w:sz w:val="20"/>
                <w:szCs w:val="20"/>
              </w:rPr>
            </w:pPr>
            <w:r w:rsidRPr="00B14383">
              <w:rPr>
                <w:rFonts w:ascii="Times New Roman" w:eastAsia="Calibri" w:hAnsi="Times New Roman" w:cs="Times New Roman"/>
                <w:b/>
                <w:bCs/>
                <w:sz w:val="20"/>
                <w:szCs w:val="20"/>
              </w:rPr>
              <w:t>Academic Well-Being</w:t>
            </w:r>
          </w:p>
        </w:tc>
        <w:tc>
          <w:tcPr>
            <w:tcW w:w="704" w:type="dxa"/>
          </w:tcPr>
          <w:p w:rsidR="00F92533" w:rsidRPr="00C673C6" w:rsidRDefault="00743FAE" w:rsidP="00CA5613">
            <w:pPr>
              <w:jc w:val="center"/>
              <w:rPr>
                <w:rFonts w:ascii="Times New Roman" w:eastAsia="Calibri" w:hAnsi="Times New Roman" w:cs="Times New Roman"/>
                <w:sz w:val="20"/>
                <w:szCs w:val="20"/>
                <w:rtl/>
              </w:rPr>
            </w:pPr>
            <w:r>
              <w:rPr>
                <w:rFonts w:ascii="Times New Roman" w:eastAsia="Calibri" w:hAnsi="Times New Roman" w:cs="Times New Roman" w:hint="cs"/>
                <w:sz w:val="20"/>
                <w:szCs w:val="20"/>
                <w:rtl/>
              </w:rPr>
              <w:t>3</w:t>
            </w:r>
            <w:r>
              <w:rPr>
                <w:rFonts w:ascii="Times New Roman" w:eastAsia="Calibri" w:hAnsi="Times New Roman" w:cs="Times New Roman"/>
                <w:sz w:val="20"/>
                <w:szCs w:val="20"/>
              </w:rPr>
              <w:t>7.00</w:t>
            </w:r>
          </w:p>
        </w:tc>
        <w:tc>
          <w:tcPr>
            <w:tcW w:w="1306" w:type="dxa"/>
          </w:tcPr>
          <w:p w:rsidR="00F92533" w:rsidRPr="00CA5613" w:rsidRDefault="00743FAE" w:rsidP="00CA5613">
            <w:pPr>
              <w:jc w:val="center"/>
              <w:rPr>
                <w:rFonts w:ascii="Times New Roman" w:eastAsia="Calibri" w:hAnsi="Times New Roman" w:cs="Times New Roman"/>
                <w:sz w:val="20"/>
                <w:szCs w:val="20"/>
              </w:rPr>
            </w:pPr>
            <w:r w:rsidRPr="00CA5613">
              <w:rPr>
                <w:rFonts w:ascii="Times New Roman" w:eastAsia="Calibri" w:hAnsi="Times New Roman" w:cs="Times New Roman"/>
                <w:sz w:val="20"/>
                <w:szCs w:val="20"/>
              </w:rPr>
              <w:t>45</w:t>
            </w:r>
          </w:p>
        </w:tc>
        <w:tc>
          <w:tcPr>
            <w:tcW w:w="1015" w:type="dxa"/>
          </w:tcPr>
          <w:p w:rsidR="00F92533" w:rsidRPr="00CA5613" w:rsidRDefault="00743FAE" w:rsidP="00CA5613">
            <w:pPr>
              <w:jc w:val="center"/>
              <w:rPr>
                <w:rFonts w:ascii="Times New Roman" w:eastAsia="Calibri" w:hAnsi="Times New Roman" w:cs="Times New Roman"/>
                <w:sz w:val="20"/>
                <w:szCs w:val="20"/>
              </w:rPr>
            </w:pPr>
            <w:r w:rsidRPr="00CA5613">
              <w:rPr>
                <w:rFonts w:ascii="Times New Roman" w:eastAsia="Calibri" w:hAnsi="Times New Roman" w:cs="Times New Roman" w:hint="cs"/>
                <w:sz w:val="20"/>
                <w:szCs w:val="20"/>
                <w:rtl/>
              </w:rPr>
              <w:t>11</w:t>
            </w:r>
            <w:r w:rsidRPr="00CA5613">
              <w:rPr>
                <w:rFonts w:ascii="Times New Roman" w:eastAsia="Calibri" w:hAnsi="Times New Roman" w:cs="Times New Roman"/>
                <w:sz w:val="20"/>
                <w:szCs w:val="20"/>
              </w:rPr>
              <w:t>.</w:t>
            </w:r>
            <w:r w:rsidRPr="00CA5613">
              <w:rPr>
                <w:rFonts w:ascii="Times New Roman" w:eastAsia="Calibri" w:hAnsi="Times New Roman" w:cs="Times New Roman" w:hint="cs"/>
                <w:sz w:val="20"/>
                <w:szCs w:val="20"/>
                <w:rtl/>
              </w:rPr>
              <w:t>81</w:t>
            </w:r>
          </w:p>
        </w:tc>
        <w:tc>
          <w:tcPr>
            <w:tcW w:w="843" w:type="dxa"/>
          </w:tcPr>
          <w:p w:rsidR="00F92533" w:rsidRPr="00CA5613" w:rsidRDefault="00743FAE" w:rsidP="00CA5613">
            <w:pPr>
              <w:jc w:val="center"/>
              <w:rPr>
                <w:rFonts w:ascii="Times New Roman" w:eastAsia="Calibri" w:hAnsi="Times New Roman" w:cs="Times New Roman"/>
                <w:sz w:val="20"/>
                <w:szCs w:val="20"/>
              </w:rPr>
            </w:pPr>
            <w:r w:rsidRPr="00CA5613">
              <w:rPr>
                <w:rFonts w:ascii="Times New Roman" w:eastAsia="Calibri" w:hAnsi="Times New Roman" w:cs="Times New Roman"/>
                <w:sz w:val="20"/>
                <w:szCs w:val="20"/>
              </w:rPr>
              <w:t>1</w:t>
            </w:r>
            <w:r w:rsidRPr="00CA5613">
              <w:rPr>
                <w:rFonts w:ascii="Times New Roman" w:eastAsia="Calibri" w:hAnsi="Times New Roman" w:cs="Times New Roman" w:hint="cs"/>
                <w:sz w:val="20"/>
                <w:szCs w:val="20"/>
                <w:rtl/>
              </w:rPr>
              <w:t>1</w:t>
            </w:r>
            <w:r w:rsidRPr="00CA5613">
              <w:rPr>
                <w:rFonts w:ascii="Times New Roman" w:eastAsia="Calibri" w:hAnsi="Times New Roman" w:cs="Times New Roman"/>
                <w:sz w:val="20"/>
                <w:szCs w:val="20"/>
              </w:rPr>
              <w:t>.</w:t>
            </w:r>
            <w:r w:rsidRPr="00CA5613">
              <w:rPr>
                <w:rFonts w:ascii="Times New Roman" w:eastAsia="Calibri" w:hAnsi="Times New Roman" w:cs="Times New Roman" w:hint="cs"/>
                <w:sz w:val="20"/>
                <w:szCs w:val="20"/>
                <w:rtl/>
              </w:rPr>
              <w:t>34</w:t>
            </w:r>
          </w:p>
        </w:tc>
        <w:tc>
          <w:tcPr>
            <w:tcW w:w="865" w:type="dxa"/>
          </w:tcPr>
          <w:p w:rsidR="00F92533" w:rsidRPr="00CA5613" w:rsidRDefault="00743FAE" w:rsidP="00CA5613">
            <w:pPr>
              <w:jc w:val="center"/>
              <w:rPr>
                <w:rFonts w:ascii="Times New Roman" w:eastAsia="Calibri" w:hAnsi="Times New Roman" w:cs="Times New Roman"/>
                <w:sz w:val="20"/>
                <w:szCs w:val="20"/>
              </w:rPr>
            </w:pPr>
            <w:r w:rsidRPr="00CA5613">
              <w:rPr>
                <w:rFonts w:ascii="Times New Roman" w:eastAsia="Calibri" w:hAnsi="Times New Roman" w:cs="Times New Roman"/>
                <w:sz w:val="20"/>
                <w:szCs w:val="20"/>
              </w:rPr>
              <w:t>0.01</w:t>
            </w:r>
          </w:p>
        </w:tc>
        <w:tc>
          <w:tcPr>
            <w:tcW w:w="903" w:type="dxa"/>
          </w:tcPr>
          <w:p w:rsidR="00F92533" w:rsidRPr="008125B6" w:rsidRDefault="00743FAE" w:rsidP="00CA5613">
            <w:pPr>
              <w:jc w:val="center"/>
              <w:rPr>
                <w:rFonts w:ascii="Times New Roman" w:eastAsia="Calibri" w:hAnsi="Times New Roman" w:cs="Times New Roman"/>
                <w:sz w:val="20"/>
                <w:szCs w:val="20"/>
                <w:rtl/>
              </w:rPr>
            </w:pPr>
            <w:r>
              <w:rPr>
                <w:rFonts w:ascii="Times New Roman" w:eastAsia="Calibri" w:hAnsi="Times New Roman" w:cs="Times New Roman"/>
                <w:sz w:val="20"/>
                <w:szCs w:val="20"/>
              </w:rPr>
              <w:t>2.47</w:t>
            </w:r>
          </w:p>
        </w:tc>
        <w:tc>
          <w:tcPr>
            <w:tcW w:w="1054" w:type="dxa"/>
          </w:tcPr>
          <w:p w:rsidR="00F92533" w:rsidRPr="00CA5613" w:rsidRDefault="00743FAE" w:rsidP="00CA5613">
            <w:pPr>
              <w:rPr>
                <w:rFonts w:ascii="Times New Roman" w:eastAsia="Calibri" w:hAnsi="Times New Roman" w:cs="Times New Roman"/>
                <w:sz w:val="20"/>
                <w:szCs w:val="20"/>
              </w:rPr>
            </w:pPr>
            <w:r w:rsidRPr="002B4566">
              <w:rPr>
                <w:rFonts w:ascii="Times New Roman" w:eastAsia="Calibri" w:hAnsi="Times New Roman" w:cs="Times New Roman"/>
                <w:sz w:val="20"/>
                <w:szCs w:val="20"/>
              </w:rPr>
              <w:t>Medium</w:t>
            </w:r>
          </w:p>
        </w:tc>
      </w:tr>
    </w:tbl>
    <w:p w:rsidR="00F708BB" w:rsidRPr="00DA73BD" w:rsidRDefault="00743FAE" w:rsidP="00DA73BD">
      <w:pPr>
        <w:spacing w:before="240" w:after="0"/>
        <w:jc w:val="both"/>
        <w:rPr>
          <w:rFonts w:eastAsia="Calibri" w:cstheme="minorHAnsi"/>
          <w:sz w:val="24"/>
          <w:szCs w:val="24"/>
          <w:rtl/>
        </w:rPr>
      </w:pPr>
      <w:r w:rsidRPr="00DA73BD">
        <w:rPr>
          <w:rFonts w:eastAsia="Calibri" w:cstheme="minorHAnsi"/>
          <w:sz w:val="24"/>
          <w:szCs w:val="24"/>
        </w:rPr>
        <w:t>As shown in Table 5,</w:t>
      </w:r>
      <w:r>
        <w:rPr>
          <w:rFonts w:eastAsia="Calibri" w:cs="Calibri"/>
          <w:sz w:val="24"/>
          <w:szCs w:val="24"/>
        </w:rPr>
        <w:t xml:space="preserve"> </w:t>
      </w:r>
      <w:r w:rsidRPr="00DA73BD">
        <w:rPr>
          <w:rFonts w:eastAsia="Calibri" w:cstheme="minorHAnsi"/>
          <w:sz w:val="24"/>
          <w:szCs w:val="24"/>
        </w:rPr>
        <w:t xml:space="preserve">there are statistically significant differences between the students’ mean scores (54.75, 66.99, 37.00) and the hypothesized </w:t>
      </w:r>
      <w:r>
        <w:rPr>
          <w:rFonts w:eastAsia="Calibri" w:cs="Calibri"/>
          <w:sz w:val="24"/>
          <w:szCs w:val="24"/>
        </w:rPr>
        <w:t>means</w:t>
      </w:r>
      <w:r w:rsidRPr="00DA73BD">
        <w:rPr>
          <w:rFonts w:eastAsia="Calibri" w:cstheme="minorHAnsi"/>
          <w:sz w:val="24"/>
          <w:szCs w:val="24"/>
        </w:rPr>
        <w:t xml:space="preserve"> (60, 81, 45) in computational thinking skills, computational self-efficacy, and academic well-being at a significance level of 0.01 in favor of the hypothesized mean. This means that the students’ level is average in computational thinking skills with a relative mean (2.74), in computational self-efficacy with a relative mean (2.48), and in academic well-being with a relative mean (2.47).</w:t>
      </w:r>
    </w:p>
    <w:p w:rsidR="00F708BB" w:rsidRPr="00DA73BD" w:rsidRDefault="00743FAE" w:rsidP="00DA73BD">
      <w:pPr>
        <w:spacing w:before="240" w:after="0"/>
        <w:jc w:val="both"/>
        <w:rPr>
          <w:rFonts w:eastAsia="Calibri" w:cstheme="minorHAnsi"/>
          <w:sz w:val="24"/>
          <w:szCs w:val="24"/>
        </w:rPr>
      </w:pPr>
      <w:r w:rsidRPr="00DA73BD">
        <w:rPr>
          <w:rFonts w:eastAsia="Calibri" w:cstheme="minorHAnsi"/>
          <w:sz w:val="24"/>
          <w:szCs w:val="24"/>
        </w:rPr>
        <w:t xml:space="preserve">This result </w:t>
      </w:r>
      <w:r>
        <w:rPr>
          <w:rFonts w:eastAsia="Calibri" w:cs="Calibri"/>
          <w:sz w:val="24"/>
          <w:szCs w:val="24"/>
        </w:rPr>
        <w:t>contrasts with</w:t>
      </w:r>
      <w:r w:rsidRPr="00DA73BD">
        <w:rPr>
          <w:rFonts w:eastAsia="Calibri" w:cstheme="minorHAnsi"/>
          <w:sz w:val="24"/>
          <w:szCs w:val="24"/>
        </w:rPr>
        <w:t xml:space="preserve"> studies that </w:t>
      </w:r>
      <w:r>
        <w:rPr>
          <w:rFonts w:eastAsia="Calibri" w:cs="Calibri"/>
          <w:sz w:val="24"/>
          <w:szCs w:val="24"/>
        </w:rPr>
        <w:t>have shown that</w:t>
      </w:r>
      <w:r w:rsidRPr="00DA73BD">
        <w:rPr>
          <w:rFonts w:eastAsia="Calibri" w:cstheme="minorHAnsi"/>
          <w:sz w:val="24"/>
          <w:szCs w:val="24"/>
        </w:rPr>
        <w:t xml:space="preserve"> students </w:t>
      </w:r>
      <w:r>
        <w:rPr>
          <w:rFonts w:eastAsia="Calibri" w:cs="Calibri"/>
          <w:sz w:val="24"/>
          <w:szCs w:val="24"/>
        </w:rPr>
        <w:t>have</w:t>
      </w:r>
      <w:r w:rsidRPr="00DA73BD">
        <w:rPr>
          <w:rFonts w:eastAsia="Calibri" w:cstheme="minorHAnsi"/>
          <w:sz w:val="24"/>
          <w:szCs w:val="24"/>
        </w:rPr>
        <w:t xml:space="preserve"> a below-average level of computational thinking skills (Wardani et al., 2022; Rosali &amp; Suryadi, 2021). </w:t>
      </w:r>
      <w:r>
        <w:rPr>
          <w:rFonts w:eastAsia="Calibri" w:cs="Calibri"/>
          <w:sz w:val="24"/>
          <w:szCs w:val="24"/>
        </w:rPr>
        <w:t>This finding</w:t>
      </w:r>
      <w:r w:rsidRPr="00DA73BD">
        <w:rPr>
          <w:rFonts w:eastAsia="Calibri" w:cstheme="minorHAnsi"/>
          <w:sz w:val="24"/>
          <w:szCs w:val="24"/>
        </w:rPr>
        <w:t xml:space="preserve"> is also consistent with </w:t>
      </w:r>
      <w:r>
        <w:rPr>
          <w:rFonts w:eastAsia="Calibri" w:cs="Calibri"/>
          <w:sz w:val="24"/>
          <w:szCs w:val="24"/>
        </w:rPr>
        <w:t>a</w:t>
      </w:r>
      <w:r w:rsidRPr="00DA73BD">
        <w:rPr>
          <w:rFonts w:eastAsia="Calibri" w:cstheme="minorHAnsi"/>
          <w:sz w:val="24"/>
          <w:szCs w:val="24"/>
        </w:rPr>
        <w:t xml:space="preserve"> study by </w:t>
      </w:r>
      <w:proofErr w:type="spellStart"/>
      <w:r w:rsidRPr="00DA73BD">
        <w:rPr>
          <w:rFonts w:eastAsia="Calibri" w:cstheme="minorHAnsi"/>
          <w:sz w:val="24"/>
          <w:szCs w:val="24"/>
        </w:rPr>
        <w:t>Chongo</w:t>
      </w:r>
      <w:proofErr w:type="spellEnd"/>
      <w:r w:rsidRPr="00DA73BD">
        <w:rPr>
          <w:rFonts w:eastAsia="Calibri" w:cstheme="minorHAnsi"/>
          <w:sz w:val="24"/>
          <w:szCs w:val="24"/>
        </w:rPr>
        <w:t xml:space="preserve"> et al. (2020)</w:t>
      </w:r>
      <w:r>
        <w:rPr>
          <w:rFonts w:eastAsia="Calibri" w:cs="Calibri"/>
          <w:sz w:val="24"/>
          <w:szCs w:val="24"/>
        </w:rPr>
        <w:t>, who reported that</w:t>
      </w:r>
      <w:r w:rsidRPr="00DA73BD">
        <w:rPr>
          <w:rFonts w:eastAsia="Calibri" w:cstheme="minorHAnsi"/>
          <w:sz w:val="24"/>
          <w:szCs w:val="24"/>
        </w:rPr>
        <w:t xml:space="preserve"> students had a high level of computational thinking skills, and with </w:t>
      </w:r>
      <w:r>
        <w:rPr>
          <w:rFonts w:eastAsia="Calibri" w:cs="Calibri"/>
          <w:sz w:val="24"/>
          <w:szCs w:val="24"/>
        </w:rPr>
        <w:t>a</w:t>
      </w:r>
      <w:r w:rsidRPr="00DA73BD">
        <w:rPr>
          <w:rFonts w:eastAsia="Calibri" w:cstheme="minorHAnsi"/>
          <w:sz w:val="24"/>
          <w:szCs w:val="24"/>
        </w:rPr>
        <w:t xml:space="preserve"> study by </w:t>
      </w:r>
      <w:proofErr w:type="spellStart"/>
      <w:r w:rsidRPr="00DA73BD">
        <w:rPr>
          <w:rFonts w:eastAsia="Calibri" w:cstheme="minorHAnsi"/>
          <w:sz w:val="24"/>
          <w:szCs w:val="24"/>
        </w:rPr>
        <w:t>Katai</w:t>
      </w:r>
      <w:proofErr w:type="spellEnd"/>
      <w:r w:rsidRPr="00DA73BD">
        <w:rPr>
          <w:rFonts w:eastAsia="Calibri" w:cstheme="minorHAnsi"/>
          <w:sz w:val="24"/>
          <w:szCs w:val="24"/>
        </w:rPr>
        <w:t xml:space="preserve"> et al. (2021)</w:t>
      </w:r>
      <w:r>
        <w:rPr>
          <w:rFonts w:eastAsia="Calibri" w:cs="Calibri"/>
          <w:sz w:val="24"/>
          <w:szCs w:val="24"/>
        </w:rPr>
        <w:t>, who reported that</w:t>
      </w:r>
      <w:r w:rsidRPr="00DA73BD">
        <w:rPr>
          <w:rFonts w:eastAsia="Calibri" w:cstheme="minorHAnsi"/>
          <w:sz w:val="24"/>
          <w:szCs w:val="24"/>
        </w:rPr>
        <w:t xml:space="preserve"> students’ possession of computational thinking skills </w:t>
      </w:r>
      <w:r>
        <w:rPr>
          <w:rFonts w:eastAsia="Calibri" w:cs="Calibri"/>
          <w:sz w:val="24"/>
          <w:szCs w:val="24"/>
        </w:rPr>
        <w:t>increased</w:t>
      </w:r>
      <w:r w:rsidRPr="00DA73BD">
        <w:rPr>
          <w:rFonts w:eastAsia="Calibri" w:cstheme="minorHAnsi"/>
          <w:sz w:val="24"/>
          <w:szCs w:val="24"/>
        </w:rPr>
        <w:t xml:space="preserve"> with </w:t>
      </w:r>
      <w:r>
        <w:rPr>
          <w:rFonts w:eastAsia="Calibri" w:cs="Calibri"/>
          <w:sz w:val="24"/>
          <w:szCs w:val="24"/>
        </w:rPr>
        <w:t>their</w:t>
      </w:r>
      <w:r w:rsidRPr="00DA73BD">
        <w:rPr>
          <w:rFonts w:eastAsia="Calibri" w:cstheme="minorHAnsi"/>
          <w:sz w:val="24"/>
          <w:szCs w:val="24"/>
        </w:rPr>
        <w:t xml:space="preserve"> cognitive development and maturity, while it </w:t>
      </w:r>
      <w:r>
        <w:rPr>
          <w:rFonts w:eastAsia="Calibri" w:cs="Calibri"/>
          <w:sz w:val="24"/>
          <w:szCs w:val="24"/>
        </w:rPr>
        <w:t>was</w:t>
      </w:r>
      <w:r w:rsidRPr="00DA73BD">
        <w:rPr>
          <w:rFonts w:eastAsia="Calibri" w:cstheme="minorHAnsi"/>
          <w:sz w:val="24"/>
          <w:szCs w:val="24"/>
        </w:rPr>
        <w:t xml:space="preserve"> consistent with studies that </w:t>
      </w:r>
      <w:r>
        <w:rPr>
          <w:rFonts w:eastAsia="Calibri" w:cs="Calibri"/>
          <w:sz w:val="24"/>
          <w:szCs w:val="24"/>
        </w:rPr>
        <w:t>reported that</w:t>
      </w:r>
      <w:r w:rsidRPr="00DA73BD">
        <w:rPr>
          <w:rFonts w:eastAsia="Calibri" w:cstheme="minorHAnsi"/>
          <w:sz w:val="24"/>
          <w:szCs w:val="24"/>
        </w:rPr>
        <w:t xml:space="preserve"> students had an average level of perceptions </w:t>
      </w:r>
      <w:r>
        <w:rPr>
          <w:rFonts w:eastAsia="Calibri" w:cs="Calibri"/>
          <w:sz w:val="24"/>
          <w:szCs w:val="24"/>
        </w:rPr>
        <w:t>of</w:t>
      </w:r>
      <w:r w:rsidRPr="00DA73BD">
        <w:rPr>
          <w:rFonts w:eastAsia="Calibri" w:cstheme="minorHAnsi"/>
          <w:sz w:val="24"/>
          <w:szCs w:val="24"/>
        </w:rPr>
        <w:t xml:space="preserve"> computational thinking skills (Prabawa et al., 2024; Korkmaz et al., 2015).</w:t>
      </w:r>
    </w:p>
    <w:p w:rsidR="00DA73BD" w:rsidRPr="00DA73BD" w:rsidRDefault="00743FAE" w:rsidP="00DA73BD">
      <w:pPr>
        <w:spacing w:before="240" w:after="0"/>
        <w:jc w:val="both"/>
        <w:rPr>
          <w:rFonts w:eastAsia="Calibri" w:cstheme="minorHAnsi"/>
          <w:sz w:val="24"/>
          <w:szCs w:val="24"/>
        </w:rPr>
      </w:pPr>
      <w:r w:rsidRPr="00DA73BD">
        <w:rPr>
          <w:rFonts w:eastAsia="Calibri" w:cstheme="minorHAnsi"/>
          <w:sz w:val="24"/>
          <w:szCs w:val="24"/>
        </w:rPr>
        <w:t xml:space="preserve">This result </w:t>
      </w:r>
      <w:r>
        <w:rPr>
          <w:rFonts w:eastAsia="Calibri" w:cs="Calibri"/>
          <w:sz w:val="24"/>
          <w:szCs w:val="24"/>
        </w:rPr>
        <w:t>contrasts with</w:t>
      </w:r>
      <w:r w:rsidRPr="00DA73BD">
        <w:rPr>
          <w:rFonts w:eastAsia="Calibri" w:cstheme="minorHAnsi"/>
          <w:sz w:val="24"/>
          <w:szCs w:val="24"/>
        </w:rPr>
        <w:t xml:space="preserve"> studies that </w:t>
      </w:r>
      <w:r>
        <w:rPr>
          <w:rFonts w:eastAsia="Calibri" w:cs="Calibri"/>
          <w:sz w:val="24"/>
          <w:szCs w:val="24"/>
        </w:rPr>
        <w:t>reported</w:t>
      </w:r>
      <w:r w:rsidRPr="00DA73BD">
        <w:rPr>
          <w:rFonts w:eastAsia="Calibri" w:cstheme="minorHAnsi"/>
          <w:sz w:val="24"/>
          <w:szCs w:val="24"/>
        </w:rPr>
        <w:t xml:space="preserve"> low levels of self-efficacy in </w:t>
      </w:r>
      <w:r>
        <w:rPr>
          <w:rFonts w:eastAsia="Calibri" w:cs="Calibri"/>
          <w:sz w:val="24"/>
          <w:szCs w:val="24"/>
        </w:rPr>
        <w:t>the use of</w:t>
      </w:r>
      <w:r w:rsidRPr="00DA73BD">
        <w:rPr>
          <w:rFonts w:eastAsia="Calibri" w:cstheme="minorHAnsi"/>
          <w:sz w:val="24"/>
          <w:szCs w:val="24"/>
        </w:rPr>
        <w:t xml:space="preserve"> computer skills, multimedia software, and database application software (Sarfo et al., 2016; 2017) and in </w:t>
      </w:r>
      <w:r>
        <w:rPr>
          <w:rFonts w:eastAsia="Calibri" w:cs="Calibri"/>
          <w:sz w:val="24"/>
          <w:szCs w:val="24"/>
        </w:rPr>
        <w:t>the use of</w:t>
      </w:r>
      <w:r w:rsidRPr="00DA73BD">
        <w:rPr>
          <w:rFonts w:eastAsia="Calibri" w:cstheme="minorHAnsi"/>
          <w:sz w:val="24"/>
          <w:szCs w:val="24"/>
        </w:rPr>
        <w:t xml:space="preserve"> technology in the classroom (Singh et al., 2018).</w:t>
      </w:r>
    </w:p>
    <w:p w:rsidR="00EB5531" w:rsidRDefault="00743FAE" w:rsidP="00DA73BD">
      <w:pPr>
        <w:spacing w:before="240" w:after="0"/>
        <w:jc w:val="both"/>
        <w:rPr>
          <w:rFonts w:eastAsia="Calibri" w:cstheme="minorHAnsi"/>
          <w:sz w:val="24"/>
          <w:szCs w:val="24"/>
          <w:rtl/>
        </w:rPr>
      </w:pPr>
      <w:r w:rsidRPr="00DA73BD">
        <w:rPr>
          <w:rFonts w:eastAsia="Calibri" w:cstheme="minorHAnsi"/>
          <w:sz w:val="24"/>
          <w:szCs w:val="24"/>
        </w:rPr>
        <w:t xml:space="preserve">This result is also in contrast to studies that </w:t>
      </w:r>
      <w:r>
        <w:rPr>
          <w:rFonts w:eastAsia="Calibri" w:cs="Calibri"/>
          <w:sz w:val="24"/>
          <w:szCs w:val="24"/>
        </w:rPr>
        <w:t>reported</w:t>
      </w:r>
      <w:r w:rsidRPr="00DA73BD">
        <w:rPr>
          <w:rFonts w:eastAsia="Calibri" w:cstheme="minorHAnsi"/>
          <w:sz w:val="24"/>
          <w:szCs w:val="24"/>
        </w:rPr>
        <w:t xml:space="preserve"> low levels of academic well-being (Szepe and Meszaros, 2024; Rynke et al., 2023; Ye et al., 2012) and that there is a deterioration in well-being levels (Alkureishi et al., 2022; Chen et al., 2022) and that it ranks lower than students’ spiritual, psychological, physical, subjective, and social well-being (Ling et al., 2022).</w:t>
      </w:r>
    </w:p>
    <w:p w:rsidR="00DA73BD" w:rsidRDefault="00743FAE" w:rsidP="00DA73BD">
      <w:pPr>
        <w:spacing w:before="240" w:after="0"/>
        <w:jc w:val="both"/>
        <w:rPr>
          <w:rFonts w:eastAsia="Calibri" w:cstheme="minorHAnsi"/>
          <w:sz w:val="24"/>
          <w:szCs w:val="24"/>
          <w:rtl/>
        </w:rPr>
      </w:pPr>
      <w:r>
        <w:rPr>
          <w:rFonts w:eastAsia="Calibri" w:cs="Calibri"/>
          <w:sz w:val="24"/>
          <w:szCs w:val="24"/>
        </w:rPr>
        <w:lastRenderedPageBreak/>
        <w:t>On the basis of</w:t>
      </w:r>
      <w:r w:rsidRPr="00DA73BD">
        <w:rPr>
          <w:rFonts w:eastAsia="Calibri" w:cstheme="minorHAnsi"/>
          <w:sz w:val="24"/>
          <w:szCs w:val="24"/>
        </w:rPr>
        <w:t xml:space="preserve"> this result, it becomes necessary to pay attention to and develop computational thinking skills among students (Prabawa et al., 2024)</w:t>
      </w:r>
      <w:r>
        <w:rPr>
          <w:rFonts w:eastAsia="Calibri" w:cs="Calibri"/>
          <w:sz w:val="24"/>
          <w:szCs w:val="24"/>
        </w:rPr>
        <w:t>,</w:t>
      </w:r>
      <w:r w:rsidRPr="00DA73BD">
        <w:rPr>
          <w:rFonts w:eastAsia="Calibri" w:cstheme="minorHAnsi"/>
          <w:sz w:val="24"/>
          <w:szCs w:val="24"/>
        </w:rPr>
        <w:t xml:space="preserve"> include them in curricula (</w:t>
      </w:r>
      <w:proofErr w:type="spellStart"/>
      <w:r w:rsidRPr="00DA73BD">
        <w:rPr>
          <w:rFonts w:eastAsia="Calibri" w:cstheme="minorHAnsi"/>
          <w:sz w:val="24"/>
          <w:szCs w:val="24"/>
        </w:rPr>
        <w:t>Pewkam</w:t>
      </w:r>
      <w:proofErr w:type="spellEnd"/>
      <w:r w:rsidRPr="00DA73BD">
        <w:rPr>
          <w:rFonts w:eastAsia="Calibri" w:cstheme="minorHAnsi"/>
          <w:sz w:val="24"/>
          <w:szCs w:val="24"/>
        </w:rPr>
        <w:t xml:space="preserve"> &amp; </w:t>
      </w:r>
      <w:proofErr w:type="spellStart"/>
      <w:r w:rsidRPr="00DA73BD">
        <w:rPr>
          <w:rFonts w:eastAsia="Calibri" w:cstheme="minorHAnsi"/>
          <w:sz w:val="24"/>
          <w:szCs w:val="24"/>
        </w:rPr>
        <w:t>Chamrat</w:t>
      </w:r>
      <w:proofErr w:type="spellEnd"/>
      <w:r w:rsidRPr="00DA73BD">
        <w:rPr>
          <w:rFonts w:eastAsia="Calibri" w:cstheme="minorHAnsi"/>
          <w:sz w:val="24"/>
          <w:szCs w:val="24"/>
        </w:rPr>
        <w:t>, 2022; Nordén et al., 2017), and plan purposeful activities that allow for the effective application of these skills (Huda &amp; Rohaeti, 2024; Katai et al., 2021).</w:t>
      </w:r>
    </w:p>
    <w:p w:rsidR="00DA73BD" w:rsidRDefault="00743FAE" w:rsidP="00E5149F">
      <w:pPr>
        <w:spacing w:before="240" w:after="0"/>
        <w:jc w:val="both"/>
        <w:rPr>
          <w:rFonts w:eastAsia="Calibri" w:cstheme="minorHAnsi"/>
          <w:sz w:val="24"/>
          <w:szCs w:val="24"/>
          <w:rtl/>
        </w:rPr>
      </w:pPr>
      <w:r w:rsidRPr="00DA73BD">
        <w:rPr>
          <w:rFonts w:eastAsia="Calibri" w:cstheme="minorHAnsi"/>
          <w:sz w:val="24"/>
          <w:szCs w:val="24"/>
        </w:rPr>
        <w:t xml:space="preserve">This result </w:t>
      </w:r>
      <w:r>
        <w:rPr>
          <w:rFonts w:eastAsia="Calibri" w:cs="Calibri"/>
          <w:sz w:val="24"/>
          <w:szCs w:val="24"/>
        </w:rPr>
        <w:t>highlights</w:t>
      </w:r>
      <w:r w:rsidRPr="00DA73BD">
        <w:rPr>
          <w:rFonts w:eastAsia="Calibri" w:cstheme="minorHAnsi"/>
          <w:sz w:val="24"/>
          <w:szCs w:val="24"/>
        </w:rPr>
        <w:t xml:space="preserve"> the importance of developing </w:t>
      </w:r>
      <w:r>
        <w:rPr>
          <w:rFonts w:eastAsia="Calibri" w:cs="Calibri"/>
          <w:sz w:val="24"/>
          <w:szCs w:val="24"/>
        </w:rPr>
        <w:t>learners’</w:t>
      </w:r>
      <w:r w:rsidRPr="00DA73BD">
        <w:rPr>
          <w:rFonts w:eastAsia="Calibri" w:cstheme="minorHAnsi"/>
          <w:sz w:val="24"/>
          <w:szCs w:val="24"/>
        </w:rPr>
        <w:t xml:space="preserve"> computational self-efficacy and having good perceptions of computational thinking skills (</w:t>
      </w:r>
      <w:proofErr w:type="spellStart"/>
      <w:r w:rsidRPr="00DA73BD">
        <w:rPr>
          <w:rFonts w:eastAsia="Calibri" w:cstheme="minorHAnsi"/>
          <w:sz w:val="24"/>
          <w:szCs w:val="24"/>
        </w:rPr>
        <w:t>Turel</w:t>
      </w:r>
      <w:proofErr w:type="spellEnd"/>
      <w:r w:rsidRPr="00DA73BD">
        <w:rPr>
          <w:rFonts w:eastAsia="Calibri" w:cstheme="minorHAnsi"/>
          <w:sz w:val="24"/>
          <w:szCs w:val="24"/>
        </w:rPr>
        <w:t xml:space="preserve">, 2014), </w:t>
      </w:r>
      <w:r w:rsidR="00E5149F">
        <w:rPr>
          <w:rFonts w:eastAsia="Calibri" w:cstheme="minorHAnsi" w:hint="cs"/>
          <w:sz w:val="24"/>
          <w:szCs w:val="24"/>
          <w:rtl/>
        </w:rPr>
        <w:t xml:space="preserve"> </w:t>
      </w:r>
      <w:bookmarkStart w:id="0" w:name="_GoBack"/>
      <w:bookmarkEnd w:id="0"/>
      <w:r w:rsidRPr="00DA73BD">
        <w:rPr>
          <w:rFonts w:eastAsia="Calibri" w:cstheme="minorHAnsi"/>
          <w:sz w:val="24"/>
          <w:szCs w:val="24"/>
        </w:rPr>
        <w:t>and developing effective strategies for dealing with complex problems (Odaci, 2013) because the availability of a high level of computational self-efficacy represents a strong indicator of continuing performance and learning computational thinking skills (Espinosa et al., 2021; Krejčová et al., 2019; Yildiz-Durak et al., 2019; Shell et al., 2014; Thoonen et al., 2010; Ramalingam &amp; Wiedenbeck, 1998).</w:t>
      </w:r>
    </w:p>
    <w:p w:rsidR="00DA73BD" w:rsidRPr="00DA73BD" w:rsidRDefault="00743FAE" w:rsidP="00DA73BD">
      <w:pPr>
        <w:spacing w:before="240" w:after="0"/>
        <w:jc w:val="both"/>
        <w:rPr>
          <w:rFonts w:eastAsia="Calibri" w:cstheme="minorHAnsi"/>
          <w:sz w:val="24"/>
          <w:szCs w:val="24"/>
        </w:rPr>
      </w:pPr>
      <w:r w:rsidRPr="00DA73BD">
        <w:rPr>
          <w:rFonts w:eastAsia="Calibri" w:cstheme="minorHAnsi"/>
          <w:sz w:val="24"/>
          <w:szCs w:val="24"/>
        </w:rPr>
        <w:t>This result also indicates that the high level of academic well-being and its enhancement is a critical element in the learning process</w:t>
      </w:r>
      <w:r>
        <w:rPr>
          <w:rFonts w:eastAsia="Calibri" w:cs="Calibri"/>
          <w:sz w:val="24"/>
          <w:szCs w:val="24"/>
        </w:rPr>
        <w:t>,</w:t>
      </w:r>
      <w:r w:rsidRPr="00DA73BD">
        <w:rPr>
          <w:rFonts w:eastAsia="Calibri" w:cstheme="minorHAnsi"/>
          <w:sz w:val="24"/>
          <w:szCs w:val="24"/>
        </w:rPr>
        <w:t xml:space="preserve"> as it is a good indicator of mental health and academic performance (Chávez-Castillo et al., 2023; Kansky et al., 2016; Luhmann et al., 2012), life satisfaction and positive feelings toward the present and the future (Wu et al., 2020; Carter and Yeo, 2018), affects the quality of academic life (Durlak et al., 2011), enhances thinking and problem-solving abilities (Faqih &amp; Nasab, 2023), reduces stress and dropout rates among learners</w:t>
      </w:r>
      <w:r>
        <w:rPr>
          <w:rFonts w:eastAsia="Calibri" w:cs="Calibri"/>
          <w:sz w:val="24"/>
          <w:szCs w:val="24"/>
        </w:rPr>
        <w:t xml:space="preserve"> </w:t>
      </w:r>
      <w:r w:rsidRPr="00DA73BD">
        <w:rPr>
          <w:rFonts w:eastAsia="Calibri" w:cstheme="minorHAnsi"/>
          <w:sz w:val="24"/>
          <w:szCs w:val="24"/>
        </w:rPr>
        <w:t>(Shek and Chai, 2020; Korhonen et al., 2014), and expands the scope of their personal goals to generate better mental health (Safari et al., 2020).</w:t>
      </w:r>
    </w:p>
    <w:p w:rsidR="00C47517" w:rsidRDefault="00743FAE" w:rsidP="00F345A6">
      <w:pPr>
        <w:spacing w:before="240"/>
        <w:jc w:val="both"/>
        <w:rPr>
          <w:rFonts w:ascii="Times New Roman" w:eastAsia="Calibri" w:hAnsi="Times New Roman" w:cs="Times New Roman"/>
          <w:b/>
          <w:bCs/>
          <w:i/>
          <w:iCs/>
          <w:sz w:val="20"/>
          <w:szCs w:val="20"/>
          <w:rtl/>
        </w:rPr>
      </w:pPr>
      <w:r w:rsidRPr="002802C5">
        <w:rPr>
          <w:rFonts w:ascii="Times New Roman" w:eastAsia="Calibri" w:hAnsi="Times New Roman" w:cs="Times New Roman"/>
          <w:b/>
          <w:bCs/>
          <w:i/>
          <w:iCs/>
          <w:sz w:val="20"/>
          <w:szCs w:val="20"/>
        </w:rPr>
        <w:t>Q</w:t>
      </w:r>
      <w:bookmarkStart w:id="1" w:name="_Hlk164245856"/>
      <w:r w:rsidR="00F345A6">
        <w:rPr>
          <w:rFonts w:ascii="Times New Roman" w:eastAsia="Calibri" w:hAnsi="Times New Roman" w:cs="Times New Roman" w:hint="cs"/>
          <w:b/>
          <w:bCs/>
          <w:i/>
          <w:iCs/>
          <w:sz w:val="20"/>
          <w:szCs w:val="20"/>
          <w:rtl/>
        </w:rPr>
        <w:t>2</w:t>
      </w:r>
      <w:r w:rsidRPr="002802C5">
        <w:rPr>
          <w:rFonts w:ascii="Times New Roman" w:eastAsia="Calibri" w:hAnsi="Times New Roman" w:cs="Times New Roman"/>
          <w:b/>
          <w:bCs/>
          <w:i/>
          <w:iCs/>
          <w:sz w:val="20"/>
          <w:szCs w:val="20"/>
        </w:rPr>
        <w:t xml:space="preserve">: Is there a relationship between </w:t>
      </w:r>
      <w:bookmarkEnd w:id="1"/>
      <w:r>
        <w:rPr>
          <w:rFonts w:ascii="Times New Roman" w:eastAsia="Calibri" w:hAnsi="Times New Roman" w:cs="Times New Roman"/>
          <w:b/>
          <w:bCs/>
          <w:i/>
          <w:iCs/>
          <w:sz w:val="20"/>
          <w:szCs w:val="20"/>
        </w:rPr>
        <w:t>computational thinking self-efficacy, computational thinking skills, and academic well-being</w:t>
      </w:r>
      <w:r w:rsidRPr="002802C5">
        <w:rPr>
          <w:rFonts w:ascii="Times New Roman" w:eastAsia="Calibri" w:hAnsi="Times New Roman" w:cs="Times New Roman"/>
          <w:b/>
          <w:bCs/>
          <w:i/>
          <w:iCs/>
          <w:sz w:val="20"/>
          <w:szCs w:val="20"/>
        </w:rPr>
        <w:t>?</w:t>
      </w:r>
    </w:p>
    <w:p w:rsidR="002802C5" w:rsidRPr="008C7CFB" w:rsidRDefault="00743FAE" w:rsidP="00165510">
      <w:pPr>
        <w:tabs>
          <w:tab w:val="left" w:pos="180"/>
        </w:tabs>
        <w:spacing w:after="0" w:line="240" w:lineRule="auto"/>
        <w:ind w:left="-90" w:right="-244"/>
        <w:jc w:val="both"/>
        <w:rPr>
          <w:rFonts w:ascii="Times New Roman" w:eastAsia="Calibri" w:hAnsi="Times New Roman" w:cs="Times New Roman"/>
          <w:sz w:val="20"/>
          <w:szCs w:val="20"/>
          <w:lang w:val="en-GB"/>
        </w:rPr>
      </w:pPr>
      <w:r w:rsidRPr="008C7CFB">
        <w:rPr>
          <w:rFonts w:ascii="Times New Roman" w:eastAsia="Calibri" w:hAnsi="Times New Roman" w:cs="Times New Roman"/>
          <w:sz w:val="20"/>
          <w:szCs w:val="20"/>
        </w:rPr>
        <w:t xml:space="preserve">Pearson’s correlation coefficient was used to explore this question, and the results are shown in Table </w:t>
      </w:r>
      <w:r w:rsidR="00165510" w:rsidRPr="008C7CFB">
        <w:rPr>
          <w:rFonts w:ascii="Times New Roman" w:eastAsia="Calibri" w:hAnsi="Times New Roman" w:cs="Times New Roman" w:hint="cs"/>
          <w:sz w:val="20"/>
          <w:szCs w:val="20"/>
          <w:rtl/>
        </w:rPr>
        <w:t>6</w:t>
      </w:r>
      <w:r w:rsidRPr="008C7CFB">
        <w:rPr>
          <w:rFonts w:ascii="Times New Roman" w:eastAsia="Calibri" w:hAnsi="Times New Roman" w:cs="Times New Roman"/>
          <w:sz w:val="20"/>
          <w:szCs w:val="20"/>
        </w:rPr>
        <w:t>.</w:t>
      </w:r>
    </w:p>
    <w:p w:rsidR="002802C5" w:rsidRPr="009548BD" w:rsidRDefault="00743FAE" w:rsidP="00165510">
      <w:pPr>
        <w:spacing w:before="240"/>
        <w:jc w:val="both"/>
        <w:rPr>
          <w:rFonts w:ascii="Times New Roman" w:eastAsia="Calibri" w:hAnsi="Times New Roman" w:cs="Times New Roman"/>
          <w:b/>
          <w:bCs/>
          <w:sz w:val="20"/>
          <w:szCs w:val="20"/>
          <w:rtl/>
          <w:lang w:val="en-GB"/>
        </w:rPr>
      </w:pPr>
      <w:r w:rsidRPr="008C7CFB">
        <w:rPr>
          <w:rFonts w:ascii="Times New Roman" w:eastAsia="Calibri" w:hAnsi="Times New Roman" w:cs="Times New Roman"/>
          <w:b/>
          <w:bCs/>
          <w:sz w:val="20"/>
          <w:szCs w:val="20"/>
        </w:rPr>
        <w:t xml:space="preserve">Table </w:t>
      </w:r>
      <w:r w:rsidR="00165510" w:rsidRPr="008C7CFB">
        <w:rPr>
          <w:rFonts w:ascii="Times New Roman" w:eastAsia="Calibri" w:hAnsi="Times New Roman" w:cs="Times New Roman" w:hint="cs"/>
          <w:b/>
          <w:bCs/>
          <w:sz w:val="20"/>
          <w:szCs w:val="20"/>
          <w:rtl/>
        </w:rPr>
        <w:t>6</w:t>
      </w:r>
      <w:r w:rsidRPr="008C7CFB">
        <w:rPr>
          <w:rFonts w:ascii="Times New Roman" w:eastAsia="Calibri" w:hAnsi="Times New Roman" w:cs="Times New Roman"/>
          <w:b/>
          <w:bCs/>
          <w:sz w:val="20"/>
          <w:szCs w:val="20"/>
        </w:rPr>
        <w:t xml:space="preserve">. Correlation coefficients between </w:t>
      </w:r>
      <w:r w:rsidR="00D238EF" w:rsidRPr="008C7CFB">
        <w:rPr>
          <w:rFonts w:ascii="Times New Roman" w:eastAsia="Calibri" w:hAnsi="Times New Roman" w:cs="Times New Roman"/>
          <w:b/>
          <w:bCs/>
          <w:sz w:val="20"/>
          <w:szCs w:val="20"/>
        </w:rPr>
        <w:t>Computational Thinking Skills, Computational Self-Efficacy</w:t>
      </w:r>
      <w:r w:rsidR="00D238EF" w:rsidRPr="00D238EF">
        <w:rPr>
          <w:rFonts w:ascii="Times New Roman" w:eastAsia="Calibri" w:hAnsi="Times New Roman" w:cs="Times New Roman"/>
          <w:b/>
          <w:bCs/>
          <w:sz w:val="20"/>
          <w:szCs w:val="20"/>
        </w:rPr>
        <w:t>, and Academic Well-Being</w:t>
      </w:r>
    </w:p>
    <w:tbl>
      <w:tblPr>
        <w:tblStyle w:val="aa"/>
        <w:tblW w:w="8010" w:type="dxa"/>
        <w:tblInd w:w="288" w:type="dxa"/>
        <w:tblLayout w:type="fixed"/>
        <w:tblLook w:val="04A0" w:firstRow="1" w:lastRow="0" w:firstColumn="1" w:lastColumn="0" w:noHBand="0" w:noVBand="1"/>
      </w:tblPr>
      <w:tblGrid>
        <w:gridCol w:w="2610"/>
        <w:gridCol w:w="2700"/>
        <w:gridCol w:w="2700"/>
      </w:tblGrid>
      <w:tr w:rsidR="00A34770" w:rsidTr="003F6245">
        <w:tc>
          <w:tcPr>
            <w:tcW w:w="2610" w:type="dxa"/>
          </w:tcPr>
          <w:p w:rsidR="00D2176C" w:rsidRPr="00D2176C" w:rsidRDefault="00743FAE" w:rsidP="00C15911">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Variables</w:t>
            </w:r>
          </w:p>
        </w:tc>
        <w:tc>
          <w:tcPr>
            <w:tcW w:w="2700" w:type="dxa"/>
          </w:tcPr>
          <w:p w:rsidR="00D2176C" w:rsidRPr="00C15911" w:rsidRDefault="00743FAE" w:rsidP="00C15911">
            <w:pPr>
              <w:spacing w:line="276" w:lineRule="auto"/>
              <w:jc w:val="center"/>
              <w:rPr>
                <w:rFonts w:ascii="Times New Roman" w:eastAsia="Calibri" w:hAnsi="Times New Roman" w:cs="Times New Roman"/>
                <w:sz w:val="20"/>
                <w:szCs w:val="20"/>
              </w:rPr>
            </w:pPr>
            <w:r w:rsidRPr="00C15911">
              <w:rPr>
                <w:rFonts w:ascii="Times New Roman" w:eastAsia="Calibri" w:hAnsi="Times New Roman" w:cs="Times New Roman"/>
                <w:sz w:val="20"/>
                <w:szCs w:val="20"/>
              </w:rPr>
              <w:t>Computational Thinking Skills</w:t>
            </w:r>
          </w:p>
        </w:tc>
        <w:tc>
          <w:tcPr>
            <w:tcW w:w="2700" w:type="dxa"/>
          </w:tcPr>
          <w:p w:rsidR="00D2176C" w:rsidRPr="00C15911" w:rsidRDefault="00743FAE" w:rsidP="00B2481E">
            <w:pPr>
              <w:spacing w:line="276" w:lineRule="auto"/>
              <w:jc w:val="center"/>
              <w:rPr>
                <w:rFonts w:ascii="Times New Roman" w:eastAsia="Calibri" w:hAnsi="Times New Roman" w:cs="Times New Roman"/>
                <w:sz w:val="20"/>
                <w:szCs w:val="20"/>
              </w:rPr>
            </w:pPr>
            <w:r w:rsidRPr="00C15911">
              <w:rPr>
                <w:rFonts w:ascii="Times New Roman" w:eastAsia="Calibri" w:hAnsi="Times New Roman" w:cs="Times New Roman"/>
                <w:sz w:val="20"/>
                <w:szCs w:val="20"/>
              </w:rPr>
              <w:t>Computational Self-Efficacy</w:t>
            </w:r>
          </w:p>
        </w:tc>
      </w:tr>
      <w:tr w:rsidR="00A34770" w:rsidTr="003F6245">
        <w:trPr>
          <w:trHeight w:val="251"/>
        </w:trPr>
        <w:tc>
          <w:tcPr>
            <w:tcW w:w="2610" w:type="dxa"/>
          </w:tcPr>
          <w:p w:rsidR="00D2176C" w:rsidRPr="00C15911" w:rsidRDefault="00743FAE" w:rsidP="00B2481E">
            <w:pPr>
              <w:spacing w:line="276" w:lineRule="auto"/>
              <w:jc w:val="center"/>
              <w:rPr>
                <w:rFonts w:ascii="Times New Roman" w:eastAsia="Calibri" w:hAnsi="Times New Roman" w:cs="Times New Roman"/>
                <w:sz w:val="20"/>
                <w:szCs w:val="20"/>
              </w:rPr>
            </w:pPr>
            <w:r w:rsidRPr="00C15911">
              <w:rPr>
                <w:rFonts w:ascii="Times New Roman" w:eastAsia="Calibri" w:hAnsi="Times New Roman" w:cs="Times New Roman"/>
                <w:sz w:val="20"/>
                <w:szCs w:val="20"/>
              </w:rPr>
              <w:t>Computational Self-Efficacy</w:t>
            </w:r>
          </w:p>
        </w:tc>
        <w:tc>
          <w:tcPr>
            <w:tcW w:w="2700" w:type="dxa"/>
          </w:tcPr>
          <w:p w:rsidR="00D2176C" w:rsidRPr="00C15911" w:rsidRDefault="00743FAE" w:rsidP="00A35611">
            <w:pPr>
              <w:spacing w:line="276" w:lineRule="auto"/>
              <w:jc w:val="center"/>
              <w:rPr>
                <w:rFonts w:ascii="Times New Roman" w:eastAsia="Calibri" w:hAnsi="Times New Roman" w:cs="Times New Roman"/>
                <w:sz w:val="20"/>
                <w:szCs w:val="20"/>
              </w:rPr>
            </w:pPr>
            <w:r w:rsidRPr="00C15911">
              <w:rPr>
                <w:rFonts w:ascii="Times New Roman" w:eastAsia="Calibri" w:hAnsi="Times New Roman" w:cs="Times New Roman"/>
                <w:sz w:val="20"/>
                <w:szCs w:val="20"/>
              </w:rPr>
              <w:t>0.870**</w:t>
            </w:r>
          </w:p>
        </w:tc>
        <w:tc>
          <w:tcPr>
            <w:tcW w:w="2700" w:type="dxa"/>
          </w:tcPr>
          <w:p w:rsidR="00D2176C" w:rsidRPr="00C15911" w:rsidRDefault="00743FAE" w:rsidP="00C15911">
            <w:pPr>
              <w:spacing w:line="276" w:lineRule="auto"/>
              <w:jc w:val="center"/>
              <w:rPr>
                <w:rFonts w:ascii="Times New Roman" w:eastAsia="Calibri" w:hAnsi="Times New Roman" w:cs="Times New Roman"/>
                <w:sz w:val="20"/>
                <w:szCs w:val="20"/>
              </w:rPr>
            </w:pPr>
            <w:r w:rsidRPr="00C15911">
              <w:rPr>
                <w:rFonts w:ascii="Times New Roman" w:eastAsia="Calibri" w:hAnsi="Times New Roman" w:cs="Times New Roman"/>
                <w:sz w:val="20"/>
                <w:szCs w:val="20"/>
              </w:rPr>
              <w:t>-</w:t>
            </w:r>
          </w:p>
        </w:tc>
      </w:tr>
      <w:tr w:rsidR="00A34770" w:rsidTr="003F6245">
        <w:trPr>
          <w:trHeight w:val="168"/>
        </w:trPr>
        <w:tc>
          <w:tcPr>
            <w:tcW w:w="2610" w:type="dxa"/>
          </w:tcPr>
          <w:p w:rsidR="00D2176C" w:rsidRPr="00C15911" w:rsidRDefault="00743FAE" w:rsidP="00C15911">
            <w:pPr>
              <w:spacing w:line="276" w:lineRule="auto"/>
              <w:jc w:val="center"/>
              <w:rPr>
                <w:rFonts w:ascii="Times New Roman" w:eastAsia="Calibri" w:hAnsi="Times New Roman" w:cs="Times New Roman"/>
                <w:sz w:val="20"/>
                <w:szCs w:val="20"/>
                <w:rtl/>
              </w:rPr>
            </w:pPr>
            <w:r w:rsidRPr="00C15911">
              <w:rPr>
                <w:rFonts w:ascii="Times New Roman" w:eastAsia="Calibri" w:hAnsi="Times New Roman" w:cs="Times New Roman"/>
                <w:sz w:val="20"/>
                <w:szCs w:val="20"/>
              </w:rPr>
              <w:t>Academic Well-Being</w:t>
            </w:r>
          </w:p>
        </w:tc>
        <w:tc>
          <w:tcPr>
            <w:tcW w:w="2700" w:type="dxa"/>
          </w:tcPr>
          <w:p w:rsidR="00D2176C" w:rsidRPr="00C15911" w:rsidRDefault="00743FAE" w:rsidP="00A35611">
            <w:pPr>
              <w:spacing w:line="276" w:lineRule="auto"/>
              <w:jc w:val="center"/>
              <w:rPr>
                <w:rFonts w:ascii="Times New Roman" w:eastAsia="Calibri" w:hAnsi="Times New Roman" w:cs="Times New Roman"/>
                <w:sz w:val="20"/>
                <w:szCs w:val="20"/>
              </w:rPr>
            </w:pPr>
            <w:r w:rsidRPr="00C15911">
              <w:rPr>
                <w:rFonts w:ascii="Times New Roman" w:eastAsia="Calibri" w:hAnsi="Times New Roman" w:cs="Times New Roman"/>
                <w:sz w:val="20"/>
                <w:szCs w:val="20"/>
              </w:rPr>
              <w:t>0.855*</w:t>
            </w:r>
          </w:p>
        </w:tc>
        <w:tc>
          <w:tcPr>
            <w:tcW w:w="2700" w:type="dxa"/>
          </w:tcPr>
          <w:p w:rsidR="00D2176C" w:rsidRPr="00C15911" w:rsidRDefault="00743FAE" w:rsidP="00A35611">
            <w:pPr>
              <w:spacing w:line="276" w:lineRule="auto"/>
              <w:jc w:val="center"/>
              <w:rPr>
                <w:rFonts w:ascii="Times New Roman" w:eastAsia="Calibri" w:hAnsi="Times New Roman" w:cs="Times New Roman"/>
                <w:sz w:val="20"/>
                <w:szCs w:val="20"/>
              </w:rPr>
            </w:pPr>
            <w:r w:rsidRPr="00C15911">
              <w:rPr>
                <w:rFonts w:ascii="Times New Roman" w:eastAsia="Calibri" w:hAnsi="Times New Roman" w:cs="Times New Roman"/>
                <w:sz w:val="20"/>
                <w:szCs w:val="20"/>
              </w:rPr>
              <w:t>0.959**</w:t>
            </w:r>
          </w:p>
        </w:tc>
      </w:tr>
      <w:tr w:rsidR="00A34770" w:rsidTr="003F6245">
        <w:trPr>
          <w:trHeight w:val="96"/>
        </w:trPr>
        <w:tc>
          <w:tcPr>
            <w:tcW w:w="8010" w:type="dxa"/>
            <w:gridSpan w:val="3"/>
          </w:tcPr>
          <w:p w:rsidR="003F6245" w:rsidRPr="003F6245" w:rsidRDefault="00743FAE" w:rsidP="003F6245">
            <w:pPr>
              <w:tabs>
                <w:tab w:val="left" w:pos="180"/>
              </w:tabs>
              <w:ind w:left="-90" w:right="-244"/>
              <w:jc w:val="both"/>
              <w:rPr>
                <w:rFonts w:ascii="Times New Roman" w:eastAsia="Calibri" w:hAnsi="Times New Roman" w:cs="Times New Roman"/>
                <w:sz w:val="20"/>
                <w:szCs w:val="20"/>
                <w:lang w:val="en-GB"/>
              </w:rPr>
            </w:pPr>
            <w:r w:rsidRPr="00F46414">
              <w:rPr>
                <w:rFonts w:ascii="Times New Roman" w:eastAsia="Calibri" w:hAnsi="Times New Roman" w:cs="Times New Roman"/>
                <w:sz w:val="20"/>
                <w:szCs w:val="20"/>
              </w:rPr>
              <w:t>**The correlation coefficients are significant at 0.01.</w:t>
            </w:r>
          </w:p>
        </w:tc>
      </w:tr>
    </w:tbl>
    <w:p w:rsidR="0078587A" w:rsidRDefault="0078587A" w:rsidP="00F46414">
      <w:pPr>
        <w:tabs>
          <w:tab w:val="left" w:pos="180"/>
        </w:tabs>
        <w:spacing w:after="0" w:line="240" w:lineRule="auto"/>
        <w:ind w:left="-90" w:right="-244"/>
        <w:jc w:val="both"/>
        <w:rPr>
          <w:rFonts w:ascii="Times New Roman" w:eastAsia="Calibri" w:hAnsi="Times New Roman" w:cs="Times New Roman"/>
          <w:sz w:val="20"/>
          <w:szCs w:val="20"/>
          <w:rtl/>
          <w:lang w:val="en-GB"/>
        </w:rPr>
      </w:pPr>
    </w:p>
    <w:p w:rsidR="003001B6" w:rsidRPr="003F6245" w:rsidRDefault="00743FAE" w:rsidP="003F6245">
      <w:pPr>
        <w:spacing w:before="240" w:after="0"/>
        <w:jc w:val="both"/>
        <w:rPr>
          <w:rFonts w:eastAsia="Calibri" w:cstheme="minorHAnsi"/>
          <w:sz w:val="24"/>
          <w:szCs w:val="24"/>
          <w:rtl/>
        </w:rPr>
      </w:pPr>
      <w:r w:rsidRPr="003F6245">
        <w:rPr>
          <w:rFonts w:eastAsia="Calibri" w:cstheme="minorHAnsi"/>
          <w:sz w:val="24"/>
          <w:szCs w:val="24"/>
        </w:rPr>
        <w:t xml:space="preserve">Table 6 shows a statistically significant positive correlation at the 0.01 level between academic well-being and computational thinking skills; the correlation coefficient was 0.855. Given that studies have shown a link between computational thinking and academic achievement (Lishinski et al., 2016, Doleck et al., 2017; Yildiz-Durak &amp; Saritepeci, 2018; Gülmez and Özdener (2015 Haddad and Kalaani, 2015) and that cognitive well-being is positively related to academic achievement Klapp et al. (2024; Ansari et al., 2011) and mental health and academic performance (Chávez-Castillo et al., 2023; Kansky et al., 2016; Luhmann et al., 2012), a positive </w:t>
      </w:r>
      <w:r w:rsidRPr="003F6245">
        <w:rPr>
          <w:rFonts w:eastAsia="Calibri" w:cstheme="minorHAnsi"/>
          <w:sz w:val="24"/>
          <w:szCs w:val="24"/>
        </w:rPr>
        <w:lastRenderedPageBreak/>
        <w:t>correlation between academic well-being and computational thinking skills</w:t>
      </w:r>
      <w:r>
        <w:rPr>
          <w:rFonts w:eastAsia="Calibri" w:cs="Calibri"/>
          <w:sz w:val="24"/>
          <w:szCs w:val="24"/>
        </w:rPr>
        <w:t xml:space="preserve"> is expected</w:t>
      </w:r>
      <w:r w:rsidRPr="003F6245">
        <w:rPr>
          <w:rFonts w:eastAsia="Calibri" w:cstheme="minorHAnsi"/>
          <w:sz w:val="24"/>
          <w:szCs w:val="24"/>
        </w:rPr>
        <w:t xml:space="preserve">. Therefore, Faqih &amp; Nasab (2023) indicated that academic well-being plays a fundamental role in an individual’s performance and enhances thinking. This result differs from studies that </w:t>
      </w:r>
      <w:r>
        <w:rPr>
          <w:rFonts w:eastAsia="Calibri" w:cs="Calibri"/>
          <w:sz w:val="24"/>
          <w:szCs w:val="24"/>
        </w:rPr>
        <w:t xml:space="preserve">have </w:t>
      </w:r>
      <w:r w:rsidRPr="003F6245">
        <w:rPr>
          <w:rFonts w:eastAsia="Calibri" w:cstheme="minorHAnsi"/>
          <w:sz w:val="24"/>
          <w:szCs w:val="24"/>
        </w:rPr>
        <w:t xml:space="preserve">indicated that there is no significant association between computational thinking and academic achievement (Doleck et al., 2017, Miller et al., 2013), </w:t>
      </w:r>
      <w:r>
        <w:rPr>
          <w:rFonts w:eastAsia="Calibri" w:cs="Calibri"/>
          <w:sz w:val="24"/>
          <w:szCs w:val="24"/>
        </w:rPr>
        <w:t>that</w:t>
      </w:r>
      <w:r w:rsidRPr="003F6245">
        <w:rPr>
          <w:rFonts w:eastAsia="Calibri" w:cstheme="minorHAnsi"/>
          <w:sz w:val="24"/>
          <w:szCs w:val="24"/>
        </w:rPr>
        <w:t xml:space="preserve"> there is no correlation between academic well-being and students' academic achievement (Reisberg, 2000), and that the relationship between them is weak (Heller-Sahlgren, 2018) and not strong (</w:t>
      </w:r>
      <w:proofErr w:type="spellStart"/>
      <w:r w:rsidRPr="003F6245">
        <w:rPr>
          <w:rFonts w:eastAsia="Calibri" w:cstheme="minorHAnsi"/>
          <w:sz w:val="24"/>
          <w:szCs w:val="24"/>
        </w:rPr>
        <w:t>Lv</w:t>
      </w:r>
      <w:proofErr w:type="spellEnd"/>
      <w:r w:rsidRPr="003F6245">
        <w:rPr>
          <w:rFonts w:eastAsia="Calibri" w:cstheme="minorHAnsi"/>
          <w:sz w:val="24"/>
          <w:szCs w:val="24"/>
        </w:rPr>
        <w:t xml:space="preserve"> et al., 2016; Cheng &amp; Furnham, 2001; Huebner, 1991), which indicates the expectation of no relationship between academic well-being and computational thinking skills.</w:t>
      </w:r>
    </w:p>
    <w:p w:rsidR="003F6245" w:rsidRDefault="003F6245" w:rsidP="00F46414">
      <w:pPr>
        <w:tabs>
          <w:tab w:val="left" w:pos="180"/>
        </w:tabs>
        <w:spacing w:after="0" w:line="240" w:lineRule="auto"/>
        <w:ind w:left="-90" w:right="-244"/>
        <w:jc w:val="both"/>
        <w:rPr>
          <w:rFonts w:ascii="Times New Roman" w:eastAsia="Calibri" w:hAnsi="Times New Roman" w:cs="Times New Roman"/>
          <w:sz w:val="20"/>
          <w:szCs w:val="20"/>
          <w:rtl/>
          <w:lang w:val="en-GB"/>
        </w:rPr>
      </w:pPr>
    </w:p>
    <w:p w:rsidR="003F6245" w:rsidRDefault="00743FAE" w:rsidP="00F46414">
      <w:pPr>
        <w:tabs>
          <w:tab w:val="left" w:pos="180"/>
        </w:tabs>
        <w:spacing w:after="0" w:line="240" w:lineRule="auto"/>
        <w:ind w:left="-90" w:right="-244"/>
        <w:jc w:val="both"/>
        <w:rPr>
          <w:rFonts w:eastAsia="Calibri" w:cstheme="minorHAnsi"/>
          <w:sz w:val="24"/>
          <w:szCs w:val="24"/>
          <w:lang w:bidi="ar-EG"/>
        </w:rPr>
      </w:pPr>
      <w:r>
        <w:rPr>
          <w:rFonts w:eastAsia="Calibri" w:cstheme="minorHAnsi"/>
          <w:sz w:val="24"/>
          <w:szCs w:val="24"/>
          <w:lang w:bidi="ar-EG"/>
        </w:rPr>
        <w:t xml:space="preserve">This </w:t>
      </w:r>
      <w:r>
        <w:rPr>
          <w:rFonts w:eastAsia="Calibri" w:cs="Calibri"/>
          <w:sz w:val="24"/>
          <w:szCs w:val="24"/>
          <w:lang w:bidi="ar-EG"/>
        </w:rPr>
        <w:t>finding suggests</w:t>
      </w:r>
      <w:r>
        <w:rPr>
          <w:rFonts w:eastAsia="Calibri" w:cstheme="minorHAnsi"/>
          <w:sz w:val="24"/>
          <w:szCs w:val="24"/>
          <w:lang w:bidi="ar-EG"/>
        </w:rPr>
        <w:t xml:space="preserve"> that academic well-being is one of the most important indicators that </w:t>
      </w:r>
      <w:r>
        <w:rPr>
          <w:rFonts w:eastAsia="Calibri" w:cs="Calibri"/>
          <w:sz w:val="24"/>
          <w:szCs w:val="24"/>
          <w:lang w:bidi="ar-EG"/>
        </w:rPr>
        <w:t>affects</w:t>
      </w:r>
      <w:r>
        <w:rPr>
          <w:rFonts w:eastAsia="Calibri" w:cstheme="minorHAnsi"/>
          <w:sz w:val="24"/>
          <w:szCs w:val="24"/>
          <w:lang w:bidi="ar-EG"/>
        </w:rPr>
        <w:t xml:space="preserve"> the quality of </w:t>
      </w:r>
      <w:r>
        <w:rPr>
          <w:rFonts w:eastAsia="Calibri" w:cs="Calibri"/>
          <w:sz w:val="24"/>
          <w:szCs w:val="24"/>
          <w:lang w:bidi="ar-EG"/>
        </w:rPr>
        <w:t xml:space="preserve">one’s </w:t>
      </w:r>
      <w:r>
        <w:rPr>
          <w:rFonts w:eastAsia="Calibri" w:cstheme="minorHAnsi"/>
          <w:sz w:val="24"/>
          <w:szCs w:val="24"/>
          <w:lang w:bidi="ar-EG"/>
        </w:rPr>
        <w:t xml:space="preserve">academic life, academic satisfaction, </w:t>
      </w:r>
      <w:r>
        <w:rPr>
          <w:rFonts w:eastAsia="Calibri" w:cs="Calibri"/>
          <w:sz w:val="24"/>
          <w:szCs w:val="24"/>
          <w:lang w:bidi="ar-EG"/>
        </w:rPr>
        <w:t xml:space="preserve">and </w:t>
      </w:r>
      <w:r>
        <w:rPr>
          <w:rFonts w:eastAsia="Calibri" w:cstheme="minorHAnsi"/>
          <w:sz w:val="24"/>
          <w:szCs w:val="24"/>
          <w:lang w:bidi="ar-EG"/>
        </w:rPr>
        <w:t xml:space="preserve">stress reduction and </w:t>
      </w:r>
      <w:r>
        <w:rPr>
          <w:rFonts w:eastAsia="Calibri" w:cs="Calibri"/>
          <w:sz w:val="24"/>
          <w:szCs w:val="24"/>
          <w:lang w:bidi="ar-EG"/>
        </w:rPr>
        <w:t>enhances one’s ability to engage in</w:t>
      </w:r>
      <w:r>
        <w:rPr>
          <w:rFonts w:eastAsia="Calibri" w:cstheme="minorHAnsi"/>
          <w:sz w:val="24"/>
          <w:szCs w:val="24"/>
          <w:lang w:bidi="ar-EG"/>
        </w:rPr>
        <w:t xml:space="preserve"> "computational thinking" (Durlak et al., 2011; Shek and Chai, 2020 Korhonen et al., 2014;</w:t>
      </w:r>
      <w:r>
        <w:rPr>
          <w:rFonts w:eastAsia="Calibri" w:cs="Calibri"/>
          <w:sz w:val="24"/>
          <w:szCs w:val="24"/>
          <w:lang w:bidi="ar-EG"/>
        </w:rPr>
        <w:t xml:space="preserve"> </w:t>
      </w:r>
      <w:proofErr w:type="spellStart"/>
      <w:r>
        <w:rPr>
          <w:rFonts w:eastAsia="Calibri" w:cstheme="minorHAnsi"/>
          <w:sz w:val="24"/>
          <w:szCs w:val="24"/>
          <w:lang w:bidi="ar-EG"/>
        </w:rPr>
        <w:t>Faqih</w:t>
      </w:r>
      <w:proofErr w:type="spellEnd"/>
      <w:r>
        <w:rPr>
          <w:rFonts w:eastAsia="Calibri" w:cstheme="minorHAnsi"/>
          <w:sz w:val="24"/>
          <w:szCs w:val="24"/>
          <w:lang w:bidi="ar-EG"/>
        </w:rPr>
        <w:t xml:space="preserve"> &amp; </w:t>
      </w:r>
      <w:proofErr w:type="spellStart"/>
      <w:r>
        <w:rPr>
          <w:rFonts w:eastAsia="Calibri" w:cstheme="minorHAnsi"/>
          <w:sz w:val="24"/>
          <w:szCs w:val="24"/>
          <w:lang w:bidi="ar-EG"/>
        </w:rPr>
        <w:t>Nasab</w:t>
      </w:r>
      <w:proofErr w:type="spellEnd"/>
      <w:r>
        <w:rPr>
          <w:rFonts w:eastAsia="Calibri" w:cstheme="minorHAnsi"/>
          <w:sz w:val="24"/>
          <w:szCs w:val="24"/>
          <w:lang w:bidi="ar-EG"/>
        </w:rPr>
        <w:t>, 2023) and opportunities to practice thinking (Asghar et al., 2022).</w:t>
      </w:r>
    </w:p>
    <w:p w:rsidR="007614E3" w:rsidRDefault="007614E3" w:rsidP="00F46414">
      <w:pPr>
        <w:tabs>
          <w:tab w:val="left" w:pos="180"/>
        </w:tabs>
        <w:spacing w:after="0" w:line="240" w:lineRule="auto"/>
        <w:ind w:left="-90" w:right="-244"/>
        <w:jc w:val="both"/>
        <w:rPr>
          <w:rFonts w:eastAsia="Calibri" w:cstheme="minorHAnsi"/>
          <w:sz w:val="24"/>
          <w:szCs w:val="24"/>
          <w:lang w:bidi="ar-EG"/>
        </w:rPr>
      </w:pPr>
    </w:p>
    <w:p w:rsidR="007614E3" w:rsidRPr="007614E3" w:rsidRDefault="00743FAE" w:rsidP="000D0533">
      <w:pPr>
        <w:tabs>
          <w:tab w:val="left" w:pos="180"/>
        </w:tabs>
        <w:spacing w:after="0" w:line="240" w:lineRule="auto"/>
        <w:ind w:left="-90" w:right="-244"/>
        <w:jc w:val="both"/>
        <w:rPr>
          <w:rFonts w:eastAsia="Calibri" w:cstheme="minorHAnsi"/>
          <w:sz w:val="24"/>
          <w:szCs w:val="24"/>
          <w:rtl/>
          <w:lang w:bidi="ar-EG"/>
        </w:rPr>
      </w:pPr>
      <w:r w:rsidRPr="007614E3">
        <w:rPr>
          <w:rFonts w:eastAsia="Calibri" w:cstheme="minorHAnsi"/>
          <w:sz w:val="24"/>
          <w:szCs w:val="24"/>
          <w:lang w:bidi="ar-EG"/>
        </w:rPr>
        <w:t>Table 6 also shows that there is a statistically significant positive correlation at the 0.01 level between academic well-being and computer self-efficacy</w:t>
      </w:r>
      <w:r>
        <w:rPr>
          <w:rFonts w:eastAsia="Calibri" w:cs="Calibri"/>
          <w:sz w:val="24"/>
          <w:szCs w:val="24"/>
          <w:lang w:bidi="ar-EG"/>
        </w:rPr>
        <w:t>.</w:t>
      </w:r>
      <w:r w:rsidRPr="007614E3">
        <w:rPr>
          <w:rFonts w:eastAsia="Calibri" w:cstheme="minorHAnsi"/>
          <w:sz w:val="24"/>
          <w:szCs w:val="24"/>
          <w:lang w:bidi="ar-EG"/>
        </w:rPr>
        <w:t xml:space="preserve"> The correlation coefficient </w:t>
      </w:r>
      <w:r>
        <w:rPr>
          <w:rFonts w:eastAsia="Calibri" w:cs="Calibri"/>
          <w:sz w:val="24"/>
          <w:szCs w:val="24"/>
          <w:lang w:bidi="ar-EG"/>
        </w:rPr>
        <w:t>is</w:t>
      </w:r>
      <w:r w:rsidRPr="007614E3">
        <w:rPr>
          <w:rFonts w:eastAsia="Calibri" w:cstheme="minorHAnsi"/>
          <w:sz w:val="24"/>
          <w:szCs w:val="24"/>
          <w:lang w:bidi="ar-EG"/>
        </w:rPr>
        <w:t xml:space="preserve"> 0.959, and this result is consistent with the </w:t>
      </w:r>
      <w:r>
        <w:rPr>
          <w:rFonts w:eastAsia="Calibri" w:cs="Calibri"/>
          <w:sz w:val="24"/>
          <w:szCs w:val="24"/>
          <w:lang w:bidi="ar-EG"/>
        </w:rPr>
        <w:t>findings</w:t>
      </w:r>
      <w:r w:rsidRPr="007614E3">
        <w:rPr>
          <w:rFonts w:eastAsia="Calibri" w:cstheme="minorHAnsi"/>
          <w:sz w:val="24"/>
          <w:szCs w:val="24"/>
          <w:lang w:bidi="ar-EG"/>
        </w:rPr>
        <w:t xml:space="preserve"> of (Robinson and Snipes (2009)</w:t>
      </w:r>
      <w:r>
        <w:rPr>
          <w:rFonts w:eastAsia="Calibri" w:cs="Calibri"/>
          <w:sz w:val="24"/>
          <w:szCs w:val="24"/>
          <w:lang w:bidi="ar-EG"/>
        </w:rPr>
        <w:t>, who</w:t>
      </w:r>
      <w:r w:rsidRPr="007614E3">
        <w:rPr>
          <w:rFonts w:eastAsia="Calibri" w:cstheme="minorHAnsi"/>
          <w:sz w:val="24"/>
          <w:szCs w:val="24"/>
          <w:lang w:bidi="ar-EG"/>
        </w:rPr>
        <w:t xml:space="preserve"> confirmed the existence of a relationship between cognitive well-being and self-efficacy, and with studies that indicated a relationship between academic well-being and academic self-concept (Huebner &amp; Gilman, 2006), </w:t>
      </w:r>
      <w:r>
        <w:rPr>
          <w:rFonts w:eastAsia="Calibri" w:cs="Calibri"/>
          <w:sz w:val="24"/>
          <w:szCs w:val="24"/>
          <w:lang w:bidi="ar-EG"/>
        </w:rPr>
        <w:t>which</w:t>
      </w:r>
      <w:r w:rsidRPr="007614E3">
        <w:rPr>
          <w:rFonts w:eastAsia="Calibri" w:cstheme="minorHAnsi"/>
          <w:sz w:val="24"/>
          <w:szCs w:val="24"/>
          <w:lang w:bidi="ar-EG"/>
        </w:rPr>
        <w:t xml:space="preserve"> differs from studies that indicated a </w:t>
      </w:r>
      <w:r>
        <w:rPr>
          <w:rFonts w:eastAsia="Calibri" w:cs="Calibri"/>
          <w:sz w:val="24"/>
          <w:szCs w:val="24"/>
          <w:lang w:bidi="ar-EG"/>
        </w:rPr>
        <w:t>weak</w:t>
      </w:r>
      <w:r w:rsidRPr="007614E3">
        <w:rPr>
          <w:rFonts w:eastAsia="Calibri" w:cstheme="minorHAnsi"/>
          <w:sz w:val="24"/>
          <w:szCs w:val="24"/>
          <w:lang w:bidi="ar-EG"/>
        </w:rPr>
        <w:t xml:space="preserve"> positive relationship between well-being and motivation among students (Amholt et al., 2020; Roeser et al., 1999; Watt, 2004; Eccles and Roeser, 2009). Despite this contradiction, </w:t>
      </w:r>
      <w:r>
        <w:rPr>
          <w:rFonts w:eastAsia="Calibri" w:cs="Calibri"/>
          <w:sz w:val="24"/>
          <w:szCs w:val="24"/>
          <w:lang w:bidi="ar-EG"/>
        </w:rPr>
        <w:t>these results support</w:t>
      </w:r>
      <w:r w:rsidRPr="007614E3">
        <w:rPr>
          <w:rFonts w:eastAsia="Calibri" w:cstheme="minorHAnsi"/>
          <w:sz w:val="24"/>
          <w:szCs w:val="24"/>
          <w:lang w:bidi="ar-EG"/>
        </w:rPr>
        <w:t xml:space="preserve"> the relationship between academic well-being and other variables</w:t>
      </w:r>
      <w:r>
        <w:rPr>
          <w:rFonts w:eastAsia="Calibri" w:cs="Calibri"/>
          <w:sz w:val="24"/>
          <w:szCs w:val="24"/>
          <w:lang w:bidi="ar-EG"/>
        </w:rPr>
        <w:t>,</w:t>
      </w:r>
      <w:r w:rsidRPr="007614E3">
        <w:rPr>
          <w:rFonts w:eastAsia="Calibri" w:cstheme="minorHAnsi"/>
          <w:sz w:val="24"/>
          <w:szCs w:val="24"/>
          <w:lang w:bidi="ar-EG"/>
        </w:rPr>
        <w:t xml:space="preserve"> such as life satisfaction and positive feelings </w:t>
      </w:r>
      <w:r>
        <w:rPr>
          <w:rFonts w:eastAsia="Calibri" w:cs="Calibri"/>
          <w:sz w:val="24"/>
          <w:szCs w:val="24"/>
          <w:lang w:bidi="ar-EG"/>
        </w:rPr>
        <w:t>toward</w:t>
      </w:r>
      <w:r w:rsidRPr="007614E3">
        <w:rPr>
          <w:rFonts w:eastAsia="Calibri" w:cstheme="minorHAnsi"/>
          <w:sz w:val="24"/>
          <w:szCs w:val="24"/>
          <w:lang w:bidi="ar-EG"/>
        </w:rPr>
        <w:t xml:space="preserve"> the present and future (Wu et al., 2020), academic success, and positive psychological experiences and feelings in academic contexts (Reynolds et al., 2024), which in turn are associated with the learner’s self-efficacy.</w:t>
      </w:r>
    </w:p>
    <w:p w:rsidR="007614E3" w:rsidRDefault="007614E3" w:rsidP="00F46414">
      <w:pPr>
        <w:tabs>
          <w:tab w:val="left" w:pos="180"/>
        </w:tabs>
        <w:spacing w:after="0" w:line="240" w:lineRule="auto"/>
        <w:ind w:left="-90" w:right="-244"/>
        <w:jc w:val="both"/>
        <w:rPr>
          <w:rFonts w:ascii="Times New Roman" w:eastAsia="Calibri" w:hAnsi="Times New Roman" w:cs="Times New Roman"/>
          <w:sz w:val="20"/>
          <w:szCs w:val="20"/>
          <w:rtl/>
          <w:lang w:val="en-GB"/>
        </w:rPr>
      </w:pPr>
    </w:p>
    <w:p w:rsidR="003725CA" w:rsidRDefault="00743FAE" w:rsidP="00E5149F">
      <w:pPr>
        <w:tabs>
          <w:tab w:val="left" w:pos="180"/>
        </w:tabs>
        <w:spacing w:after="0" w:line="240" w:lineRule="auto"/>
        <w:ind w:left="-90" w:right="-244"/>
        <w:jc w:val="both"/>
        <w:rPr>
          <w:rFonts w:eastAsia="Calibri" w:cs="Calibri" w:hint="cs"/>
          <w:sz w:val="24"/>
          <w:szCs w:val="24"/>
          <w:rtl/>
          <w:lang w:bidi="ar-EG"/>
        </w:rPr>
      </w:pPr>
      <w:r>
        <w:rPr>
          <w:rFonts w:eastAsia="Calibri" w:cs="Calibri"/>
          <w:sz w:val="24"/>
          <w:szCs w:val="24"/>
          <w:lang w:bidi="ar-EG"/>
        </w:rPr>
        <w:t>These results are consistent with studies that have indicated positive relationships between self-efficacy and several variables, such as subjective well-being (Serinci et al., 2023; Santos et al., 2014), well-being (i.e., positive emotions and happiness) (Callaghan et al., 2020; Datu and Mateo 2020), academic well-being (Khodapanah &amp; Tamannaeifar, 2023), and psychological well-being (Mohtasham et al., 2024).</w:t>
      </w:r>
      <w:r w:rsidR="00E5149F">
        <w:rPr>
          <w:rFonts w:eastAsia="Calibri" w:cs="Calibri" w:hint="cs"/>
          <w:sz w:val="24"/>
          <w:szCs w:val="24"/>
          <w:rtl/>
          <w:lang w:bidi="ar-EG"/>
        </w:rPr>
        <w:t xml:space="preserve">  </w:t>
      </w:r>
      <w:r w:rsidRPr="00133B9F">
        <w:rPr>
          <w:rFonts w:eastAsia="Calibri" w:cs="Calibri"/>
          <w:sz w:val="24"/>
          <w:szCs w:val="24"/>
          <w:lang w:bidi="ar-EG"/>
        </w:rPr>
        <w:t xml:space="preserve">These results support that a learner with high levels of self-efficacy has high levels of subjective well-being (Santos et al., 2014) and exerts more effort and perseverance to solve problems and overcome obstacles and challenges that he faces during learning, which leads to increased academic well-being. </w:t>
      </w:r>
    </w:p>
    <w:p w:rsidR="00E5149F" w:rsidRDefault="00E5149F" w:rsidP="00E5149F">
      <w:pPr>
        <w:tabs>
          <w:tab w:val="left" w:pos="180"/>
        </w:tabs>
        <w:spacing w:after="0" w:line="240" w:lineRule="auto"/>
        <w:ind w:left="-90" w:right="-244"/>
        <w:jc w:val="both"/>
        <w:rPr>
          <w:rFonts w:eastAsia="Calibri" w:cs="Calibri"/>
          <w:sz w:val="24"/>
          <w:szCs w:val="24"/>
          <w:rtl/>
          <w:lang w:bidi="ar-EG"/>
        </w:rPr>
      </w:pPr>
    </w:p>
    <w:p w:rsidR="003725CA" w:rsidRDefault="00743FAE" w:rsidP="002C3B81">
      <w:pPr>
        <w:tabs>
          <w:tab w:val="left" w:pos="180"/>
        </w:tabs>
        <w:spacing w:after="0" w:line="240" w:lineRule="auto"/>
        <w:ind w:left="-90" w:right="-244"/>
        <w:jc w:val="both"/>
        <w:rPr>
          <w:rFonts w:eastAsia="Calibri" w:cs="Calibri"/>
          <w:sz w:val="24"/>
          <w:szCs w:val="24"/>
          <w:rtl/>
          <w:lang w:bidi="ar-EG"/>
        </w:rPr>
      </w:pPr>
      <w:r w:rsidRPr="003725CA">
        <w:rPr>
          <w:rFonts w:eastAsia="Calibri" w:cs="Calibri"/>
          <w:sz w:val="24"/>
          <w:szCs w:val="24"/>
          <w:lang w:bidi="ar-EG"/>
        </w:rPr>
        <w:t xml:space="preserve">In addition, Table 6 shows a statistically significant positive correlation at the 0.01 level between computational thinking skills and computational self-efficacy; the correlation coefficient reached 0.870. These results are consistent with studies that have indicated a close relationship between computational self-efficacy and programming (Davidson et al., 2010), information and communication technology (Hatlevik et al., 2018), computer literacy (Gudek, 2020), and information skills (Espinosa et al., 2021), </w:t>
      </w:r>
      <w:r>
        <w:rPr>
          <w:rFonts w:eastAsia="Calibri" w:cs="Calibri"/>
          <w:sz w:val="24"/>
          <w:szCs w:val="24"/>
          <w:lang w:bidi="ar-EG"/>
        </w:rPr>
        <w:t>whereas</w:t>
      </w:r>
      <w:r w:rsidRPr="003725CA">
        <w:rPr>
          <w:rFonts w:eastAsia="Calibri" w:cs="Calibri"/>
          <w:sz w:val="24"/>
          <w:szCs w:val="24"/>
          <w:lang w:bidi="ar-EG"/>
        </w:rPr>
        <w:t xml:space="preserve"> they differ </w:t>
      </w:r>
      <w:r>
        <w:rPr>
          <w:rFonts w:eastAsia="Calibri" w:cs="Calibri"/>
          <w:sz w:val="24"/>
          <w:szCs w:val="24"/>
          <w:lang w:bidi="ar-EG"/>
        </w:rPr>
        <w:t>from</w:t>
      </w:r>
      <w:r w:rsidRPr="003725CA">
        <w:rPr>
          <w:rFonts w:eastAsia="Calibri" w:cs="Calibri"/>
          <w:sz w:val="24"/>
          <w:szCs w:val="24"/>
          <w:lang w:bidi="ar-EG"/>
        </w:rPr>
        <w:t xml:space="preserve"> studies that have indicated a </w:t>
      </w:r>
      <w:r w:rsidRPr="003725CA">
        <w:rPr>
          <w:rFonts w:eastAsia="Calibri" w:cs="Calibri"/>
          <w:sz w:val="24"/>
          <w:szCs w:val="24"/>
          <w:lang w:bidi="ar-EG"/>
        </w:rPr>
        <w:lastRenderedPageBreak/>
        <w:t>positive and medium-level relationship between self-efficacy and both computer programming and computational thinking skills (Avcu &amp; Ayverdi, 2020), computational thinking skills (Roman-Gonzalez et al., 2018; Ciftci et al., 2018; Yildiz-Durak et al., 2019), and computational thinking and problem solving (Yildiz-Durak et al., 2019; Bocconi et al., 2016; ISTE, 2016; Wing, 2014).</w:t>
      </w:r>
    </w:p>
    <w:p w:rsidR="003725CA" w:rsidRDefault="003725CA" w:rsidP="003725CA">
      <w:pPr>
        <w:tabs>
          <w:tab w:val="left" w:pos="180"/>
        </w:tabs>
        <w:spacing w:after="0" w:line="240" w:lineRule="auto"/>
        <w:ind w:left="-90" w:right="-244"/>
        <w:jc w:val="both"/>
        <w:rPr>
          <w:rFonts w:eastAsia="Calibri" w:cs="Calibri"/>
          <w:sz w:val="24"/>
          <w:szCs w:val="24"/>
          <w:lang w:bidi="ar-EG"/>
        </w:rPr>
      </w:pPr>
    </w:p>
    <w:p w:rsidR="003725CA" w:rsidRDefault="00743FAE" w:rsidP="00E5149F">
      <w:pPr>
        <w:tabs>
          <w:tab w:val="left" w:pos="180"/>
        </w:tabs>
        <w:spacing w:after="0" w:line="240" w:lineRule="auto"/>
        <w:ind w:left="-90" w:right="-244"/>
        <w:jc w:val="both"/>
        <w:rPr>
          <w:rFonts w:eastAsia="Calibri" w:cs="Calibri"/>
          <w:sz w:val="24"/>
          <w:szCs w:val="24"/>
          <w:rtl/>
          <w:lang w:bidi="ar-EG"/>
        </w:rPr>
      </w:pPr>
      <w:r w:rsidRPr="003725CA">
        <w:rPr>
          <w:rFonts w:eastAsia="Calibri" w:cs="Calibri"/>
          <w:sz w:val="24"/>
          <w:szCs w:val="24"/>
          <w:lang w:bidi="ar-EG"/>
        </w:rPr>
        <w:t>This finding supports studies that indicate that the practice of computational thinking skills is influenced by self-efficacy (Malone &amp; Lepper, 2021; Murnieks et</w:t>
      </w:r>
      <w:r>
        <w:rPr>
          <w:rFonts w:eastAsia="Calibri" w:cs="Calibri"/>
          <w:sz w:val="24"/>
          <w:szCs w:val="24"/>
          <w:lang w:bidi="ar-EG"/>
        </w:rPr>
        <w:t xml:space="preserve"> </w:t>
      </w:r>
      <w:r w:rsidRPr="003725CA">
        <w:rPr>
          <w:rFonts w:eastAsia="Calibri" w:cs="Calibri"/>
          <w:sz w:val="24"/>
          <w:szCs w:val="24"/>
          <w:lang w:bidi="ar-EG"/>
        </w:rPr>
        <w:t>al., 2020; Yildiz-Durak &amp; Saritepeci, 2018; Kong et</w:t>
      </w:r>
      <w:r>
        <w:rPr>
          <w:rFonts w:eastAsia="Calibri" w:cs="Calibri"/>
          <w:sz w:val="24"/>
          <w:szCs w:val="24"/>
          <w:lang w:bidi="ar-EG"/>
        </w:rPr>
        <w:t xml:space="preserve"> </w:t>
      </w:r>
      <w:r w:rsidRPr="003725CA">
        <w:rPr>
          <w:rFonts w:eastAsia="Calibri" w:cs="Calibri"/>
          <w:sz w:val="24"/>
          <w:szCs w:val="24"/>
          <w:lang w:bidi="ar-EG"/>
        </w:rPr>
        <w:t xml:space="preserve">al., 2018; Nordén et al., 2017; Özmen and Altun, 2014; Thoonen et al., 2010) and that a learner with high computational self-efficacy has good perceptions of his ability to use a computer (Turel, 2014), strong motivation to use computational thinking skills to solve problems (Richado et al., 2023), </w:t>
      </w:r>
      <w:r>
        <w:rPr>
          <w:rFonts w:eastAsia="Calibri" w:cs="Calibri"/>
          <w:sz w:val="24"/>
          <w:szCs w:val="24"/>
          <w:lang w:bidi="ar-EG"/>
        </w:rPr>
        <w:t>efficient use of</w:t>
      </w:r>
      <w:r w:rsidRPr="003725CA">
        <w:rPr>
          <w:rFonts w:eastAsia="Calibri" w:cs="Calibri"/>
          <w:sz w:val="24"/>
          <w:szCs w:val="24"/>
          <w:lang w:bidi="ar-EG"/>
        </w:rPr>
        <w:t xml:space="preserve"> digital tools (Dumbauld et al., 2014), and computer skills (</w:t>
      </w:r>
      <w:proofErr w:type="spellStart"/>
      <w:r w:rsidRPr="003725CA">
        <w:rPr>
          <w:rFonts w:eastAsia="Calibri" w:cs="Calibri"/>
          <w:sz w:val="24"/>
          <w:szCs w:val="24"/>
          <w:lang w:bidi="ar-EG"/>
        </w:rPr>
        <w:t>Schunk</w:t>
      </w:r>
      <w:proofErr w:type="spellEnd"/>
      <w:r w:rsidRPr="003725CA">
        <w:rPr>
          <w:rFonts w:eastAsia="Calibri" w:cs="Calibri"/>
          <w:sz w:val="24"/>
          <w:szCs w:val="24"/>
          <w:lang w:bidi="ar-EG"/>
        </w:rPr>
        <w:t xml:space="preserve">, 1991), and </w:t>
      </w:r>
      <w:r>
        <w:rPr>
          <w:rFonts w:eastAsia="Calibri" w:cs="Calibri"/>
          <w:sz w:val="24"/>
          <w:szCs w:val="24"/>
          <w:lang w:bidi="ar-EG"/>
        </w:rPr>
        <w:t>develop</w:t>
      </w:r>
      <w:r w:rsidRPr="003725CA">
        <w:rPr>
          <w:rFonts w:eastAsia="Calibri" w:cs="Calibri"/>
          <w:sz w:val="24"/>
          <w:szCs w:val="24"/>
          <w:lang w:bidi="ar-EG"/>
        </w:rPr>
        <w:t xml:space="preserve"> effective strategies for dealing with complex problems (Odaci, 2013).</w:t>
      </w:r>
    </w:p>
    <w:p w:rsidR="002C3B81" w:rsidRDefault="002C3B81" w:rsidP="003725CA">
      <w:pPr>
        <w:tabs>
          <w:tab w:val="left" w:pos="180"/>
        </w:tabs>
        <w:spacing w:after="0" w:line="240" w:lineRule="auto"/>
        <w:ind w:left="-90" w:right="-244"/>
        <w:jc w:val="both"/>
        <w:rPr>
          <w:rFonts w:eastAsia="Calibri" w:cs="Calibri"/>
          <w:sz w:val="24"/>
          <w:szCs w:val="24"/>
          <w:rtl/>
          <w:lang w:bidi="ar-EG"/>
        </w:rPr>
      </w:pPr>
    </w:p>
    <w:p w:rsidR="00C320BA" w:rsidRDefault="00743FAE" w:rsidP="002C3B81">
      <w:pPr>
        <w:tabs>
          <w:tab w:val="left" w:pos="180"/>
        </w:tabs>
        <w:spacing w:after="0" w:line="240" w:lineRule="auto"/>
        <w:ind w:left="-90" w:right="-244"/>
        <w:jc w:val="both"/>
        <w:rPr>
          <w:rFonts w:eastAsia="Calibri" w:cs="Calibri"/>
          <w:sz w:val="24"/>
          <w:szCs w:val="24"/>
          <w:lang w:bidi="ar-EG"/>
        </w:rPr>
      </w:pPr>
      <w:r>
        <w:rPr>
          <w:rFonts w:eastAsia="Calibri" w:cs="Calibri"/>
          <w:sz w:val="24"/>
          <w:szCs w:val="24"/>
          <w:lang w:bidi="ar-EG"/>
        </w:rPr>
        <w:t>This result also supports the perspective that students’ perceptions of themselves in the field of computing (self-efficacy) and lack of self-confidence are inhibitory factors that hinder their entry into the field of computational thinking (Ahadi et al., 2017; Stout and Tamer, 2016) and that low self-efficacy leads to difficulty in learning and practicing computational thinking skills (Schwarzhaupt et al., 2021; Espinosa et al., 2021; Talsma et al., 2018). Therefore, a high level of self-efficacy in computational thinking becomes important as a strong predictor of learning computational thinking skills (Espinosa et al., 2021; Krejčová et al., 2019; Yildiz-Durak et al., 2019; Shell et al., 2014; Thoonen et al., 2010; Ramalingam &amp; Wiedenbeck, 1998).</w:t>
      </w:r>
    </w:p>
    <w:p w:rsidR="002C3B81" w:rsidRDefault="002C3B81" w:rsidP="002C3B81">
      <w:pPr>
        <w:tabs>
          <w:tab w:val="left" w:pos="180"/>
        </w:tabs>
        <w:spacing w:after="0" w:line="240" w:lineRule="auto"/>
        <w:ind w:left="-90" w:right="-244"/>
        <w:jc w:val="both"/>
        <w:rPr>
          <w:rFonts w:eastAsia="Calibri" w:cstheme="minorHAnsi"/>
          <w:sz w:val="24"/>
          <w:szCs w:val="24"/>
          <w:rtl/>
          <w:lang w:bidi="ar-EG"/>
        </w:rPr>
      </w:pPr>
    </w:p>
    <w:p w:rsidR="00D2176C" w:rsidRPr="00406B36" w:rsidRDefault="00743FAE" w:rsidP="001C3270">
      <w:pPr>
        <w:tabs>
          <w:tab w:val="left" w:pos="180"/>
        </w:tabs>
        <w:spacing w:after="0" w:line="240" w:lineRule="auto"/>
        <w:ind w:left="-90" w:right="-244"/>
        <w:jc w:val="both"/>
        <w:rPr>
          <w:rFonts w:ascii="Times New Roman" w:eastAsia="Calibri" w:hAnsi="Times New Roman" w:cs="Times New Roman"/>
          <w:b/>
          <w:bCs/>
          <w:i/>
          <w:iCs/>
          <w:sz w:val="20"/>
          <w:szCs w:val="20"/>
        </w:rPr>
      </w:pPr>
      <w:r w:rsidRPr="00406B36">
        <w:rPr>
          <w:rFonts w:ascii="Times New Roman" w:eastAsia="Calibri" w:hAnsi="Times New Roman" w:cs="Times New Roman"/>
          <w:b/>
          <w:bCs/>
          <w:i/>
          <w:iCs/>
          <w:sz w:val="20"/>
          <w:szCs w:val="20"/>
        </w:rPr>
        <w:t xml:space="preserve">Q3. Can academic well-being be predicted by </w:t>
      </w:r>
      <w:r>
        <w:rPr>
          <w:rFonts w:ascii="Times New Roman" w:eastAsia="Calibri" w:hAnsi="Times New Roman" w:cs="Times New Roman"/>
          <w:b/>
          <w:bCs/>
          <w:i/>
          <w:iCs/>
          <w:sz w:val="20"/>
          <w:szCs w:val="20"/>
        </w:rPr>
        <w:t>computational thinking skills and computational self-efficacy</w:t>
      </w:r>
      <w:r w:rsidRPr="00406B36">
        <w:rPr>
          <w:rFonts w:ascii="Times New Roman" w:eastAsia="Calibri" w:hAnsi="Times New Roman" w:cs="Times New Roman"/>
          <w:b/>
          <w:bCs/>
          <w:i/>
          <w:iCs/>
          <w:sz w:val="20"/>
          <w:szCs w:val="20"/>
        </w:rPr>
        <w:t xml:space="preserve"> among university students?</w:t>
      </w:r>
    </w:p>
    <w:p w:rsidR="00142035" w:rsidRDefault="00743FAE" w:rsidP="002C3B81">
      <w:pPr>
        <w:tabs>
          <w:tab w:val="left" w:pos="180"/>
        </w:tabs>
        <w:spacing w:before="240" w:after="0" w:line="240" w:lineRule="auto"/>
        <w:ind w:left="-90" w:right="-244"/>
        <w:jc w:val="both"/>
        <w:rPr>
          <w:rFonts w:ascii="Traditional Arabic" w:eastAsia="Times New Roman" w:hAnsi="Traditional Arabic" w:cs="Traditional Arabic"/>
          <w:sz w:val="24"/>
          <w:szCs w:val="24"/>
          <w:rtl/>
        </w:rPr>
      </w:pPr>
      <w:r w:rsidRPr="002C3B81">
        <w:rPr>
          <w:rFonts w:ascii="Traditional Arabic" w:eastAsia="Times New Roman" w:hAnsi="Traditional Arabic" w:cs="Traditional Arabic"/>
          <w:sz w:val="24"/>
          <w:szCs w:val="24"/>
        </w:rPr>
        <w:t xml:space="preserve">Multiple regressions were used to explore the </w:t>
      </w:r>
      <w:r>
        <w:rPr>
          <w:rFonts w:ascii="Traditional Arabic" w:eastAsia="Times New Roman" w:hAnsi="Traditional Arabic" w:cs="Traditional Arabic"/>
          <w:sz w:val="24"/>
          <w:szCs w:val="24"/>
        </w:rPr>
        <w:t>effects</w:t>
      </w:r>
      <w:r w:rsidRPr="002C3B81">
        <w:rPr>
          <w:rFonts w:ascii="Traditional Arabic" w:eastAsia="Times New Roman" w:hAnsi="Traditional Arabic" w:cs="Traditional Arabic"/>
          <w:sz w:val="24"/>
          <w:szCs w:val="24"/>
        </w:rPr>
        <w:t xml:space="preserve"> of the independent variables (computational thinking skills and computational self-efficacy) on the dependent variable (academic well-being), and the results are shown in </w:t>
      </w:r>
      <w:r>
        <w:rPr>
          <w:rFonts w:ascii="Traditional Arabic" w:eastAsia="Times New Roman" w:hAnsi="Traditional Arabic" w:cs="Traditional Arabic"/>
          <w:sz w:val="24"/>
          <w:szCs w:val="24"/>
        </w:rPr>
        <w:t>Tables</w:t>
      </w:r>
      <w:r w:rsidRPr="002C3B81">
        <w:rPr>
          <w:rFonts w:ascii="Traditional Arabic" w:eastAsia="Times New Roman" w:hAnsi="Traditional Arabic" w:cs="Traditional Arabic"/>
          <w:sz w:val="24"/>
          <w:szCs w:val="24"/>
        </w:rPr>
        <w:t xml:space="preserve"> 7 </w:t>
      </w:r>
      <w:r>
        <w:rPr>
          <w:rFonts w:ascii="Traditional Arabic" w:eastAsia="Times New Roman" w:hAnsi="Traditional Arabic" w:cs="Traditional Arabic"/>
          <w:sz w:val="24"/>
          <w:szCs w:val="24"/>
        </w:rPr>
        <w:t xml:space="preserve">and </w:t>
      </w:r>
      <w:r w:rsidRPr="002C3B81">
        <w:rPr>
          <w:rFonts w:ascii="Traditional Arabic" w:eastAsia="Times New Roman" w:hAnsi="Traditional Arabic" w:cs="Traditional Arabic"/>
          <w:sz w:val="24"/>
          <w:szCs w:val="24"/>
        </w:rPr>
        <w:t>8.</w:t>
      </w:r>
    </w:p>
    <w:p w:rsidR="002C3B81" w:rsidRPr="002C3B81" w:rsidRDefault="00743FAE" w:rsidP="00142035">
      <w:pPr>
        <w:tabs>
          <w:tab w:val="left" w:pos="180"/>
        </w:tabs>
        <w:spacing w:before="240" w:after="0" w:line="240" w:lineRule="auto"/>
        <w:ind w:left="-90" w:right="-244"/>
        <w:jc w:val="center"/>
        <w:rPr>
          <w:rFonts w:ascii="Traditional Arabic" w:eastAsia="Times New Roman" w:hAnsi="Traditional Arabic" w:cs="Traditional Arabic"/>
          <w:sz w:val="24"/>
          <w:szCs w:val="24"/>
          <w:rtl/>
        </w:rPr>
      </w:pPr>
      <w:r w:rsidRPr="002C3B81">
        <w:rPr>
          <w:rFonts w:ascii="Traditional Arabic" w:eastAsia="Times New Roman" w:hAnsi="Traditional Arabic" w:cs="Traditional Arabic"/>
          <w:sz w:val="24"/>
          <w:szCs w:val="24"/>
        </w:rPr>
        <w:t>Table 7. Analysis of variance for academic well-being by digital resilience, digital stress and social support</w:t>
      </w:r>
    </w:p>
    <w:tbl>
      <w:tblPr>
        <w:tblStyle w:val="1"/>
        <w:tblW w:w="50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1715"/>
        <w:gridCol w:w="1371"/>
        <w:gridCol w:w="562"/>
        <w:gridCol w:w="1174"/>
        <w:gridCol w:w="923"/>
        <w:gridCol w:w="884"/>
        <w:gridCol w:w="726"/>
      </w:tblGrid>
      <w:tr w:rsidR="00A34770" w:rsidTr="00A35611">
        <w:tc>
          <w:tcPr>
            <w:tcW w:w="1230" w:type="pct"/>
            <w:tcBorders>
              <w:top w:val="single" w:sz="4" w:space="0" w:color="auto"/>
              <w:bottom w:val="single" w:sz="4" w:space="0" w:color="auto"/>
            </w:tcBorders>
          </w:tcPr>
          <w:p w:rsidR="0083334F" w:rsidRPr="0083334F" w:rsidRDefault="00743FAE" w:rsidP="0083334F">
            <w:pPr>
              <w:tabs>
                <w:tab w:val="left" w:pos="180"/>
              </w:tabs>
              <w:ind w:left="-90" w:right="-244"/>
              <w:jc w:val="both"/>
              <w:rPr>
                <w:rFonts w:eastAsia="Calibri"/>
                <w:lang w:val="en-GB"/>
              </w:rPr>
            </w:pPr>
            <w:r>
              <w:rPr>
                <w:rFonts w:ascii="Traditional Arabic" w:eastAsia="Times New Roman" w:hAnsi="Traditional Arabic" w:cs="Traditional Arabic" w:hint="cs"/>
                <w:b/>
                <w:bCs/>
                <w:sz w:val="24"/>
                <w:szCs w:val="24"/>
                <w:rtl/>
              </w:rPr>
              <w:t xml:space="preserve"> </w:t>
            </w:r>
            <w:bookmarkStart w:id="2" w:name="_Hlk161328679"/>
            <w:r w:rsidRPr="0083334F">
              <w:rPr>
                <w:rFonts w:eastAsia="Calibri"/>
              </w:rPr>
              <w:t>variable</w:t>
            </w:r>
          </w:p>
        </w:tc>
        <w:tc>
          <w:tcPr>
            <w:tcW w:w="879" w:type="pct"/>
            <w:tcBorders>
              <w:top w:val="single" w:sz="4" w:space="0" w:color="auto"/>
              <w:bottom w:val="single" w:sz="4" w:space="0" w:color="auto"/>
            </w:tcBorders>
          </w:tcPr>
          <w:p w:rsidR="0083334F" w:rsidRPr="0083334F" w:rsidRDefault="00743FAE" w:rsidP="0083334F">
            <w:pPr>
              <w:tabs>
                <w:tab w:val="left" w:pos="180"/>
              </w:tabs>
              <w:ind w:left="-90" w:right="-244"/>
              <w:jc w:val="both"/>
              <w:rPr>
                <w:rFonts w:eastAsia="Calibri"/>
                <w:lang w:val="en-GB"/>
              </w:rPr>
            </w:pPr>
            <w:r w:rsidRPr="0083334F">
              <w:rPr>
                <w:rFonts w:eastAsia="Calibri"/>
              </w:rPr>
              <w:t>Source of difference</w:t>
            </w:r>
          </w:p>
        </w:tc>
        <w:tc>
          <w:tcPr>
            <w:tcW w:w="703" w:type="pct"/>
            <w:tcBorders>
              <w:top w:val="single" w:sz="4" w:space="0" w:color="auto"/>
              <w:bottom w:val="single" w:sz="4" w:space="0" w:color="auto"/>
            </w:tcBorders>
          </w:tcPr>
          <w:p w:rsidR="0083334F" w:rsidRPr="0083334F" w:rsidRDefault="00743FAE" w:rsidP="0083334F">
            <w:pPr>
              <w:tabs>
                <w:tab w:val="left" w:pos="180"/>
              </w:tabs>
              <w:ind w:left="-90" w:right="-244"/>
              <w:jc w:val="both"/>
              <w:rPr>
                <w:rFonts w:eastAsia="Calibri"/>
                <w:lang w:val="en-GB"/>
              </w:rPr>
            </w:pPr>
            <w:r w:rsidRPr="0083334F">
              <w:rPr>
                <w:rFonts w:eastAsia="Calibri"/>
              </w:rPr>
              <w:t>Sum of Squares</w:t>
            </w:r>
          </w:p>
        </w:tc>
        <w:tc>
          <w:tcPr>
            <w:tcW w:w="288" w:type="pct"/>
            <w:tcBorders>
              <w:top w:val="single" w:sz="4" w:space="0" w:color="auto"/>
              <w:bottom w:val="single" w:sz="4" w:space="0" w:color="auto"/>
            </w:tcBorders>
          </w:tcPr>
          <w:p w:rsidR="0083334F" w:rsidRPr="0083334F" w:rsidRDefault="00743FAE" w:rsidP="0083334F">
            <w:pPr>
              <w:tabs>
                <w:tab w:val="left" w:pos="180"/>
              </w:tabs>
              <w:ind w:left="-90" w:right="-244"/>
              <w:jc w:val="center"/>
              <w:rPr>
                <w:rFonts w:eastAsia="Calibri"/>
                <w:lang w:val="en-GB"/>
              </w:rPr>
            </w:pPr>
            <w:r w:rsidRPr="0083334F">
              <w:rPr>
                <w:rFonts w:eastAsia="Calibri"/>
              </w:rPr>
              <w:t>df</w:t>
            </w:r>
          </w:p>
        </w:tc>
        <w:tc>
          <w:tcPr>
            <w:tcW w:w="602" w:type="pct"/>
            <w:tcBorders>
              <w:top w:val="single" w:sz="4" w:space="0" w:color="auto"/>
              <w:bottom w:val="single" w:sz="4" w:space="0" w:color="auto"/>
            </w:tcBorders>
          </w:tcPr>
          <w:p w:rsidR="0083334F" w:rsidRPr="0083334F" w:rsidRDefault="00743FAE" w:rsidP="0083334F">
            <w:pPr>
              <w:tabs>
                <w:tab w:val="left" w:pos="180"/>
              </w:tabs>
              <w:ind w:left="-90" w:right="-244"/>
              <w:jc w:val="center"/>
              <w:rPr>
                <w:rFonts w:eastAsia="Calibri"/>
                <w:lang w:val="en-GB"/>
              </w:rPr>
            </w:pPr>
            <w:r w:rsidRPr="0083334F">
              <w:rPr>
                <w:rFonts w:eastAsia="Calibri"/>
              </w:rPr>
              <w:t>Mean Square</w:t>
            </w:r>
          </w:p>
        </w:tc>
        <w:tc>
          <w:tcPr>
            <w:tcW w:w="473" w:type="pct"/>
            <w:tcBorders>
              <w:top w:val="single" w:sz="4" w:space="0" w:color="auto"/>
              <w:bottom w:val="single" w:sz="4" w:space="0" w:color="auto"/>
            </w:tcBorders>
          </w:tcPr>
          <w:p w:rsidR="0083334F" w:rsidRPr="0083334F" w:rsidRDefault="00743FAE" w:rsidP="0083334F">
            <w:pPr>
              <w:tabs>
                <w:tab w:val="left" w:pos="180"/>
              </w:tabs>
              <w:ind w:left="-90" w:right="-244"/>
              <w:jc w:val="center"/>
              <w:rPr>
                <w:rFonts w:eastAsia="Calibri"/>
                <w:lang w:val="en-GB"/>
              </w:rPr>
            </w:pPr>
            <w:r w:rsidRPr="0083334F">
              <w:rPr>
                <w:rFonts w:eastAsia="Calibri"/>
              </w:rPr>
              <w:t>F</w:t>
            </w:r>
          </w:p>
        </w:tc>
        <w:tc>
          <w:tcPr>
            <w:tcW w:w="453" w:type="pct"/>
            <w:tcBorders>
              <w:top w:val="single" w:sz="4" w:space="0" w:color="auto"/>
              <w:bottom w:val="single" w:sz="4" w:space="0" w:color="auto"/>
            </w:tcBorders>
          </w:tcPr>
          <w:p w:rsidR="0083334F" w:rsidRPr="0083334F" w:rsidRDefault="00743FAE" w:rsidP="0083334F">
            <w:pPr>
              <w:tabs>
                <w:tab w:val="left" w:pos="180"/>
              </w:tabs>
              <w:ind w:left="-90" w:right="-244"/>
              <w:jc w:val="center"/>
              <w:rPr>
                <w:rFonts w:eastAsia="Calibri"/>
                <w:rtl/>
                <w:lang w:val="en-GB"/>
              </w:rPr>
            </w:pPr>
            <w:r w:rsidRPr="0083334F">
              <w:rPr>
                <w:rFonts w:eastAsia="Calibri"/>
              </w:rPr>
              <w:t>t</w:t>
            </w:r>
          </w:p>
        </w:tc>
        <w:tc>
          <w:tcPr>
            <w:tcW w:w="372" w:type="pct"/>
            <w:tcBorders>
              <w:top w:val="single" w:sz="4" w:space="0" w:color="auto"/>
              <w:bottom w:val="single" w:sz="4" w:space="0" w:color="auto"/>
            </w:tcBorders>
          </w:tcPr>
          <w:p w:rsidR="0083334F" w:rsidRPr="0083334F" w:rsidRDefault="00743FAE" w:rsidP="0083334F">
            <w:pPr>
              <w:tabs>
                <w:tab w:val="left" w:pos="180"/>
              </w:tabs>
              <w:ind w:left="-90" w:right="-244"/>
              <w:jc w:val="center"/>
              <w:rPr>
                <w:rFonts w:eastAsia="Calibri"/>
                <w:lang w:val="en-GB"/>
              </w:rPr>
            </w:pPr>
            <w:r w:rsidRPr="0083334F">
              <w:rPr>
                <w:rFonts w:eastAsia="Calibri"/>
              </w:rPr>
              <w:t>Sig.</w:t>
            </w:r>
          </w:p>
        </w:tc>
      </w:tr>
      <w:tr w:rsidR="00A34770" w:rsidTr="00A35611">
        <w:trPr>
          <w:trHeight w:val="128"/>
        </w:trPr>
        <w:tc>
          <w:tcPr>
            <w:tcW w:w="1230" w:type="pct"/>
            <w:vMerge w:val="restart"/>
            <w:tcBorders>
              <w:top w:val="single" w:sz="4" w:space="0" w:color="auto"/>
              <w:bottom w:val="nil"/>
            </w:tcBorders>
            <w:shd w:val="clear" w:color="auto" w:fill="auto"/>
            <w:vAlign w:val="center"/>
          </w:tcPr>
          <w:p w:rsidR="00034B63" w:rsidRDefault="00743FAE" w:rsidP="00034B63">
            <w:pPr>
              <w:tabs>
                <w:tab w:val="left" w:pos="180"/>
              </w:tabs>
              <w:ind w:left="-90" w:right="-244"/>
              <w:jc w:val="both"/>
              <w:rPr>
                <w:rFonts w:eastAsia="Calibri"/>
                <w:lang w:val="en-GB"/>
              </w:rPr>
            </w:pPr>
            <w:r w:rsidRPr="00034B63">
              <w:rPr>
                <w:rFonts w:eastAsia="Calibri"/>
              </w:rPr>
              <w:t>Computational Thinking</w:t>
            </w:r>
          </w:p>
          <w:p w:rsidR="00034B63" w:rsidRDefault="00743FAE" w:rsidP="00034B63">
            <w:pPr>
              <w:tabs>
                <w:tab w:val="left" w:pos="180"/>
              </w:tabs>
              <w:ind w:left="-90" w:right="-244"/>
              <w:jc w:val="both"/>
              <w:rPr>
                <w:rFonts w:eastAsia="Calibri"/>
                <w:lang w:val="en-GB"/>
              </w:rPr>
            </w:pPr>
            <w:r w:rsidRPr="00034B63">
              <w:rPr>
                <w:rFonts w:eastAsia="Calibri"/>
              </w:rPr>
              <w:t xml:space="preserve"> Skills</w:t>
            </w:r>
          </w:p>
          <w:p w:rsidR="00034B63" w:rsidRPr="0083334F" w:rsidRDefault="00034B63" w:rsidP="00034B63">
            <w:pPr>
              <w:tabs>
                <w:tab w:val="left" w:pos="180"/>
              </w:tabs>
              <w:ind w:left="-90" w:right="-244"/>
              <w:jc w:val="both"/>
              <w:rPr>
                <w:rFonts w:eastAsia="Calibri"/>
                <w:lang w:val="en-GB"/>
              </w:rPr>
            </w:pPr>
          </w:p>
        </w:tc>
        <w:tc>
          <w:tcPr>
            <w:tcW w:w="879" w:type="pct"/>
            <w:tcBorders>
              <w:top w:val="single" w:sz="4" w:space="0" w:color="auto"/>
            </w:tcBorders>
          </w:tcPr>
          <w:p w:rsidR="00034B63" w:rsidRPr="0083334F" w:rsidRDefault="00743FAE" w:rsidP="0083334F">
            <w:pPr>
              <w:tabs>
                <w:tab w:val="left" w:pos="180"/>
              </w:tabs>
              <w:ind w:left="-90" w:right="-244"/>
              <w:jc w:val="both"/>
              <w:rPr>
                <w:rFonts w:eastAsia="Calibri"/>
                <w:lang w:val="en-GB"/>
              </w:rPr>
            </w:pPr>
            <w:r w:rsidRPr="0083334F">
              <w:rPr>
                <w:rFonts w:eastAsia="Calibri"/>
              </w:rPr>
              <w:t>Regression</w:t>
            </w:r>
          </w:p>
        </w:tc>
        <w:tc>
          <w:tcPr>
            <w:tcW w:w="703" w:type="pct"/>
            <w:tcBorders>
              <w:top w:val="single" w:sz="4" w:space="0" w:color="auto"/>
            </w:tcBorders>
          </w:tcPr>
          <w:p w:rsidR="00034B63" w:rsidRPr="00034B63" w:rsidRDefault="00743FAE" w:rsidP="0083334F">
            <w:pPr>
              <w:tabs>
                <w:tab w:val="left" w:pos="180"/>
              </w:tabs>
              <w:ind w:left="-90" w:right="-244"/>
              <w:jc w:val="both"/>
              <w:rPr>
                <w:rFonts w:eastAsia="Calibri"/>
                <w:lang w:val="en-GB"/>
              </w:rPr>
            </w:pPr>
            <w:r>
              <w:rPr>
                <w:rFonts w:eastAsia="Calibri"/>
              </w:rPr>
              <w:t>28420.70</w:t>
            </w:r>
          </w:p>
        </w:tc>
        <w:tc>
          <w:tcPr>
            <w:tcW w:w="288" w:type="pct"/>
            <w:tcBorders>
              <w:top w:val="single" w:sz="4" w:space="0" w:color="auto"/>
            </w:tcBorders>
          </w:tcPr>
          <w:p w:rsidR="00034B63" w:rsidRPr="00B10170" w:rsidRDefault="00743FAE" w:rsidP="0083334F">
            <w:pPr>
              <w:tabs>
                <w:tab w:val="left" w:pos="180"/>
              </w:tabs>
              <w:ind w:left="-90" w:right="-244"/>
              <w:jc w:val="both"/>
              <w:rPr>
                <w:rFonts w:eastAsia="Calibri"/>
                <w:lang w:val="en-GB"/>
              </w:rPr>
            </w:pPr>
            <w:r w:rsidRPr="00B10170">
              <w:rPr>
                <w:rFonts w:eastAsia="Calibri"/>
              </w:rPr>
              <w:t>1</w:t>
            </w:r>
          </w:p>
        </w:tc>
        <w:tc>
          <w:tcPr>
            <w:tcW w:w="602" w:type="pct"/>
            <w:tcBorders>
              <w:top w:val="single" w:sz="4" w:space="0" w:color="auto"/>
            </w:tcBorders>
          </w:tcPr>
          <w:p w:rsidR="00034B63" w:rsidRPr="00034B63" w:rsidRDefault="00743FAE" w:rsidP="0083334F">
            <w:pPr>
              <w:tabs>
                <w:tab w:val="left" w:pos="180"/>
              </w:tabs>
              <w:ind w:left="-90" w:right="-244"/>
              <w:jc w:val="both"/>
              <w:rPr>
                <w:rFonts w:eastAsia="Calibri"/>
                <w:lang w:val="en-GB"/>
              </w:rPr>
            </w:pPr>
            <w:r>
              <w:rPr>
                <w:rFonts w:eastAsia="Calibri"/>
              </w:rPr>
              <w:t>28420.70</w:t>
            </w:r>
          </w:p>
        </w:tc>
        <w:tc>
          <w:tcPr>
            <w:tcW w:w="473" w:type="pct"/>
            <w:tcBorders>
              <w:top w:val="single" w:sz="4" w:space="0" w:color="auto"/>
            </w:tcBorders>
          </w:tcPr>
          <w:p w:rsidR="00034B63" w:rsidRPr="00034B63" w:rsidRDefault="00743FAE" w:rsidP="00034B63">
            <w:pPr>
              <w:tabs>
                <w:tab w:val="left" w:pos="180"/>
              </w:tabs>
              <w:ind w:left="-90" w:right="-244"/>
              <w:jc w:val="center"/>
              <w:rPr>
                <w:rFonts w:eastAsia="Calibri"/>
                <w:lang w:val="en-GB"/>
              </w:rPr>
            </w:pPr>
            <w:r>
              <w:rPr>
                <w:rFonts w:eastAsia="Calibri"/>
              </w:rPr>
              <w:t>755.039</w:t>
            </w:r>
          </w:p>
        </w:tc>
        <w:tc>
          <w:tcPr>
            <w:tcW w:w="453" w:type="pct"/>
            <w:vMerge w:val="restart"/>
            <w:tcBorders>
              <w:top w:val="single" w:sz="4" w:space="0" w:color="auto"/>
            </w:tcBorders>
          </w:tcPr>
          <w:p w:rsidR="00034B63" w:rsidRPr="00034B63" w:rsidRDefault="00743FAE" w:rsidP="00034B63">
            <w:pPr>
              <w:tabs>
                <w:tab w:val="left" w:pos="180"/>
              </w:tabs>
              <w:ind w:left="-90" w:right="-244"/>
              <w:jc w:val="center"/>
              <w:rPr>
                <w:rFonts w:eastAsia="Calibri"/>
                <w:lang w:val="en-GB"/>
              </w:rPr>
            </w:pPr>
            <w:r>
              <w:rPr>
                <w:rFonts w:eastAsia="Calibri"/>
              </w:rPr>
              <w:t>27.478</w:t>
            </w:r>
          </w:p>
        </w:tc>
        <w:tc>
          <w:tcPr>
            <w:tcW w:w="372" w:type="pct"/>
            <w:vMerge w:val="restart"/>
            <w:tcBorders>
              <w:top w:val="single" w:sz="4" w:space="0" w:color="auto"/>
            </w:tcBorders>
          </w:tcPr>
          <w:p w:rsidR="00034B63" w:rsidRPr="00034B63" w:rsidRDefault="00743FAE" w:rsidP="00A35611">
            <w:pPr>
              <w:tabs>
                <w:tab w:val="left" w:pos="180"/>
              </w:tabs>
              <w:ind w:left="-90" w:right="-244"/>
              <w:jc w:val="center"/>
              <w:rPr>
                <w:rFonts w:eastAsia="Calibri"/>
                <w:lang w:val="en-GB"/>
              </w:rPr>
            </w:pPr>
            <w:r w:rsidRPr="00034B63">
              <w:rPr>
                <w:rFonts w:eastAsia="Calibri"/>
              </w:rPr>
              <w:t>0.001</w:t>
            </w:r>
          </w:p>
        </w:tc>
      </w:tr>
      <w:tr w:rsidR="00A34770" w:rsidTr="00A35611">
        <w:trPr>
          <w:trHeight w:val="68"/>
        </w:trPr>
        <w:tc>
          <w:tcPr>
            <w:tcW w:w="1230" w:type="pct"/>
            <w:vMerge/>
            <w:tcBorders>
              <w:top w:val="nil"/>
              <w:bottom w:val="nil"/>
            </w:tcBorders>
            <w:shd w:val="clear" w:color="auto" w:fill="auto"/>
            <w:vAlign w:val="center"/>
          </w:tcPr>
          <w:p w:rsidR="00034B63" w:rsidRPr="0083334F" w:rsidRDefault="00034B63" w:rsidP="0083334F">
            <w:pPr>
              <w:tabs>
                <w:tab w:val="left" w:pos="180"/>
              </w:tabs>
              <w:ind w:left="-90" w:right="-244"/>
              <w:jc w:val="both"/>
              <w:rPr>
                <w:rFonts w:eastAsia="Calibri"/>
                <w:lang w:val="en-GB"/>
              </w:rPr>
            </w:pPr>
          </w:p>
        </w:tc>
        <w:tc>
          <w:tcPr>
            <w:tcW w:w="879" w:type="pct"/>
          </w:tcPr>
          <w:p w:rsidR="00034B63" w:rsidRPr="0083334F" w:rsidRDefault="00743FAE" w:rsidP="0083334F">
            <w:pPr>
              <w:tabs>
                <w:tab w:val="left" w:pos="180"/>
              </w:tabs>
              <w:ind w:left="-90" w:right="-244"/>
              <w:jc w:val="both"/>
              <w:rPr>
                <w:rFonts w:eastAsia="Calibri"/>
                <w:lang w:val="en-GB"/>
              </w:rPr>
            </w:pPr>
            <w:r w:rsidRPr="0083334F">
              <w:rPr>
                <w:rFonts w:eastAsia="Calibri"/>
              </w:rPr>
              <w:t>Residual</w:t>
            </w:r>
          </w:p>
        </w:tc>
        <w:tc>
          <w:tcPr>
            <w:tcW w:w="703" w:type="pct"/>
          </w:tcPr>
          <w:p w:rsidR="00034B63" w:rsidRPr="00034B63" w:rsidRDefault="00743FAE" w:rsidP="0083334F">
            <w:pPr>
              <w:tabs>
                <w:tab w:val="left" w:pos="180"/>
              </w:tabs>
              <w:ind w:left="-90" w:right="-244"/>
              <w:jc w:val="both"/>
              <w:rPr>
                <w:rFonts w:eastAsia="Calibri"/>
                <w:lang w:val="en-GB"/>
              </w:rPr>
            </w:pPr>
            <w:r>
              <w:rPr>
                <w:rFonts w:eastAsia="Calibri"/>
              </w:rPr>
              <w:t>10464.296</w:t>
            </w:r>
          </w:p>
        </w:tc>
        <w:tc>
          <w:tcPr>
            <w:tcW w:w="288" w:type="pct"/>
          </w:tcPr>
          <w:p w:rsidR="00034B63" w:rsidRPr="00B10170" w:rsidRDefault="00743FAE" w:rsidP="0083334F">
            <w:pPr>
              <w:tabs>
                <w:tab w:val="left" w:pos="180"/>
              </w:tabs>
              <w:ind w:left="-90" w:right="-244"/>
              <w:jc w:val="both"/>
              <w:rPr>
                <w:rFonts w:eastAsia="Calibri"/>
                <w:lang w:val="en-GB"/>
              </w:rPr>
            </w:pPr>
            <w:r w:rsidRPr="00B10170">
              <w:rPr>
                <w:rFonts w:eastAsia="Calibri"/>
              </w:rPr>
              <w:t>278</w:t>
            </w:r>
          </w:p>
        </w:tc>
        <w:tc>
          <w:tcPr>
            <w:tcW w:w="602" w:type="pct"/>
          </w:tcPr>
          <w:p w:rsidR="00034B63" w:rsidRPr="00034B63" w:rsidRDefault="00743FAE" w:rsidP="0083334F">
            <w:pPr>
              <w:tabs>
                <w:tab w:val="left" w:pos="180"/>
              </w:tabs>
              <w:ind w:left="-90" w:right="-244"/>
              <w:jc w:val="both"/>
              <w:rPr>
                <w:rFonts w:eastAsia="Calibri"/>
                <w:lang w:val="en-GB"/>
              </w:rPr>
            </w:pPr>
            <w:r>
              <w:rPr>
                <w:rFonts w:eastAsia="Calibri"/>
              </w:rPr>
              <w:t>37.641</w:t>
            </w:r>
          </w:p>
        </w:tc>
        <w:tc>
          <w:tcPr>
            <w:tcW w:w="473" w:type="pct"/>
          </w:tcPr>
          <w:p w:rsidR="00034B63" w:rsidRPr="0083334F" w:rsidRDefault="00034B63" w:rsidP="0083334F">
            <w:pPr>
              <w:tabs>
                <w:tab w:val="left" w:pos="180"/>
              </w:tabs>
              <w:ind w:left="-90" w:right="-244"/>
              <w:jc w:val="both"/>
              <w:rPr>
                <w:rFonts w:eastAsia="Calibri"/>
                <w:strike/>
                <w:lang w:val="en-GB"/>
              </w:rPr>
            </w:pPr>
          </w:p>
        </w:tc>
        <w:tc>
          <w:tcPr>
            <w:tcW w:w="453" w:type="pct"/>
            <w:vMerge/>
          </w:tcPr>
          <w:p w:rsidR="00034B63" w:rsidRPr="0083334F" w:rsidRDefault="00034B63" w:rsidP="0083334F">
            <w:pPr>
              <w:tabs>
                <w:tab w:val="left" w:pos="180"/>
              </w:tabs>
              <w:ind w:left="-90" w:right="-244"/>
              <w:jc w:val="both"/>
              <w:rPr>
                <w:rFonts w:eastAsia="Calibri"/>
                <w:strike/>
                <w:lang w:val="en-GB"/>
              </w:rPr>
            </w:pPr>
          </w:p>
        </w:tc>
        <w:tc>
          <w:tcPr>
            <w:tcW w:w="372" w:type="pct"/>
            <w:vMerge/>
          </w:tcPr>
          <w:p w:rsidR="00034B63" w:rsidRPr="0083334F" w:rsidRDefault="00034B63" w:rsidP="0083334F">
            <w:pPr>
              <w:tabs>
                <w:tab w:val="left" w:pos="180"/>
              </w:tabs>
              <w:ind w:left="-90" w:right="-244"/>
              <w:jc w:val="both"/>
              <w:rPr>
                <w:rFonts w:eastAsia="Calibri"/>
                <w:strike/>
                <w:lang w:val="en-GB"/>
              </w:rPr>
            </w:pPr>
          </w:p>
        </w:tc>
      </w:tr>
      <w:tr w:rsidR="00A34770" w:rsidTr="00A35611">
        <w:trPr>
          <w:trHeight w:val="126"/>
        </w:trPr>
        <w:tc>
          <w:tcPr>
            <w:tcW w:w="1230" w:type="pct"/>
            <w:vMerge/>
            <w:tcBorders>
              <w:top w:val="nil"/>
              <w:bottom w:val="nil"/>
            </w:tcBorders>
            <w:shd w:val="clear" w:color="auto" w:fill="auto"/>
            <w:vAlign w:val="center"/>
          </w:tcPr>
          <w:p w:rsidR="00034B63" w:rsidRPr="0083334F" w:rsidRDefault="00034B63" w:rsidP="0083334F">
            <w:pPr>
              <w:tabs>
                <w:tab w:val="left" w:pos="180"/>
              </w:tabs>
              <w:ind w:left="-90" w:right="-244"/>
              <w:jc w:val="both"/>
              <w:rPr>
                <w:rFonts w:eastAsia="Calibri"/>
                <w:lang w:val="en-GB"/>
              </w:rPr>
            </w:pPr>
          </w:p>
        </w:tc>
        <w:tc>
          <w:tcPr>
            <w:tcW w:w="879" w:type="pct"/>
            <w:tcBorders>
              <w:bottom w:val="single" w:sz="4" w:space="0" w:color="auto"/>
            </w:tcBorders>
          </w:tcPr>
          <w:p w:rsidR="00034B63" w:rsidRPr="0083334F" w:rsidRDefault="00743FAE" w:rsidP="0083334F">
            <w:pPr>
              <w:tabs>
                <w:tab w:val="left" w:pos="180"/>
              </w:tabs>
              <w:ind w:left="-90" w:right="-244"/>
              <w:jc w:val="both"/>
              <w:rPr>
                <w:rFonts w:eastAsia="Calibri"/>
                <w:lang w:val="en-GB"/>
              </w:rPr>
            </w:pPr>
            <w:r w:rsidRPr="0083334F">
              <w:rPr>
                <w:rFonts w:eastAsia="Calibri"/>
              </w:rPr>
              <w:t>Total</w:t>
            </w:r>
          </w:p>
        </w:tc>
        <w:tc>
          <w:tcPr>
            <w:tcW w:w="703" w:type="pct"/>
            <w:tcBorders>
              <w:bottom w:val="single" w:sz="4" w:space="0" w:color="auto"/>
            </w:tcBorders>
          </w:tcPr>
          <w:p w:rsidR="00034B63" w:rsidRPr="00034B63" w:rsidRDefault="00A35611" w:rsidP="0083334F">
            <w:pPr>
              <w:tabs>
                <w:tab w:val="left" w:pos="180"/>
              </w:tabs>
              <w:ind w:left="-90" w:right="-244"/>
              <w:jc w:val="both"/>
              <w:rPr>
                <w:rFonts w:eastAsia="Calibri"/>
                <w:lang w:val="en-GB"/>
              </w:rPr>
            </w:pPr>
            <w:r>
              <w:rPr>
                <w:rFonts w:eastAsia="Calibri"/>
              </w:rPr>
              <w:t>38884.996</w:t>
            </w:r>
          </w:p>
        </w:tc>
        <w:tc>
          <w:tcPr>
            <w:tcW w:w="288" w:type="pct"/>
            <w:tcBorders>
              <w:bottom w:val="single" w:sz="4" w:space="0" w:color="auto"/>
            </w:tcBorders>
          </w:tcPr>
          <w:p w:rsidR="00034B63" w:rsidRPr="00B10170" w:rsidRDefault="00743FAE" w:rsidP="0083334F">
            <w:pPr>
              <w:tabs>
                <w:tab w:val="left" w:pos="180"/>
              </w:tabs>
              <w:ind w:left="-90" w:right="-244"/>
              <w:jc w:val="both"/>
              <w:rPr>
                <w:rFonts w:eastAsia="Calibri"/>
                <w:lang w:val="en-GB"/>
              </w:rPr>
            </w:pPr>
            <w:r w:rsidRPr="00B10170">
              <w:rPr>
                <w:rFonts w:eastAsia="Calibri"/>
              </w:rPr>
              <w:t>279</w:t>
            </w:r>
          </w:p>
        </w:tc>
        <w:tc>
          <w:tcPr>
            <w:tcW w:w="602" w:type="pct"/>
            <w:tcBorders>
              <w:bottom w:val="single" w:sz="4" w:space="0" w:color="auto"/>
            </w:tcBorders>
          </w:tcPr>
          <w:p w:rsidR="00034B63" w:rsidRPr="0083334F" w:rsidRDefault="00034B63" w:rsidP="0083334F">
            <w:pPr>
              <w:tabs>
                <w:tab w:val="left" w:pos="180"/>
              </w:tabs>
              <w:ind w:left="-90" w:right="-244"/>
              <w:jc w:val="both"/>
              <w:rPr>
                <w:rFonts w:eastAsia="Calibri"/>
                <w:strike/>
                <w:lang w:val="en-GB"/>
              </w:rPr>
            </w:pPr>
          </w:p>
        </w:tc>
        <w:tc>
          <w:tcPr>
            <w:tcW w:w="473" w:type="pct"/>
            <w:tcBorders>
              <w:bottom w:val="single" w:sz="4" w:space="0" w:color="auto"/>
            </w:tcBorders>
          </w:tcPr>
          <w:p w:rsidR="00034B63" w:rsidRPr="0083334F" w:rsidRDefault="00034B63" w:rsidP="0083334F">
            <w:pPr>
              <w:tabs>
                <w:tab w:val="left" w:pos="180"/>
              </w:tabs>
              <w:ind w:left="-90" w:right="-244"/>
              <w:jc w:val="both"/>
              <w:rPr>
                <w:rFonts w:eastAsia="Calibri"/>
                <w:strike/>
                <w:lang w:val="en-GB"/>
              </w:rPr>
            </w:pPr>
          </w:p>
        </w:tc>
        <w:tc>
          <w:tcPr>
            <w:tcW w:w="453" w:type="pct"/>
            <w:vMerge/>
            <w:tcBorders>
              <w:bottom w:val="single" w:sz="4" w:space="0" w:color="auto"/>
            </w:tcBorders>
          </w:tcPr>
          <w:p w:rsidR="00034B63" w:rsidRPr="0083334F" w:rsidRDefault="00034B63" w:rsidP="0083334F">
            <w:pPr>
              <w:tabs>
                <w:tab w:val="left" w:pos="180"/>
              </w:tabs>
              <w:ind w:left="-90" w:right="-244"/>
              <w:jc w:val="both"/>
              <w:rPr>
                <w:rFonts w:eastAsia="Calibri"/>
                <w:strike/>
                <w:lang w:val="en-GB"/>
              </w:rPr>
            </w:pPr>
          </w:p>
        </w:tc>
        <w:tc>
          <w:tcPr>
            <w:tcW w:w="372" w:type="pct"/>
            <w:vMerge/>
            <w:tcBorders>
              <w:bottom w:val="single" w:sz="4" w:space="0" w:color="auto"/>
            </w:tcBorders>
          </w:tcPr>
          <w:p w:rsidR="00034B63" w:rsidRPr="0083334F" w:rsidRDefault="00034B63" w:rsidP="0083334F">
            <w:pPr>
              <w:tabs>
                <w:tab w:val="left" w:pos="180"/>
              </w:tabs>
              <w:ind w:left="-90" w:right="-244"/>
              <w:jc w:val="both"/>
              <w:rPr>
                <w:rFonts w:eastAsia="Calibri"/>
                <w:strike/>
                <w:lang w:val="en-GB"/>
              </w:rPr>
            </w:pPr>
          </w:p>
        </w:tc>
      </w:tr>
      <w:tr w:rsidR="00A34770" w:rsidTr="00A35611">
        <w:trPr>
          <w:trHeight w:val="128"/>
        </w:trPr>
        <w:tc>
          <w:tcPr>
            <w:tcW w:w="1230" w:type="pct"/>
            <w:vMerge w:val="restart"/>
            <w:tcBorders>
              <w:top w:val="nil"/>
              <w:bottom w:val="nil"/>
            </w:tcBorders>
            <w:shd w:val="clear" w:color="auto" w:fill="auto"/>
            <w:vAlign w:val="center"/>
          </w:tcPr>
          <w:p w:rsidR="00B2481E" w:rsidRDefault="00743FAE" w:rsidP="00B2481E">
            <w:pPr>
              <w:tabs>
                <w:tab w:val="left" w:pos="180"/>
              </w:tabs>
              <w:ind w:left="-90" w:right="-244"/>
              <w:jc w:val="both"/>
              <w:rPr>
                <w:rFonts w:eastAsia="Calibri"/>
                <w:lang w:val="en-GB"/>
              </w:rPr>
            </w:pPr>
            <w:r w:rsidRPr="00034B63">
              <w:rPr>
                <w:rFonts w:eastAsia="Calibri"/>
              </w:rPr>
              <w:t>Computational</w:t>
            </w:r>
          </w:p>
          <w:p w:rsidR="00034B63" w:rsidRDefault="00743FAE" w:rsidP="00B2481E">
            <w:pPr>
              <w:tabs>
                <w:tab w:val="left" w:pos="180"/>
              </w:tabs>
              <w:ind w:left="-90" w:right="-244"/>
              <w:jc w:val="both"/>
              <w:rPr>
                <w:rFonts w:eastAsia="Calibri"/>
                <w:lang w:val="en-GB"/>
              </w:rPr>
            </w:pPr>
            <w:r w:rsidRPr="00034B63">
              <w:rPr>
                <w:rFonts w:eastAsia="Calibri"/>
              </w:rPr>
              <w:t xml:space="preserve"> Self-Efficacy</w:t>
            </w:r>
          </w:p>
          <w:p w:rsidR="00B2481E" w:rsidRPr="0083334F" w:rsidRDefault="00B2481E" w:rsidP="00B2481E">
            <w:pPr>
              <w:tabs>
                <w:tab w:val="left" w:pos="180"/>
              </w:tabs>
              <w:ind w:left="-90" w:right="-244"/>
              <w:jc w:val="both"/>
              <w:rPr>
                <w:rFonts w:eastAsia="Calibri"/>
                <w:lang w:val="en-GB"/>
              </w:rPr>
            </w:pPr>
          </w:p>
        </w:tc>
        <w:tc>
          <w:tcPr>
            <w:tcW w:w="879" w:type="pct"/>
            <w:tcBorders>
              <w:top w:val="single" w:sz="4" w:space="0" w:color="auto"/>
            </w:tcBorders>
          </w:tcPr>
          <w:p w:rsidR="00034B63" w:rsidRPr="0038214B" w:rsidRDefault="00743FAE" w:rsidP="0083334F">
            <w:pPr>
              <w:tabs>
                <w:tab w:val="left" w:pos="180"/>
              </w:tabs>
              <w:ind w:left="-90" w:right="-244"/>
              <w:jc w:val="both"/>
              <w:rPr>
                <w:rFonts w:eastAsia="Calibri"/>
                <w:lang w:val="en-GB"/>
              </w:rPr>
            </w:pPr>
            <w:r w:rsidRPr="0038214B">
              <w:rPr>
                <w:rFonts w:eastAsia="Calibri"/>
              </w:rPr>
              <w:t>Regression</w:t>
            </w:r>
          </w:p>
        </w:tc>
        <w:tc>
          <w:tcPr>
            <w:tcW w:w="703" w:type="pct"/>
            <w:tcBorders>
              <w:top w:val="single" w:sz="4" w:space="0" w:color="auto"/>
            </w:tcBorders>
          </w:tcPr>
          <w:p w:rsidR="00034B63" w:rsidRPr="0038214B" w:rsidRDefault="00743FAE" w:rsidP="0083334F">
            <w:pPr>
              <w:tabs>
                <w:tab w:val="left" w:pos="180"/>
              </w:tabs>
              <w:ind w:left="-90" w:right="-244"/>
              <w:jc w:val="both"/>
              <w:rPr>
                <w:rFonts w:eastAsia="Calibri"/>
                <w:lang w:val="en-GB"/>
              </w:rPr>
            </w:pPr>
            <w:r>
              <w:rPr>
                <w:rFonts w:eastAsia="Calibri"/>
              </w:rPr>
              <w:t>35770.343</w:t>
            </w:r>
          </w:p>
        </w:tc>
        <w:tc>
          <w:tcPr>
            <w:tcW w:w="288" w:type="pct"/>
            <w:tcBorders>
              <w:top w:val="single" w:sz="4" w:space="0" w:color="auto"/>
            </w:tcBorders>
          </w:tcPr>
          <w:p w:rsidR="00034B63" w:rsidRPr="00B10170" w:rsidRDefault="00743FAE" w:rsidP="0083334F">
            <w:pPr>
              <w:tabs>
                <w:tab w:val="left" w:pos="180"/>
              </w:tabs>
              <w:ind w:left="-90" w:right="-244"/>
              <w:jc w:val="both"/>
              <w:rPr>
                <w:rFonts w:eastAsia="Calibri"/>
                <w:lang w:val="en-GB"/>
              </w:rPr>
            </w:pPr>
            <w:r w:rsidRPr="00B10170">
              <w:rPr>
                <w:rFonts w:eastAsia="Calibri"/>
              </w:rPr>
              <w:t>1</w:t>
            </w:r>
          </w:p>
        </w:tc>
        <w:tc>
          <w:tcPr>
            <w:tcW w:w="602" w:type="pct"/>
            <w:tcBorders>
              <w:top w:val="single" w:sz="4" w:space="0" w:color="auto"/>
            </w:tcBorders>
          </w:tcPr>
          <w:p w:rsidR="00034B63" w:rsidRPr="0038214B" w:rsidRDefault="00743FAE" w:rsidP="0083334F">
            <w:pPr>
              <w:tabs>
                <w:tab w:val="left" w:pos="180"/>
              </w:tabs>
              <w:ind w:left="-90" w:right="-244"/>
              <w:jc w:val="both"/>
              <w:rPr>
                <w:rFonts w:eastAsia="Calibri"/>
                <w:lang w:val="en-GB"/>
              </w:rPr>
            </w:pPr>
            <w:r>
              <w:rPr>
                <w:rFonts w:eastAsia="Calibri"/>
              </w:rPr>
              <w:t>35770.343</w:t>
            </w:r>
          </w:p>
        </w:tc>
        <w:tc>
          <w:tcPr>
            <w:tcW w:w="473" w:type="pct"/>
            <w:tcBorders>
              <w:top w:val="single" w:sz="4" w:space="0" w:color="auto"/>
            </w:tcBorders>
          </w:tcPr>
          <w:p w:rsidR="00034B63" w:rsidRPr="0038214B" w:rsidRDefault="00743FAE" w:rsidP="0038214B">
            <w:pPr>
              <w:tabs>
                <w:tab w:val="left" w:pos="180"/>
              </w:tabs>
              <w:ind w:left="-90" w:right="-244"/>
              <w:jc w:val="center"/>
              <w:rPr>
                <w:rFonts w:eastAsia="Calibri"/>
                <w:lang w:val="en-GB"/>
              </w:rPr>
            </w:pPr>
            <w:r>
              <w:rPr>
                <w:rFonts w:eastAsia="Calibri"/>
              </w:rPr>
              <w:t>3192.7</w:t>
            </w:r>
          </w:p>
        </w:tc>
        <w:tc>
          <w:tcPr>
            <w:tcW w:w="453" w:type="pct"/>
            <w:vMerge w:val="restart"/>
            <w:tcBorders>
              <w:top w:val="single" w:sz="4" w:space="0" w:color="auto"/>
            </w:tcBorders>
          </w:tcPr>
          <w:p w:rsidR="00034B63" w:rsidRPr="0038214B" w:rsidRDefault="00743FAE" w:rsidP="0038214B">
            <w:pPr>
              <w:tabs>
                <w:tab w:val="left" w:pos="180"/>
              </w:tabs>
              <w:ind w:left="-90" w:right="-244"/>
              <w:jc w:val="center"/>
              <w:rPr>
                <w:rFonts w:eastAsia="Calibri"/>
                <w:rtl/>
                <w:lang w:val="en-GB" w:bidi="ar-EG"/>
              </w:rPr>
            </w:pPr>
            <w:r>
              <w:rPr>
                <w:rFonts w:eastAsia="Calibri"/>
              </w:rPr>
              <w:t>56.504</w:t>
            </w:r>
          </w:p>
        </w:tc>
        <w:tc>
          <w:tcPr>
            <w:tcW w:w="372" w:type="pct"/>
            <w:vMerge w:val="restart"/>
            <w:tcBorders>
              <w:top w:val="single" w:sz="4" w:space="0" w:color="auto"/>
            </w:tcBorders>
          </w:tcPr>
          <w:p w:rsidR="00034B63" w:rsidRPr="0038214B" w:rsidRDefault="00743FAE" w:rsidP="00144D40">
            <w:pPr>
              <w:tabs>
                <w:tab w:val="left" w:pos="180"/>
              </w:tabs>
              <w:ind w:left="-90" w:right="-244"/>
              <w:jc w:val="center"/>
              <w:rPr>
                <w:rFonts w:eastAsia="Calibri"/>
                <w:lang w:val="en-GB"/>
              </w:rPr>
            </w:pPr>
            <w:r w:rsidRPr="0038214B">
              <w:rPr>
                <w:rFonts w:eastAsia="Calibri"/>
              </w:rPr>
              <w:t>0.001</w:t>
            </w:r>
          </w:p>
        </w:tc>
      </w:tr>
      <w:tr w:rsidR="00A34770" w:rsidTr="00A35611">
        <w:trPr>
          <w:trHeight w:val="126"/>
        </w:trPr>
        <w:tc>
          <w:tcPr>
            <w:tcW w:w="1230" w:type="pct"/>
            <w:vMerge/>
            <w:shd w:val="clear" w:color="auto" w:fill="auto"/>
            <w:vAlign w:val="center"/>
          </w:tcPr>
          <w:p w:rsidR="00034B63" w:rsidRPr="0083334F" w:rsidRDefault="00034B63" w:rsidP="0083334F">
            <w:pPr>
              <w:tabs>
                <w:tab w:val="left" w:pos="180"/>
              </w:tabs>
              <w:ind w:left="-90" w:right="-244"/>
              <w:jc w:val="both"/>
              <w:rPr>
                <w:rFonts w:eastAsia="Calibri"/>
                <w:lang w:val="en-GB"/>
              </w:rPr>
            </w:pPr>
          </w:p>
        </w:tc>
        <w:tc>
          <w:tcPr>
            <w:tcW w:w="879" w:type="pct"/>
          </w:tcPr>
          <w:p w:rsidR="00034B63" w:rsidRPr="0038214B" w:rsidRDefault="00743FAE" w:rsidP="0083334F">
            <w:pPr>
              <w:tabs>
                <w:tab w:val="left" w:pos="180"/>
              </w:tabs>
              <w:ind w:left="-90" w:right="-244"/>
              <w:jc w:val="both"/>
              <w:rPr>
                <w:rFonts w:eastAsia="Calibri"/>
                <w:lang w:val="en-GB"/>
              </w:rPr>
            </w:pPr>
            <w:r w:rsidRPr="0038214B">
              <w:rPr>
                <w:rFonts w:eastAsia="Calibri"/>
              </w:rPr>
              <w:t>Residual</w:t>
            </w:r>
          </w:p>
        </w:tc>
        <w:tc>
          <w:tcPr>
            <w:tcW w:w="703" w:type="pct"/>
          </w:tcPr>
          <w:p w:rsidR="00034B63" w:rsidRPr="0038214B" w:rsidRDefault="00743FAE" w:rsidP="0083334F">
            <w:pPr>
              <w:tabs>
                <w:tab w:val="left" w:pos="180"/>
              </w:tabs>
              <w:ind w:left="-90" w:right="-244"/>
              <w:jc w:val="both"/>
              <w:rPr>
                <w:rFonts w:eastAsia="Calibri"/>
                <w:lang w:val="en-GB"/>
              </w:rPr>
            </w:pPr>
            <w:r>
              <w:rPr>
                <w:rFonts w:eastAsia="Calibri"/>
              </w:rPr>
              <w:t>3114.653</w:t>
            </w:r>
          </w:p>
        </w:tc>
        <w:tc>
          <w:tcPr>
            <w:tcW w:w="288" w:type="pct"/>
          </w:tcPr>
          <w:p w:rsidR="00034B63" w:rsidRPr="00B10170" w:rsidRDefault="00743FAE" w:rsidP="0083334F">
            <w:pPr>
              <w:tabs>
                <w:tab w:val="left" w:pos="180"/>
              </w:tabs>
              <w:ind w:left="-90" w:right="-244"/>
              <w:jc w:val="both"/>
              <w:rPr>
                <w:rFonts w:eastAsia="Calibri"/>
                <w:lang w:val="en-GB"/>
              </w:rPr>
            </w:pPr>
            <w:r w:rsidRPr="00B10170">
              <w:rPr>
                <w:rFonts w:eastAsia="Calibri"/>
              </w:rPr>
              <w:t>278</w:t>
            </w:r>
          </w:p>
        </w:tc>
        <w:tc>
          <w:tcPr>
            <w:tcW w:w="602" w:type="pct"/>
          </w:tcPr>
          <w:p w:rsidR="00034B63" w:rsidRPr="0038214B" w:rsidRDefault="00743FAE" w:rsidP="0083334F">
            <w:pPr>
              <w:tabs>
                <w:tab w:val="left" w:pos="180"/>
              </w:tabs>
              <w:ind w:left="-90" w:right="-244"/>
              <w:jc w:val="both"/>
              <w:rPr>
                <w:rFonts w:eastAsia="Calibri"/>
                <w:lang w:val="en-GB"/>
              </w:rPr>
            </w:pPr>
            <w:r>
              <w:rPr>
                <w:rFonts w:eastAsia="Calibri"/>
              </w:rPr>
              <w:t>11.204</w:t>
            </w:r>
          </w:p>
        </w:tc>
        <w:tc>
          <w:tcPr>
            <w:tcW w:w="473" w:type="pct"/>
          </w:tcPr>
          <w:p w:rsidR="00034B63" w:rsidRPr="0038214B" w:rsidRDefault="00034B63" w:rsidP="0083334F">
            <w:pPr>
              <w:tabs>
                <w:tab w:val="left" w:pos="180"/>
              </w:tabs>
              <w:ind w:left="-90" w:right="-244"/>
              <w:jc w:val="both"/>
              <w:rPr>
                <w:rFonts w:eastAsia="Calibri"/>
                <w:lang w:val="en-GB"/>
              </w:rPr>
            </w:pPr>
          </w:p>
        </w:tc>
        <w:tc>
          <w:tcPr>
            <w:tcW w:w="453" w:type="pct"/>
            <w:vMerge/>
          </w:tcPr>
          <w:p w:rsidR="00034B63" w:rsidRPr="0083334F" w:rsidRDefault="00034B63" w:rsidP="0083334F">
            <w:pPr>
              <w:tabs>
                <w:tab w:val="left" w:pos="180"/>
              </w:tabs>
              <w:ind w:left="-90" w:right="-244"/>
              <w:jc w:val="both"/>
              <w:rPr>
                <w:rFonts w:eastAsia="Calibri"/>
                <w:lang w:val="en-GB"/>
              </w:rPr>
            </w:pPr>
          </w:p>
        </w:tc>
        <w:tc>
          <w:tcPr>
            <w:tcW w:w="372" w:type="pct"/>
            <w:vMerge/>
          </w:tcPr>
          <w:p w:rsidR="00034B63" w:rsidRPr="0083334F" w:rsidRDefault="00034B63" w:rsidP="0083334F">
            <w:pPr>
              <w:tabs>
                <w:tab w:val="left" w:pos="180"/>
              </w:tabs>
              <w:ind w:left="-90" w:right="-244"/>
              <w:jc w:val="both"/>
              <w:rPr>
                <w:rFonts w:eastAsia="Calibri"/>
                <w:lang w:val="en-GB"/>
              </w:rPr>
            </w:pPr>
          </w:p>
        </w:tc>
      </w:tr>
      <w:tr w:rsidR="00A34770" w:rsidTr="00A35611">
        <w:trPr>
          <w:trHeight w:val="126"/>
        </w:trPr>
        <w:tc>
          <w:tcPr>
            <w:tcW w:w="1230" w:type="pct"/>
            <w:vMerge/>
            <w:tcBorders>
              <w:bottom w:val="single" w:sz="4" w:space="0" w:color="auto"/>
            </w:tcBorders>
            <w:shd w:val="clear" w:color="auto" w:fill="auto"/>
            <w:vAlign w:val="center"/>
          </w:tcPr>
          <w:p w:rsidR="00034B63" w:rsidRPr="0083334F" w:rsidRDefault="00034B63" w:rsidP="0083334F">
            <w:pPr>
              <w:tabs>
                <w:tab w:val="left" w:pos="180"/>
              </w:tabs>
              <w:ind w:left="-90" w:right="-244"/>
              <w:jc w:val="both"/>
              <w:rPr>
                <w:rFonts w:eastAsia="Calibri"/>
                <w:lang w:val="en-GB"/>
              </w:rPr>
            </w:pPr>
          </w:p>
        </w:tc>
        <w:tc>
          <w:tcPr>
            <w:tcW w:w="879" w:type="pct"/>
            <w:tcBorders>
              <w:bottom w:val="single" w:sz="4" w:space="0" w:color="auto"/>
            </w:tcBorders>
          </w:tcPr>
          <w:p w:rsidR="00034B63" w:rsidRPr="0038214B" w:rsidRDefault="00743FAE" w:rsidP="0083334F">
            <w:pPr>
              <w:tabs>
                <w:tab w:val="left" w:pos="180"/>
              </w:tabs>
              <w:ind w:left="-90" w:right="-244"/>
              <w:jc w:val="both"/>
              <w:rPr>
                <w:rFonts w:eastAsia="Calibri"/>
                <w:lang w:val="en-GB"/>
              </w:rPr>
            </w:pPr>
            <w:r w:rsidRPr="0038214B">
              <w:rPr>
                <w:rFonts w:eastAsia="Calibri"/>
              </w:rPr>
              <w:t>Total</w:t>
            </w:r>
          </w:p>
        </w:tc>
        <w:tc>
          <w:tcPr>
            <w:tcW w:w="703" w:type="pct"/>
            <w:tcBorders>
              <w:bottom w:val="single" w:sz="4" w:space="0" w:color="auto"/>
            </w:tcBorders>
          </w:tcPr>
          <w:p w:rsidR="00034B63" w:rsidRPr="0038214B" w:rsidRDefault="00144D40" w:rsidP="00144D40">
            <w:pPr>
              <w:tabs>
                <w:tab w:val="left" w:pos="180"/>
              </w:tabs>
              <w:ind w:left="-90" w:right="-244"/>
              <w:jc w:val="both"/>
              <w:rPr>
                <w:rFonts w:eastAsia="Calibri"/>
                <w:lang w:val="en-GB"/>
              </w:rPr>
            </w:pPr>
            <w:r>
              <w:rPr>
                <w:rFonts w:eastAsia="Calibri"/>
              </w:rPr>
              <w:t>38884.996</w:t>
            </w:r>
          </w:p>
        </w:tc>
        <w:tc>
          <w:tcPr>
            <w:tcW w:w="288" w:type="pct"/>
            <w:tcBorders>
              <w:bottom w:val="single" w:sz="4" w:space="0" w:color="auto"/>
            </w:tcBorders>
          </w:tcPr>
          <w:p w:rsidR="00034B63" w:rsidRPr="00B10170" w:rsidRDefault="00743FAE" w:rsidP="0083334F">
            <w:pPr>
              <w:tabs>
                <w:tab w:val="left" w:pos="180"/>
              </w:tabs>
              <w:ind w:left="-90" w:right="-244"/>
              <w:jc w:val="both"/>
              <w:rPr>
                <w:rFonts w:eastAsia="Calibri"/>
                <w:lang w:val="en-GB"/>
              </w:rPr>
            </w:pPr>
            <w:r w:rsidRPr="00B10170">
              <w:rPr>
                <w:rFonts w:eastAsia="Calibri"/>
              </w:rPr>
              <w:t>279</w:t>
            </w:r>
          </w:p>
        </w:tc>
        <w:tc>
          <w:tcPr>
            <w:tcW w:w="602" w:type="pct"/>
            <w:tcBorders>
              <w:bottom w:val="single" w:sz="4" w:space="0" w:color="auto"/>
            </w:tcBorders>
          </w:tcPr>
          <w:p w:rsidR="00034B63" w:rsidRPr="0038214B" w:rsidRDefault="00034B63" w:rsidP="0083334F">
            <w:pPr>
              <w:tabs>
                <w:tab w:val="left" w:pos="180"/>
              </w:tabs>
              <w:ind w:left="-90" w:right="-244"/>
              <w:jc w:val="both"/>
              <w:rPr>
                <w:rFonts w:eastAsia="Calibri"/>
                <w:lang w:val="en-GB"/>
              </w:rPr>
            </w:pPr>
          </w:p>
        </w:tc>
        <w:tc>
          <w:tcPr>
            <w:tcW w:w="473" w:type="pct"/>
            <w:tcBorders>
              <w:bottom w:val="single" w:sz="4" w:space="0" w:color="auto"/>
            </w:tcBorders>
          </w:tcPr>
          <w:p w:rsidR="00034B63" w:rsidRPr="0038214B" w:rsidRDefault="00034B63" w:rsidP="0083334F">
            <w:pPr>
              <w:tabs>
                <w:tab w:val="left" w:pos="180"/>
              </w:tabs>
              <w:ind w:left="-90" w:right="-244"/>
              <w:jc w:val="both"/>
              <w:rPr>
                <w:rFonts w:eastAsia="Calibri"/>
                <w:lang w:val="en-GB"/>
              </w:rPr>
            </w:pPr>
          </w:p>
        </w:tc>
        <w:tc>
          <w:tcPr>
            <w:tcW w:w="453" w:type="pct"/>
            <w:vMerge/>
            <w:tcBorders>
              <w:bottom w:val="single" w:sz="4" w:space="0" w:color="auto"/>
            </w:tcBorders>
          </w:tcPr>
          <w:p w:rsidR="00034B63" w:rsidRPr="0083334F" w:rsidRDefault="00034B63" w:rsidP="0083334F">
            <w:pPr>
              <w:tabs>
                <w:tab w:val="left" w:pos="180"/>
              </w:tabs>
              <w:ind w:left="-90" w:right="-244"/>
              <w:jc w:val="both"/>
              <w:rPr>
                <w:rFonts w:eastAsia="Calibri"/>
                <w:lang w:val="en-GB"/>
              </w:rPr>
            </w:pPr>
          </w:p>
        </w:tc>
        <w:tc>
          <w:tcPr>
            <w:tcW w:w="372" w:type="pct"/>
            <w:vMerge/>
            <w:tcBorders>
              <w:bottom w:val="single" w:sz="4" w:space="0" w:color="auto"/>
            </w:tcBorders>
          </w:tcPr>
          <w:p w:rsidR="00034B63" w:rsidRPr="0083334F" w:rsidRDefault="00034B63" w:rsidP="0083334F">
            <w:pPr>
              <w:tabs>
                <w:tab w:val="left" w:pos="180"/>
              </w:tabs>
              <w:ind w:left="-90" w:right="-244"/>
              <w:jc w:val="both"/>
              <w:rPr>
                <w:rFonts w:eastAsia="Calibri"/>
                <w:lang w:val="en-GB"/>
              </w:rPr>
            </w:pPr>
          </w:p>
        </w:tc>
      </w:tr>
      <w:bookmarkEnd w:id="2"/>
    </w:tbl>
    <w:p w:rsidR="00346AB8" w:rsidRDefault="00346AB8" w:rsidP="00346AB8">
      <w:pPr>
        <w:tabs>
          <w:tab w:val="left" w:pos="180"/>
        </w:tabs>
        <w:bidi/>
        <w:spacing w:after="0" w:line="240" w:lineRule="auto"/>
        <w:ind w:left="-90" w:right="-244"/>
        <w:jc w:val="both"/>
        <w:rPr>
          <w:rFonts w:ascii="Traditional Arabic" w:eastAsia="Times New Roman" w:hAnsi="Traditional Arabic" w:cs="Traditional Arabic"/>
          <w:b/>
          <w:bCs/>
          <w:sz w:val="24"/>
          <w:szCs w:val="24"/>
          <w:rtl/>
        </w:rPr>
      </w:pPr>
    </w:p>
    <w:p w:rsidR="00142035" w:rsidRDefault="00743FAE" w:rsidP="00142035">
      <w:pPr>
        <w:tabs>
          <w:tab w:val="left" w:pos="180"/>
        </w:tabs>
        <w:spacing w:after="0" w:line="240" w:lineRule="auto"/>
        <w:ind w:left="-90" w:right="-244"/>
        <w:jc w:val="both"/>
        <w:rPr>
          <w:rFonts w:ascii="Traditional Arabic" w:eastAsia="Times New Roman" w:hAnsi="Traditional Arabic" w:cs="Traditional Arabic"/>
          <w:b/>
          <w:bCs/>
          <w:sz w:val="24"/>
          <w:szCs w:val="24"/>
          <w:rtl/>
        </w:rPr>
      </w:pPr>
      <w:r w:rsidRPr="00142035">
        <w:rPr>
          <w:rFonts w:ascii="Traditional Arabic" w:eastAsia="Times New Roman" w:hAnsi="Traditional Arabic" w:cs="Traditional Arabic"/>
          <w:sz w:val="24"/>
          <w:szCs w:val="24"/>
        </w:rPr>
        <w:t xml:space="preserve">Table 7 shows a regression relationship between computational thinking skills as an independent variable and academic well-being as a dependent variable, with the value of “F” reaching 755.039, which is significant at the 0.001 level. Table 7 also shows a regression relationship between computational self-efficacy as an independent variable and academic well-being as a dependent </w:t>
      </w:r>
      <w:r w:rsidRPr="00142035">
        <w:rPr>
          <w:rFonts w:ascii="Traditional Arabic" w:eastAsia="Times New Roman" w:hAnsi="Traditional Arabic" w:cs="Traditional Arabic"/>
          <w:sz w:val="24"/>
          <w:szCs w:val="24"/>
        </w:rPr>
        <w:lastRenderedPageBreak/>
        <w:t>variable, with the value of “F” reaching 3192.7, which is significant at the 0.001 level</w:t>
      </w:r>
      <w:r w:rsidRPr="00142035">
        <w:rPr>
          <w:rFonts w:ascii="Traditional Arabic" w:eastAsia="Times New Roman" w:hAnsi="Traditional Arabic" w:cs="Traditional Arabic"/>
          <w:b/>
          <w:bCs/>
          <w:sz w:val="24"/>
          <w:szCs w:val="24"/>
          <w:rtl/>
        </w:rPr>
        <w:t>.</w:t>
      </w:r>
      <w:r w:rsidRPr="00142035">
        <w:rPr>
          <w:rFonts w:ascii="Traditional Arabic" w:eastAsia="Times New Roman" w:hAnsi="Traditional Arabic" w:cs="Traditional Arabic"/>
          <w:sz w:val="24"/>
          <w:szCs w:val="24"/>
        </w:rPr>
        <w:t xml:space="preserve"> Table 7 shows that the regression coefficients are significant at the (0.001) level. The T value (27.478, 56.504) is also significant at the (0.001) level.</w:t>
      </w:r>
    </w:p>
    <w:p w:rsidR="00142035" w:rsidRPr="00346AB8" w:rsidRDefault="00142035" w:rsidP="00142035">
      <w:pPr>
        <w:tabs>
          <w:tab w:val="left" w:pos="180"/>
        </w:tabs>
        <w:bidi/>
        <w:spacing w:after="0" w:line="240" w:lineRule="auto"/>
        <w:ind w:left="-90" w:right="-244"/>
        <w:jc w:val="both"/>
        <w:rPr>
          <w:rFonts w:ascii="Traditional Arabic" w:eastAsia="Times New Roman" w:hAnsi="Traditional Arabic" w:cs="Traditional Arabic"/>
          <w:b/>
          <w:bCs/>
          <w:sz w:val="24"/>
          <w:szCs w:val="24"/>
          <w:rtl/>
        </w:rPr>
      </w:pPr>
    </w:p>
    <w:p w:rsidR="00B2481E" w:rsidRPr="00B2481E" w:rsidRDefault="00743FAE" w:rsidP="00142035">
      <w:pPr>
        <w:tabs>
          <w:tab w:val="left" w:pos="180"/>
        </w:tabs>
        <w:spacing w:after="0" w:line="240" w:lineRule="auto"/>
        <w:ind w:left="-90" w:right="-244"/>
        <w:jc w:val="center"/>
        <w:rPr>
          <w:rFonts w:ascii="Times New Roman" w:eastAsia="Calibri" w:hAnsi="Times New Roman" w:cs="Times New Roman"/>
          <w:sz w:val="20"/>
          <w:szCs w:val="20"/>
          <w:lang w:val="en-GB"/>
        </w:rPr>
      </w:pPr>
      <w:r w:rsidRPr="00B2481E">
        <w:rPr>
          <w:rFonts w:ascii="Times New Roman" w:eastAsia="Calibri" w:hAnsi="Times New Roman" w:cs="Times New Roman"/>
          <w:sz w:val="20"/>
          <w:szCs w:val="20"/>
        </w:rPr>
        <w:t>Table</w:t>
      </w:r>
      <w:bookmarkStart w:id="3" w:name="_Hlk164340326"/>
      <w:r>
        <w:rPr>
          <w:rFonts w:ascii="Times New Roman" w:eastAsia="Calibri" w:hAnsi="Times New Roman" w:cs="Times New Roman" w:hint="cs"/>
          <w:sz w:val="20"/>
          <w:szCs w:val="20"/>
          <w:rtl/>
        </w:rPr>
        <w:t xml:space="preserve"> 8    </w:t>
      </w:r>
      <w:r w:rsidRPr="00B2481E">
        <w:rPr>
          <w:rFonts w:ascii="Times New Roman" w:eastAsia="Calibri" w:hAnsi="Times New Roman" w:cs="Times New Roman"/>
          <w:sz w:val="20"/>
          <w:szCs w:val="20"/>
        </w:rPr>
        <w:t xml:space="preserve">. Predicting academic well-being </w:t>
      </w:r>
      <w:bookmarkEnd w:id="3"/>
      <w:r w:rsidRPr="00B2481E">
        <w:rPr>
          <w:rFonts w:ascii="Times New Roman" w:eastAsia="Calibri" w:hAnsi="Times New Roman" w:cs="Times New Roman"/>
          <w:sz w:val="20"/>
          <w:szCs w:val="20"/>
        </w:rPr>
        <w:t>through Computational Thinking Skills and Computational Self-Efficacy</w:t>
      </w:r>
    </w:p>
    <w:tbl>
      <w:tblPr>
        <w:tblStyle w:val="2"/>
        <w:tblW w:w="76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78"/>
        <w:gridCol w:w="1422"/>
        <w:gridCol w:w="8"/>
        <w:gridCol w:w="622"/>
        <w:gridCol w:w="8"/>
        <w:gridCol w:w="802"/>
        <w:gridCol w:w="8"/>
        <w:gridCol w:w="982"/>
        <w:gridCol w:w="8"/>
        <w:gridCol w:w="712"/>
        <w:gridCol w:w="8"/>
        <w:gridCol w:w="712"/>
        <w:gridCol w:w="8"/>
        <w:gridCol w:w="1252"/>
        <w:gridCol w:w="8"/>
        <w:gridCol w:w="712"/>
        <w:gridCol w:w="8"/>
      </w:tblGrid>
      <w:tr w:rsidR="00A34770" w:rsidTr="008C0D49">
        <w:trPr>
          <w:gridAfter w:val="1"/>
          <w:wAfter w:w="8" w:type="dxa"/>
        </w:trPr>
        <w:tc>
          <w:tcPr>
            <w:tcW w:w="1800" w:type="dxa"/>
            <w:gridSpan w:val="2"/>
            <w:vAlign w:val="center"/>
          </w:tcPr>
          <w:p w:rsidR="001B1983" w:rsidRPr="00B2481E" w:rsidRDefault="00743FAE" w:rsidP="00B2481E">
            <w:pPr>
              <w:tabs>
                <w:tab w:val="left" w:pos="180"/>
              </w:tabs>
              <w:ind w:left="-90" w:right="-244"/>
              <w:jc w:val="center"/>
              <w:rPr>
                <w:rFonts w:eastAsia="Calibri"/>
                <w:rtl/>
                <w:lang w:val="en-GB"/>
              </w:rPr>
            </w:pPr>
            <w:r w:rsidRPr="00B2481E">
              <w:rPr>
                <w:rFonts w:eastAsia="Calibri"/>
              </w:rPr>
              <w:t>Variable</w:t>
            </w:r>
          </w:p>
        </w:tc>
        <w:tc>
          <w:tcPr>
            <w:tcW w:w="630" w:type="dxa"/>
            <w:gridSpan w:val="2"/>
            <w:vAlign w:val="center"/>
          </w:tcPr>
          <w:p w:rsidR="001B1983" w:rsidRPr="00B2481E" w:rsidRDefault="00743FAE" w:rsidP="00B2481E">
            <w:pPr>
              <w:tabs>
                <w:tab w:val="left" w:pos="180"/>
              </w:tabs>
              <w:ind w:left="-90" w:right="-244"/>
              <w:jc w:val="center"/>
              <w:rPr>
                <w:rFonts w:eastAsia="Calibri"/>
                <w:lang w:val="en-GB"/>
              </w:rPr>
            </w:pPr>
            <w:r w:rsidRPr="00B2481E">
              <w:rPr>
                <w:rFonts w:eastAsia="Calibri"/>
              </w:rPr>
              <w:t>R</w:t>
            </w:r>
          </w:p>
        </w:tc>
        <w:tc>
          <w:tcPr>
            <w:tcW w:w="810" w:type="dxa"/>
            <w:gridSpan w:val="2"/>
            <w:vAlign w:val="center"/>
          </w:tcPr>
          <w:p w:rsidR="001B1983" w:rsidRPr="00B2481E" w:rsidRDefault="00743FAE" w:rsidP="00B2481E">
            <w:pPr>
              <w:tabs>
                <w:tab w:val="left" w:pos="180"/>
              </w:tabs>
              <w:ind w:left="-90" w:right="-244"/>
              <w:rPr>
                <w:rFonts w:eastAsia="Calibri"/>
                <w:lang w:val="en-GB"/>
              </w:rPr>
            </w:pPr>
            <w:r w:rsidRPr="00B2481E">
              <w:rPr>
                <w:rFonts w:eastAsia="Calibri"/>
              </w:rPr>
              <w:t>R Square</w:t>
            </w:r>
          </w:p>
        </w:tc>
        <w:tc>
          <w:tcPr>
            <w:tcW w:w="990" w:type="dxa"/>
            <w:gridSpan w:val="2"/>
            <w:vAlign w:val="center"/>
          </w:tcPr>
          <w:p w:rsidR="001B1983" w:rsidRPr="00B2481E" w:rsidRDefault="00743FAE" w:rsidP="00B2481E">
            <w:pPr>
              <w:tabs>
                <w:tab w:val="left" w:pos="180"/>
              </w:tabs>
              <w:ind w:left="-90" w:right="-244"/>
              <w:rPr>
                <w:rFonts w:eastAsia="Calibri"/>
                <w:lang w:val="en-GB"/>
              </w:rPr>
            </w:pPr>
            <w:r w:rsidRPr="00B2481E">
              <w:rPr>
                <w:rFonts w:eastAsia="Calibri"/>
              </w:rPr>
              <w:t>Adjusted R Square</w:t>
            </w:r>
          </w:p>
        </w:tc>
        <w:tc>
          <w:tcPr>
            <w:tcW w:w="720" w:type="dxa"/>
            <w:gridSpan w:val="2"/>
            <w:vAlign w:val="center"/>
          </w:tcPr>
          <w:p w:rsidR="001B1983" w:rsidRPr="00B2481E" w:rsidRDefault="00743FAE" w:rsidP="00B2481E">
            <w:pPr>
              <w:tabs>
                <w:tab w:val="left" w:pos="180"/>
              </w:tabs>
              <w:ind w:left="-90" w:right="-244"/>
              <w:jc w:val="center"/>
              <w:rPr>
                <w:rFonts w:eastAsia="Calibri"/>
                <w:lang w:val="en-GB"/>
              </w:rPr>
            </w:pPr>
            <w:r w:rsidRPr="00B2481E">
              <w:rPr>
                <w:rFonts w:eastAsia="Calibri"/>
              </w:rPr>
              <w:t>B</w:t>
            </w:r>
          </w:p>
        </w:tc>
        <w:tc>
          <w:tcPr>
            <w:tcW w:w="720" w:type="dxa"/>
            <w:gridSpan w:val="2"/>
            <w:vAlign w:val="center"/>
          </w:tcPr>
          <w:p w:rsidR="001B1983" w:rsidRPr="00B2481E" w:rsidRDefault="00743FAE" w:rsidP="00B2481E">
            <w:pPr>
              <w:tabs>
                <w:tab w:val="left" w:pos="180"/>
              </w:tabs>
              <w:ind w:left="-90" w:right="-244"/>
              <w:jc w:val="center"/>
              <w:rPr>
                <w:rFonts w:eastAsia="Calibri"/>
                <w:lang w:val="en-GB"/>
              </w:rPr>
            </w:pPr>
            <w:r w:rsidRPr="00B2481E">
              <w:rPr>
                <w:rFonts w:eastAsia="Calibri"/>
              </w:rPr>
              <w:t>Std.</w:t>
            </w:r>
          </w:p>
          <w:p w:rsidR="001B1983" w:rsidRPr="00B2481E" w:rsidRDefault="00743FAE" w:rsidP="00B2481E">
            <w:pPr>
              <w:tabs>
                <w:tab w:val="left" w:pos="180"/>
              </w:tabs>
              <w:ind w:left="-90" w:right="-244"/>
              <w:jc w:val="center"/>
              <w:rPr>
                <w:rFonts w:eastAsia="Calibri"/>
                <w:lang w:val="en-GB"/>
              </w:rPr>
            </w:pPr>
            <w:r w:rsidRPr="00B2481E">
              <w:rPr>
                <w:rFonts w:eastAsia="Calibri"/>
              </w:rPr>
              <w:t>Error</w:t>
            </w:r>
          </w:p>
        </w:tc>
        <w:tc>
          <w:tcPr>
            <w:tcW w:w="1260" w:type="dxa"/>
            <w:gridSpan w:val="2"/>
            <w:vAlign w:val="center"/>
          </w:tcPr>
          <w:p w:rsidR="001B1983" w:rsidRPr="00B2481E" w:rsidRDefault="00743FAE" w:rsidP="00B2481E">
            <w:pPr>
              <w:tabs>
                <w:tab w:val="left" w:pos="180"/>
              </w:tabs>
              <w:ind w:left="-90" w:right="-244"/>
              <w:jc w:val="center"/>
              <w:rPr>
                <w:rFonts w:eastAsia="Calibri"/>
                <w:lang w:val="en-GB"/>
              </w:rPr>
            </w:pPr>
            <w:r w:rsidRPr="00B2481E">
              <w:rPr>
                <w:rFonts w:eastAsia="Calibri"/>
              </w:rPr>
              <w:t>Contribution</w:t>
            </w:r>
          </w:p>
          <w:p w:rsidR="001B1983" w:rsidRPr="00B2481E" w:rsidRDefault="00743FAE" w:rsidP="00B2481E">
            <w:pPr>
              <w:tabs>
                <w:tab w:val="left" w:pos="180"/>
              </w:tabs>
              <w:ind w:left="-90" w:right="-244"/>
              <w:jc w:val="center"/>
              <w:rPr>
                <w:rFonts w:eastAsia="Calibri"/>
                <w:lang w:val="en-GB"/>
              </w:rPr>
            </w:pPr>
            <w:r w:rsidRPr="00B2481E">
              <w:rPr>
                <w:rFonts w:eastAsia="Calibri"/>
              </w:rPr>
              <w:t xml:space="preserve"> %</w:t>
            </w:r>
          </w:p>
        </w:tc>
        <w:tc>
          <w:tcPr>
            <w:tcW w:w="720" w:type="dxa"/>
            <w:gridSpan w:val="2"/>
            <w:vAlign w:val="center"/>
          </w:tcPr>
          <w:p w:rsidR="001B1983" w:rsidRPr="00B2481E" w:rsidRDefault="00743FAE" w:rsidP="00B2481E">
            <w:pPr>
              <w:tabs>
                <w:tab w:val="left" w:pos="180"/>
              </w:tabs>
              <w:ind w:left="-90" w:right="-244"/>
              <w:jc w:val="center"/>
              <w:rPr>
                <w:rFonts w:eastAsia="Calibri"/>
                <w:rtl/>
                <w:lang w:val="en-GB"/>
              </w:rPr>
            </w:pPr>
            <w:r w:rsidRPr="00B2481E">
              <w:rPr>
                <w:rFonts w:eastAsia="Calibri"/>
              </w:rPr>
              <w:t>Sig.</w:t>
            </w:r>
          </w:p>
        </w:tc>
      </w:tr>
      <w:tr w:rsidR="00A34770" w:rsidTr="008C0D49">
        <w:tc>
          <w:tcPr>
            <w:tcW w:w="378" w:type="dxa"/>
            <w:vMerge w:val="restart"/>
            <w:tcBorders>
              <w:right w:val="nil"/>
            </w:tcBorders>
            <w:shd w:val="clear" w:color="auto" w:fill="auto"/>
            <w:vAlign w:val="center"/>
          </w:tcPr>
          <w:p w:rsidR="008C0D49" w:rsidRDefault="008C0D49" w:rsidP="008C0D49">
            <w:pPr>
              <w:tabs>
                <w:tab w:val="left" w:pos="180"/>
              </w:tabs>
              <w:ind w:left="-90" w:right="-244"/>
              <w:jc w:val="center"/>
              <w:rPr>
                <w:rFonts w:eastAsia="Calibri"/>
                <w:color w:val="FF0000"/>
                <w:lang w:val="en-GB"/>
              </w:rPr>
            </w:pPr>
          </w:p>
          <w:p w:rsidR="008C0D49" w:rsidRPr="001708B2" w:rsidRDefault="00743FAE" w:rsidP="008C0D49">
            <w:pPr>
              <w:tabs>
                <w:tab w:val="left" w:pos="180"/>
              </w:tabs>
              <w:ind w:left="-90" w:right="-244"/>
              <w:jc w:val="center"/>
              <w:rPr>
                <w:rFonts w:eastAsia="Calibri"/>
                <w:lang w:val="en-GB"/>
              </w:rPr>
            </w:pPr>
            <w:r w:rsidRPr="001708B2">
              <w:rPr>
                <w:rFonts w:eastAsia="Calibri"/>
              </w:rPr>
              <w:t>1</w:t>
            </w:r>
          </w:p>
          <w:p w:rsidR="008C0D49" w:rsidRPr="00B2481E" w:rsidRDefault="008C0D49" w:rsidP="008C0D49">
            <w:pPr>
              <w:tabs>
                <w:tab w:val="left" w:pos="180"/>
              </w:tabs>
              <w:ind w:right="-244"/>
              <w:jc w:val="center"/>
              <w:rPr>
                <w:rFonts w:eastAsia="Calibri"/>
                <w:lang w:val="en-GB"/>
              </w:rPr>
            </w:pPr>
          </w:p>
        </w:tc>
        <w:tc>
          <w:tcPr>
            <w:tcW w:w="1430" w:type="dxa"/>
            <w:gridSpan w:val="2"/>
            <w:tcBorders>
              <w:left w:val="nil"/>
            </w:tcBorders>
            <w:shd w:val="clear" w:color="auto" w:fill="auto"/>
            <w:vAlign w:val="center"/>
          </w:tcPr>
          <w:p w:rsidR="008C0D49" w:rsidRPr="00B2481E" w:rsidRDefault="00743FAE" w:rsidP="008C0D49">
            <w:pPr>
              <w:tabs>
                <w:tab w:val="left" w:pos="180"/>
              </w:tabs>
              <w:ind w:left="-90" w:right="-244"/>
              <w:jc w:val="center"/>
              <w:rPr>
                <w:rFonts w:eastAsia="Calibri"/>
                <w:lang w:val="en-GB"/>
              </w:rPr>
            </w:pPr>
            <w:r w:rsidRPr="00B2481E">
              <w:rPr>
                <w:rFonts w:eastAsia="Calibri"/>
              </w:rPr>
              <w:t>Constant</w:t>
            </w:r>
          </w:p>
        </w:tc>
        <w:tc>
          <w:tcPr>
            <w:tcW w:w="630" w:type="dxa"/>
            <w:gridSpan w:val="2"/>
            <w:vAlign w:val="center"/>
          </w:tcPr>
          <w:p w:rsidR="008C0D49" w:rsidRPr="00B2481E" w:rsidRDefault="00743FAE" w:rsidP="008C0D49">
            <w:pPr>
              <w:tabs>
                <w:tab w:val="left" w:pos="180"/>
              </w:tabs>
              <w:ind w:left="-90" w:right="-244"/>
              <w:jc w:val="center"/>
              <w:rPr>
                <w:rFonts w:eastAsia="Calibri"/>
                <w:lang w:val="en-GB"/>
              </w:rPr>
            </w:pPr>
            <w:r w:rsidRPr="00B2481E">
              <w:rPr>
                <w:rFonts w:eastAsia="Calibri"/>
              </w:rPr>
              <w:t>-</w:t>
            </w:r>
          </w:p>
        </w:tc>
        <w:tc>
          <w:tcPr>
            <w:tcW w:w="810" w:type="dxa"/>
            <w:gridSpan w:val="2"/>
            <w:vAlign w:val="center"/>
          </w:tcPr>
          <w:p w:rsidR="008C0D49" w:rsidRPr="00B2481E" w:rsidRDefault="00743FAE" w:rsidP="008C0D49">
            <w:pPr>
              <w:tabs>
                <w:tab w:val="left" w:pos="180"/>
              </w:tabs>
              <w:ind w:left="-90" w:right="-244"/>
              <w:jc w:val="center"/>
              <w:rPr>
                <w:rFonts w:eastAsia="Calibri"/>
                <w:rtl/>
                <w:lang w:val="en-GB"/>
              </w:rPr>
            </w:pPr>
            <w:r w:rsidRPr="00B2481E">
              <w:rPr>
                <w:rFonts w:eastAsia="Calibri"/>
              </w:rPr>
              <w:t>-</w:t>
            </w:r>
          </w:p>
        </w:tc>
        <w:tc>
          <w:tcPr>
            <w:tcW w:w="990" w:type="dxa"/>
            <w:gridSpan w:val="2"/>
            <w:vAlign w:val="center"/>
          </w:tcPr>
          <w:p w:rsidR="008C0D49" w:rsidRPr="00B2481E" w:rsidRDefault="00743FAE" w:rsidP="008C0D49">
            <w:pPr>
              <w:tabs>
                <w:tab w:val="left" w:pos="180"/>
              </w:tabs>
              <w:ind w:left="-90" w:right="-244"/>
              <w:jc w:val="center"/>
              <w:rPr>
                <w:rFonts w:eastAsia="Calibri"/>
                <w:lang w:val="en-GB"/>
              </w:rPr>
            </w:pPr>
            <w:r w:rsidRPr="00B2481E">
              <w:rPr>
                <w:rFonts w:eastAsia="Calibri"/>
              </w:rPr>
              <w:t>-</w:t>
            </w:r>
          </w:p>
        </w:tc>
        <w:tc>
          <w:tcPr>
            <w:tcW w:w="720" w:type="dxa"/>
            <w:gridSpan w:val="2"/>
            <w:vAlign w:val="center"/>
          </w:tcPr>
          <w:p w:rsidR="008C0D49" w:rsidRPr="00B2481E" w:rsidRDefault="00743FAE" w:rsidP="008C0D49">
            <w:pPr>
              <w:tabs>
                <w:tab w:val="left" w:pos="180"/>
              </w:tabs>
              <w:ind w:left="-90" w:right="-244"/>
              <w:jc w:val="center"/>
              <w:rPr>
                <w:rFonts w:eastAsia="Calibri"/>
                <w:rtl/>
                <w:lang w:val="en-GB"/>
              </w:rPr>
            </w:pPr>
            <w:r>
              <w:rPr>
                <w:rFonts w:eastAsia="Calibri"/>
              </w:rPr>
              <w:t>52.099</w:t>
            </w:r>
          </w:p>
        </w:tc>
        <w:tc>
          <w:tcPr>
            <w:tcW w:w="720" w:type="dxa"/>
            <w:gridSpan w:val="2"/>
            <w:vAlign w:val="center"/>
          </w:tcPr>
          <w:p w:rsidR="008C0D49" w:rsidRPr="00B2481E" w:rsidRDefault="00743FAE" w:rsidP="008C0D49">
            <w:pPr>
              <w:tabs>
                <w:tab w:val="left" w:pos="180"/>
              </w:tabs>
              <w:ind w:left="-90" w:right="-244"/>
              <w:jc w:val="center"/>
              <w:rPr>
                <w:rFonts w:eastAsia="Calibri"/>
                <w:lang w:val="en-GB"/>
              </w:rPr>
            </w:pPr>
            <w:r>
              <w:rPr>
                <w:rFonts w:eastAsia="Calibri"/>
              </w:rPr>
              <w:t>3.263</w:t>
            </w:r>
          </w:p>
        </w:tc>
        <w:tc>
          <w:tcPr>
            <w:tcW w:w="1260" w:type="dxa"/>
            <w:gridSpan w:val="2"/>
            <w:vAlign w:val="center"/>
          </w:tcPr>
          <w:p w:rsidR="008C0D49" w:rsidRPr="00B2481E" w:rsidRDefault="00743FAE" w:rsidP="008C0D49">
            <w:pPr>
              <w:tabs>
                <w:tab w:val="left" w:pos="180"/>
              </w:tabs>
              <w:ind w:left="-90" w:right="-244"/>
              <w:jc w:val="center"/>
              <w:rPr>
                <w:rFonts w:eastAsia="Calibri"/>
                <w:lang w:val="en-GB"/>
              </w:rPr>
            </w:pPr>
            <w:r>
              <w:rPr>
                <w:rFonts w:eastAsia="Calibri"/>
              </w:rPr>
              <w:t>-</w:t>
            </w:r>
          </w:p>
        </w:tc>
        <w:tc>
          <w:tcPr>
            <w:tcW w:w="720" w:type="dxa"/>
            <w:gridSpan w:val="2"/>
            <w:vAlign w:val="center"/>
          </w:tcPr>
          <w:p w:rsidR="008C0D49" w:rsidRPr="00B2481E" w:rsidRDefault="00743FAE" w:rsidP="008C0D49">
            <w:pPr>
              <w:tabs>
                <w:tab w:val="left" w:pos="180"/>
              </w:tabs>
              <w:ind w:left="-90" w:right="-244"/>
              <w:jc w:val="center"/>
              <w:rPr>
                <w:rFonts w:eastAsia="Calibri"/>
                <w:rtl/>
                <w:lang w:val="en-GB"/>
              </w:rPr>
            </w:pPr>
            <w:r w:rsidRPr="00B2481E">
              <w:rPr>
                <w:rFonts w:eastAsia="Calibri"/>
              </w:rPr>
              <w:t>0.001</w:t>
            </w:r>
          </w:p>
        </w:tc>
      </w:tr>
      <w:tr w:rsidR="00A34770" w:rsidTr="008C0D49">
        <w:trPr>
          <w:gridAfter w:val="1"/>
          <w:wAfter w:w="8" w:type="dxa"/>
        </w:trPr>
        <w:tc>
          <w:tcPr>
            <w:tcW w:w="378" w:type="dxa"/>
            <w:vMerge/>
            <w:tcBorders>
              <w:right w:val="nil"/>
            </w:tcBorders>
            <w:shd w:val="clear" w:color="auto" w:fill="auto"/>
            <w:vAlign w:val="center"/>
          </w:tcPr>
          <w:p w:rsidR="008C0D49" w:rsidRPr="00B2481E" w:rsidRDefault="008C0D49" w:rsidP="008C0D49">
            <w:pPr>
              <w:tabs>
                <w:tab w:val="left" w:pos="180"/>
              </w:tabs>
              <w:ind w:right="-244"/>
              <w:jc w:val="center"/>
              <w:rPr>
                <w:rFonts w:eastAsia="Calibri"/>
                <w:color w:val="FF0000"/>
                <w:lang w:val="en-GB"/>
              </w:rPr>
            </w:pPr>
          </w:p>
        </w:tc>
        <w:tc>
          <w:tcPr>
            <w:tcW w:w="1422" w:type="dxa"/>
            <w:tcBorders>
              <w:left w:val="nil"/>
            </w:tcBorders>
            <w:shd w:val="clear" w:color="auto" w:fill="auto"/>
            <w:vAlign w:val="center"/>
          </w:tcPr>
          <w:p w:rsidR="008C0D49" w:rsidRPr="001708B2" w:rsidRDefault="00743FAE" w:rsidP="008C0D49">
            <w:pPr>
              <w:tabs>
                <w:tab w:val="left" w:pos="180"/>
              </w:tabs>
              <w:ind w:left="-90" w:right="-244"/>
              <w:jc w:val="center"/>
              <w:rPr>
                <w:rFonts w:eastAsia="Calibri"/>
                <w:lang w:val="en-GB"/>
              </w:rPr>
            </w:pPr>
            <w:r w:rsidRPr="001708B2">
              <w:rPr>
                <w:rFonts w:eastAsia="Calibri"/>
              </w:rPr>
              <w:t>Computational</w:t>
            </w:r>
          </w:p>
          <w:p w:rsidR="008C0D49" w:rsidRPr="001708B2" w:rsidRDefault="00743FAE" w:rsidP="008C0D49">
            <w:pPr>
              <w:tabs>
                <w:tab w:val="left" w:pos="180"/>
              </w:tabs>
              <w:ind w:left="-90" w:right="-244"/>
              <w:jc w:val="center"/>
              <w:rPr>
                <w:rFonts w:eastAsia="Calibri"/>
                <w:lang w:val="en-GB"/>
              </w:rPr>
            </w:pPr>
            <w:r w:rsidRPr="001708B2">
              <w:rPr>
                <w:rFonts w:eastAsia="Calibri"/>
              </w:rPr>
              <w:t>Thinking</w:t>
            </w:r>
          </w:p>
          <w:p w:rsidR="008C0D49" w:rsidRPr="001708B2" w:rsidRDefault="00743FAE" w:rsidP="008C0D49">
            <w:pPr>
              <w:tabs>
                <w:tab w:val="left" w:pos="180"/>
              </w:tabs>
              <w:ind w:left="-90" w:right="-244"/>
              <w:jc w:val="center"/>
              <w:rPr>
                <w:rFonts w:eastAsia="Calibri"/>
                <w:lang w:val="en-GB"/>
              </w:rPr>
            </w:pPr>
            <w:r w:rsidRPr="001708B2">
              <w:rPr>
                <w:rFonts w:eastAsia="Calibri"/>
              </w:rPr>
              <w:t>Skills</w:t>
            </w:r>
          </w:p>
        </w:tc>
        <w:tc>
          <w:tcPr>
            <w:tcW w:w="630" w:type="dxa"/>
            <w:gridSpan w:val="2"/>
            <w:vAlign w:val="center"/>
          </w:tcPr>
          <w:p w:rsidR="008C0D49" w:rsidRPr="001708B2" w:rsidRDefault="00743FAE" w:rsidP="008C0D49">
            <w:pPr>
              <w:tabs>
                <w:tab w:val="left" w:pos="180"/>
              </w:tabs>
              <w:ind w:left="-90" w:right="-244"/>
              <w:jc w:val="center"/>
              <w:rPr>
                <w:rFonts w:eastAsia="Calibri"/>
                <w:lang w:val="en-GB"/>
              </w:rPr>
            </w:pPr>
            <w:r w:rsidRPr="001708B2">
              <w:rPr>
                <w:rFonts w:eastAsia="Calibri"/>
              </w:rPr>
              <w:t>0.855</w:t>
            </w:r>
          </w:p>
        </w:tc>
        <w:tc>
          <w:tcPr>
            <w:tcW w:w="810" w:type="dxa"/>
            <w:gridSpan w:val="2"/>
            <w:vAlign w:val="center"/>
          </w:tcPr>
          <w:p w:rsidR="008C0D49" w:rsidRPr="001708B2" w:rsidRDefault="00743FAE" w:rsidP="008C0D49">
            <w:pPr>
              <w:tabs>
                <w:tab w:val="left" w:pos="180"/>
              </w:tabs>
              <w:ind w:left="-90" w:right="-244"/>
              <w:jc w:val="center"/>
              <w:rPr>
                <w:rFonts w:eastAsia="Calibri"/>
                <w:rtl/>
                <w:lang w:val="en-GB"/>
              </w:rPr>
            </w:pPr>
            <w:r w:rsidRPr="001708B2">
              <w:rPr>
                <w:rFonts w:eastAsia="Calibri"/>
              </w:rPr>
              <w:t>0.731</w:t>
            </w:r>
          </w:p>
        </w:tc>
        <w:tc>
          <w:tcPr>
            <w:tcW w:w="990" w:type="dxa"/>
            <w:gridSpan w:val="2"/>
            <w:vAlign w:val="center"/>
          </w:tcPr>
          <w:p w:rsidR="008C0D49" w:rsidRPr="001708B2" w:rsidRDefault="00743FAE" w:rsidP="008C0D49">
            <w:pPr>
              <w:tabs>
                <w:tab w:val="left" w:pos="180"/>
              </w:tabs>
              <w:ind w:left="-90" w:right="-244"/>
              <w:jc w:val="center"/>
              <w:rPr>
                <w:rFonts w:eastAsia="Calibri"/>
                <w:rtl/>
                <w:lang w:val="en-GB"/>
              </w:rPr>
            </w:pPr>
            <w:r w:rsidRPr="001708B2">
              <w:rPr>
                <w:rFonts w:eastAsia="Calibri"/>
              </w:rPr>
              <w:t>0.730</w:t>
            </w:r>
          </w:p>
        </w:tc>
        <w:tc>
          <w:tcPr>
            <w:tcW w:w="720" w:type="dxa"/>
            <w:gridSpan w:val="2"/>
            <w:vAlign w:val="center"/>
          </w:tcPr>
          <w:p w:rsidR="008C0D49" w:rsidRPr="001708B2" w:rsidRDefault="00743FAE" w:rsidP="008C0D49">
            <w:pPr>
              <w:tabs>
                <w:tab w:val="left" w:pos="180"/>
              </w:tabs>
              <w:ind w:left="-90" w:right="-244"/>
              <w:jc w:val="center"/>
              <w:rPr>
                <w:rFonts w:eastAsia="Calibri"/>
                <w:rtl/>
                <w:lang w:val="en-GB"/>
              </w:rPr>
            </w:pPr>
            <w:r w:rsidRPr="001708B2">
              <w:rPr>
                <w:rFonts w:eastAsia="Calibri"/>
              </w:rPr>
              <w:t>0.855</w:t>
            </w:r>
          </w:p>
        </w:tc>
        <w:tc>
          <w:tcPr>
            <w:tcW w:w="720" w:type="dxa"/>
            <w:gridSpan w:val="2"/>
            <w:vAlign w:val="center"/>
          </w:tcPr>
          <w:p w:rsidR="008C0D49" w:rsidRPr="001708B2" w:rsidRDefault="00743FAE" w:rsidP="008C0D49">
            <w:pPr>
              <w:tabs>
                <w:tab w:val="left" w:pos="180"/>
              </w:tabs>
              <w:ind w:left="-90" w:right="-244"/>
              <w:jc w:val="center"/>
              <w:rPr>
                <w:rFonts w:eastAsia="Calibri"/>
                <w:rtl/>
                <w:lang w:val="en-GB"/>
              </w:rPr>
            </w:pPr>
            <w:r w:rsidRPr="001708B2">
              <w:rPr>
                <w:rFonts w:eastAsia="Calibri"/>
              </w:rPr>
              <w:t>0.059</w:t>
            </w:r>
          </w:p>
        </w:tc>
        <w:tc>
          <w:tcPr>
            <w:tcW w:w="1260" w:type="dxa"/>
            <w:gridSpan w:val="2"/>
            <w:vAlign w:val="center"/>
          </w:tcPr>
          <w:p w:rsidR="008C0D49" w:rsidRPr="001708B2" w:rsidRDefault="00743FAE" w:rsidP="008C0D49">
            <w:pPr>
              <w:tabs>
                <w:tab w:val="left" w:pos="180"/>
              </w:tabs>
              <w:ind w:left="-90" w:right="-244"/>
              <w:jc w:val="center"/>
              <w:rPr>
                <w:rFonts w:eastAsia="Calibri"/>
                <w:rtl/>
                <w:lang w:val="en-GB"/>
              </w:rPr>
            </w:pPr>
            <w:bookmarkStart w:id="4" w:name="_Hlk161332007"/>
            <w:r w:rsidRPr="001708B2">
              <w:rPr>
                <w:rFonts w:eastAsia="Calibri"/>
              </w:rPr>
              <w:t>73.1%</w:t>
            </w:r>
            <w:bookmarkEnd w:id="4"/>
          </w:p>
        </w:tc>
        <w:tc>
          <w:tcPr>
            <w:tcW w:w="720" w:type="dxa"/>
            <w:gridSpan w:val="2"/>
            <w:vAlign w:val="center"/>
          </w:tcPr>
          <w:p w:rsidR="008C0D49" w:rsidRPr="001708B2" w:rsidRDefault="00743FAE" w:rsidP="008C0D49">
            <w:pPr>
              <w:tabs>
                <w:tab w:val="left" w:pos="180"/>
              </w:tabs>
              <w:ind w:left="-90" w:right="-244"/>
              <w:jc w:val="center"/>
              <w:rPr>
                <w:rFonts w:eastAsia="Calibri"/>
                <w:lang w:val="en-GB"/>
              </w:rPr>
            </w:pPr>
            <w:r w:rsidRPr="001708B2">
              <w:rPr>
                <w:rFonts w:eastAsia="Calibri"/>
              </w:rPr>
              <w:t>0.001</w:t>
            </w:r>
          </w:p>
        </w:tc>
      </w:tr>
      <w:tr w:rsidR="00A34770" w:rsidTr="008C0D49">
        <w:trPr>
          <w:gridAfter w:val="1"/>
          <w:wAfter w:w="8" w:type="dxa"/>
        </w:trPr>
        <w:tc>
          <w:tcPr>
            <w:tcW w:w="378" w:type="dxa"/>
            <w:vMerge w:val="restart"/>
            <w:tcBorders>
              <w:right w:val="nil"/>
            </w:tcBorders>
            <w:shd w:val="clear" w:color="auto" w:fill="auto"/>
            <w:vAlign w:val="center"/>
          </w:tcPr>
          <w:p w:rsidR="008C0D49" w:rsidRDefault="008C0D49" w:rsidP="008C0D49">
            <w:pPr>
              <w:tabs>
                <w:tab w:val="left" w:pos="180"/>
              </w:tabs>
              <w:ind w:left="-90" w:right="-244"/>
              <w:jc w:val="center"/>
              <w:rPr>
                <w:rFonts w:eastAsia="Calibri"/>
                <w:lang w:val="en-GB"/>
              </w:rPr>
            </w:pPr>
            <w:bookmarkStart w:id="5" w:name="_Hlk161389863"/>
          </w:p>
          <w:p w:rsidR="008C0D49" w:rsidRDefault="00743FAE" w:rsidP="008C0D49">
            <w:pPr>
              <w:tabs>
                <w:tab w:val="left" w:pos="180"/>
              </w:tabs>
              <w:ind w:left="-90" w:right="-244"/>
              <w:jc w:val="center"/>
              <w:rPr>
                <w:rFonts w:eastAsia="Calibri"/>
                <w:lang w:val="en-GB"/>
              </w:rPr>
            </w:pPr>
            <w:r>
              <w:rPr>
                <w:rFonts w:eastAsia="Calibri"/>
              </w:rPr>
              <w:t>2</w:t>
            </w:r>
          </w:p>
          <w:p w:rsidR="008C0D49" w:rsidRPr="00B2481E" w:rsidRDefault="008C0D49" w:rsidP="008C0D49">
            <w:pPr>
              <w:tabs>
                <w:tab w:val="left" w:pos="180"/>
              </w:tabs>
              <w:ind w:right="-244"/>
              <w:jc w:val="center"/>
              <w:rPr>
                <w:rFonts w:eastAsia="Calibri"/>
                <w:lang w:val="en-GB"/>
              </w:rPr>
            </w:pPr>
          </w:p>
        </w:tc>
        <w:tc>
          <w:tcPr>
            <w:tcW w:w="1422" w:type="dxa"/>
            <w:tcBorders>
              <w:left w:val="nil"/>
            </w:tcBorders>
            <w:shd w:val="clear" w:color="auto" w:fill="auto"/>
            <w:vAlign w:val="center"/>
          </w:tcPr>
          <w:p w:rsidR="008C0D49" w:rsidRPr="00B2481E" w:rsidRDefault="00743FAE" w:rsidP="008C0D49">
            <w:pPr>
              <w:tabs>
                <w:tab w:val="left" w:pos="180"/>
              </w:tabs>
              <w:ind w:left="-90" w:right="-244"/>
              <w:jc w:val="center"/>
              <w:rPr>
                <w:rFonts w:eastAsia="Calibri"/>
                <w:lang w:val="en-GB"/>
              </w:rPr>
            </w:pPr>
            <w:r w:rsidRPr="007432B2">
              <w:rPr>
                <w:rFonts w:eastAsia="Calibri"/>
              </w:rPr>
              <w:t>Constant</w:t>
            </w:r>
          </w:p>
        </w:tc>
        <w:tc>
          <w:tcPr>
            <w:tcW w:w="630" w:type="dxa"/>
            <w:gridSpan w:val="2"/>
            <w:vAlign w:val="center"/>
          </w:tcPr>
          <w:p w:rsidR="008C0D49" w:rsidRPr="00B2481E" w:rsidRDefault="00743FAE" w:rsidP="008C0D49">
            <w:pPr>
              <w:tabs>
                <w:tab w:val="left" w:pos="180"/>
              </w:tabs>
              <w:ind w:left="-90" w:right="-244"/>
              <w:jc w:val="center"/>
              <w:rPr>
                <w:rFonts w:eastAsia="Calibri"/>
                <w:rtl/>
                <w:lang w:val="en-GB"/>
              </w:rPr>
            </w:pPr>
            <w:r>
              <w:rPr>
                <w:rFonts w:eastAsia="Calibri"/>
              </w:rPr>
              <w:t>-</w:t>
            </w:r>
          </w:p>
        </w:tc>
        <w:tc>
          <w:tcPr>
            <w:tcW w:w="810" w:type="dxa"/>
            <w:gridSpan w:val="2"/>
            <w:vAlign w:val="center"/>
          </w:tcPr>
          <w:p w:rsidR="008C0D49" w:rsidRPr="00B2481E" w:rsidRDefault="00743FAE" w:rsidP="008C0D49">
            <w:pPr>
              <w:tabs>
                <w:tab w:val="left" w:pos="180"/>
              </w:tabs>
              <w:ind w:left="-90" w:right="-244"/>
              <w:jc w:val="center"/>
              <w:rPr>
                <w:rFonts w:eastAsia="Calibri"/>
                <w:rtl/>
                <w:lang w:val="en-GB"/>
              </w:rPr>
            </w:pPr>
            <w:r>
              <w:rPr>
                <w:rFonts w:eastAsia="Calibri"/>
              </w:rPr>
              <w:t>-</w:t>
            </w:r>
          </w:p>
        </w:tc>
        <w:tc>
          <w:tcPr>
            <w:tcW w:w="990" w:type="dxa"/>
            <w:gridSpan w:val="2"/>
            <w:vAlign w:val="center"/>
          </w:tcPr>
          <w:p w:rsidR="008C0D49" w:rsidRPr="00B2481E" w:rsidRDefault="00743FAE" w:rsidP="008C0D49">
            <w:pPr>
              <w:tabs>
                <w:tab w:val="left" w:pos="180"/>
              </w:tabs>
              <w:ind w:left="-90" w:right="-244"/>
              <w:jc w:val="center"/>
              <w:rPr>
                <w:rFonts w:eastAsia="Calibri"/>
                <w:rtl/>
                <w:lang w:val="en-GB"/>
              </w:rPr>
            </w:pPr>
            <w:r>
              <w:rPr>
                <w:rFonts w:eastAsia="Calibri"/>
              </w:rPr>
              <w:t>-</w:t>
            </w:r>
          </w:p>
        </w:tc>
        <w:tc>
          <w:tcPr>
            <w:tcW w:w="720" w:type="dxa"/>
            <w:gridSpan w:val="2"/>
            <w:vAlign w:val="center"/>
          </w:tcPr>
          <w:p w:rsidR="008C0D49" w:rsidRPr="00B2481E" w:rsidRDefault="00743FAE" w:rsidP="008C0D49">
            <w:pPr>
              <w:tabs>
                <w:tab w:val="left" w:pos="180"/>
              </w:tabs>
              <w:ind w:left="-90" w:right="-244"/>
              <w:jc w:val="center"/>
              <w:rPr>
                <w:rFonts w:eastAsia="Calibri"/>
                <w:rtl/>
                <w:lang w:val="en-GB"/>
              </w:rPr>
            </w:pPr>
            <w:r>
              <w:rPr>
                <w:rFonts w:eastAsia="Calibri"/>
              </w:rPr>
              <w:t>27.439</w:t>
            </w:r>
          </w:p>
        </w:tc>
        <w:tc>
          <w:tcPr>
            <w:tcW w:w="720" w:type="dxa"/>
            <w:gridSpan w:val="2"/>
            <w:vAlign w:val="center"/>
          </w:tcPr>
          <w:p w:rsidR="008C0D49" w:rsidRPr="00B2481E" w:rsidRDefault="00743FAE" w:rsidP="008C0D49">
            <w:pPr>
              <w:tabs>
                <w:tab w:val="left" w:pos="180"/>
              </w:tabs>
              <w:ind w:left="-90" w:right="-244"/>
              <w:jc w:val="center"/>
              <w:rPr>
                <w:rFonts w:eastAsia="Calibri"/>
                <w:rtl/>
                <w:lang w:val="en-GB"/>
              </w:rPr>
            </w:pPr>
            <w:r>
              <w:rPr>
                <w:rFonts w:eastAsia="Calibri"/>
              </w:rPr>
              <w:t>1.158</w:t>
            </w:r>
          </w:p>
        </w:tc>
        <w:tc>
          <w:tcPr>
            <w:tcW w:w="1260" w:type="dxa"/>
            <w:gridSpan w:val="2"/>
            <w:vAlign w:val="center"/>
          </w:tcPr>
          <w:p w:rsidR="008C0D49" w:rsidRPr="00B2481E" w:rsidRDefault="00743FAE" w:rsidP="008C0D49">
            <w:pPr>
              <w:tabs>
                <w:tab w:val="left" w:pos="180"/>
              </w:tabs>
              <w:ind w:left="-90" w:right="-244"/>
              <w:jc w:val="center"/>
              <w:rPr>
                <w:rFonts w:eastAsia="Calibri"/>
                <w:rtl/>
                <w:lang w:val="en-GB"/>
              </w:rPr>
            </w:pPr>
            <w:r>
              <w:rPr>
                <w:rFonts w:eastAsia="Calibri"/>
              </w:rPr>
              <w:t>-</w:t>
            </w:r>
          </w:p>
        </w:tc>
        <w:tc>
          <w:tcPr>
            <w:tcW w:w="720" w:type="dxa"/>
            <w:gridSpan w:val="2"/>
            <w:vAlign w:val="center"/>
          </w:tcPr>
          <w:p w:rsidR="008C0D49" w:rsidRPr="00B2481E" w:rsidRDefault="00743FAE" w:rsidP="008C0D49">
            <w:pPr>
              <w:tabs>
                <w:tab w:val="left" w:pos="180"/>
              </w:tabs>
              <w:ind w:left="-90" w:right="-244"/>
              <w:jc w:val="center"/>
              <w:rPr>
                <w:rFonts w:eastAsia="Calibri"/>
                <w:lang w:val="en-GB"/>
              </w:rPr>
            </w:pPr>
            <w:r w:rsidRPr="00B2481E">
              <w:rPr>
                <w:rFonts w:eastAsia="Calibri"/>
              </w:rPr>
              <w:t>0.001</w:t>
            </w:r>
          </w:p>
        </w:tc>
      </w:tr>
      <w:tr w:rsidR="00A34770" w:rsidTr="008C0D49">
        <w:trPr>
          <w:gridAfter w:val="1"/>
          <w:wAfter w:w="8" w:type="dxa"/>
        </w:trPr>
        <w:tc>
          <w:tcPr>
            <w:tcW w:w="378" w:type="dxa"/>
            <w:vMerge/>
            <w:tcBorders>
              <w:right w:val="nil"/>
            </w:tcBorders>
            <w:shd w:val="clear" w:color="auto" w:fill="auto"/>
            <w:vAlign w:val="center"/>
          </w:tcPr>
          <w:p w:rsidR="008C0D49" w:rsidRPr="00B2481E" w:rsidRDefault="008C0D49" w:rsidP="008C0D49">
            <w:pPr>
              <w:tabs>
                <w:tab w:val="left" w:pos="180"/>
              </w:tabs>
              <w:ind w:right="-244"/>
              <w:jc w:val="center"/>
              <w:rPr>
                <w:rFonts w:eastAsia="Calibri"/>
                <w:lang w:val="en-GB"/>
              </w:rPr>
            </w:pPr>
          </w:p>
        </w:tc>
        <w:tc>
          <w:tcPr>
            <w:tcW w:w="1422" w:type="dxa"/>
            <w:tcBorders>
              <w:left w:val="nil"/>
            </w:tcBorders>
            <w:shd w:val="clear" w:color="auto" w:fill="auto"/>
            <w:vAlign w:val="center"/>
          </w:tcPr>
          <w:p w:rsidR="008C0D49" w:rsidRPr="007432B2" w:rsidRDefault="00743FAE" w:rsidP="008C0D49">
            <w:pPr>
              <w:tabs>
                <w:tab w:val="left" w:pos="180"/>
              </w:tabs>
              <w:ind w:left="-90" w:right="-244"/>
              <w:jc w:val="center"/>
              <w:rPr>
                <w:rFonts w:eastAsia="Calibri"/>
                <w:lang w:val="en-GB"/>
              </w:rPr>
            </w:pPr>
            <w:r w:rsidRPr="007432B2">
              <w:rPr>
                <w:rFonts w:eastAsia="Calibri"/>
              </w:rPr>
              <w:t>Computational</w:t>
            </w:r>
          </w:p>
          <w:p w:rsidR="008C0D49" w:rsidRPr="007432B2" w:rsidRDefault="00743FAE" w:rsidP="008C0D49">
            <w:pPr>
              <w:tabs>
                <w:tab w:val="left" w:pos="180"/>
              </w:tabs>
              <w:ind w:left="-90" w:right="-244"/>
              <w:jc w:val="center"/>
              <w:rPr>
                <w:rFonts w:eastAsia="Calibri"/>
                <w:lang w:val="en-GB"/>
              </w:rPr>
            </w:pPr>
            <w:r w:rsidRPr="007432B2">
              <w:rPr>
                <w:rFonts w:eastAsia="Calibri"/>
              </w:rPr>
              <w:t>Self-Efficacy</w:t>
            </w:r>
          </w:p>
          <w:p w:rsidR="008C0D49" w:rsidRPr="00B2481E" w:rsidRDefault="008C0D49" w:rsidP="008C0D49">
            <w:pPr>
              <w:tabs>
                <w:tab w:val="left" w:pos="180"/>
              </w:tabs>
              <w:ind w:left="-90" w:right="-244"/>
              <w:jc w:val="center"/>
              <w:rPr>
                <w:rFonts w:eastAsia="Calibri"/>
                <w:lang w:val="en-GB"/>
              </w:rPr>
            </w:pPr>
          </w:p>
        </w:tc>
        <w:tc>
          <w:tcPr>
            <w:tcW w:w="630" w:type="dxa"/>
            <w:gridSpan w:val="2"/>
            <w:vAlign w:val="center"/>
          </w:tcPr>
          <w:p w:rsidR="008C0D49" w:rsidRPr="00B2481E" w:rsidRDefault="00743FAE" w:rsidP="008C0D49">
            <w:pPr>
              <w:tabs>
                <w:tab w:val="left" w:pos="180"/>
              </w:tabs>
              <w:ind w:left="-90" w:right="-244"/>
              <w:jc w:val="center"/>
              <w:rPr>
                <w:rFonts w:eastAsia="Calibri"/>
                <w:lang w:val="en-GB"/>
              </w:rPr>
            </w:pPr>
            <w:r>
              <w:rPr>
                <w:rFonts w:eastAsia="Calibri"/>
              </w:rPr>
              <w:t>0.959</w:t>
            </w:r>
          </w:p>
        </w:tc>
        <w:tc>
          <w:tcPr>
            <w:tcW w:w="810" w:type="dxa"/>
            <w:gridSpan w:val="2"/>
            <w:vAlign w:val="center"/>
          </w:tcPr>
          <w:p w:rsidR="008C0D49" w:rsidRPr="00B2481E" w:rsidRDefault="00743FAE" w:rsidP="008C0D49">
            <w:pPr>
              <w:tabs>
                <w:tab w:val="left" w:pos="180"/>
              </w:tabs>
              <w:ind w:left="-90" w:right="-244"/>
              <w:jc w:val="center"/>
              <w:rPr>
                <w:rFonts w:eastAsia="Calibri"/>
                <w:lang w:val="en-GB"/>
              </w:rPr>
            </w:pPr>
            <w:r>
              <w:rPr>
                <w:rFonts w:eastAsia="Calibri"/>
              </w:rPr>
              <w:t>0.920</w:t>
            </w:r>
          </w:p>
        </w:tc>
        <w:tc>
          <w:tcPr>
            <w:tcW w:w="990" w:type="dxa"/>
            <w:gridSpan w:val="2"/>
            <w:vAlign w:val="center"/>
          </w:tcPr>
          <w:p w:rsidR="008C0D49" w:rsidRPr="00B2481E" w:rsidRDefault="00743FAE" w:rsidP="008C0D49">
            <w:pPr>
              <w:tabs>
                <w:tab w:val="left" w:pos="180"/>
              </w:tabs>
              <w:ind w:left="-90" w:right="-244"/>
              <w:jc w:val="center"/>
              <w:rPr>
                <w:rFonts w:eastAsia="Calibri"/>
                <w:lang w:val="en-GB"/>
              </w:rPr>
            </w:pPr>
            <w:r>
              <w:rPr>
                <w:rFonts w:eastAsia="Calibri"/>
              </w:rPr>
              <w:t>0.920</w:t>
            </w:r>
          </w:p>
        </w:tc>
        <w:tc>
          <w:tcPr>
            <w:tcW w:w="720" w:type="dxa"/>
            <w:gridSpan w:val="2"/>
            <w:vAlign w:val="center"/>
          </w:tcPr>
          <w:p w:rsidR="008C0D49" w:rsidRPr="00B2481E" w:rsidRDefault="00743FAE" w:rsidP="008C0D49">
            <w:pPr>
              <w:tabs>
                <w:tab w:val="left" w:pos="180"/>
              </w:tabs>
              <w:ind w:left="-90" w:right="-244"/>
              <w:jc w:val="center"/>
              <w:rPr>
                <w:rFonts w:eastAsia="Calibri"/>
                <w:lang w:val="en-GB"/>
              </w:rPr>
            </w:pPr>
            <w:r>
              <w:rPr>
                <w:rFonts w:eastAsia="Calibri"/>
              </w:rPr>
              <w:t>0.962</w:t>
            </w:r>
          </w:p>
        </w:tc>
        <w:tc>
          <w:tcPr>
            <w:tcW w:w="720" w:type="dxa"/>
            <w:gridSpan w:val="2"/>
            <w:vAlign w:val="center"/>
          </w:tcPr>
          <w:p w:rsidR="008C0D49" w:rsidRPr="00B2481E" w:rsidRDefault="00743FAE" w:rsidP="008C0D49">
            <w:pPr>
              <w:tabs>
                <w:tab w:val="left" w:pos="180"/>
              </w:tabs>
              <w:ind w:left="-90" w:right="-244"/>
              <w:jc w:val="center"/>
              <w:rPr>
                <w:rFonts w:eastAsia="Calibri"/>
                <w:rtl/>
                <w:lang w:val="en-GB"/>
              </w:rPr>
            </w:pPr>
            <w:r>
              <w:rPr>
                <w:rFonts w:eastAsia="Calibri"/>
              </w:rPr>
              <w:t>0.017</w:t>
            </w:r>
          </w:p>
        </w:tc>
        <w:tc>
          <w:tcPr>
            <w:tcW w:w="1260" w:type="dxa"/>
            <w:gridSpan w:val="2"/>
            <w:vAlign w:val="center"/>
          </w:tcPr>
          <w:p w:rsidR="008C0D49" w:rsidRPr="00B2481E" w:rsidRDefault="00743FAE" w:rsidP="008C0D49">
            <w:pPr>
              <w:tabs>
                <w:tab w:val="left" w:pos="180"/>
              </w:tabs>
              <w:ind w:left="-90" w:right="-244"/>
              <w:jc w:val="center"/>
              <w:rPr>
                <w:rFonts w:eastAsia="Calibri"/>
                <w:lang w:val="en-GB"/>
              </w:rPr>
            </w:pPr>
            <w:bookmarkStart w:id="6" w:name="_Hlk161332235"/>
            <w:r w:rsidRPr="00B2481E">
              <w:rPr>
                <w:rFonts w:eastAsia="Calibri"/>
              </w:rPr>
              <w:t>92%</w:t>
            </w:r>
            <w:bookmarkEnd w:id="6"/>
          </w:p>
        </w:tc>
        <w:tc>
          <w:tcPr>
            <w:tcW w:w="720" w:type="dxa"/>
            <w:gridSpan w:val="2"/>
            <w:vAlign w:val="center"/>
          </w:tcPr>
          <w:p w:rsidR="008C0D49" w:rsidRPr="00B2481E" w:rsidRDefault="00743FAE" w:rsidP="008C0D49">
            <w:pPr>
              <w:tabs>
                <w:tab w:val="left" w:pos="180"/>
              </w:tabs>
              <w:ind w:left="-90" w:right="-244"/>
              <w:jc w:val="center"/>
              <w:rPr>
                <w:rFonts w:eastAsia="Calibri"/>
                <w:lang w:val="en-GB"/>
              </w:rPr>
            </w:pPr>
            <w:r w:rsidRPr="00B2481E">
              <w:rPr>
                <w:rFonts w:eastAsia="Calibri"/>
              </w:rPr>
              <w:t>0.001</w:t>
            </w:r>
          </w:p>
        </w:tc>
      </w:tr>
      <w:bookmarkEnd w:id="5"/>
    </w:tbl>
    <w:p w:rsidR="00142035" w:rsidRDefault="00142035" w:rsidP="00142035">
      <w:pPr>
        <w:tabs>
          <w:tab w:val="left" w:pos="180"/>
        </w:tabs>
        <w:bidi/>
        <w:spacing w:after="0" w:line="240" w:lineRule="auto"/>
        <w:ind w:left="-90" w:right="-244"/>
        <w:jc w:val="both"/>
        <w:rPr>
          <w:rFonts w:ascii="Traditional Arabic" w:eastAsia="Times New Roman" w:hAnsi="Traditional Arabic" w:cs="Traditional Arabic"/>
          <w:b/>
          <w:bCs/>
          <w:sz w:val="24"/>
          <w:szCs w:val="24"/>
          <w:rtl/>
          <w:lang w:bidi="ar-EG"/>
        </w:rPr>
      </w:pPr>
    </w:p>
    <w:p w:rsidR="00E5149F" w:rsidRDefault="00E5149F" w:rsidP="00E5149F">
      <w:pPr>
        <w:tabs>
          <w:tab w:val="left" w:pos="180"/>
        </w:tabs>
        <w:spacing w:after="0" w:line="240" w:lineRule="auto"/>
        <w:ind w:left="-90" w:right="-244"/>
        <w:jc w:val="both"/>
        <w:rPr>
          <w:rFonts w:ascii="Traditional Arabic" w:eastAsia="Times New Roman" w:hAnsi="Traditional Arabic" w:cs="Traditional Arabic"/>
          <w:sz w:val="24"/>
          <w:szCs w:val="24"/>
        </w:rPr>
      </w:pPr>
      <w:r w:rsidRPr="00142035">
        <w:rPr>
          <w:rFonts w:ascii="Traditional Arabic" w:eastAsia="Times New Roman" w:hAnsi="Traditional Arabic" w:cs="Traditional Arabic"/>
          <w:sz w:val="24"/>
          <w:szCs w:val="24"/>
        </w:rPr>
        <w:t xml:space="preserve">Table 8 shows that the B values </w:t>
      </w:r>
      <w:r>
        <w:rPr>
          <w:rFonts w:ascii="Traditional Arabic" w:eastAsia="Times New Roman" w:hAnsi="Traditional Arabic" w:cs="Traditional Arabic"/>
          <w:sz w:val="24"/>
          <w:szCs w:val="24"/>
        </w:rPr>
        <w:t>of</w:t>
      </w:r>
      <w:r w:rsidRPr="00142035">
        <w:rPr>
          <w:rFonts w:ascii="Traditional Arabic" w:eastAsia="Times New Roman" w:hAnsi="Traditional Arabic" w:cs="Traditional Arabic"/>
          <w:sz w:val="24"/>
          <w:szCs w:val="24"/>
        </w:rPr>
        <w:t xml:space="preserve"> the regression coefficients of computational thinking skills and</w:t>
      </w:r>
      <w:r w:rsidRPr="00142035">
        <w:t xml:space="preserve"> </w:t>
      </w:r>
      <w:r w:rsidRPr="00142035">
        <w:rPr>
          <w:rFonts w:ascii="Traditional Arabic" w:eastAsia="Times New Roman" w:hAnsi="Traditional Arabic" w:cs="Traditional Arabic"/>
          <w:sz w:val="24"/>
          <w:szCs w:val="24"/>
        </w:rPr>
        <w:t xml:space="preserve">computational self-efficacy are statistically significant at the 0.001 level. This result indicates that academic well-being can be predicted on the </w:t>
      </w:r>
      <w:r>
        <w:rPr>
          <w:rFonts w:ascii="Traditional Arabic" w:eastAsia="Times New Roman" w:hAnsi="Traditional Arabic" w:cs="Traditional Arabic"/>
          <w:sz w:val="24"/>
          <w:szCs w:val="24"/>
        </w:rPr>
        <w:t xml:space="preserve">basis of the </w:t>
      </w:r>
      <w:r w:rsidRPr="00142035">
        <w:rPr>
          <w:rFonts w:ascii="Traditional Arabic" w:eastAsia="Times New Roman" w:hAnsi="Traditional Arabic" w:cs="Traditional Arabic"/>
          <w:sz w:val="24"/>
          <w:szCs w:val="24"/>
        </w:rPr>
        <w:t xml:space="preserve">independent variables </w:t>
      </w:r>
      <w:r>
        <w:rPr>
          <w:rFonts w:ascii="Traditional Arabic" w:eastAsia="Times New Roman" w:hAnsi="Traditional Arabic" w:cs="Traditional Arabic"/>
          <w:sz w:val="24"/>
          <w:szCs w:val="24"/>
        </w:rPr>
        <w:t xml:space="preserve">of </w:t>
      </w:r>
      <w:r w:rsidRPr="00142035">
        <w:rPr>
          <w:rFonts w:ascii="Traditional Arabic" w:eastAsia="Times New Roman" w:hAnsi="Traditional Arabic" w:cs="Traditional Arabic"/>
          <w:sz w:val="24"/>
          <w:szCs w:val="24"/>
        </w:rPr>
        <w:t>computational thinking skills and computational self-efficacy.</w:t>
      </w:r>
    </w:p>
    <w:p w:rsidR="00E5149F" w:rsidRDefault="00E5149F" w:rsidP="00E5149F">
      <w:pPr>
        <w:tabs>
          <w:tab w:val="left" w:pos="180"/>
        </w:tabs>
        <w:spacing w:after="0" w:line="240" w:lineRule="auto"/>
        <w:ind w:left="-90" w:right="-244"/>
        <w:jc w:val="both"/>
        <w:rPr>
          <w:rFonts w:ascii="Traditional Arabic" w:eastAsia="Times New Roman" w:hAnsi="Traditional Arabic" w:cs="Traditional Arabic"/>
          <w:sz w:val="24"/>
          <w:szCs w:val="24"/>
          <w:rtl/>
        </w:rPr>
      </w:pPr>
      <w:r w:rsidRPr="00E71A88">
        <w:rPr>
          <w:rFonts w:ascii="Traditional Arabic" w:eastAsia="Times New Roman" w:hAnsi="Traditional Arabic" w:cs="Traditional Arabic"/>
          <w:sz w:val="24"/>
          <w:szCs w:val="24"/>
        </w:rPr>
        <w:t xml:space="preserve">The results also </w:t>
      </w:r>
      <w:r>
        <w:rPr>
          <w:rFonts w:ascii="Traditional Arabic" w:eastAsia="Times New Roman" w:hAnsi="Traditional Arabic" w:cs="Traditional Arabic"/>
          <w:sz w:val="24"/>
          <w:szCs w:val="24"/>
        </w:rPr>
        <w:t>revealed</w:t>
      </w:r>
      <w:r w:rsidRPr="00E71A88">
        <w:rPr>
          <w:rFonts w:ascii="Traditional Arabic" w:eastAsia="Times New Roman" w:hAnsi="Traditional Arabic" w:cs="Traditional Arabic"/>
          <w:sz w:val="24"/>
          <w:szCs w:val="24"/>
        </w:rPr>
        <w:t xml:space="preserve"> that computational thinking skills and computational self-efficacy contribute 73.1% and 92%, respectively, to the prediction of academic well-being. Therefore, the predictive equation for academic well-being from the computational thinking skills </w:t>
      </w:r>
      <w:r>
        <w:rPr>
          <w:rFonts w:ascii="Traditional Arabic" w:eastAsia="Times New Roman" w:hAnsi="Traditional Arabic" w:cs="Traditional Arabic"/>
          <w:sz w:val="24"/>
          <w:szCs w:val="24"/>
        </w:rPr>
        <w:t>score</w:t>
      </w:r>
      <w:r w:rsidRPr="00E71A88">
        <w:rPr>
          <w:rFonts w:ascii="Traditional Arabic" w:eastAsia="Times New Roman" w:hAnsi="Traditional Arabic" w:cs="Traditional Arabic"/>
          <w:sz w:val="24"/>
          <w:szCs w:val="24"/>
        </w:rPr>
        <w:t xml:space="preserve"> can be processed as follows: </w:t>
      </w:r>
      <w:r>
        <w:rPr>
          <w:rFonts w:ascii="Traditional Arabic" w:eastAsia="Times New Roman" w:hAnsi="Traditional Arabic" w:cs="Traditional Arabic"/>
          <w:sz w:val="24"/>
          <w:szCs w:val="24"/>
        </w:rPr>
        <w:t>the</w:t>
      </w:r>
      <w:r w:rsidRPr="00E71A88">
        <w:rPr>
          <w:rFonts w:ascii="Traditional Arabic" w:eastAsia="Times New Roman" w:hAnsi="Traditional Arabic" w:cs="Traditional Arabic"/>
          <w:sz w:val="24"/>
          <w:szCs w:val="24"/>
        </w:rPr>
        <w:t xml:space="preserve"> predictive equation for academic well-being is 52.099 + 0.855 (computational thinking skills), and the predictive equation for academic well-being from the computational self-efficacy </w:t>
      </w:r>
      <w:r>
        <w:rPr>
          <w:rFonts w:ascii="Traditional Arabic" w:eastAsia="Times New Roman" w:hAnsi="Traditional Arabic" w:cs="Traditional Arabic"/>
          <w:sz w:val="24"/>
          <w:szCs w:val="24"/>
        </w:rPr>
        <w:t>score</w:t>
      </w:r>
      <w:r w:rsidRPr="00E71A88">
        <w:rPr>
          <w:rFonts w:ascii="Traditional Arabic" w:eastAsia="Times New Roman" w:hAnsi="Traditional Arabic" w:cs="Traditional Arabic"/>
          <w:sz w:val="24"/>
          <w:szCs w:val="24"/>
        </w:rPr>
        <w:t xml:space="preserve"> can be processed as follows: </w:t>
      </w:r>
      <w:r>
        <w:rPr>
          <w:rFonts w:ascii="Traditional Arabic" w:eastAsia="Times New Roman" w:hAnsi="Traditional Arabic" w:cs="Traditional Arabic"/>
          <w:sz w:val="24"/>
          <w:szCs w:val="24"/>
        </w:rPr>
        <w:t>the</w:t>
      </w:r>
      <w:r w:rsidRPr="00E71A88">
        <w:rPr>
          <w:rFonts w:ascii="Traditional Arabic" w:eastAsia="Times New Roman" w:hAnsi="Traditional Arabic" w:cs="Traditional Arabic"/>
          <w:sz w:val="24"/>
          <w:szCs w:val="24"/>
        </w:rPr>
        <w:t xml:space="preserve"> predictive equation for academic well-being is 27.439 + 0.962 (computational self-efficacy). These two equations indicate that the higher a student's scores on computational thinking skills and computational self-efficacy</w:t>
      </w:r>
      <w:r>
        <w:rPr>
          <w:rFonts w:ascii="Traditional Arabic" w:eastAsia="Times New Roman" w:hAnsi="Traditional Arabic" w:cs="Traditional Arabic"/>
          <w:sz w:val="24"/>
          <w:szCs w:val="24"/>
        </w:rPr>
        <w:t xml:space="preserve"> are</w:t>
      </w:r>
      <w:r w:rsidRPr="00E71A88">
        <w:rPr>
          <w:rFonts w:ascii="Traditional Arabic" w:eastAsia="Times New Roman" w:hAnsi="Traditional Arabic" w:cs="Traditional Arabic"/>
          <w:sz w:val="24"/>
          <w:szCs w:val="24"/>
        </w:rPr>
        <w:t xml:space="preserve">, the higher his </w:t>
      </w:r>
      <w:r>
        <w:rPr>
          <w:rFonts w:ascii="Traditional Arabic" w:eastAsia="Times New Roman" w:hAnsi="Traditional Arabic" w:cs="Traditional Arabic"/>
          <w:sz w:val="24"/>
          <w:szCs w:val="24"/>
        </w:rPr>
        <w:t xml:space="preserve">or her </w:t>
      </w:r>
      <w:r w:rsidRPr="00E71A88">
        <w:rPr>
          <w:rFonts w:ascii="Traditional Arabic" w:eastAsia="Times New Roman" w:hAnsi="Traditional Arabic" w:cs="Traditional Arabic"/>
          <w:sz w:val="24"/>
          <w:szCs w:val="24"/>
        </w:rPr>
        <w:t>academic well-being scores</w:t>
      </w:r>
      <w:r>
        <w:rPr>
          <w:rFonts w:ascii="Traditional Arabic" w:eastAsia="Times New Roman" w:hAnsi="Traditional Arabic" w:cs="Traditional Arabic"/>
          <w:sz w:val="24"/>
          <w:szCs w:val="24"/>
        </w:rPr>
        <w:t xml:space="preserve"> are</w:t>
      </w:r>
      <w:r w:rsidRPr="00E71A88">
        <w:rPr>
          <w:rFonts w:ascii="Traditional Arabic" w:eastAsia="Times New Roman" w:hAnsi="Traditional Arabic" w:cs="Traditional Arabic"/>
          <w:sz w:val="24"/>
          <w:szCs w:val="24"/>
        </w:rPr>
        <w:t>, and vice versa.</w:t>
      </w:r>
    </w:p>
    <w:p w:rsidR="00E5149F" w:rsidRDefault="00E5149F" w:rsidP="00E5149F">
      <w:pPr>
        <w:tabs>
          <w:tab w:val="left" w:pos="180"/>
        </w:tabs>
        <w:spacing w:after="0" w:line="240" w:lineRule="auto"/>
        <w:ind w:left="-90" w:right="-244"/>
        <w:jc w:val="both"/>
        <w:rPr>
          <w:rFonts w:ascii="Traditional Arabic" w:eastAsia="Times New Roman" w:hAnsi="Traditional Arabic" w:cs="Traditional Arabic"/>
          <w:sz w:val="24"/>
          <w:szCs w:val="24"/>
        </w:rPr>
      </w:pPr>
      <w:r>
        <w:rPr>
          <w:rFonts w:ascii="Traditional Arabic" w:eastAsia="Times New Roman" w:hAnsi="Traditional Arabic" w:cs="Traditional Arabic"/>
          <w:sz w:val="24"/>
          <w:szCs w:val="24"/>
        </w:rPr>
        <w:t xml:space="preserve">This result is consistent with the study of </w:t>
      </w:r>
      <w:proofErr w:type="spellStart"/>
      <w:r>
        <w:rPr>
          <w:rFonts w:ascii="Traditional Arabic" w:eastAsia="Times New Roman" w:hAnsi="Traditional Arabic" w:cs="Traditional Arabic"/>
          <w:sz w:val="24"/>
          <w:szCs w:val="24"/>
        </w:rPr>
        <w:t>Serinci</w:t>
      </w:r>
      <w:proofErr w:type="spellEnd"/>
      <w:r>
        <w:rPr>
          <w:rFonts w:ascii="Traditional Arabic" w:eastAsia="Times New Roman" w:hAnsi="Traditional Arabic" w:cs="Traditional Arabic"/>
          <w:sz w:val="24"/>
          <w:szCs w:val="24"/>
        </w:rPr>
        <w:t xml:space="preserve"> et al. (2023), who reported that academic self-efficacy significantly predicts subjective well-being; and the study of </w:t>
      </w:r>
      <w:proofErr w:type="spellStart"/>
      <w:r>
        <w:rPr>
          <w:rFonts w:ascii="Traditional Arabic" w:eastAsia="Times New Roman" w:hAnsi="Traditional Arabic" w:cs="Traditional Arabic"/>
          <w:sz w:val="24"/>
          <w:szCs w:val="24"/>
        </w:rPr>
        <w:t>Khodapanah</w:t>
      </w:r>
      <w:proofErr w:type="spellEnd"/>
      <w:r>
        <w:rPr>
          <w:rFonts w:ascii="Traditional Arabic" w:eastAsia="Times New Roman" w:hAnsi="Traditional Arabic" w:cs="Traditional Arabic"/>
          <w:sz w:val="24"/>
          <w:szCs w:val="24"/>
        </w:rPr>
        <w:t xml:space="preserve"> &amp; </w:t>
      </w:r>
      <w:proofErr w:type="spellStart"/>
      <w:r>
        <w:rPr>
          <w:rFonts w:ascii="Traditional Arabic" w:eastAsia="Times New Roman" w:hAnsi="Traditional Arabic" w:cs="Traditional Arabic"/>
          <w:sz w:val="24"/>
          <w:szCs w:val="24"/>
        </w:rPr>
        <w:t>Tamannaeifar</w:t>
      </w:r>
      <w:proofErr w:type="spellEnd"/>
      <w:r>
        <w:rPr>
          <w:rFonts w:ascii="Traditional Arabic" w:eastAsia="Times New Roman" w:hAnsi="Traditional Arabic" w:cs="Traditional Arabic"/>
          <w:sz w:val="24"/>
          <w:szCs w:val="24"/>
        </w:rPr>
        <w:t xml:space="preserve"> (2023), who reported that academic self-efficacy predicts academic well-being and that it plays a strong role in explaining the variance of academic well-being. What confirms that computational self-efficacy can be a good predictor of academic well-being is the presence of a statistically significant correlation at 0.01 between computational self-efficacy and academic well-being (Table 6), and studies have indicated the presence of a positive relationship between self-efficacy and academic well-being and that the learner’s display of high levels of academic self-efficacy is accompanied by high levels of academic well-being (</w:t>
      </w:r>
      <w:proofErr w:type="spellStart"/>
      <w:r>
        <w:rPr>
          <w:rFonts w:ascii="Traditional Arabic" w:eastAsia="Times New Roman" w:hAnsi="Traditional Arabic" w:cs="Traditional Arabic"/>
          <w:sz w:val="24"/>
          <w:szCs w:val="24"/>
        </w:rPr>
        <w:t>Mohtasham</w:t>
      </w:r>
      <w:proofErr w:type="spellEnd"/>
      <w:r>
        <w:rPr>
          <w:rFonts w:ascii="Traditional Arabic" w:eastAsia="Times New Roman" w:hAnsi="Traditional Arabic" w:cs="Traditional Arabic"/>
          <w:sz w:val="24"/>
          <w:szCs w:val="24"/>
        </w:rPr>
        <w:t xml:space="preserve"> et al., 2024; </w:t>
      </w:r>
      <w:proofErr w:type="spellStart"/>
      <w:r>
        <w:rPr>
          <w:rFonts w:ascii="Traditional Arabic" w:eastAsia="Times New Roman" w:hAnsi="Traditional Arabic" w:cs="Traditional Arabic"/>
          <w:sz w:val="24"/>
          <w:szCs w:val="24"/>
        </w:rPr>
        <w:t>Serinci</w:t>
      </w:r>
      <w:proofErr w:type="spellEnd"/>
      <w:r>
        <w:rPr>
          <w:rFonts w:ascii="Traditional Arabic" w:eastAsia="Times New Roman" w:hAnsi="Traditional Arabic" w:cs="Traditional Arabic"/>
          <w:sz w:val="24"/>
          <w:szCs w:val="24"/>
        </w:rPr>
        <w:t xml:space="preserve"> et al., 2023; </w:t>
      </w:r>
      <w:proofErr w:type="spellStart"/>
      <w:r>
        <w:rPr>
          <w:rFonts w:ascii="Traditional Arabic" w:eastAsia="Times New Roman" w:hAnsi="Traditional Arabic" w:cs="Traditional Arabic"/>
          <w:sz w:val="24"/>
          <w:szCs w:val="24"/>
        </w:rPr>
        <w:t>Khodapanah</w:t>
      </w:r>
      <w:proofErr w:type="spellEnd"/>
      <w:r>
        <w:rPr>
          <w:rFonts w:ascii="Traditional Arabic" w:eastAsia="Times New Roman" w:hAnsi="Traditional Arabic" w:cs="Traditional Arabic"/>
          <w:sz w:val="24"/>
          <w:szCs w:val="24"/>
        </w:rPr>
        <w:t xml:space="preserve"> &amp; </w:t>
      </w:r>
      <w:proofErr w:type="spellStart"/>
      <w:r>
        <w:rPr>
          <w:rFonts w:ascii="Traditional Arabic" w:eastAsia="Times New Roman" w:hAnsi="Traditional Arabic" w:cs="Traditional Arabic"/>
          <w:sz w:val="24"/>
          <w:szCs w:val="24"/>
        </w:rPr>
        <w:t>Tamannaeifar</w:t>
      </w:r>
      <w:proofErr w:type="spellEnd"/>
      <w:r>
        <w:rPr>
          <w:rFonts w:ascii="Traditional Arabic" w:eastAsia="Times New Roman" w:hAnsi="Traditional Arabic" w:cs="Traditional Arabic"/>
          <w:sz w:val="24"/>
          <w:szCs w:val="24"/>
        </w:rPr>
        <w:t>, 2023).</w:t>
      </w:r>
    </w:p>
    <w:p w:rsidR="00D05C75" w:rsidRPr="005D424E" w:rsidRDefault="00743FAE" w:rsidP="002B66EF">
      <w:pPr>
        <w:tabs>
          <w:tab w:val="left" w:pos="180"/>
        </w:tabs>
        <w:spacing w:after="0" w:line="240" w:lineRule="auto"/>
        <w:ind w:left="-90" w:right="-244"/>
        <w:jc w:val="both"/>
        <w:rPr>
          <w:rFonts w:ascii="Traditional Arabic" w:eastAsia="Times New Roman" w:hAnsi="Traditional Arabic" w:cs="Traditional Arabic"/>
          <w:sz w:val="24"/>
          <w:szCs w:val="24"/>
        </w:rPr>
      </w:pPr>
      <w:r w:rsidRPr="00DA65AD">
        <w:rPr>
          <w:rFonts w:cs="Traditional Arabic"/>
          <w:b/>
          <w:bCs/>
          <w:sz w:val="28"/>
          <w:szCs w:val="28"/>
          <w:lang w:bidi="ar-EG"/>
        </w:rPr>
        <w:t>Suggestions</w:t>
      </w:r>
    </w:p>
    <w:p w:rsidR="00E345FF" w:rsidRPr="00E345FF" w:rsidRDefault="00743FAE" w:rsidP="00E345FF">
      <w:pPr>
        <w:tabs>
          <w:tab w:val="left" w:pos="180"/>
        </w:tabs>
        <w:spacing w:after="0" w:line="240" w:lineRule="auto"/>
        <w:ind w:left="-90" w:right="-244"/>
        <w:jc w:val="both"/>
        <w:rPr>
          <w:rFonts w:ascii="Traditional Arabic" w:eastAsia="Times New Roman" w:hAnsi="Traditional Arabic" w:cs="Traditional Arabic"/>
          <w:sz w:val="24"/>
          <w:szCs w:val="24"/>
        </w:rPr>
      </w:pPr>
      <w:r w:rsidRPr="00E345FF">
        <w:rPr>
          <w:rFonts w:ascii="Traditional Arabic" w:eastAsia="Times New Roman" w:hAnsi="Traditional Arabic" w:cs="Traditional Arabic"/>
          <w:sz w:val="24"/>
          <w:szCs w:val="24"/>
        </w:rPr>
        <w:lastRenderedPageBreak/>
        <w:t xml:space="preserve">In light of </w:t>
      </w:r>
      <w:r>
        <w:rPr>
          <w:rFonts w:ascii="Traditional Arabic" w:eastAsia="Times New Roman" w:hAnsi="Traditional Arabic" w:cs="Traditional Arabic"/>
          <w:sz w:val="24"/>
          <w:szCs w:val="24"/>
        </w:rPr>
        <w:t>these</w:t>
      </w:r>
      <w:r w:rsidRPr="00E345FF">
        <w:rPr>
          <w:rFonts w:ascii="Traditional Arabic" w:eastAsia="Times New Roman" w:hAnsi="Traditional Arabic" w:cs="Traditional Arabic"/>
          <w:sz w:val="24"/>
          <w:szCs w:val="24"/>
        </w:rPr>
        <w:t xml:space="preserve"> results, the current study suggests the following:</w:t>
      </w:r>
    </w:p>
    <w:p w:rsidR="00E5149F" w:rsidRPr="007062A7" w:rsidRDefault="00E5149F" w:rsidP="00E5149F">
      <w:pPr>
        <w:pStyle w:val="a5"/>
        <w:numPr>
          <w:ilvl w:val="0"/>
          <w:numId w:val="18"/>
        </w:numPr>
        <w:tabs>
          <w:tab w:val="left" w:pos="180"/>
        </w:tabs>
        <w:spacing w:after="0" w:line="240" w:lineRule="auto"/>
        <w:ind w:right="-244"/>
        <w:jc w:val="both"/>
        <w:rPr>
          <w:rFonts w:ascii="Traditional Arabic" w:eastAsia="Times New Roman" w:hAnsi="Traditional Arabic" w:cs="Traditional Arabic"/>
          <w:sz w:val="24"/>
          <w:szCs w:val="24"/>
        </w:rPr>
      </w:pPr>
      <w:r>
        <w:rPr>
          <w:rFonts w:ascii="Traditional Arabic" w:eastAsia="Times New Roman" w:hAnsi="Traditional Arabic" w:cs="Traditional Arabic" w:hint="cs"/>
          <w:sz w:val="24"/>
          <w:szCs w:val="24"/>
          <w:rtl/>
        </w:rPr>
        <w:t xml:space="preserve"> </w:t>
      </w:r>
      <w:r>
        <w:rPr>
          <w:rFonts w:ascii="Traditional Arabic" w:eastAsia="Times New Roman" w:hAnsi="Traditional Arabic" w:cs="Traditional Arabic"/>
          <w:sz w:val="24"/>
          <w:szCs w:val="24"/>
        </w:rPr>
        <w:t>Different</w:t>
      </w:r>
      <w:r w:rsidRPr="007062A7">
        <w:rPr>
          <w:rFonts w:ascii="Traditional Arabic" w:eastAsia="Times New Roman" w:hAnsi="Traditional Arabic" w:cs="Traditional Arabic"/>
          <w:sz w:val="24"/>
          <w:szCs w:val="24"/>
        </w:rPr>
        <w:t xml:space="preserve"> educational interventions </w:t>
      </w:r>
      <w:r>
        <w:rPr>
          <w:rFonts w:ascii="Traditional Arabic" w:eastAsia="Times New Roman" w:hAnsi="Traditional Arabic" w:cs="Traditional Arabic"/>
          <w:sz w:val="24"/>
          <w:szCs w:val="24"/>
        </w:rPr>
        <w:t>can</w:t>
      </w:r>
      <w:r w:rsidRPr="007062A7">
        <w:rPr>
          <w:rFonts w:ascii="Traditional Arabic" w:eastAsia="Times New Roman" w:hAnsi="Traditional Arabic" w:cs="Traditional Arabic"/>
          <w:sz w:val="24"/>
          <w:szCs w:val="24"/>
        </w:rPr>
        <w:t xml:space="preserve"> enhance students’ computational thinking skills, computational self-efficacy, and academic well-being.</w:t>
      </w:r>
    </w:p>
    <w:p w:rsidR="00E5149F" w:rsidRPr="007062A7" w:rsidRDefault="00E5149F" w:rsidP="00E5149F">
      <w:pPr>
        <w:pStyle w:val="a5"/>
        <w:numPr>
          <w:ilvl w:val="0"/>
          <w:numId w:val="18"/>
        </w:numPr>
        <w:tabs>
          <w:tab w:val="left" w:pos="180"/>
        </w:tabs>
        <w:spacing w:after="0" w:line="240" w:lineRule="auto"/>
        <w:ind w:right="-244"/>
        <w:jc w:val="both"/>
        <w:rPr>
          <w:rFonts w:ascii="Traditional Arabic" w:eastAsia="Times New Roman" w:hAnsi="Traditional Arabic" w:cs="Traditional Arabic"/>
          <w:sz w:val="24"/>
          <w:szCs w:val="24"/>
        </w:rPr>
      </w:pPr>
      <w:r w:rsidRPr="007062A7">
        <w:rPr>
          <w:rFonts w:ascii="Traditional Arabic" w:eastAsia="Times New Roman" w:hAnsi="Traditional Arabic" w:cs="Traditional Arabic"/>
          <w:sz w:val="24"/>
          <w:szCs w:val="24"/>
        </w:rPr>
        <w:t xml:space="preserve">Designing and implementing educational programs and interventions that aim to enhance computational thinking skills </w:t>
      </w:r>
      <w:r>
        <w:rPr>
          <w:rFonts w:ascii="Traditional Arabic" w:eastAsia="Times New Roman" w:hAnsi="Traditional Arabic" w:cs="Traditional Arabic"/>
          <w:sz w:val="24"/>
          <w:szCs w:val="24"/>
        </w:rPr>
        <w:t xml:space="preserve">and </w:t>
      </w:r>
      <w:r w:rsidRPr="007062A7">
        <w:rPr>
          <w:rFonts w:ascii="Traditional Arabic" w:eastAsia="Times New Roman" w:hAnsi="Traditional Arabic" w:cs="Traditional Arabic"/>
          <w:sz w:val="24"/>
          <w:szCs w:val="24"/>
        </w:rPr>
        <w:t>computational self-efficacy and maintain academic well-being for all students.</w:t>
      </w:r>
    </w:p>
    <w:p w:rsidR="00E5149F" w:rsidRDefault="00E5149F" w:rsidP="00E5149F">
      <w:pPr>
        <w:pStyle w:val="a5"/>
        <w:numPr>
          <w:ilvl w:val="0"/>
          <w:numId w:val="18"/>
        </w:numPr>
        <w:tabs>
          <w:tab w:val="left" w:pos="180"/>
        </w:tabs>
        <w:spacing w:after="0" w:line="240" w:lineRule="auto"/>
        <w:ind w:right="-244"/>
        <w:jc w:val="both"/>
        <w:rPr>
          <w:rFonts w:ascii="Traditional Arabic" w:eastAsia="Times New Roman" w:hAnsi="Traditional Arabic" w:cs="Traditional Arabic"/>
          <w:sz w:val="24"/>
          <w:szCs w:val="24"/>
        </w:rPr>
      </w:pPr>
      <w:r>
        <w:rPr>
          <w:rFonts w:ascii="Traditional Arabic" w:eastAsia="Times New Roman" w:hAnsi="Traditional Arabic" w:cs="Traditional Arabic"/>
          <w:sz w:val="24"/>
          <w:szCs w:val="24"/>
        </w:rPr>
        <w:t>Computational</w:t>
      </w:r>
      <w:r w:rsidRPr="007062A7">
        <w:rPr>
          <w:rFonts w:ascii="Traditional Arabic" w:eastAsia="Times New Roman" w:hAnsi="Traditional Arabic" w:cs="Traditional Arabic"/>
          <w:sz w:val="24"/>
          <w:szCs w:val="24"/>
        </w:rPr>
        <w:t xml:space="preserve"> thinking skills and computer self-efficacy </w:t>
      </w:r>
      <w:r>
        <w:rPr>
          <w:rFonts w:ascii="Traditional Arabic" w:eastAsia="Times New Roman" w:hAnsi="Traditional Arabic" w:cs="Traditional Arabic"/>
          <w:sz w:val="24"/>
          <w:szCs w:val="24"/>
        </w:rPr>
        <w:t xml:space="preserve">are incorporated </w:t>
      </w:r>
      <w:r w:rsidRPr="007062A7">
        <w:rPr>
          <w:rFonts w:ascii="Traditional Arabic" w:eastAsia="Times New Roman" w:hAnsi="Traditional Arabic" w:cs="Traditional Arabic"/>
          <w:sz w:val="24"/>
          <w:szCs w:val="24"/>
        </w:rPr>
        <w:t>as part of the curriculum offered in student preparation programs.</w:t>
      </w:r>
    </w:p>
    <w:p w:rsidR="00E5149F" w:rsidRDefault="00E5149F" w:rsidP="00E5149F">
      <w:pPr>
        <w:pStyle w:val="a5"/>
        <w:numPr>
          <w:ilvl w:val="0"/>
          <w:numId w:val="18"/>
        </w:numPr>
        <w:tabs>
          <w:tab w:val="left" w:pos="180"/>
        </w:tabs>
        <w:spacing w:after="0" w:line="240" w:lineRule="auto"/>
        <w:ind w:right="-244"/>
        <w:jc w:val="both"/>
        <w:rPr>
          <w:rFonts w:ascii="Traditional Arabic" w:eastAsia="Times New Roman" w:hAnsi="Traditional Arabic" w:cs="Traditional Arabic"/>
          <w:sz w:val="24"/>
          <w:szCs w:val="24"/>
        </w:rPr>
      </w:pPr>
      <w:r>
        <w:rPr>
          <w:rFonts w:ascii="Traditional Arabic" w:eastAsia="Times New Roman" w:hAnsi="Traditional Arabic" w:cs="Traditional Arabic"/>
          <w:sz w:val="24"/>
          <w:szCs w:val="24"/>
        </w:rPr>
        <w:t>Multiple</w:t>
      </w:r>
      <w:r w:rsidRPr="007062A7">
        <w:rPr>
          <w:rFonts w:ascii="Traditional Arabic" w:eastAsia="Times New Roman" w:hAnsi="Traditional Arabic" w:cs="Traditional Arabic"/>
          <w:sz w:val="24"/>
          <w:szCs w:val="24"/>
        </w:rPr>
        <w:t xml:space="preserve"> regression models </w:t>
      </w:r>
      <w:r>
        <w:rPr>
          <w:rFonts w:ascii="Traditional Arabic" w:eastAsia="Times New Roman" w:hAnsi="Traditional Arabic" w:cs="Traditional Arabic"/>
          <w:sz w:val="24"/>
          <w:szCs w:val="24"/>
        </w:rPr>
        <w:t xml:space="preserve">are developed </w:t>
      </w:r>
      <w:r w:rsidRPr="007062A7">
        <w:rPr>
          <w:rFonts w:ascii="Traditional Arabic" w:eastAsia="Times New Roman" w:hAnsi="Traditional Arabic" w:cs="Traditional Arabic"/>
          <w:sz w:val="24"/>
          <w:szCs w:val="24"/>
        </w:rPr>
        <w:t xml:space="preserve">by considering cognitive and </w:t>
      </w:r>
      <w:proofErr w:type="spellStart"/>
      <w:r>
        <w:rPr>
          <w:rFonts w:ascii="Traditional Arabic" w:eastAsia="Times New Roman" w:hAnsi="Traditional Arabic" w:cs="Traditional Arabic"/>
          <w:sz w:val="24"/>
          <w:szCs w:val="24"/>
        </w:rPr>
        <w:t>noncognitive</w:t>
      </w:r>
      <w:proofErr w:type="spellEnd"/>
      <w:r w:rsidRPr="007062A7">
        <w:rPr>
          <w:rFonts w:ascii="Traditional Arabic" w:eastAsia="Times New Roman" w:hAnsi="Traditional Arabic" w:cs="Traditional Arabic"/>
          <w:sz w:val="24"/>
          <w:szCs w:val="24"/>
        </w:rPr>
        <w:t xml:space="preserve"> (affective) variables that predict academic well-being.</w:t>
      </w:r>
    </w:p>
    <w:p w:rsidR="006C2660" w:rsidRPr="00D5002B" w:rsidRDefault="006C2660" w:rsidP="006C2660">
      <w:pPr>
        <w:spacing w:before="240" w:line="240" w:lineRule="auto"/>
        <w:ind w:left="426" w:hanging="426"/>
        <w:jc w:val="both"/>
        <w:rPr>
          <w:rFonts w:cs="Minion Pro"/>
          <w:b/>
          <w:bCs/>
          <w:color w:val="000000"/>
          <w:sz w:val="24"/>
          <w:szCs w:val="24"/>
        </w:rPr>
      </w:pPr>
      <w:r w:rsidRPr="00D5002B">
        <w:rPr>
          <w:rFonts w:cs="Minion Pro"/>
          <w:b/>
          <w:bCs/>
          <w:color w:val="000000"/>
          <w:sz w:val="24"/>
          <w:szCs w:val="24"/>
        </w:rPr>
        <w:t>References</w:t>
      </w:r>
    </w:p>
    <w:p w:rsidR="006C2660" w:rsidRDefault="006C2660" w:rsidP="006C2660">
      <w:pPr>
        <w:spacing w:line="240" w:lineRule="auto"/>
        <w:ind w:left="426" w:hanging="426"/>
        <w:jc w:val="both"/>
        <w:rPr>
          <w:rFonts w:asciiTheme="majorBidi" w:hAnsiTheme="majorBidi" w:cstheme="majorBidi"/>
          <w:color w:val="000000"/>
        </w:rPr>
      </w:pPr>
      <w:proofErr w:type="spellStart"/>
      <w:r w:rsidRPr="00137B33">
        <w:rPr>
          <w:rFonts w:asciiTheme="majorBidi" w:hAnsiTheme="majorBidi" w:cstheme="majorBidi"/>
          <w:color w:val="000000"/>
        </w:rPr>
        <w:t>Afari</w:t>
      </w:r>
      <w:proofErr w:type="spellEnd"/>
      <w:r w:rsidRPr="00137B33">
        <w:rPr>
          <w:rFonts w:asciiTheme="majorBidi" w:hAnsiTheme="majorBidi" w:cstheme="majorBidi"/>
          <w:color w:val="000000"/>
        </w:rPr>
        <w:t xml:space="preserve"> E, </w:t>
      </w:r>
      <w:proofErr w:type="spellStart"/>
      <w:r w:rsidRPr="00137B33">
        <w:rPr>
          <w:rFonts w:asciiTheme="majorBidi" w:hAnsiTheme="majorBidi" w:cstheme="majorBidi"/>
          <w:color w:val="000000"/>
        </w:rPr>
        <w:t>Eksail</w:t>
      </w:r>
      <w:proofErr w:type="spellEnd"/>
      <w:r w:rsidRPr="00137B33">
        <w:rPr>
          <w:rFonts w:asciiTheme="majorBidi" w:hAnsiTheme="majorBidi" w:cstheme="majorBidi"/>
          <w:color w:val="000000"/>
        </w:rPr>
        <w:t xml:space="preserve"> FAA, </w:t>
      </w:r>
      <w:proofErr w:type="spellStart"/>
      <w:r w:rsidRPr="00137B33">
        <w:rPr>
          <w:rFonts w:asciiTheme="majorBidi" w:hAnsiTheme="majorBidi" w:cstheme="majorBidi"/>
          <w:color w:val="000000"/>
        </w:rPr>
        <w:t>Khine</w:t>
      </w:r>
      <w:proofErr w:type="spellEnd"/>
      <w:r w:rsidRPr="00137B33">
        <w:rPr>
          <w:rFonts w:asciiTheme="majorBidi" w:hAnsiTheme="majorBidi" w:cstheme="majorBidi"/>
          <w:color w:val="000000"/>
        </w:rPr>
        <w:t xml:space="preserve"> MS, </w:t>
      </w:r>
      <w:r>
        <w:rPr>
          <w:rFonts w:asciiTheme="majorBidi" w:hAnsiTheme="majorBidi" w:cstheme="majorBidi"/>
          <w:color w:val="000000"/>
        </w:rPr>
        <w:t xml:space="preserve">&amp; </w:t>
      </w:r>
      <w:proofErr w:type="spellStart"/>
      <w:r w:rsidRPr="00137B33">
        <w:rPr>
          <w:rFonts w:asciiTheme="majorBidi" w:hAnsiTheme="majorBidi" w:cstheme="majorBidi"/>
          <w:color w:val="000000"/>
        </w:rPr>
        <w:t>Alaam</w:t>
      </w:r>
      <w:proofErr w:type="spellEnd"/>
      <w:r w:rsidRPr="00137B33">
        <w:rPr>
          <w:rFonts w:asciiTheme="majorBidi" w:hAnsiTheme="majorBidi" w:cstheme="majorBidi"/>
          <w:color w:val="000000"/>
        </w:rPr>
        <w:t xml:space="preserve"> SA. </w:t>
      </w:r>
      <w:r>
        <w:rPr>
          <w:rFonts w:asciiTheme="majorBidi" w:hAnsiTheme="majorBidi" w:cstheme="majorBidi"/>
          <w:color w:val="000000"/>
        </w:rPr>
        <w:t xml:space="preserve">(2023). </w:t>
      </w:r>
      <w:r w:rsidRPr="00137B33">
        <w:rPr>
          <w:rFonts w:asciiTheme="majorBidi" w:hAnsiTheme="majorBidi" w:cstheme="majorBidi"/>
          <w:color w:val="000000"/>
        </w:rPr>
        <w:t xml:space="preserve">Computer self-efficacy and ICT </w:t>
      </w:r>
      <w:r w:rsidRPr="00D5002B">
        <w:rPr>
          <w:lang w:bidi="ar-EG"/>
        </w:rPr>
        <w:t>integration</w:t>
      </w:r>
      <w:r w:rsidRPr="00137B33">
        <w:rPr>
          <w:rFonts w:asciiTheme="majorBidi" w:hAnsiTheme="majorBidi" w:cstheme="majorBidi"/>
          <w:color w:val="000000"/>
        </w:rPr>
        <w:t xml:space="preserve"> in education: Structural relationship and mediating effects. </w:t>
      </w:r>
      <w:proofErr w:type="spellStart"/>
      <w:r w:rsidRPr="00137B33">
        <w:rPr>
          <w:rFonts w:asciiTheme="majorBidi" w:hAnsiTheme="majorBidi" w:cstheme="majorBidi"/>
          <w:color w:val="000000"/>
        </w:rPr>
        <w:t>Educ</w:t>
      </w:r>
      <w:proofErr w:type="spellEnd"/>
      <w:r w:rsidRPr="00137B33">
        <w:rPr>
          <w:rFonts w:asciiTheme="majorBidi" w:hAnsiTheme="majorBidi" w:cstheme="majorBidi"/>
          <w:color w:val="000000"/>
        </w:rPr>
        <w:t xml:space="preserve"> </w:t>
      </w:r>
      <w:proofErr w:type="spellStart"/>
      <w:r w:rsidRPr="00137B33">
        <w:rPr>
          <w:rFonts w:asciiTheme="majorBidi" w:hAnsiTheme="majorBidi" w:cstheme="majorBidi"/>
          <w:color w:val="000000"/>
        </w:rPr>
        <w:t>Inf</w:t>
      </w:r>
      <w:proofErr w:type="spellEnd"/>
      <w:r w:rsidRPr="00137B33">
        <w:rPr>
          <w:rFonts w:asciiTheme="majorBidi" w:hAnsiTheme="majorBidi" w:cstheme="majorBidi"/>
          <w:color w:val="000000"/>
        </w:rPr>
        <w:t xml:space="preserve"> </w:t>
      </w:r>
      <w:proofErr w:type="spellStart"/>
      <w:r w:rsidRPr="00137B33">
        <w:rPr>
          <w:rFonts w:asciiTheme="majorBidi" w:hAnsiTheme="majorBidi" w:cstheme="majorBidi"/>
          <w:color w:val="000000"/>
        </w:rPr>
        <w:t>Technol</w:t>
      </w:r>
      <w:proofErr w:type="spellEnd"/>
      <w:r w:rsidRPr="00137B33">
        <w:rPr>
          <w:rFonts w:asciiTheme="majorBidi" w:hAnsiTheme="majorBidi" w:cstheme="majorBidi"/>
          <w:color w:val="000000"/>
        </w:rPr>
        <w:t xml:space="preserve"> (</w:t>
      </w:r>
      <w:proofErr w:type="spellStart"/>
      <w:r w:rsidRPr="00137B33">
        <w:rPr>
          <w:rFonts w:asciiTheme="majorBidi" w:hAnsiTheme="majorBidi" w:cstheme="majorBidi"/>
          <w:color w:val="000000"/>
        </w:rPr>
        <w:t>Dordr</w:t>
      </w:r>
      <w:proofErr w:type="spellEnd"/>
      <w:r w:rsidRPr="00137B33">
        <w:rPr>
          <w:rFonts w:asciiTheme="majorBidi" w:hAnsiTheme="majorBidi" w:cstheme="majorBidi"/>
          <w:color w:val="000000"/>
        </w:rPr>
        <w:t xml:space="preserve">). 2023 Mar 3:1-17. </w:t>
      </w:r>
      <w:hyperlink r:id="rId9" w:history="1">
        <w:r w:rsidRPr="00FF30D8">
          <w:rPr>
            <w:rStyle w:val="Hyperlink"/>
            <w:rFonts w:asciiTheme="majorBidi" w:hAnsiTheme="majorBidi" w:cstheme="majorBidi"/>
          </w:rPr>
          <w:t>https://doi.org/10.1007/s10639-023-11679-8</w:t>
        </w:r>
      </w:hyperlink>
    </w:p>
    <w:p w:rsidR="006C2660" w:rsidRPr="00230DFA" w:rsidRDefault="006C2660" w:rsidP="006C2660">
      <w:pPr>
        <w:pStyle w:val="Pa31"/>
        <w:ind w:left="220" w:hanging="220"/>
        <w:jc w:val="both"/>
        <w:rPr>
          <w:rtl/>
          <w:lang w:bidi="ar-EG"/>
        </w:rPr>
      </w:pPr>
      <w:r w:rsidRPr="00567AB2">
        <w:rPr>
          <w:lang w:bidi="ar-EG"/>
        </w:rPr>
        <w:t xml:space="preserve"> </w:t>
      </w:r>
      <w:proofErr w:type="spellStart"/>
      <w:r w:rsidRPr="00D5002B">
        <w:rPr>
          <w:rFonts w:asciiTheme="minorHAnsi" w:hAnsiTheme="minorHAnsi" w:cstheme="minorBidi"/>
          <w:sz w:val="22"/>
          <w:szCs w:val="22"/>
          <w:lang w:bidi="ar-EG"/>
        </w:rPr>
        <w:t>Ahadi</w:t>
      </w:r>
      <w:proofErr w:type="spellEnd"/>
      <w:r w:rsidRPr="00230DFA">
        <w:rPr>
          <w:lang w:bidi="ar-EG"/>
        </w:rPr>
        <w:t xml:space="preserve">, A., Lister, R., </w:t>
      </w:r>
      <w:proofErr w:type="spellStart"/>
      <w:r w:rsidRPr="00230DFA">
        <w:rPr>
          <w:lang w:bidi="ar-EG"/>
        </w:rPr>
        <w:t>Lal</w:t>
      </w:r>
      <w:proofErr w:type="spellEnd"/>
      <w:r w:rsidRPr="00230DFA">
        <w:rPr>
          <w:lang w:bidi="ar-EG"/>
        </w:rPr>
        <w:t xml:space="preserve">, S., </w:t>
      </w:r>
      <w:proofErr w:type="spellStart"/>
      <w:r w:rsidRPr="00230DFA">
        <w:rPr>
          <w:lang w:bidi="ar-EG"/>
        </w:rPr>
        <w:t>Leinonen</w:t>
      </w:r>
      <w:proofErr w:type="spellEnd"/>
      <w:r w:rsidRPr="00230DFA">
        <w:rPr>
          <w:lang w:bidi="ar-EG"/>
        </w:rPr>
        <w:t>, J., &amp; Hellas, A. (2017). Performance and Consistency</w:t>
      </w:r>
      <w:r w:rsidRPr="00230DFA">
        <w:rPr>
          <w:rFonts w:hint="cs"/>
          <w:rtl/>
          <w:lang w:bidi="ar-EG"/>
        </w:rPr>
        <w:t xml:space="preserve"> </w:t>
      </w:r>
      <w:r w:rsidRPr="00230DFA">
        <w:rPr>
          <w:lang w:bidi="ar-EG"/>
        </w:rPr>
        <w:t xml:space="preserve">in Learning to Program. </w:t>
      </w:r>
      <w:r w:rsidRPr="00230DFA">
        <w:rPr>
          <w:i/>
          <w:iCs/>
          <w:lang w:bidi="ar-EG"/>
        </w:rPr>
        <w:t>Proceedings of the Nineteenth Australasian Computing Education</w:t>
      </w:r>
      <w:r w:rsidRPr="00230DFA">
        <w:rPr>
          <w:rFonts w:hint="cs"/>
          <w:i/>
          <w:iCs/>
          <w:rtl/>
          <w:lang w:bidi="ar-EG"/>
        </w:rPr>
        <w:t xml:space="preserve"> </w:t>
      </w:r>
      <w:r w:rsidRPr="00230DFA">
        <w:rPr>
          <w:i/>
          <w:iCs/>
          <w:lang w:bidi="ar-EG"/>
        </w:rPr>
        <w:t xml:space="preserve">Conference </w:t>
      </w:r>
      <w:r w:rsidRPr="00230DFA">
        <w:rPr>
          <w:lang w:bidi="ar-EG"/>
        </w:rPr>
        <w:t xml:space="preserve">(pp. 11–16). ACM. </w:t>
      </w:r>
      <w:hyperlink r:id="rId10" w:history="1">
        <w:r w:rsidRPr="00230DFA">
          <w:rPr>
            <w:rStyle w:val="Hyperlink"/>
            <w:lang w:bidi="ar-EG"/>
          </w:rPr>
          <w:t>https://doi.org/10.1145/3013499.3013503</w:t>
        </w:r>
      </w:hyperlink>
    </w:p>
    <w:p w:rsidR="006C2660" w:rsidRDefault="006C2660" w:rsidP="006C2660">
      <w:pPr>
        <w:spacing w:before="240" w:line="240" w:lineRule="auto"/>
        <w:ind w:left="426" w:hanging="426"/>
        <w:jc w:val="both"/>
        <w:rPr>
          <w:sz w:val="23"/>
          <w:szCs w:val="23"/>
          <w:rtl/>
        </w:rPr>
      </w:pPr>
      <w:proofErr w:type="spellStart"/>
      <w:r w:rsidRPr="00D5002B">
        <w:rPr>
          <w:lang w:bidi="ar-EG"/>
        </w:rPr>
        <w:t>Akmal</w:t>
      </w:r>
      <w:proofErr w:type="spellEnd"/>
      <w:r w:rsidRPr="002B16E6">
        <w:rPr>
          <w:sz w:val="23"/>
          <w:szCs w:val="23"/>
        </w:rPr>
        <w:t>,</w:t>
      </w:r>
      <w:r>
        <w:rPr>
          <w:sz w:val="23"/>
          <w:szCs w:val="23"/>
        </w:rPr>
        <w:t xml:space="preserve"> </w:t>
      </w:r>
      <w:r w:rsidRPr="002B16E6">
        <w:rPr>
          <w:sz w:val="23"/>
          <w:szCs w:val="23"/>
        </w:rPr>
        <w:t xml:space="preserve">S., </w:t>
      </w:r>
      <w:proofErr w:type="spellStart"/>
      <w:r w:rsidRPr="002B16E6">
        <w:rPr>
          <w:sz w:val="23"/>
          <w:szCs w:val="23"/>
        </w:rPr>
        <w:t>Kumalasari</w:t>
      </w:r>
      <w:proofErr w:type="spellEnd"/>
      <w:r w:rsidRPr="002B16E6">
        <w:rPr>
          <w:sz w:val="23"/>
          <w:szCs w:val="23"/>
        </w:rPr>
        <w:t xml:space="preserve">, D., &amp; </w:t>
      </w:r>
      <w:proofErr w:type="spellStart"/>
      <w:r w:rsidRPr="002B16E6">
        <w:rPr>
          <w:sz w:val="23"/>
          <w:szCs w:val="23"/>
        </w:rPr>
        <w:t>Grasiaswaty</w:t>
      </w:r>
      <w:proofErr w:type="spellEnd"/>
      <w:r w:rsidRPr="002B16E6">
        <w:rPr>
          <w:sz w:val="23"/>
          <w:szCs w:val="23"/>
        </w:rPr>
        <w:t xml:space="preserve">, N. (2021). Indonesian adaptation of the Revised College Student Subjective Wellbeing Questionnaire. </w:t>
      </w:r>
      <w:proofErr w:type="spellStart"/>
      <w:r w:rsidRPr="002B16E6">
        <w:rPr>
          <w:i/>
          <w:iCs/>
          <w:sz w:val="23"/>
          <w:szCs w:val="23"/>
        </w:rPr>
        <w:t>Humanitas</w:t>
      </w:r>
      <w:proofErr w:type="spellEnd"/>
      <w:r w:rsidRPr="002B16E6">
        <w:rPr>
          <w:i/>
          <w:iCs/>
          <w:sz w:val="23"/>
          <w:szCs w:val="23"/>
        </w:rPr>
        <w:t xml:space="preserve"> Indonesian Psychological Journal, 18</w:t>
      </w:r>
      <w:r w:rsidRPr="002B16E6">
        <w:rPr>
          <w:sz w:val="23"/>
          <w:szCs w:val="23"/>
        </w:rPr>
        <w:t xml:space="preserve"> (2),75-86. </w:t>
      </w:r>
      <w:hyperlink r:id="rId11" w:history="1">
        <w:r w:rsidRPr="004D11EC">
          <w:rPr>
            <w:rStyle w:val="Hyperlink"/>
            <w:sz w:val="23"/>
            <w:szCs w:val="23"/>
          </w:rPr>
          <w:t>http://dx.doi.org/10.26555/humanitas.v18i2.19040</w:t>
        </w:r>
      </w:hyperlink>
    </w:p>
    <w:p w:rsidR="006C2660" w:rsidRPr="00C4125A" w:rsidRDefault="006C2660" w:rsidP="006C2660">
      <w:pPr>
        <w:spacing w:line="240" w:lineRule="auto"/>
        <w:ind w:left="426" w:hanging="426"/>
        <w:jc w:val="both"/>
        <w:rPr>
          <w:sz w:val="23"/>
          <w:szCs w:val="23"/>
        </w:rPr>
      </w:pPr>
      <w:proofErr w:type="spellStart"/>
      <w:r w:rsidRPr="00D5002B">
        <w:rPr>
          <w:lang w:bidi="ar-EG"/>
        </w:rPr>
        <w:t>Alkureishi</w:t>
      </w:r>
      <w:proofErr w:type="spellEnd"/>
      <w:r w:rsidRPr="00C4125A">
        <w:rPr>
          <w:sz w:val="23"/>
          <w:szCs w:val="23"/>
        </w:rPr>
        <w:t xml:space="preserve">, M. L., </w:t>
      </w:r>
      <w:proofErr w:type="spellStart"/>
      <w:r w:rsidRPr="00C4125A">
        <w:rPr>
          <w:sz w:val="23"/>
          <w:szCs w:val="23"/>
        </w:rPr>
        <w:t>Jaishankar</w:t>
      </w:r>
      <w:proofErr w:type="spellEnd"/>
      <w:r w:rsidRPr="00C4125A">
        <w:rPr>
          <w:sz w:val="23"/>
          <w:szCs w:val="23"/>
        </w:rPr>
        <w:t xml:space="preserve">, D., Dave, S., </w:t>
      </w:r>
      <w:proofErr w:type="spellStart"/>
      <w:r w:rsidRPr="00C4125A">
        <w:rPr>
          <w:sz w:val="23"/>
          <w:szCs w:val="23"/>
        </w:rPr>
        <w:t>Tatineni</w:t>
      </w:r>
      <w:proofErr w:type="spellEnd"/>
      <w:r w:rsidRPr="00C4125A">
        <w:rPr>
          <w:sz w:val="23"/>
          <w:szCs w:val="23"/>
        </w:rPr>
        <w:t xml:space="preserve">, S., Zhu, M., Chretien, K. C., Woodruff, J. N., </w:t>
      </w:r>
      <w:proofErr w:type="spellStart"/>
      <w:r w:rsidRPr="00C4125A">
        <w:rPr>
          <w:sz w:val="23"/>
          <w:szCs w:val="23"/>
        </w:rPr>
        <w:t>Pincavage</w:t>
      </w:r>
      <w:proofErr w:type="spellEnd"/>
      <w:r w:rsidRPr="00C4125A">
        <w:rPr>
          <w:sz w:val="23"/>
          <w:szCs w:val="23"/>
        </w:rPr>
        <w:t xml:space="preserve">, A., &amp; Lee, W. W. (2022). Impact of the early phase of the COVID-19 pandemic on medical student well-being: A multisite survey. </w:t>
      </w:r>
      <w:r w:rsidRPr="00C4125A">
        <w:rPr>
          <w:i/>
          <w:iCs/>
          <w:sz w:val="23"/>
          <w:szCs w:val="23"/>
        </w:rPr>
        <w:t>Journal of General Internal Medicine, 37</w:t>
      </w:r>
      <w:r w:rsidRPr="00C4125A">
        <w:rPr>
          <w:sz w:val="23"/>
          <w:szCs w:val="23"/>
        </w:rPr>
        <w:t xml:space="preserve">(9), 2156–2164. </w:t>
      </w:r>
      <w:hyperlink r:id="rId12" w:history="1">
        <w:r w:rsidRPr="00C4125A">
          <w:rPr>
            <w:rStyle w:val="Hyperlink"/>
            <w:sz w:val="23"/>
            <w:szCs w:val="23"/>
          </w:rPr>
          <w:t>https://doi.org/10.1007/s11606-022-07497-2</w:t>
        </w:r>
      </w:hyperlink>
    </w:p>
    <w:p w:rsidR="006C2660" w:rsidRDefault="006C2660" w:rsidP="006C2660">
      <w:pPr>
        <w:spacing w:line="240" w:lineRule="auto"/>
        <w:ind w:left="426" w:hanging="426"/>
        <w:jc w:val="both"/>
        <w:rPr>
          <w:sz w:val="23"/>
          <w:szCs w:val="23"/>
        </w:rPr>
      </w:pPr>
      <w:proofErr w:type="spellStart"/>
      <w:r w:rsidRPr="00D5002B">
        <w:rPr>
          <w:lang w:bidi="ar-EG"/>
        </w:rPr>
        <w:t>Amholt</w:t>
      </w:r>
      <w:proofErr w:type="spellEnd"/>
      <w:r w:rsidRPr="006773DD">
        <w:rPr>
          <w:sz w:val="23"/>
          <w:szCs w:val="23"/>
        </w:rPr>
        <w:t xml:space="preserve">, T. T., </w:t>
      </w:r>
      <w:proofErr w:type="spellStart"/>
      <w:r w:rsidRPr="006773DD">
        <w:rPr>
          <w:sz w:val="23"/>
          <w:szCs w:val="23"/>
        </w:rPr>
        <w:t>Jesper</w:t>
      </w:r>
      <w:proofErr w:type="spellEnd"/>
      <w:r w:rsidRPr="006773DD">
        <w:rPr>
          <w:sz w:val="23"/>
          <w:szCs w:val="23"/>
        </w:rPr>
        <w:t xml:space="preserve">, D., </w:t>
      </w:r>
      <w:proofErr w:type="spellStart"/>
      <w:r w:rsidRPr="006773DD">
        <w:rPr>
          <w:sz w:val="23"/>
          <w:szCs w:val="23"/>
        </w:rPr>
        <w:t>Rhonwyn</w:t>
      </w:r>
      <w:proofErr w:type="spellEnd"/>
      <w:r w:rsidRPr="006773DD">
        <w:rPr>
          <w:sz w:val="23"/>
          <w:szCs w:val="23"/>
        </w:rPr>
        <w:t xml:space="preserve">, C., &amp; </w:t>
      </w:r>
      <w:proofErr w:type="spellStart"/>
      <w:r w:rsidRPr="006773DD">
        <w:rPr>
          <w:sz w:val="23"/>
          <w:szCs w:val="23"/>
        </w:rPr>
        <w:t>Janni</w:t>
      </w:r>
      <w:proofErr w:type="spellEnd"/>
      <w:r w:rsidRPr="006773DD">
        <w:rPr>
          <w:sz w:val="23"/>
          <w:szCs w:val="23"/>
        </w:rPr>
        <w:t xml:space="preserve">, N. (2020). Psychological well-being and academic achievement among school-aged children: A systematic review. </w:t>
      </w:r>
      <w:r w:rsidRPr="006773DD">
        <w:rPr>
          <w:i/>
          <w:iCs/>
          <w:sz w:val="23"/>
          <w:szCs w:val="23"/>
        </w:rPr>
        <w:t>Child Indicators Research, 13</w:t>
      </w:r>
      <w:r w:rsidRPr="006773DD">
        <w:rPr>
          <w:sz w:val="23"/>
          <w:szCs w:val="23"/>
        </w:rPr>
        <w:t>(5), 1523</w:t>
      </w:r>
      <w:r w:rsidRPr="006773DD">
        <w:rPr>
          <w:rFonts w:hint="eastAsia"/>
          <w:sz w:val="23"/>
          <w:szCs w:val="23"/>
        </w:rPr>
        <w:t>–</w:t>
      </w:r>
      <w:r>
        <w:rPr>
          <w:sz w:val="23"/>
          <w:szCs w:val="23"/>
        </w:rPr>
        <w:t xml:space="preserve">1548. </w:t>
      </w:r>
      <w:hyperlink r:id="rId13" w:history="1">
        <w:r w:rsidRPr="004D11EC">
          <w:rPr>
            <w:rStyle w:val="Hyperlink"/>
            <w:sz w:val="23"/>
            <w:szCs w:val="23"/>
          </w:rPr>
          <w:t>https://doi.org/10.1007/s12187-020-09725-9</w:t>
        </w:r>
      </w:hyperlink>
    </w:p>
    <w:p w:rsidR="006C2660" w:rsidRDefault="006C2660" w:rsidP="006C2660">
      <w:pPr>
        <w:spacing w:line="240" w:lineRule="auto"/>
        <w:ind w:left="426" w:hanging="426"/>
        <w:jc w:val="both"/>
        <w:rPr>
          <w:rFonts w:asciiTheme="majorBidi" w:hAnsiTheme="majorBidi" w:cstheme="majorBidi"/>
          <w:color w:val="000000"/>
        </w:rPr>
      </w:pPr>
      <w:r>
        <w:rPr>
          <w:rFonts w:asciiTheme="majorBidi" w:hAnsiTheme="majorBidi" w:cstheme="majorBidi"/>
          <w:color w:val="000000"/>
        </w:rPr>
        <w:t xml:space="preserve"> </w:t>
      </w:r>
      <w:proofErr w:type="spellStart"/>
      <w:r w:rsidRPr="00D5002B">
        <w:rPr>
          <w:lang w:bidi="ar-EG"/>
        </w:rPr>
        <w:t>Anastasiadou</w:t>
      </w:r>
      <w:proofErr w:type="spellEnd"/>
      <w:r w:rsidRPr="00CF51BC">
        <w:rPr>
          <w:rFonts w:asciiTheme="majorBidi" w:hAnsiTheme="majorBidi" w:cstheme="majorBidi"/>
          <w:color w:val="000000"/>
        </w:rPr>
        <w:t xml:space="preserve">, S.D., </w:t>
      </w:r>
      <w:r>
        <w:rPr>
          <w:rFonts w:asciiTheme="majorBidi" w:hAnsiTheme="majorBidi" w:cstheme="majorBidi"/>
          <w:color w:val="000000"/>
        </w:rPr>
        <w:t xml:space="preserve">&amp; </w:t>
      </w:r>
      <w:proofErr w:type="spellStart"/>
      <w:r w:rsidRPr="00CF51BC">
        <w:rPr>
          <w:rFonts w:asciiTheme="majorBidi" w:hAnsiTheme="majorBidi" w:cstheme="majorBidi"/>
          <w:color w:val="000000"/>
        </w:rPr>
        <w:t>Karakos</w:t>
      </w:r>
      <w:proofErr w:type="spellEnd"/>
      <w:r w:rsidRPr="00CF51BC">
        <w:rPr>
          <w:rFonts w:asciiTheme="majorBidi" w:hAnsiTheme="majorBidi" w:cstheme="majorBidi"/>
          <w:color w:val="000000"/>
        </w:rPr>
        <w:t>, A.S. (2011). The beliefs of electrical and computer engineering students re</w:t>
      </w:r>
      <w:r w:rsidRPr="00CF51BC">
        <w:rPr>
          <w:rFonts w:asciiTheme="majorBidi" w:hAnsiTheme="majorBidi" w:cstheme="majorBidi"/>
          <w:color w:val="000000"/>
        </w:rPr>
        <w:softHyphen/>
        <w:t xml:space="preserve">garding computer programming. </w:t>
      </w:r>
      <w:r w:rsidRPr="00CF51BC">
        <w:rPr>
          <w:rFonts w:asciiTheme="majorBidi" w:hAnsiTheme="majorBidi" w:cstheme="majorBidi"/>
          <w:i/>
          <w:iCs/>
          <w:color w:val="000000"/>
        </w:rPr>
        <w:t>The International Journal of Technology, Knowledge and Society</w:t>
      </w:r>
      <w:r w:rsidRPr="00CF51BC">
        <w:rPr>
          <w:rFonts w:asciiTheme="majorBidi" w:hAnsiTheme="majorBidi" w:cstheme="majorBidi"/>
          <w:color w:val="000000"/>
        </w:rPr>
        <w:t>, 7(1), 37–51.</w:t>
      </w:r>
      <w:r w:rsidRPr="00CD4A6B">
        <w:t xml:space="preserve"> </w:t>
      </w:r>
      <w:hyperlink r:id="rId14" w:history="1">
        <w:r w:rsidRPr="00FF30D8">
          <w:rPr>
            <w:rStyle w:val="Hyperlink"/>
            <w:rFonts w:asciiTheme="majorBidi" w:hAnsiTheme="majorBidi" w:cstheme="majorBidi"/>
          </w:rPr>
          <w:t>https://doi.org/10.18848/1832-3669/CGP/v07i01/56170</w:t>
        </w:r>
      </w:hyperlink>
    </w:p>
    <w:p w:rsidR="006C2660" w:rsidRDefault="006C2660" w:rsidP="006C2660">
      <w:pPr>
        <w:spacing w:line="240" w:lineRule="auto"/>
        <w:ind w:left="426" w:hanging="426"/>
        <w:jc w:val="both"/>
        <w:rPr>
          <w:sz w:val="23"/>
          <w:szCs w:val="23"/>
          <w:rtl/>
        </w:rPr>
      </w:pPr>
      <w:r w:rsidRPr="00D5002B">
        <w:rPr>
          <w:lang w:bidi="ar-EG"/>
        </w:rPr>
        <w:t>Andrews</w:t>
      </w:r>
      <w:r w:rsidRPr="00703E6E">
        <w:rPr>
          <w:sz w:val="23"/>
          <w:szCs w:val="23"/>
        </w:rPr>
        <w:t xml:space="preserve"> FM, </w:t>
      </w:r>
      <w:proofErr w:type="spellStart"/>
      <w:r w:rsidRPr="00703E6E">
        <w:rPr>
          <w:sz w:val="23"/>
          <w:szCs w:val="23"/>
        </w:rPr>
        <w:t>Withey</w:t>
      </w:r>
      <w:proofErr w:type="spellEnd"/>
      <w:r w:rsidRPr="00703E6E">
        <w:rPr>
          <w:sz w:val="23"/>
          <w:szCs w:val="23"/>
        </w:rPr>
        <w:t xml:space="preserve"> SB. (1976). </w:t>
      </w:r>
      <w:r w:rsidRPr="006A07EE">
        <w:rPr>
          <w:i/>
          <w:iCs/>
          <w:sz w:val="23"/>
          <w:szCs w:val="23"/>
        </w:rPr>
        <w:t>Social Indicators of Well-Being.</w:t>
      </w:r>
      <w:r w:rsidRPr="00703E6E">
        <w:rPr>
          <w:sz w:val="23"/>
          <w:szCs w:val="23"/>
        </w:rPr>
        <w:t xml:space="preserve"> Boston, MA: Springer US. </w:t>
      </w:r>
      <w:hyperlink r:id="rId15" w:history="1">
        <w:r w:rsidRPr="004D11EC">
          <w:rPr>
            <w:rStyle w:val="Hyperlink"/>
            <w:sz w:val="23"/>
            <w:szCs w:val="23"/>
          </w:rPr>
          <w:t>https://doi.org/10.1007/978-1-4684-2253-5</w:t>
        </w:r>
      </w:hyperlink>
    </w:p>
    <w:p w:rsidR="006C2660" w:rsidRDefault="006C2660" w:rsidP="006C2660">
      <w:pPr>
        <w:spacing w:line="240" w:lineRule="auto"/>
        <w:ind w:left="426" w:hanging="426"/>
        <w:jc w:val="both"/>
        <w:rPr>
          <w:sz w:val="23"/>
          <w:szCs w:val="23"/>
          <w:rtl/>
        </w:rPr>
      </w:pPr>
      <w:r w:rsidRPr="00D5002B">
        <w:rPr>
          <w:lang w:bidi="ar-EG"/>
        </w:rPr>
        <w:t>Ansari</w:t>
      </w:r>
      <w:r>
        <w:rPr>
          <w:lang w:bidi="ar-EG"/>
        </w:rPr>
        <w:t>,</w:t>
      </w:r>
      <w:r w:rsidRPr="006773DD">
        <w:rPr>
          <w:sz w:val="23"/>
          <w:szCs w:val="23"/>
        </w:rPr>
        <w:t xml:space="preserve"> W</w:t>
      </w:r>
      <w:r>
        <w:rPr>
          <w:sz w:val="23"/>
          <w:szCs w:val="23"/>
        </w:rPr>
        <w:t>.</w:t>
      </w:r>
      <w:r w:rsidRPr="006773DD">
        <w:rPr>
          <w:sz w:val="23"/>
          <w:szCs w:val="23"/>
        </w:rPr>
        <w:t>, Stock</w:t>
      </w:r>
      <w:r>
        <w:rPr>
          <w:sz w:val="23"/>
          <w:szCs w:val="23"/>
        </w:rPr>
        <w:t>,</w:t>
      </w:r>
      <w:r w:rsidRPr="006773DD">
        <w:rPr>
          <w:sz w:val="23"/>
          <w:szCs w:val="23"/>
        </w:rPr>
        <w:t xml:space="preserve"> C</w:t>
      </w:r>
      <w:r>
        <w:rPr>
          <w:sz w:val="23"/>
          <w:szCs w:val="23"/>
        </w:rPr>
        <w:t>.</w:t>
      </w:r>
      <w:r w:rsidRPr="006773DD">
        <w:rPr>
          <w:sz w:val="23"/>
          <w:szCs w:val="23"/>
        </w:rPr>
        <w:t xml:space="preserve">, </w:t>
      </w:r>
      <w:proofErr w:type="spellStart"/>
      <w:r w:rsidRPr="006773DD">
        <w:rPr>
          <w:sz w:val="23"/>
          <w:szCs w:val="23"/>
        </w:rPr>
        <w:t>Snelgrove</w:t>
      </w:r>
      <w:proofErr w:type="spellEnd"/>
      <w:r>
        <w:rPr>
          <w:sz w:val="23"/>
          <w:szCs w:val="23"/>
        </w:rPr>
        <w:t>,</w:t>
      </w:r>
      <w:r w:rsidRPr="006773DD">
        <w:rPr>
          <w:sz w:val="23"/>
          <w:szCs w:val="23"/>
        </w:rPr>
        <w:t xml:space="preserve"> T</w:t>
      </w:r>
      <w:r>
        <w:rPr>
          <w:sz w:val="23"/>
          <w:szCs w:val="23"/>
        </w:rPr>
        <w:t>.</w:t>
      </w:r>
      <w:r w:rsidRPr="006773DD">
        <w:rPr>
          <w:sz w:val="23"/>
          <w:szCs w:val="23"/>
        </w:rPr>
        <w:t>, Hu</w:t>
      </w:r>
      <w:r>
        <w:rPr>
          <w:sz w:val="23"/>
          <w:szCs w:val="23"/>
        </w:rPr>
        <w:t>,</w:t>
      </w:r>
      <w:r w:rsidRPr="006773DD">
        <w:rPr>
          <w:sz w:val="23"/>
          <w:szCs w:val="23"/>
        </w:rPr>
        <w:t xml:space="preserve"> X</w:t>
      </w:r>
      <w:r>
        <w:rPr>
          <w:sz w:val="23"/>
          <w:szCs w:val="23"/>
        </w:rPr>
        <w:t>.</w:t>
      </w:r>
      <w:r w:rsidRPr="006773DD">
        <w:rPr>
          <w:sz w:val="23"/>
          <w:szCs w:val="23"/>
        </w:rPr>
        <w:t>, Parke</w:t>
      </w:r>
      <w:r>
        <w:rPr>
          <w:sz w:val="23"/>
          <w:szCs w:val="23"/>
        </w:rPr>
        <w:t>,</w:t>
      </w:r>
      <w:r w:rsidRPr="006773DD">
        <w:rPr>
          <w:sz w:val="23"/>
          <w:szCs w:val="23"/>
        </w:rPr>
        <w:t xml:space="preserve"> S</w:t>
      </w:r>
      <w:r>
        <w:rPr>
          <w:sz w:val="23"/>
          <w:szCs w:val="23"/>
        </w:rPr>
        <w:t>.</w:t>
      </w:r>
      <w:r w:rsidRPr="006773DD">
        <w:rPr>
          <w:sz w:val="23"/>
          <w:szCs w:val="23"/>
        </w:rPr>
        <w:t>, Davies</w:t>
      </w:r>
      <w:r>
        <w:rPr>
          <w:sz w:val="23"/>
          <w:szCs w:val="23"/>
        </w:rPr>
        <w:t>,</w:t>
      </w:r>
      <w:r w:rsidRPr="006773DD">
        <w:rPr>
          <w:sz w:val="23"/>
          <w:szCs w:val="23"/>
        </w:rPr>
        <w:t xml:space="preserve"> S</w:t>
      </w:r>
      <w:r>
        <w:rPr>
          <w:sz w:val="23"/>
          <w:szCs w:val="23"/>
        </w:rPr>
        <w:t>.</w:t>
      </w:r>
      <w:r w:rsidRPr="006773DD">
        <w:rPr>
          <w:sz w:val="23"/>
          <w:szCs w:val="23"/>
        </w:rPr>
        <w:t xml:space="preserve">, et al. (2011). Feeling healthy? A survey of physical and psychological wellbeing of students from seven universities in the UK. </w:t>
      </w:r>
      <w:r w:rsidRPr="006A07EE">
        <w:rPr>
          <w:i/>
          <w:iCs/>
          <w:sz w:val="23"/>
          <w:szCs w:val="23"/>
        </w:rPr>
        <w:t>International Journal of Environmental Research and Public Health, 8</w:t>
      </w:r>
      <w:r w:rsidRPr="006773DD">
        <w:rPr>
          <w:sz w:val="23"/>
          <w:szCs w:val="23"/>
        </w:rPr>
        <w:t xml:space="preserve">(5):1308-1323. </w:t>
      </w:r>
      <w:hyperlink r:id="rId16" w:history="1">
        <w:r w:rsidRPr="004D11EC">
          <w:rPr>
            <w:rStyle w:val="Hyperlink"/>
            <w:sz w:val="23"/>
            <w:szCs w:val="23"/>
          </w:rPr>
          <w:t>https://doi.org/10.3390/ijerph8051308</w:t>
        </w:r>
      </w:hyperlink>
    </w:p>
    <w:p w:rsidR="006C2660" w:rsidRPr="00174484" w:rsidRDefault="006C2660" w:rsidP="006C2660">
      <w:pPr>
        <w:spacing w:line="240" w:lineRule="auto"/>
        <w:ind w:left="426" w:hanging="426"/>
        <w:jc w:val="both"/>
        <w:rPr>
          <w:sz w:val="23"/>
          <w:szCs w:val="23"/>
        </w:rPr>
      </w:pPr>
      <w:proofErr w:type="spellStart"/>
      <w:r w:rsidRPr="00D5002B">
        <w:rPr>
          <w:lang w:bidi="ar-EG"/>
        </w:rPr>
        <w:lastRenderedPageBreak/>
        <w:t>Asghar</w:t>
      </w:r>
      <w:proofErr w:type="spellEnd"/>
      <w:r w:rsidRPr="00174484">
        <w:rPr>
          <w:sz w:val="23"/>
          <w:szCs w:val="23"/>
        </w:rPr>
        <w:t xml:space="preserve">, M.; </w:t>
      </w:r>
      <w:proofErr w:type="spellStart"/>
      <w:r w:rsidRPr="00174484">
        <w:rPr>
          <w:sz w:val="23"/>
          <w:szCs w:val="23"/>
        </w:rPr>
        <w:t>Minichiello</w:t>
      </w:r>
      <w:proofErr w:type="spellEnd"/>
      <w:r w:rsidRPr="00174484">
        <w:rPr>
          <w:sz w:val="23"/>
          <w:szCs w:val="23"/>
        </w:rPr>
        <w:t xml:space="preserve">, A.; </w:t>
      </w:r>
      <w:r>
        <w:rPr>
          <w:sz w:val="23"/>
          <w:szCs w:val="23"/>
        </w:rPr>
        <w:t xml:space="preserve">&amp; </w:t>
      </w:r>
      <w:proofErr w:type="spellStart"/>
      <w:r w:rsidRPr="00174484">
        <w:rPr>
          <w:sz w:val="23"/>
          <w:szCs w:val="23"/>
        </w:rPr>
        <w:t>Iqbal</w:t>
      </w:r>
      <w:proofErr w:type="spellEnd"/>
      <w:r w:rsidRPr="00174484">
        <w:rPr>
          <w:sz w:val="23"/>
          <w:szCs w:val="23"/>
        </w:rPr>
        <w:t>, A.</w:t>
      </w:r>
      <w:r>
        <w:rPr>
          <w:sz w:val="23"/>
          <w:szCs w:val="23"/>
        </w:rPr>
        <w:t>(</w:t>
      </w:r>
      <w:r w:rsidRPr="00047F63">
        <w:rPr>
          <w:sz w:val="23"/>
          <w:szCs w:val="23"/>
        </w:rPr>
        <w:t>2022</w:t>
      </w:r>
      <w:r>
        <w:rPr>
          <w:sz w:val="23"/>
          <w:szCs w:val="23"/>
        </w:rPr>
        <w:t>).</w:t>
      </w:r>
      <w:r w:rsidRPr="00174484">
        <w:rPr>
          <w:sz w:val="23"/>
          <w:szCs w:val="23"/>
        </w:rPr>
        <w:t xml:space="preserve"> Perceived Factors Contributing to the Subjective Wellbeing of Undergraduate Engineering Students: An Exploratory Study. </w:t>
      </w:r>
      <w:r w:rsidRPr="006A07EE">
        <w:rPr>
          <w:i/>
          <w:iCs/>
          <w:sz w:val="23"/>
          <w:szCs w:val="23"/>
        </w:rPr>
        <w:t>Int. J. Environ. Res. Public Health, 19</w:t>
      </w:r>
      <w:r w:rsidRPr="00174484">
        <w:rPr>
          <w:sz w:val="23"/>
          <w:szCs w:val="23"/>
        </w:rPr>
        <w:t xml:space="preserve">, 16284. </w:t>
      </w:r>
      <w:hyperlink r:id="rId17" w:history="1">
        <w:r w:rsidRPr="00174484">
          <w:rPr>
            <w:rStyle w:val="Hyperlink"/>
            <w:sz w:val="23"/>
            <w:szCs w:val="23"/>
          </w:rPr>
          <w:t>https://doi.org/10.3390/ijerph192316284</w:t>
        </w:r>
      </w:hyperlink>
    </w:p>
    <w:p w:rsidR="006C2660" w:rsidRPr="00C810BE" w:rsidRDefault="006C2660" w:rsidP="006C2660">
      <w:pPr>
        <w:spacing w:line="240" w:lineRule="auto"/>
        <w:ind w:left="426" w:hanging="426"/>
        <w:jc w:val="both"/>
        <w:rPr>
          <w:rtl/>
          <w:lang w:bidi="ar-EG"/>
        </w:rPr>
      </w:pPr>
      <w:proofErr w:type="spellStart"/>
      <w:r w:rsidRPr="00D5002B">
        <w:rPr>
          <w:rFonts w:cs="Minion Pro"/>
          <w:color w:val="000000"/>
          <w:sz w:val="24"/>
          <w:szCs w:val="24"/>
        </w:rPr>
        <w:t>Avcu</w:t>
      </w:r>
      <w:proofErr w:type="spellEnd"/>
      <w:r w:rsidRPr="00C810BE">
        <w:rPr>
          <w:lang w:bidi="ar-EG"/>
        </w:rPr>
        <w:t xml:space="preserve">, Y. E., &amp; </w:t>
      </w:r>
      <w:proofErr w:type="spellStart"/>
      <w:r w:rsidRPr="00C810BE">
        <w:rPr>
          <w:lang w:bidi="ar-EG"/>
        </w:rPr>
        <w:t>Ayverdi</w:t>
      </w:r>
      <w:proofErr w:type="spellEnd"/>
      <w:r w:rsidRPr="00C810BE">
        <w:rPr>
          <w:lang w:bidi="ar-EG"/>
        </w:rPr>
        <w:t xml:space="preserve">, L. (2020). Examination of the computer programming self-efficacy’s prediction towards the computational thinking skills of the gifted and talented students. </w:t>
      </w:r>
      <w:r w:rsidRPr="00C810BE">
        <w:rPr>
          <w:i/>
          <w:iCs/>
          <w:lang w:bidi="ar-EG"/>
        </w:rPr>
        <w:t>International Journal of Educational Methodology, 6</w:t>
      </w:r>
      <w:r w:rsidRPr="00C810BE">
        <w:rPr>
          <w:lang w:bidi="ar-EG"/>
        </w:rPr>
        <w:t xml:space="preserve">(2), 259-270. </w:t>
      </w:r>
      <w:hyperlink r:id="rId18" w:history="1">
        <w:r w:rsidRPr="00C810BE">
          <w:rPr>
            <w:rStyle w:val="Hyperlink"/>
            <w:lang w:bidi="ar-EG"/>
          </w:rPr>
          <w:t>https://doi.org/10.12973/ijem.6.2.259</w:t>
        </w:r>
      </w:hyperlink>
    </w:p>
    <w:p w:rsidR="006C2660" w:rsidRDefault="006C2660" w:rsidP="006C2660">
      <w:pPr>
        <w:spacing w:line="240" w:lineRule="auto"/>
        <w:ind w:left="426" w:hanging="426"/>
        <w:jc w:val="both"/>
        <w:rPr>
          <w:rFonts w:asciiTheme="majorBidi" w:hAnsiTheme="majorBidi" w:cstheme="majorBidi"/>
          <w:color w:val="000000"/>
          <w:rtl/>
        </w:rPr>
      </w:pPr>
      <w:r w:rsidRPr="00D5002B">
        <w:rPr>
          <w:lang w:bidi="ar-EG"/>
        </w:rPr>
        <w:t>Bandura</w:t>
      </w:r>
      <w:r w:rsidRPr="00AA4356">
        <w:rPr>
          <w:rFonts w:asciiTheme="majorBidi" w:hAnsiTheme="majorBidi" w:cstheme="majorBidi"/>
          <w:color w:val="000000"/>
        </w:rPr>
        <w:t xml:space="preserve">, A. (1977). </w:t>
      </w:r>
      <w:r w:rsidRPr="00AA4356">
        <w:rPr>
          <w:rFonts w:asciiTheme="majorBidi" w:hAnsiTheme="majorBidi" w:cstheme="majorBidi"/>
          <w:i/>
          <w:iCs/>
          <w:color w:val="000000"/>
        </w:rPr>
        <w:t>Self-efficacy: Toward a unifying theory of behavioral change. Psychological Review</w:t>
      </w:r>
      <w:r w:rsidRPr="00AA4356">
        <w:rPr>
          <w:rFonts w:asciiTheme="majorBidi" w:hAnsiTheme="majorBidi" w:cstheme="majorBidi"/>
          <w:color w:val="000000"/>
        </w:rPr>
        <w:t xml:space="preserve">, 84, 191–215, </w:t>
      </w:r>
      <w:hyperlink r:id="rId19" w:history="1">
        <w:r w:rsidRPr="00B72ED7">
          <w:rPr>
            <w:rStyle w:val="Hyperlink"/>
            <w:rFonts w:asciiTheme="majorBidi" w:hAnsiTheme="majorBidi" w:cstheme="majorBidi"/>
          </w:rPr>
          <w:t>http://dx.doi.org/10.1037/0033-295X.84.2.191</w:t>
        </w:r>
      </w:hyperlink>
    </w:p>
    <w:p w:rsidR="006C2660" w:rsidRDefault="006C2660" w:rsidP="006C2660">
      <w:pPr>
        <w:spacing w:line="240" w:lineRule="auto"/>
        <w:ind w:left="426" w:hanging="426"/>
        <w:jc w:val="both"/>
        <w:rPr>
          <w:lang w:bidi="ar-EG"/>
        </w:rPr>
      </w:pPr>
      <w:r w:rsidRPr="005D1139">
        <w:rPr>
          <w:lang w:bidi="ar-EG"/>
        </w:rPr>
        <w:t xml:space="preserve">Bandura, A. (1993). Perceived Self-Efficacy in Cognitive Development and Functioning. Educational Psychologist, 28(2), 117–148. </w:t>
      </w:r>
      <w:hyperlink r:id="rId20" w:history="1">
        <w:r w:rsidRPr="00FF30D8">
          <w:rPr>
            <w:rStyle w:val="Hyperlink"/>
            <w:lang w:bidi="ar-EG"/>
          </w:rPr>
          <w:t>https://doi.org/10.1207/s15326985ep2802_3</w:t>
        </w:r>
      </w:hyperlink>
    </w:p>
    <w:p w:rsidR="006C2660" w:rsidRDefault="006C2660" w:rsidP="006C2660">
      <w:pPr>
        <w:spacing w:line="240" w:lineRule="auto"/>
        <w:ind w:left="426" w:hanging="426"/>
        <w:jc w:val="both"/>
        <w:rPr>
          <w:rFonts w:asciiTheme="majorBidi" w:hAnsiTheme="majorBidi" w:cstheme="majorBidi"/>
          <w:color w:val="000000"/>
        </w:rPr>
      </w:pPr>
      <w:r w:rsidRPr="00D5002B">
        <w:rPr>
          <w:lang w:bidi="ar-EG"/>
        </w:rPr>
        <w:t>Bandura</w:t>
      </w:r>
      <w:r w:rsidRPr="00AA4356">
        <w:rPr>
          <w:rFonts w:asciiTheme="majorBidi" w:hAnsiTheme="majorBidi" w:cstheme="majorBidi"/>
          <w:color w:val="000000"/>
        </w:rPr>
        <w:t xml:space="preserve">, A. (Ed.). (1995). </w:t>
      </w:r>
      <w:r w:rsidRPr="00AA4356">
        <w:rPr>
          <w:rFonts w:asciiTheme="majorBidi" w:hAnsiTheme="majorBidi" w:cstheme="majorBidi"/>
          <w:i/>
          <w:iCs/>
          <w:color w:val="000000"/>
        </w:rPr>
        <w:t>Self-efficacy in Changing Societies</w:t>
      </w:r>
      <w:r w:rsidRPr="00AA4356">
        <w:rPr>
          <w:rFonts w:asciiTheme="majorBidi" w:hAnsiTheme="majorBidi" w:cstheme="majorBidi"/>
          <w:color w:val="000000"/>
        </w:rPr>
        <w:t>. Cambridge university press.</w:t>
      </w:r>
      <w:r>
        <w:rPr>
          <w:rFonts w:asciiTheme="majorBidi" w:hAnsiTheme="majorBidi" w:cstheme="majorBidi"/>
          <w:color w:val="000000"/>
        </w:rPr>
        <w:t xml:space="preserve"> </w:t>
      </w:r>
      <w:hyperlink r:id="rId21" w:history="1">
        <w:r w:rsidRPr="00FF30D8">
          <w:rPr>
            <w:rStyle w:val="Hyperlink"/>
            <w:rFonts w:asciiTheme="majorBidi" w:hAnsiTheme="majorBidi" w:cstheme="majorBidi"/>
          </w:rPr>
          <w:t>https://doi.org/10.1017/CBO9780511527692</w:t>
        </w:r>
      </w:hyperlink>
    </w:p>
    <w:p w:rsidR="006C2660" w:rsidRDefault="006C2660" w:rsidP="006C2660">
      <w:pPr>
        <w:spacing w:line="240" w:lineRule="auto"/>
        <w:ind w:left="426" w:hanging="426"/>
        <w:jc w:val="both"/>
        <w:rPr>
          <w:rFonts w:ascii="NewCenturySchlbk-Roman" w:hAnsi="NewCenturySchlbk-Roman" w:cs="NewCenturySchlbk-Roman"/>
          <w:sz w:val="24"/>
          <w:szCs w:val="24"/>
        </w:rPr>
      </w:pPr>
      <w:r w:rsidRPr="00B27BDC">
        <w:rPr>
          <w:rFonts w:ascii="NewCenturySchlbk-Roman" w:hAnsi="NewCenturySchlbk-Roman" w:cs="NewCenturySchlbk-Roman"/>
          <w:sz w:val="24"/>
          <w:szCs w:val="24"/>
        </w:rPr>
        <w:t xml:space="preserve">Barr, V.,  &amp; Stephenson, C. (2011). Bringing computational thinking to K-12: What is involved </w:t>
      </w:r>
      <w:r w:rsidRPr="00474CFE">
        <w:rPr>
          <w:rFonts w:ascii="NewCenturySchlbk-Roman" w:hAnsi="NewCenturySchlbk-Roman" w:cs="NewCenturySchlbk-Roman"/>
          <w:sz w:val="24"/>
          <w:szCs w:val="24"/>
        </w:rPr>
        <w:t xml:space="preserve">and what is the role of the computer science education community?. </w:t>
      </w:r>
      <w:r w:rsidRPr="00474CFE">
        <w:rPr>
          <w:rFonts w:ascii="NewCenturySchlbk-Italic" w:hAnsi="NewCenturySchlbk-Italic" w:cs="NewCenturySchlbk-Italic"/>
          <w:i/>
          <w:iCs/>
          <w:sz w:val="24"/>
          <w:szCs w:val="24"/>
        </w:rPr>
        <w:t>ACM Inroads 2</w:t>
      </w:r>
      <w:r>
        <w:rPr>
          <w:rFonts w:ascii="NewCenturySchlbk-Roman" w:hAnsi="NewCenturySchlbk-Roman" w:cs="NewCenturySchlbk-Roman"/>
          <w:sz w:val="24"/>
          <w:szCs w:val="24"/>
        </w:rPr>
        <w:t xml:space="preserve"> (1)</w:t>
      </w:r>
      <w:r w:rsidRPr="00474CFE">
        <w:rPr>
          <w:rFonts w:ascii="NewCenturySchlbk-Roman" w:hAnsi="NewCenturySchlbk-Roman" w:cs="NewCenturySchlbk-Roman"/>
          <w:sz w:val="24"/>
          <w:szCs w:val="24"/>
        </w:rPr>
        <w:t>, 48–54.</w:t>
      </w:r>
      <w:r w:rsidRPr="00253589">
        <w:t xml:space="preserve"> </w:t>
      </w:r>
      <w:hyperlink r:id="rId22" w:history="1">
        <w:r w:rsidRPr="00FF30D8">
          <w:rPr>
            <w:rStyle w:val="Hyperlink"/>
            <w:rFonts w:ascii="NewCenturySchlbk-Roman" w:hAnsi="NewCenturySchlbk-Roman" w:cs="NewCenturySchlbk-Roman"/>
            <w:sz w:val="24"/>
            <w:szCs w:val="24"/>
          </w:rPr>
          <w:t>https://doi.org/10.1145/1929887.1929905</w:t>
        </w:r>
      </w:hyperlink>
    </w:p>
    <w:p w:rsidR="006C2660" w:rsidRDefault="006C2660" w:rsidP="006C2660">
      <w:pPr>
        <w:spacing w:line="240" w:lineRule="auto"/>
        <w:ind w:left="426" w:hanging="426"/>
        <w:jc w:val="both"/>
        <w:rPr>
          <w:rFonts w:cs="Minion Pro"/>
          <w:color w:val="000000"/>
          <w:sz w:val="24"/>
          <w:szCs w:val="24"/>
        </w:rPr>
      </w:pPr>
      <w:proofErr w:type="spellStart"/>
      <w:r w:rsidRPr="001604D3">
        <w:rPr>
          <w:rFonts w:cs="Minion Pro"/>
          <w:color w:val="000000"/>
          <w:sz w:val="24"/>
          <w:szCs w:val="24"/>
        </w:rPr>
        <w:t>Bers</w:t>
      </w:r>
      <w:proofErr w:type="spellEnd"/>
      <w:r w:rsidRPr="001604D3">
        <w:rPr>
          <w:rFonts w:cs="Minion Pro"/>
          <w:color w:val="000000"/>
          <w:sz w:val="24"/>
          <w:szCs w:val="24"/>
        </w:rPr>
        <w:t xml:space="preserve">, M. U., Flannery, L., </w:t>
      </w:r>
      <w:proofErr w:type="spellStart"/>
      <w:r w:rsidRPr="001604D3">
        <w:rPr>
          <w:rFonts w:cs="Minion Pro"/>
          <w:color w:val="000000"/>
          <w:sz w:val="24"/>
          <w:szCs w:val="24"/>
        </w:rPr>
        <w:t>Kazakoff</w:t>
      </w:r>
      <w:proofErr w:type="spellEnd"/>
      <w:r w:rsidRPr="001604D3">
        <w:rPr>
          <w:rFonts w:cs="Minion Pro"/>
          <w:color w:val="000000"/>
          <w:sz w:val="24"/>
          <w:szCs w:val="24"/>
        </w:rPr>
        <w:t>, E. R., &amp; Sullivan, A. (2014). Computational thinking and tinkering: Exploration of an early childhood robotics curriculum. </w:t>
      </w:r>
      <w:r w:rsidRPr="001604D3">
        <w:rPr>
          <w:rFonts w:cs="Minion Pro"/>
          <w:i/>
          <w:iCs/>
          <w:color w:val="000000"/>
          <w:sz w:val="24"/>
          <w:szCs w:val="24"/>
        </w:rPr>
        <w:t>Computers &amp; Education, 72,</w:t>
      </w:r>
      <w:r w:rsidRPr="001604D3">
        <w:rPr>
          <w:rFonts w:cs="Minion Pro"/>
          <w:color w:val="000000"/>
          <w:sz w:val="24"/>
          <w:szCs w:val="24"/>
        </w:rPr>
        <w:t> 145–157. </w:t>
      </w:r>
      <w:hyperlink r:id="rId23" w:tgtFrame="_blank" w:history="1">
        <w:r w:rsidRPr="001604D3">
          <w:rPr>
            <w:rStyle w:val="Hyperlink"/>
            <w:rFonts w:cs="Minion Pro"/>
            <w:sz w:val="24"/>
            <w:szCs w:val="24"/>
          </w:rPr>
          <w:t>https://doi.org/10.1016/j.compedu.2013.10.020</w:t>
        </w:r>
      </w:hyperlink>
    </w:p>
    <w:p w:rsidR="006C2660" w:rsidRDefault="006C2660" w:rsidP="006C2660">
      <w:pPr>
        <w:spacing w:line="240" w:lineRule="auto"/>
        <w:ind w:left="426" w:hanging="426"/>
        <w:jc w:val="both"/>
        <w:rPr>
          <w:rFonts w:cs="Traditional Arabic"/>
          <w:b/>
          <w:bCs/>
          <w:color w:val="FF0000"/>
          <w:sz w:val="28"/>
          <w:szCs w:val="28"/>
        </w:rPr>
      </w:pPr>
      <w:proofErr w:type="spellStart"/>
      <w:r w:rsidRPr="00D5002B">
        <w:rPr>
          <w:lang w:bidi="ar-EG"/>
        </w:rPr>
        <w:t>Biglan</w:t>
      </w:r>
      <w:proofErr w:type="spellEnd"/>
      <w:r>
        <w:rPr>
          <w:sz w:val="23"/>
          <w:szCs w:val="23"/>
        </w:rPr>
        <w:t xml:space="preserve">, A., Flay, B. R., Embry, D. D., &amp; Sandler, I. N. (2012). The critical role of nurturing environments for promoting human well-being. </w:t>
      </w:r>
      <w:r>
        <w:rPr>
          <w:i/>
          <w:iCs/>
          <w:sz w:val="23"/>
          <w:szCs w:val="23"/>
        </w:rPr>
        <w:t>The American Psychologist</w:t>
      </w:r>
      <w:r>
        <w:rPr>
          <w:sz w:val="23"/>
          <w:szCs w:val="23"/>
        </w:rPr>
        <w:t xml:space="preserve">, </w:t>
      </w:r>
      <w:r>
        <w:rPr>
          <w:i/>
          <w:iCs/>
          <w:sz w:val="23"/>
          <w:szCs w:val="23"/>
        </w:rPr>
        <w:t>67</w:t>
      </w:r>
      <w:r>
        <w:rPr>
          <w:sz w:val="23"/>
          <w:szCs w:val="23"/>
        </w:rPr>
        <w:t xml:space="preserve">(4), 257–271. </w:t>
      </w:r>
      <w:r>
        <w:rPr>
          <w:color w:val="0462C1"/>
          <w:sz w:val="23"/>
          <w:szCs w:val="23"/>
        </w:rPr>
        <w:t>https://doi.org/10.1037/a0026796</w:t>
      </w:r>
    </w:p>
    <w:p w:rsidR="006C2660" w:rsidRDefault="006C2660" w:rsidP="006C2660">
      <w:pPr>
        <w:spacing w:line="240" w:lineRule="auto"/>
        <w:ind w:left="426" w:hanging="426"/>
        <w:jc w:val="both"/>
        <w:rPr>
          <w:lang w:bidi="ar-EG"/>
        </w:rPr>
      </w:pPr>
      <w:proofErr w:type="spellStart"/>
      <w:r w:rsidRPr="00D5002B">
        <w:rPr>
          <w:rFonts w:cs="Minion Pro"/>
          <w:color w:val="000000"/>
          <w:sz w:val="24"/>
          <w:szCs w:val="24"/>
        </w:rPr>
        <w:t>Bocconi</w:t>
      </w:r>
      <w:proofErr w:type="spellEnd"/>
      <w:r w:rsidRPr="00567AB2">
        <w:rPr>
          <w:lang w:bidi="ar-EG"/>
        </w:rPr>
        <w:t xml:space="preserve">, S., </w:t>
      </w:r>
      <w:proofErr w:type="spellStart"/>
      <w:r w:rsidRPr="00567AB2">
        <w:rPr>
          <w:lang w:bidi="ar-EG"/>
        </w:rPr>
        <w:t>Chioccariello</w:t>
      </w:r>
      <w:proofErr w:type="spellEnd"/>
      <w:r w:rsidRPr="00567AB2">
        <w:rPr>
          <w:lang w:bidi="ar-EG"/>
        </w:rPr>
        <w:t xml:space="preserve">, A., </w:t>
      </w:r>
      <w:proofErr w:type="spellStart"/>
      <w:r w:rsidRPr="00567AB2">
        <w:rPr>
          <w:lang w:bidi="ar-EG"/>
        </w:rPr>
        <w:t>Dettori</w:t>
      </w:r>
      <w:proofErr w:type="spellEnd"/>
      <w:r w:rsidRPr="00567AB2">
        <w:rPr>
          <w:lang w:bidi="ar-EG"/>
        </w:rPr>
        <w:t xml:space="preserve">, G., Ferrari, A., </w:t>
      </w:r>
      <w:proofErr w:type="spellStart"/>
      <w:r w:rsidRPr="00567AB2">
        <w:rPr>
          <w:lang w:bidi="ar-EG"/>
        </w:rPr>
        <w:t>Engelhardt</w:t>
      </w:r>
      <w:proofErr w:type="spellEnd"/>
      <w:r w:rsidRPr="00567AB2">
        <w:rPr>
          <w:lang w:bidi="ar-EG"/>
        </w:rPr>
        <w:t xml:space="preserve">, K., </w:t>
      </w:r>
      <w:proofErr w:type="spellStart"/>
      <w:r w:rsidRPr="00567AB2">
        <w:rPr>
          <w:lang w:bidi="ar-EG"/>
        </w:rPr>
        <w:t>Kampylis</w:t>
      </w:r>
      <w:proofErr w:type="spellEnd"/>
      <w:r w:rsidRPr="00567AB2">
        <w:rPr>
          <w:lang w:bidi="ar-EG"/>
        </w:rPr>
        <w:t xml:space="preserve">, P., &amp; </w:t>
      </w:r>
      <w:proofErr w:type="spellStart"/>
      <w:r w:rsidRPr="00567AB2">
        <w:rPr>
          <w:lang w:bidi="ar-EG"/>
        </w:rPr>
        <w:t>Punie</w:t>
      </w:r>
      <w:proofErr w:type="spellEnd"/>
      <w:r w:rsidRPr="00567AB2">
        <w:rPr>
          <w:lang w:bidi="ar-EG"/>
        </w:rPr>
        <w:t xml:space="preserve">, Y. (2016). </w:t>
      </w:r>
      <w:r w:rsidRPr="00054096">
        <w:rPr>
          <w:i/>
          <w:iCs/>
          <w:lang w:bidi="ar-EG"/>
        </w:rPr>
        <w:t>Developing computational thinking in compulsory education - Implications for policy and practice,</w:t>
      </w:r>
      <w:r w:rsidRPr="00054096">
        <w:rPr>
          <w:lang w:bidi="ar-EG"/>
        </w:rPr>
        <w:t xml:space="preserve"> EUR 28295 EN, Publications Office of the European Union, Luxembourg, </w:t>
      </w:r>
      <w:r>
        <w:rPr>
          <w:lang w:bidi="ar-EG"/>
        </w:rPr>
        <w:t xml:space="preserve"> </w:t>
      </w:r>
      <w:r w:rsidRPr="00054096">
        <w:rPr>
          <w:lang w:bidi="ar-EG"/>
        </w:rPr>
        <w:t xml:space="preserve"> </w:t>
      </w:r>
      <w:r>
        <w:rPr>
          <w:lang w:bidi="ar-EG"/>
        </w:rPr>
        <w:t xml:space="preserve"> </w:t>
      </w:r>
      <w:r w:rsidRPr="00054096">
        <w:rPr>
          <w:lang w:bidi="ar-EG"/>
        </w:rPr>
        <w:t xml:space="preserve"> </w:t>
      </w:r>
      <w:hyperlink r:id="rId24" w:history="1">
        <w:r w:rsidRPr="00FF30D8">
          <w:rPr>
            <w:rStyle w:val="Hyperlink"/>
            <w:lang w:bidi="ar-EG"/>
          </w:rPr>
          <w:t>https://doi.org/10.2791/792158</w:t>
        </w:r>
      </w:hyperlink>
    </w:p>
    <w:p w:rsidR="006C2660" w:rsidRDefault="006C2660" w:rsidP="006C2660">
      <w:pPr>
        <w:spacing w:line="240" w:lineRule="auto"/>
        <w:ind w:left="426" w:hanging="426"/>
        <w:jc w:val="both"/>
        <w:rPr>
          <w:rStyle w:val="Hyperlink"/>
          <w:sz w:val="24"/>
          <w:szCs w:val="24"/>
          <w:rtl/>
        </w:rPr>
      </w:pPr>
      <w:r w:rsidRPr="00D5002B">
        <w:rPr>
          <w:rFonts w:cs="Minion Pro"/>
          <w:color w:val="000000"/>
          <w:sz w:val="24"/>
          <w:szCs w:val="24"/>
        </w:rPr>
        <w:t>Brennan</w:t>
      </w:r>
      <w:r w:rsidRPr="00B451A3">
        <w:rPr>
          <w:sz w:val="24"/>
          <w:szCs w:val="24"/>
        </w:rPr>
        <w:t xml:space="preserve">, K., &amp; </w:t>
      </w:r>
      <w:proofErr w:type="spellStart"/>
      <w:r w:rsidRPr="00B451A3">
        <w:rPr>
          <w:sz w:val="24"/>
          <w:szCs w:val="24"/>
        </w:rPr>
        <w:t>Resnick</w:t>
      </w:r>
      <w:proofErr w:type="spellEnd"/>
      <w:r w:rsidRPr="00B451A3">
        <w:rPr>
          <w:sz w:val="24"/>
          <w:szCs w:val="24"/>
        </w:rPr>
        <w:t xml:space="preserve">, M. (2012). New Frameworks for Studying and Assessing the Development of Computational </w:t>
      </w:r>
      <w:r w:rsidRPr="00474CFE">
        <w:rPr>
          <w:sz w:val="24"/>
          <w:szCs w:val="24"/>
        </w:rPr>
        <w:t>Thinking. Proceedings of the 2012 Annual Meeting of the American Educational Research Association, Vol. 1, Vancouver, 13-17 April 2012, 25 p.</w:t>
      </w:r>
      <w:r w:rsidRPr="00474CFE">
        <w:rPr>
          <w:sz w:val="24"/>
          <w:szCs w:val="24"/>
        </w:rPr>
        <w:br/>
      </w:r>
      <w:hyperlink r:id="rId25" w:history="1">
        <w:r w:rsidRPr="00FF30D8">
          <w:rPr>
            <w:rStyle w:val="Hyperlink"/>
            <w:sz w:val="24"/>
            <w:szCs w:val="24"/>
          </w:rPr>
          <w:t>http://scratched.gse.harvard.edu/ct/files/AERA2012.pdf</w:t>
        </w:r>
      </w:hyperlink>
    </w:p>
    <w:p w:rsidR="006C2660" w:rsidRDefault="006C2660" w:rsidP="006C2660">
      <w:pPr>
        <w:spacing w:line="240" w:lineRule="auto"/>
        <w:ind w:left="426" w:hanging="426"/>
        <w:jc w:val="both"/>
        <w:rPr>
          <w:rFonts w:asciiTheme="majorBidi" w:hAnsiTheme="majorBidi" w:cstheme="majorBidi"/>
          <w:color w:val="000000"/>
        </w:rPr>
      </w:pPr>
      <w:r w:rsidRPr="00D5002B">
        <w:rPr>
          <w:lang w:bidi="ar-EG"/>
        </w:rPr>
        <w:t>Buchanan</w:t>
      </w:r>
      <w:r w:rsidRPr="00CD4A6B">
        <w:rPr>
          <w:rFonts w:asciiTheme="majorBidi" w:hAnsiTheme="majorBidi" w:cstheme="majorBidi"/>
          <w:color w:val="000000"/>
        </w:rPr>
        <w:t xml:space="preserve">, T., </w:t>
      </w:r>
      <w:proofErr w:type="spellStart"/>
      <w:r w:rsidRPr="00CD4A6B">
        <w:rPr>
          <w:rFonts w:asciiTheme="majorBidi" w:hAnsiTheme="majorBidi" w:cstheme="majorBidi"/>
          <w:color w:val="000000"/>
        </w:rPr>
        <w:t>Sainter</w:t>
      </w:r>
      <w:proofErr w:type="spellEnd"/>
      <w:r w:rsidRPr="00CD4A6B">
        <w:rPr>
          <w:rFonts w:asciiTheme="majorBidi" w:hAnsiTheme="majorBidi" w:cstheme="majorBidi"/>
          <w:color w:val="000000"/>
        </w:rPr>
        <w:t>, P. &amp; Saunders, G.  (2013)</w:t>
      </w:r>
      <w:r>
        <w:rPr>
          <w:rFonts w:asciiTheme="majorBidi" w:hAnsiTheme="majorBidi" w:cstheme="majorBidi"/>
          <w:color w:val="000000"/>
        </w:rPr>
        <w:t xml:space="preserve">. </w:t>
      </w:r>
      <w:r w:rsidRPr="00CD4A6B">
        <w:rPr>
          <w:rFonts w:asciiTheme="majorBidi" w:hAnsiTheme="majorBidi" w:cstheme="majorBidi"/>
          <w:color w:val="000000"/>
        </w:rPr>
        <w:t xml:space="preserve">Factors affecting faculty use of learning technologies: implications for models of technology adoption. </w:t>
      </w:r>
      <w:r w:rsidRPr="00FA5C3F">
        <w:rPr>
          <w:rFonts w:asciiTheme="majorBidi" w:hAnsiTheme="majorBidi" w:cstheme="majorBidi"/>
          <w:i/>
          <w:iCs/>
          <w:color w:val="000000"/>
        </w:rPr>
        <w:t>Journal of Computing in Higher Education. 25</w:t>
      </w:r>
      <w:r w:rsidRPr="00CD4A6B">
        <w:rPr>
          <w:rFonts w:asciiTheme="majorBidi" w:hAnsiTheme="majorBidi" w:cstheme="majorBidi"/>
          <w:color w:val="000000"/>
        </w:rPr>
        <w:t xml:space="preserve">, 1–11 (2013). </w:t>
      </w:r>
      <w:hyperlink r:id="rId26" w:history="1">
        <w:r w:rsidRPr="00FF30D8">
          <w:rPr>
            <w:rStyle w:val="Hyperlink"/>
            <w:rFonts w:asciiTheme="majorBidi" w:hAnsiTheme="majorBidi" w:cstheme="majorBidi"/>
          </w:rPr>
          <w:t>https://doi.org/10.1007/s12528-013-9066-6</w:t>
        </w:r>
      </w:hyperlink>
    </w:p>
    <w:p w:rsidR="006C2660" w:rsidRDefault="006C2660" w:rsidP="006C2660">
      <w:pPr>
        <w:spacing w:line="240" w:lineRule="auto"/>
        <w:ind w:left="426" w:hanging="426"/>
        <w:jc w:val="both"/>
        <w:rPr>
          <w:rFonts w:cs="Minion Pro"/>
          <w:color w:val="000000"/>
          <w:sz w:val="24"/>
          <w:szCs w:val="24"/>
        </w:rPr>
      </w:pPr>
      <w:r w:rsidRPr="00A145F3">
        <w:rPr>
          <w:rFonts w:cs="Minion Pro"/>
          <w:color w:val="000000"/>
          <w:sz w:val="24"/>
          <w:szCs w:val="24"/>
        </w:rPr>
        <w:t xml:space="preserve">Bundy, A. (2007). Computational thinking is pervasive. </w:t>
      </w:r>
      <w:r w:rsidRPr="00A145F3">
        <w:rPr>
          <w:rFonts w:cs="Minion Pro"/>
          <w:i/>
          <w:iCs/>
          <w:color w:val="000000"/>
          <w:sz w:val="24"/>
          <w:szCs w:val="24"/>
        </w:rPr>
        <w:t>Journal of Scientific and Practical</w:t>
      </w:r>
      <w:r>
        <w:rPr>
          <w:rFonts w:cs="Minion Pro"/>
          <w:i/>
          <w:iCs/>
          <w:color w:val="000000"/>
          <w:sz w:val="24"/>
          <w:szCs w:val="24"/>
        </w:rPr>
        <w:t xml:space="preserve"> </w:t>
      </w:r>
      <w:r w:rsidRPr="00A145F3">
        <w:rPr>
          <w:rFonts w:cs="Minion Pro"/>
          <w:i/>
          <w:iCs/>
          <w:color w:val="000000"/>
          <w:sz w:val="24"/>
          <w:szCs w:val="24"/>
        </w:rPr>
        <w:t>Computing</w:t>
      </w:r>
      <w:r w:rsidRPr="00A145F3">
        <w:rPr>
          <w:rFonts w:cs="Minion Pro"/>
          <w:color w:val="000000"/>
          <w:sz w:val="24"/>
          <w:szCs w:val="24"/>
        </w:rPr>
        <w:t>, 1(2), 67-69.</w:t>
      </w:r>
      <w:r w:rsidRPr="003B595A">
        <w:t xml:space="preserve"> </w:t>
      </w:r>
      <w:hyperlink r:id="rId27" w:history="1">
        <w:r w:rsidRPr="00FF30D8">
          <w:rPr>
            <w:rStyle w:val="Hyperlink"/>
            <w:rFonts w:cs="Minion Pro"/>
            <w:sz w:val="24"/>
            <w:szCs w:val="24"/>
          </w:rPr>
          <w:t>http://www.spclab.com/publisher/journals/Vol1No2/N1.pdf</w:t>
        </w:r>
      </w:hyperlink>
    </w:p>
    <w:p w:rsidR="006C2660" w:rsidRPr="00C4125A" w:rsidRDefault="006C2660" w:rsidP="006C2660">
      <w:pPr>
        <w:spacing w:line="240" w:lineRule="auto"/>
        <w:ind w:left="426" w:hanging="426"/>
        <w:jc w:val="both"/>
        <w:rPr>
          <w:sz w:val="23"/>
          <w:szCs w:val="23"/>
          <w:rtl/>
          <w:lang w:bidi="ar-EG"/>
        </w:rPr>
      </w:pPr>
      <w:r w:rsidRPr="00D5002B">
        <w:rPr>
          <w:lang w:bidi="ar-EG"/>
        </w:rPr>
        <w:t>Callaghan</w:t>
      </w:r>
      <w:r w:rsidRPr="00047F63">
        <w:rPr>
          <w:sz w:val="23"/>
          <w:szCs w:val="23"/>
        </w:rPr>
        <w:t>, S</w:t>
      </w:r>
      <w:r>
        <w:rPr>
          <w:sz w:val="23"/>
          <w:szCs w:val="23"/>
        </w:rPr>
        <w:t>.</w:t>
      </w:r>
      <w:r w:rsidRPr="00047F63">
        <w:rPr>
          <w:sz w:val="23"/>
          <w:szCs w:val="23"/>
        </w:rPr>
        <w:t xml:space="preserve">, </w:t>
      </w:r>
      <w:r>
        <w:rPr>
          <w:sz w:val="23"/>
          <w:szCs w:val="23"/>
        </w:rPr>
        <w:t>&amp;</w:t>
      </w:r>
      <w:r w:rsidRPr="00047F63">
        <w:rPr>
          <w:sz w:val="23"/>
          <w:szCs w:val="23"/>
        </w:rPr>
        <w:t xml:space="preserve"> Maureen</w:t>
      </w:r>
      <w:r>
        <w:rPr>
          <w:sz w:val="23"/>
          <w:szCs w:val="23"/>
        </w:rPr>
        <w:t>,</w:t>
      </w:r>
      <w:r w:rsidRPr="00C4125A">
        <w:rPr>
          <w:sz w:val="23"/>
          <w:szCs w:val="23"/>
        </w:rPr>
        <w:t xml:space="preserve"> D. (2020). Academic Self-efficacy, Subjective Well-being, and Academic Achievement of Students Who “Believe” They Are Gifted.</w:t>
      </w:r>
      <w:r w:rsidRPr="00C4125A">
        <w:rPr>
          <w:i/>
          <w:iCs/>
          <w:sz w:val="23"/>
          <w:szCs w:val="23"/>
        </w:rPr>
        <w:t xml:space="preserve"> The International Journal of Learning: Annual Review</w:t>
      </w:r>
      <w:r>
        <w:rPr>
          <w:i/>
          <w:iCs/>
          <w:sz w:val="23"/>
          <w:szCs w:val="23"/>
        </w:rPr>
        <w:t>,</w:t>
      </w:r>
      <w:r w:rsidRPr="00C4125A">
        <w:rPr>
          <w:sz w:val="23"/>
          <w:szCs w:val="23"/>
        </w:rPr>
        <w:t> 27 (1)</w:t>
      </w:r>
      <w:r>
        <w:rPr>
          <w:sz w:val="23"/>
          <w:szCs w:val="23"/>
        </w:rPr>
        <w:t>,</w:t>
      </w:r>
      <w:r w:rsidRPr="00C4125A">
        <w:rPr>
          <w:sz w:val="23"/>
          <w:szCs w:val="23"/>
        </w:rPr>
        <w:t xml:space="preserve"> 17-35. </w:t>
      </w:r>
      <w:hyperlink r:id="rId28" w:history="1">
        <w:r w:rsidRPr="00C4125A">
          <w:rPr>
            <w:rStyle w:val="Hyperlink"/>
            <w:sz w:val="23"/>
            <w:szCs w:val="23"/>
          </w:rPr>
          <w:t>https://doi.org/10.18848/1447-9494/CGP/v27i01/17-35</w:t>
        </w:r>
      </w:hyperlink>
    </w:p>
    <w:p w:rsidR="006C2660" w:rsidRDefault="006C2660" w:rsidP="006C2660">
      <w:pPr>
        <w:spacing w:line="240" w:lineRule="auto"/>
        <w:ind w:left="426" w:hanging="426"/>
        <w:jc w:val="both"/>
        <w:rPr>
          <w:sz w:val="23"/>
          <w:szCs w:val="23"/>
          <w:rtl/>
          <w:lang w:val="en-GB"/>
        </w:rPr>
      </w:pPr>
      <w:r w:rsidRPr="00D5002B">
        <w:rPr>
          <w:lang w:bidi="ar-EG"/>
        </w:rPr>
        <w:lastRenderedPageBreak/>
        <w:t>Carter</w:t>
      </w:r>
      <w:r w:rsidRPr="00D859C9">
        <w:rPr>
          <w:sz w:val="23"/>
          <w:szCs w:val="23"/>
          <w:lang w:val="en-GB"/>
        </w:rPr>
        <w:t>, S., &amp; Yeo, A. C. M. (2018). Internet-enabled collective intelligence as a precursor and predictor of consumer behaviour. </w:t>
      </w:r>
      <w:r w:rsidRPr="001E5A03">
        <w:rPr>
          <w:i/>
          <w:iCs/>
          <w:sz w:val="23"/>
          <w:szCs w:val="23"/>
          <w:lang w:val="en-GB"/>
        </w:rPr>
        <w:t>Economics, Management and Financial Markets, 13</w:t>
      </w:r>
      <w:r w:rsidRPr="00D859C9">
        <w:rPr>
          <w:sz w:val="23"/>
          <w:szCs w:val="23"/>
          <w:lang w:val="en-GB"/>
        </w:rPr>
        <w:t>(4), 11.</w:t>
      </w:r>
      <w:r w:rsidRPr="001E5A03">
        <w:t xml:space="preserve"> </w:t>
      </w:r>
      <w:hyperlink r:id="rId29" w:history="1">
        <w:r w:rsidRPr="004D11EC">
          <w:rPr>
            <w:rStyle w:val="Hyperlink"/>
            <w:sz w:val="23"/>
            <w:szCs w:val="23"/>
            <w:lang w:val="en-GB"/>
          </w:rPr>
          <w:t>https://doi.org/10.22381/EMFM13420181</w:t>
        </w:r>
      </w:hyperlink>
    </w:p>
    <w:p w:rsidR="006C2660" w:rsidRDefault="006C2660" w:rsidP="006C2660">
      <w:pPr>
        <w:spacing w:line="240" w:lineRule="auto"/>
        <w:ind w:left="426" w:hanging="426"/>
        <w:jc w:val="both"/>
        <w:rPr>
          <w:sz w:val="24"/>
          <w:szCs w:val="24"/>
        </w:rPr>
      </w:pPr>
      <w:r w:rsidRPr="005D568A">
        <w:rPr>
          <w:sz w:val="24"/>
          <w:szCs w:val="24"/>
        </w:rPr>
        <w:t xml:space="preserve">Cassidy, S., &amp; </w:t>
      </w:r>
      <w:proofErr w:type="spellStart"/>
      <w:r w:rsidRPr="005D568A">
        <w:rPr>
          <w:sz w:val="24"/>
          <w:szCs w:val="24"/>
        </w:rPr>
        <w:t>Eachus</w:t>
      </w:r>
      <w:proofErr w:type="spellEnd"/>
      <w:r w:rsidRPr="005D568A">
        <w:rPr>
          <w:sz w:val="24"/>
          <w:szCs w:val="24"/>
        </w:rPr>
        <w:t>, P. (2002). Developing the Computer User Self-Efficacy (CUSE) Scale: Investigating the relationship between computer self-efficacy, gender and experience with computers. </w:t>
      </w:r>
      <w:r w:rsidRPr="005D568A">
        <w:rPr>
          <w:i/>
          <w:iCs/>
          <w:sz w:val="24"/>
          <w:szCs w:val="24"/>
        </w:rPr>
        <w:t>Journal of Educational Computing Research, 26</w:t>
      </w:r>
      <w:r w:rsidRPr="005D568A">
        <w:rPr>
          <w:sz w:val="24"/>
          <w:szCs w:val="24"/>
        </w:rPr>
        <w:t>(2), 133–153. </w:t>
      </w:r>
      <w:hyperlink r:id="rId30" w:tgtFrame="_blank" w:history="1">
        <w:r w:rsidRPr="005D568A">
          <w:rPr>
            <w:rStyle w:val="Hyperlink"/>
            <w:sz w:val="24"/>
            <w:szCs w:val="24"/>
          </w:rPr>
          <w:t>https://doi.org/10.2190/JGJR-0KVL-HRF7-GCNV</w:t>
        </w:r>
      </w:hyperlink>
    </w:p>
    <w:p w:rsidR="006C2660" w:rsidRPr="00047F63" w:rsidRDefault="006C2660" w:rsidP="006C2660">
      <w:pPr>
        <w:spacing w:line="240" w:lineRule="auto"/>
        <w:ind w:left="426" w:hanging="426"/>
        <w:jc w:val="both"/>
        <w:rPr>
          <w:rStyle w:val="Hyperlink"/>
        </w:rPr>
      </w:pPr>
      <w:r w:rsidRPr="00D5002B">
        <w:rPr>
          <w:lang w:bidi="ar-EG"/>
        </w:rPr>
        <w:t>Chávez</w:t>
      </w:r>
      <w:r w:rsidRPr="00174484">
        <w:rPr>
          <w:sz w:val="23"/>
          <w:szCs w:val="23"/>
        </w:rPr>
        <w:t>-Castillo, Y.; Zapata-</w:t>
      </w:r>
      <w:proofErr w:type="spellStart"/>
      <w:r w:rsidRPr="00174484">
        <w:rPr>
          <w:sz w:val="23"/>
          <w:szCs w:val="23"/>
        </w:rPr>
        <w:t>Lamana</w:t>
      </w:r>
      <w:proofErr w:type="spellEnd"/>
      <w:r w:rsidRPr="00174484">
        <w:rPr>
          <w:sz w:val="23"/>
          <w:szCs w:val="23"/>
        </w:rPr>
        <w:t xml:space="preserve">, R.; Diaz-Vargas, C.; </w:t>
      </w:r>
      <w:proofErr w:type="spellStart"/>
      <w:r w:rsidRPr="00174484">
        <w:rPr>
          <w:sz w:val="23"/>
          <w:szCs w:val="23"/>
        </w:rPr>
        <w:t>Antileo-Miño</w:t>
      </w:r>
      <w:proofErr w:type="spellEnd"/>
      <w:r w:rsidRPr="00174484">
        <w:rPr>
          <w:sz w:val="23"/>
          <w:szCs w:val="23"/>
        </w:rPr>
        <w:t>, L.; Castro-</w:t>
      </w:r>
      <w:proofErr w:type="spellStart"/>
      <w:r w:rsidRPr="00174484">
        <w:rPr>
          <w:sz w:val="23"/>
          <w:szCs w:val="23"/>
        </w:rPr>
        <w:t>Durán</w:t>
      </w:r>
      <w:proofErr w:type="spellEnd"/>
      <w:r w:rsidRPr="00174484">
        <w:rPr>
          <w:sz w:val="23"/>
          <w:szCs w:val="23"/>
        </w:rPr>
        <w:t xml:space="preserve">, L.; </w:t>
      </w:r>
      <w:proofErr w:type="spellStart"/>
      <w:r w:rsidRPr="00174484">
        <w:rPr>
          <w:sz w:val="23"/>
          <w:szCs w:val="23"/>
        </w:rPr>
        <w:t>Vásquez</w:t>
      </w:r>
      <w:proofErr w:type="spellEnd"/>
      <w:r w:rsidRPr="00174484">
        <w:rPr>
          <w:sz w:val="23"/>
          <w:szCs w:val="23"/>
        </w:rPr>
        <w:t>-Gómez, J.; Parra-</w:t>
      </w:r>
      <w:proofErr w:type="spellStart"/>
      <w:r w:rsidRPr="00174484">
        <w:rPr>
          <w:sz w:val="23"/>
          <w:szCs w:val="23"/>
        </w:rPr>
        <w:t>Rizo</w:t>
      </w:r>
      <w:proofErr w:type="spellEnd"/>
      <w:r w:rsidRPr="00174484">
        <w:rPr>
          <w:sz w:val="23"/>
          <w:szCs w:val="23"/>
        </w:rPr>
        <w:t xml:space="preserve">, M.A.; &amp; </w:t>
      </w:r>
      <w:proofErr w:type="spellStart"/>
      <w:r w:rsidRPr="00174484">
        <w:rPr>
          <w:sz w:val="23"/>
          <w:szCs w:val="23"/>
        </w:rPr>
        <w:t>Cigarroa</w:t>
      </w:r>
      <w:proofErr w:type="spellEnd"/>
      <w:r w:rsidRPr="00174484">
        <w:rPr>
          <w:sz w:val="23"/>
          <w:szCs w:val="23"/>
        </w:rPr>
        <w:t xml:space="preserve">, I. (2023). Mental Health, Subjective Well-Being, and Academic Performance in Chilean Schoolchildren Who Are Part and Are Not Part of the School Inclusion Program. </w:t>
      </w:r>
      <w:r w:rsidRPr="00174484">
        <w:rPr>
          <w:i/>
          <w:iCs/>
          <w:sz w:val="23"/>
          <w:szCs w:val="23"/>
        </w:rPr>
        <w:t>Educ. Sci., 13</w:t>
      </w:r>
      <w:r w:rsidRPr="00174484">
        <w:rPr>
          <w:sz w:val="23"/>
          <w:szCs w:val="23"/>
        </w:rPr>
        <w:t xml:space="preserve">, 1065. </w:t>
      </w:r>
      <w:hyperlink r:id="rId31" w:history="1">
        <w:r w:rsidRPr="00174484">
          <w:rPr>
            <w:rStyle w:val="Hyperlink"/>
            <w:sz w:val="23"/>
            <w:szCs w:val="23"/>
          </w:rPr>
          <w:t>https://doi.org/10.3390/educsci</w:t>
        </w:r>
      </w:hyperlink>
      <w:r w:rsidRPr="00047F63">
        <w:rPr>
          <w:rStyle w:val="Hyperlink"/>
        </w:rPr>
        <w:t>13101065</w:t>
      </w:r>
    </w:p>
    <w:p w:rsidR="006C2660" w:rsidRPr="00C4125A" w:rsidRDefault="006C2660" w:rsidP="006C2660">
      <w:pPr>
        <w:spacing w:line="240" w:lineRule="auto"/>
        <w:ind w:left="426" w:hanging="426"/>
        <w:jc w:val="both"/>
        <w:rPr>
          <w:sz w:val="23"/>
          <w:szCs w:val="23"/>
        </w:rPr>
      </w:pPr>
      <w:r w:rsidRPr="00D5002B">
        <w:rPr>
          <w:lang w:bidi="ar-EG"/>
        </w:rPr>
        <w:t>Chen</w:t>
      </w:r>
      <w:r w:rsidRPr="00C4125A">
        <w:rPr>
          <w:sz w:val="23"/>
          <w:szCs w:val="23"/>
        </w:rPr>
        <w:t xml:space="preserve">, T., </w:t>
      </w:r>
      <w:proofErr w:type="spellStart"/>
      <w:r w:rsidRPr="00C4125A">
        <w:rPr>
          <w:sz w:val="23"/>
          <w:szCs w:val="23"/>
        </w:rPr>
        <w:t>Lucock</w:t>
      </w:r>
      <w:proofErr w:type="spellEnd"/>
      <w:r w:rsidRPr="00C4125A">
        <w:rPr>
          <w:sz w:val="23"/>
          <w:szCs w:val="23"/>
        </w:rPr>
        <w:t xml:space="preserve">, M., Mittal, P., &amp; Mittal, P. (2022). The mental health of university students during the COVID-19 pandemic: An online survey in the UK. </w:t>
      </w:r>
      <w:proofErr w:type="spellStart"/>
      <w:r w:rsidRPr="00C4125A">
        <w:rPr>
          <w:i/>
          <w:iCs/>
          <w:sz w:val="23"/>
          <w:szCs w:val="23"/>
        </w:rPr>
        <w:t>PLoS</w:t>
      </w:r>
      <w:proofErr w:type="spellEnd"/>
      <w:r w:rsidRPr="00C4125A">
        <w:rPr>
          <w:i/>
          <w:iCs/>
          <w:sz w:val="23"/>
          <w:szCs w:val="23"/>
        </w:rPr>
        <w:t xml:space="preserve"> One, 17</w:t>
      </w:r>
      <w:r w:rsidRPr="00C4125A">
        <w:rPr>
          <w:sz w:val="23"/>
          <w:szCs w:val="23"/>
        </w:rPr>
        <w:t xml:space="preserve">(1), e0262562. </w:t>
      </w:r>
      <w:hyperlink r:id="rId32" w:history="1">
        <w:r w:rsidRPr="00C4125A">
          <w:rPr>
            <w:rStyle w:val="Hyperlink"/>
            <w:sz w:val="23"/>
            <w:szCs w:val="23"/>
          </w:rPr>
          <w:t>https://doi.org/10.1371/jour nal.pone.0262562</w:t>
        </w:r>
      </w:hyperlink>
    </w:p>
    <w:p w:rsidR="006C2660" w:rsidRDefault="006C2660" w:rsidP="006C2660">
      <w:pPr>
        <w:spacing w:line="240" w:lineRule="auto"/>
        <w:ind w:left="426" w:hanging="426"/>
        <w:jc w:val="both"/>
        <w:rPr>
          <w:rFonts w:cs="Minion Pro"/>
          <w:color w:val="000000"/>
          <w:sz w:val="24"/>
          <w:szCs w:val="24"/>
        </w:rPr>
      </w:pPr>
      <w:r w:rsidRPr="005A2DAF">
        <w:rPr>
          <w:rFonts w:cs="Minion Pro"/>
          <w:color w:val="000000"/>
          <w:sz w:val="24"/>
          <w:szCs w:val="24"/>
        </w:rPr>
        <w:t xml:space="preserve">Chen, W., Zhang, D., Pan, Y., Hu, T., Liu, G., </w:t>
      </w:r>
      <w:r>
        <w:rPr>
          <w:rFonts w:cs="Minion Pro"/>
          <w:color w:val="000000"/>
          <w:sz w:val="24"/>
          <w:szCs w:val="24"/>
        </w:rPr>
        <w:t>&amp;</w:t>
      </w:r>
      <w:r w:rsidRPr="005A2DAF">
        <w:rPr>
          <w:rFonts w:cs="Minion Pro"/>
          <w:color w:val="000000"/>
          <w:sz w:val="24"/>
          <w:szCs w:val="24"/>
        </w:rPr>
        <w:t xml:space="preserve"> </w:t>
      </w:r>
      <w:proofErr w:type="spellStart"/>
      <w:r w:rsidRPr="005A2DAF">
        <w:rPr>
          <w:rFonts w:cs="Minion Pro"/>
          <w:color w:val="000000"/>
          <w:sz w:val="24"/>
          <w:szCs w:val="24"/>
        </w:rPr>
        <w:t>Luo</w:t>
      </w:r>
      <w:proofErr w:type="spellEnd"/>
      <w:r w:rsidRPr="005A2DAF">
        <w:rPr>
          <w:rFonts w:cs="Minion Pro"/>
          <w:color w:val="000000"/>
          <w:sz w:val="24"/>
          <w:szCs w:val="24"/>
        </w:rPr>
        <w:t>, S. (2017). Perceived</w:t>
      </w:r>
      <w:r>
        <w:rPr>
          <w:rFonts w:cs="Minion Pro"/>
          <w:color w:val="000000"/>
          <w:sz w:val="24"/>
          <w:szCs w:val="24"/>
        </w:rPr>
        <w:t xml:space="preserve"> </w:t>
      </w:r>
      <w:r w:rsidRPr="005A2DAF">
        <w:rPr>
          <w:rFonts w:cs="Minion Pro"/>
          <w:color w:val="000000"/>
          <w:sz w:val="24"/>
          <w:szCs w:val="24"/>
        </w:rPr>
        <w:t>social support and self-esteem as mediators of the relationship between parental</w:t>
      </w:r>
      <w:r>
        <w:rPr>
          <w:rFonts w:cs="Minion Pro"/>
          <w:color w:val="000000"/>
          <w:sz w:val="24"/>
          <w:szCs w:val="24"/>
        </w:rPr>
        <w:t xml:space="preserve"> </w:t>
      </w:r>
      <w:r w:rsidRPr="005A2DAF">
        <w:rPr>
          <w:rFonts w:cs="Minion Pro"/>
          <w:color w:val="000000"/>
          <w:sz w:val="24"/>
          <w:szCs w:val="24"/>
        </w:rPr>
        <w:t xml:space="preserve">attachment and life satisfaction among Chinese adolescents. Pers. </w:t>
      </w:r>
      <w:proofErr w:type="spellStart"/>
      <w:r w:rsidRPr="005A2DAF">
        <w:rPr>
          <w:rFonts w:cs="Minion Pro"/>
          <w:i/>
          <w:iCs/>
          <w:color w:val="000000"/>
          <w:sz w:val="24"/>
          <w:szCs w:val="24"/>
        </w:rPr>
        <w:t>Indiv</w:t>
      </w:r>
      <w:proofErr w:type="spellEnd"/>
      <w:r w:rsidRPr="005A2DAF">
        <w:rPr>
          <w:rFonts w:cs="Minion Pro"/>
          <w:i/>
          <w:iCs/>
          <w:color w:val="000000"/>
          <w:sz w:val="24"/>
          <w:szCs w:val="24"/>
        </w:rPr>
        <w:t>. Differ. 108,</w:t>
      </w:r>
      <w:r w:rsidRPr="005A2DAF">
        <w:rPr>
          <w:rFonts w:cs="Minion Pro"/>
          <w:color w:val="000000"/>
          <w:sz w:val="24"/>
          <w:szCs w:val="24"/>
        </w:rPr>
        <w:t xml:space="preserve"> 98–102. </w:t>
      </w:r>
      <w:hyperlink r:id="rId33" w:history="1">
        <w:r w:rsidRPr="004403D1">
          <w:rPr>
            <w:rStyle w:val="Hyperlink"/>
            <w:rFonts w:cs="Minion Pro"/>
            <w:sz w:val="24"/>
            <w:szCs w:val="24"/>
          </w:rPr>
          <w:t>http://dx.doi.org/10.1016/j.paid.2016.12.009</w:t>
        </w:r>
      </w:hyperlink>
    </w:p>
    <w:p w:rsidR="006C2660" w:rsidRDefault="006C2660" w:rsidP="006C2660">
      <w:pPr>
        <w:spacing w:line="240" w:lineRule="auto"/>
        <w:ind w:left="426" w:hanging="426"/>
        <w:jc w:val="both"/>
        <w:rPr>
          <w:sz w:val="23"/>
          <w:szCs w:val="23"/>
          <w:lang w:bidi="ar-EG"/>
        </w:rPr>
      </w:pPr>
      <w:r w:rsidRPr="00D859C9">
        <w:rPr>
          <w:sz w:val="23"/>
          <w:szCs w:val="23"/>
          <w:lang w:bidi="ar-EG"/>
        </w:rPr>
        <w:t>Cheng</w:t>
      </w:r>
      <w:r>
        <w:rPr>
          <w:sz w:val="23"/>
          <w:szCs w:val="23"/>
          <w:lang w:bidi="ar-EG"/>
        </w:rPr>
        <w:t>,</w:t>
      </w:r>
      <w:r w:rsidRPr="00D859C9">
        <w:rPr>
          <w:sz w:val="23"/>
          <w:szCs w:val="23"/>
          <w:lang w:bidi="ar-EG"/>
        </w:rPr>
        <w:t xml:space="preserve"> H</w:t>
      </w:r>
      <w:r>
        <w:rPr>
          <w:sz w:val="23"/>
          <w:szCs w:val="23"/>
          <w:lang w:bidi="ar-EG"/>
        </w:rPr>
        <w:t>.</w:t>
      </w:r>
      <w:r w:rsidRPr="00D859C9">
        <w:rPr>
          <w:sz w:val="23"/>
          <w:szCs w:val="23"/>
          <w:lang w:bidi="ar-EG"/>
        </w:rPr>
        <w:t>,</w:t>
      </w:r>
      <w:r>
        <w:rPr>
          <w:sz w:val="23"/>
          <w:szCs w:val="23"/>
          <w:lang w:bidi="ar-EG"/>
        </w:rPr>
        <w:t xml:space="preserve"> &amp;</w:t>
      </w:r>
      <w:r w:rsidRPr="00D859C9">
        <w:rPr>
          <w:sz w:val="23"/>
          <w:szCs w:val="23"/>
          <w:lang w:bidi="ar-EG"/>
        </w:rPr>
        <w:t xml:space="preserve"> </w:t>
      </w:r>
      <w:proofErr w:type="spellStart"/>
      <w:r w:rsidRPr="00D859C9">
        <w:rPr>
          <w:sz w:val="23"/>
          <w:szCs w:val="23"/>
          <w:lang w:bidi="ar-EG"/>
        </w:rPr>
        <w:t>Furnham</w:t>
      </w:r>
      <w:proofErr w:type="spellEnd"/>
      <w:r>
        <w:rPr>
          <w:sz w:val="23"/>
          <w:szCs w:val="23"/>
          <w:lang w:bidi="ar-EG"/>
        </w:rPr>
        <w:t>,</w:t>
      </w:r>
      <w:r w:rsidRPr="00D859C9">
        <w:rPr>
          <w:sz w:val="23"/>
          <w:szCs w:val="23"/>
          <w:lang w:bidi="ar-EG"/>
        </w:rPr>
        <w:t xml:space="preserve"> A. </w:t>
      </w:r>
      <w:r>
        <w:rPr>
          <w:sz w:val="23"/>
          <w:szCs w:val="23"/>
          <w:lang w:bidi="ar-EG"/>
        </w:rPr>
        <w:t>(2002).</w:t>
      </w:r>
      <w:r w:rsidRPr="00D859C9">
        <w:rPr>
          <w:sz w:val="23"/>
          <w:szCs w:val="23"/>
          <w:lang w:bidi="ar-EG"/>
        </w:rPr>
        <w:t xml:space="preserve">Personality, peer relations, and self-confidence as predictors of happiness and loneliness. </w:t>
      </w:r>
      <w:r w:rsidRPr="001C4C0D">
        <w:rPr>
          <w:i/>
          <w:iCs/>
          <w:sz w:val="23"/>
          <w:szCs w:val="23"/>
          <w:lang w:bidi="ar-EG"/>
        </w:rPr>
        <w:t>Journal of Adolescence. 25</w:t>
      </w:r>
      <w:r>
        <w:rPr>
          <w:i/>
          <w:iCs/>
          <w:sz w:val="23"/>
          <w:szCs w:val="23"/>
          <w:lang w:bidi="ar-EG"/>
        </w:rPr>
        <w:t xml:space="preserve"> </w:t>
      </w:r>
      <w:r w:rsidRPr="00D859C9">
        <w:rPr>
          <w:sz w:val="23"/>
          <w:szCs w:val="23"/>
          <w:lang w:bidi="ar-EG"/>
        </w:rPr>
        <w:t xml:space="preserve">(3):327-339. </w:t>
      </w:r>
      <w:hyperlink r:id="rId34" w:history="1">
        <w:r w:rsidRPr="00FF30D8">
          <w:rPr>
            <w:rStyle w:val="Hyperlink"/>
            <w:sz w:val="23"/>
            <w:szCs w:val="23"/>
            <w:lang w:bidi="ar-EG"/>
          </w:rPr>
          <w:t>https://doi.org/10.1006/jado.2002.0475</w:t>
        </w:r>
      </w:hyperlink>
    </w:p>
    <w:p w:rsidR="006C2660" w:rsidRDefault="006C2660" w:rsidP="006C2660">
      <w:pPr>
        <w:spacing w:line="240" w:lineRule="auto"/>
        <w:ind w:left="426" w:hanging="426"/>
        <w:jc w:val="both"/>
        <w:rPr>
          <w:rStyle w:val="Hyperlink"/>
          <w:rFonts w:cs="Minion Pro"/>
          <w:sz w:val="24"/>
          <w:szCs w:val="24"/>
        </w:rPr>
      </w:pPr>
      <w:proofErr w:type="spellStart"/>
      <w:r w:rsidRPr="00B55CDF">
        <w:rPr>
          <w:rFonts w:cs="Minion Pro"/>
          <w:color w:val="000000"/>
          <w:sz w:val="24"/>
          <w:szCs w:val="24"/>
        </w:rPr>
        <w:t>Ching</w:t>
      </w:r>
      <w:proofErr w:type="spellEnd"/>
      <w:r w:rsidRPr="00B55CDF">
        <w:rPr>
          <w:rFonts w:cs="Minion Pro"/>
          <w:color w:val="000000"/>
          <w:sz w:val="24"/>
          <w:szCs w:val="24"/>
        </w:rPr>
        <w:t>, YH., Hsu, YC. &amp; Baldwin, S.</w:t>
      </w:r>
      <w:r w:rsidRPr="00A145F3">
        <w:rPr>
          <w:rFonts w:cs="Minion Pro"/>
          <w:color w:val="000000"/>
          <w:sz w:val="24"/>
          <w:szCs w:val="24"/>
        </w:rPr>
        <w:t xml:space="preserve">. (2018). Developing computational thinking with educational technologies for young learners. </w:t>
      </w:r>
      <w:proofErr w:type="spellStart"/>
      <w:r w:rsidRPr="00A145F3">
        <w:rPr>
          <w:rFonts w:cs="Minion Pro"/>
          <w:i/>
          <w:iCs/>
          <w:color w:val="000000"/>
          <w:sz w:val="24"/>
          <w:szCs w:val="24"/>
        </w:rPr>
        <w:t>TechTrends</w:t>
      </w:r>
      <w:proofErr w:type="spellEnd"/>
      <w:r w:rsidRPr="00A145F3">
        <w:rPr>
          <w:rFonts w:cs="Minion Pro"/>
          <w:color w:val="000000"/>
          <w:sz w:val="24"/>
          <w:szCs w:val="24"/>
        </w:rPr>
        <w:t xml:space="preserve">, </w:t>
      </w:r>
      <w:r w:rsidRPr="00A145F3">
        <w:rPr>
          <w:rFonts w:cs="Minion Pro"/>
          <w:i/>
          <w:iCs/>
          <w:color w:val="000000"/>
          <w:sz w:val="24"/>
          <w:szCs w:val="24"/>
        </w:rPr>
        <w:t>62</w:t>
      </w:r>
      <w:r w:rsidRPr="00A145F3">
        <w:rPr>
          <w:rFonts w:cs="Minion Pro"/>
          <w:color w:val="000000"/>
          <w:sz w:val="24"/>
          <w:szCs w:val="24"/>
        </w:rPr>
        <w:t xml:space="preserve">(6), 563-573. </w:t>
      </w:r>
      <w:hyperlink r:id="rId35" w:history="1">
        <w:r w:rsidRPr="004403D1">
          <w:rPr>
            <w:rStyle w:val="Hyperlink"/>
            <w:rFonts w:cs="Minion Pro"/>
            <w:sz w:val="24"/>
            <w:szCs w:val="24"/>
          </w:rPr>
          <w:t>https://doi.org/10.1007/s11528-018-0292-7</w:t>
        </w:r>
      </w:hyperlink>
    </w:p>
    <w:p w:rsidR="006C2660" w:rsidRPr="00CC4924" w:rsidRDefault="006C2660" w:rsidP="006C2660">
      <w:pPr>
        <w:spacing w:line="240" w:lineRule="auto"/>
        <w:ind w:left="426" w:hanging="426"/>
        <w:jc w:val="both"/>
        <w:rPr>
          <w:lang w:bidi="ar-EG"/>
        </w:rPr>
      </w:pPr>
      <w:proofErr w:type="spellStart"/>
      <w:r w:rsidRPr="00CC4924">
        <w:rPr>
          <w:lang w:bidi="ar-EG"/>
        </w:rPr>
        <w:t>Chongo</w:t>
      </w:r>
      <w:proofErr w:type="spellEnd"/>
      <w:r w:rsidRPr="00CC4924">
        <w:rPr>
          <w:lang w:bidi="ar-EG"/>
        </w:rPr>
        <w:t xml:space="preserve">, S., Osman, K., &amp; </w:t>
      </w:r>
      <w:proofErr w:type="spellStart"/>
      <w:r w:rsidRPr="00CC4924">
        <w:rPr>
          <w:lang w:bidi="ar-EG"/>
        </w:rPr>
        <w:t>Nayan</w:t>
      </w:r>
      <w:proofErr w:type="spellEnd"/>
      <w:r w:rsidRPr="00CC4924">
        <w:rPr>
          <w:lang w:bidi="ar-EG"/>
        </w:rPr>
        <w:t xml:space="preserve">, N. (2020). Level of Computational Thinking Skills among Secondary Science Student: Variation across Gender and Mathematics Achievement. </w:t>
      </w:r>
      <w:r w:rsidRPr="00AE0B0B">
        <w:rPr>
          <w:i/>
          <w:iCs/>
          <w:lang w:bidi="ar-EG"/>
        </w:rPr>
        <w:t>Science Education International, 31</w:t>
      </w:r>
      <w:r w:rsidRPr="00CC4924">
        <w:rPr>
          <w:lang w:bidi="ar-EG"/>
        </w:rPr>
        <w:t>(2), 159- 163</w:t>
      </w:r>
      <w:r w:rsidRPr="00CC4924">
        <w:rPr>
          <w:rtl/>
          <w:lang w:bidi="ar-EG"/>
        </w:rPr>
        <w:t>.</w:t>
      </w:r>
      <w:r w:rsidRPr="00CC4924">
        <w:rPr>
          <w:lang w:bidi="ar-EG"/>
        </w:rPr>
        <w:t xml:space="preserve"> </w:t>
      </w:r>
      <w:hyperlink r:id="rId36" w:history="1">
        <w:r w:rsidRPr="00CC4924">
          <w:rPr>
            <w:rStyle w:val="Hyperlink"/>
            <w:lang w:bidi="ar-EG"/>
          </w:rPr>
          <w:t>https://doi.org/10.33828/sei.v31.i2.4</w:t>
        </w:r>
      </w:hyperlink>
    </w:p>
    <w:p w:rsidR="006C2660" w:rsidRDefault="006C2660" w:rsidP="006C2660">
      <w:pPr>
        <w:spacing w:line="240" w:lineRule="auto"/>
        <w:ind w:left="426" w:hanging="426"/>
        <w:jc w:val="both"/>
        <w:rPr>
          <w:lang w:bidi="ar-EG"/>
        </w:rPr>
      </w:pPr>
      <w:proofErr w:type="spellStart"/>
      <w:r w:rsidRPr="00567AB2">
        <w:rPr>
          <w:lang w:bidi="ar-EG"/>
        </w:rPr>
        <w:t>Ciftci</w:t>
      </w:r>
      <w:proofErr w:type="spellEnd"/>
      <w:r w:rsidRPr="00567AB2">
        <w:rPr>
          <w:lang w:bidi="ar-EG"/>
        </w:rPr>
        <w:t xml:space="preserve">, S., </w:t>
      </w:r>
      <w:proofErr w:type="spellStart"/>
      <w:r w:rsidRPr="00567AB2">
        <w:rPr>
          <w:lang w:bidi="ar-EG"/>
        </w:rPr>
        <w:t>Cengel</w:t>
      </w:r>
      <w:proofErr w:type="spellEnd"/>
      <w:r w:rsidRPr="00567AB2">
        <w:rPr>
          <w:lang w:bidi="ar-EG"/>
        </w:rPr>
        <w:t xml:space="preserve">, M., &amp; </w:t>
      </w:r>
      <w:proofErr w:type="spellStart"/>
      <w:r w:rsidRPr="00517A2C">
        <w:rPr>
          <w:lang w:bidi="ar-EG"/>
        </w:rPr>
        <w:t>Paf</w:t>
      </w:r>
      <w:proofErr w:type="spellEnd"/>
      <w:r w:rsidRPr="00517A2C">
        <w:rPr>
          <w:lang w:bidi="ar-EG"/>
        </w:rPr>
        <w:t>, M. (2018). Reflective</w:t>
      </w:r>
      <w:r w:rsidRPr="00567AB2">
        <w:rPr>
          <w:lang w:bidi="ar-EG"/>
        </w:rPr>
        <w:t xml:space="preserve"> thinking skills on computational thinking and problem solving as a predictor of self-efficacy of informatics teacher candidates on programming. </w:t>
      </w:r>
      <w:proofErr w:type="spellStart"/>
      <w:r w:rsidRPr="00567AB2">
        <w:rPr>
          <w:i/>
          <w:iCs/>
          <w:lang w:bidi="ar-EG"/>
        </w:rPr>
        <w:t>Ahi</w:t>
      </w:r>
      <w:proofErr w:type="spellEnd"/>
      <w:r w:rsidRPr="00567AB2">
        <w:rPr>
          <w:i/>
          <w:iCs/>
          <w:lang w:bidi="ar-EG"/>
        </w:rPr>
        <w:t xml:space="preserve"> </w:t>
      </w:r>
      <w:proofErr w:type="spellStart"/>
      <w:r w:rsidRPr="00567AB2">
        <w:rPr>
          <w:i/>
          <w:iCs/>
          <w:lang w:bidi="ar-EG"/>
        </w:rPr>
        <w:t>Evran</w:t>
      </w:r>
      <w:proofErr w:type="spellEnd"/>
      <w:r w:rsidRPr="00567AB2">
        <w:rPr>
          <w:i/>
          <w:iCs/>
          <w:lang w:bidi="ar-EG"/>
        </w:rPr>
        <w:t xml:space="preserve"> University Journal of the Faculty of Education</w:t>
      </w:r>
      <w:r w:rsidRPr="00567AB2">
        <w:rPr>
          <w:lang w:bidi="ar-EG"/>
        </w:rPr>
        <w:t xml:space="preserve">, </w:t>
      </w:r>
      <w:r w:rsidRPr="00567AB2">
        <w:rPr>
          <w:i/>
          <w:iCs/>
          <w:lang w:bidi="ar-EG"/>
        </w:rPr>
        <w:t>19</w:t>
      </w:r>
      <w:r w:rsidRPr="00567AB2">
        <w:rPr>
          <w:lang w:bidi="ar-EG"/>
        </w:rPr>
        <w:t xml:space="preserve">(1), 321-334. </w:t>
      </w:r>
      <w:hyperlink r:id="rId37" w:history="1">
        <w:r w:rsidRPr="00FF30D8">
          <w:rPr>
            <w:rStyle w:val="Hyperlink"/>
            <w:lang w:bidi="ar-EG"/>
          </w:rPr>
          <w:t>https://doi.org/10.29299/kefad.2018.19.009</w:t>
        </w:r>
      </w:hyperlink>
    </w:p>
    <w:p w:rsidR="006C2660" w:rsidRPr="00B504B8" w:rsidRDefault="006C2660" w:rsidP="006C2660">
      <w:pPr>
        <w:spacing w:line="240" w:lineRule="auto"/>
        <w:ind w:left="426" w:hanging="426"/>
        <w:jc w:val="both"/>
        <w:rPr>
          <w:rtl/>
        </w:rPr>
      </w:pPr>
      <w:proofErr w:type="spellStart"/>
      <w:r w:rsidRPr="00B504B8">
        <w:rPr>
          <w:lang w:bidi="ar-EG"/>
        </w:rPr>
        <w:t>Compeau</w:t>
      </w:r>
      <w:proofErr w:type="spellEnd"/>
      <w:r w:rsidRPr="00B504B8">
        <w:t xml:space="preserve">, R. </w:t>
      </w:r>
      <w:r>
        <w:t>&amp;</w:t>
      </w:r>
      <w:r w:rsidRPr="00B504B8">
        <w:t xml:space="preserve"> Higgins, A. (1995) ‘Computer self-efficacy: development of a measure and initial test’, </w:t>
      </w:r>
      <w:r w:rsidRPr="00B504B8">
        <w:rPr>
          <w:i/>
          <w:iCs/>
        </w:rPr>
        <w:t>MIS Quart</w:t>
      </w:r>
      <w:r w:rsidRPr="00B504B8">
        <w:t xml:space="preserve">, Vol. 19, No. 192, pp. 189–211. </w:t>
      </w:r>
      <w:hyperlink r:id="rId38" w:history="1">
        <w:r w:rsidRPr="00B504B8">
          <w:rPr>
            <w:rStyle w:val="Hyperlink"/>
          </w:rPr>
          <w:t>https://doi.org/10.2307/249688</w:t>
        </w:r>
      </w:hyperlink>
    </w:p>
    <w:p w:rsidR="006C2660" w:rsidRPr="00C4125A" w:rsidRDefault="006C2660" w:rsidP="006C2660">
      <w:pPr>
        <w:spacing w:line="240" w:lineRule="auto"/>
        <w:ind w:left="426" w:hanging="426"/>
        <w:jc w:val="both"/>
        <w:rPr>
          <w:sz w:val="23"/>
          <w:szCs w:val="23"/>
          <w:rtl/>
          <w:lang w:val="en-GB" w:bidi="ar-EG"/>
        </w:rPr>
      </w:pPr>
      <w:proofErr w:type="spellStart"/>
      <w:r w:rsidRPr="00D5002B">
        <w:rPr>
          <w:lang w:bidi="ar-EG"/>
        </w:rPr>
        <w:t>Datu</w:t>
      </w:r>
      <w:proofErr w:type="spellEnd"/>
      <w:r w:rsidRPr="00C4125A">
        <w:rPr>
          <w:sz w:val="23"/>
          <w:szCs w:val="23"/>
        </w:rPr>
        <w:t>, J. A. D., &amp; Mateo, N. J. (2020). Character strengths, academic self-efficacy, and well-being outcomes in the Philippines: A longitudinal study. </w:t>
      </w:r>
      <w:r w:rsidRPr="00C4125A">
        <w:rPr>
          <w:i/>
          <w:iCs/>
          <w:sz w:val="23"/>
          <w:szCs w:val="23"/>
        </w:rPr>
        <w:t>Children and Youth Services Review, 119,</w:t>
      </w:r>
      <w:r w:rsidRPr="00C4125A">
        <w:rPr>
          <w:sz w:val="23"/>
          <w:szCs w:val="23"/>
        </w:rPr>
        <w:t> Article 105649. </w:t>
      </w:r>
      <w:hyperlink r:id="rId39" w:tgtFrame="_blank" w:history="1">
        <w:r w:rsidRPr="00C4125A">
          <w:rPr>
            <w:rStyle w:val="Hyperlink"/>
            <w:sz w:val="23"/>
            <w:szCs w:val="23"/>
          </w:rPr>
          <w:t>https://doi.org/10.1016/j.childyouth.2020.105649</w:t>
        </w:r>
      </w:hyperlink>
    </w:p>
    <w:p w:rsidR="006C2660" w:rsidRDefault="006C2660" w:rsidP="006C2660">
      <w:pPr>
        <w:spacing w:line="240" w:lineRule="auto"/>
        <w:ind w:left="426" w:hanging="426"/>
        <w:jc w:val="both"/>
        <w:rPr>
          <w:lang w:bidi="ar-EG"/>
        </w:rPr>
      </w:pPr>
      <w:r w:rsidRPr="00567AB2">
        <w:rPr>
          <w:lang w:bidi="ar-EG"/>
        </w:rPr>
        <w:lastRenderedPageBreak/>
        <w:t xml:space="preserve">Davidson, K., </w:t>
      </w:r>
      <w:proofErr w:type="spellStart"/>
      <w:r w:rsidRPr="00567AB2">
        <w:rPr>
          <w:lang w:bidi="ar-EG"/>
        </w:rPr>
        <w:t>Larzon</w:t>
      </w:r>
      <w:proofErr w:type="spellEnd"/>
      <w:r w:rsidRPr="00567AB2">
        <w:rPr>
          <w:lang w:bidi="ar-EG"/>
        </w:rPr>
        <w:t xml:space="preserve">, L., &amp; </w:t>
      </w:r>
      <w:proofErr w:type="spellStart"/>
      <w:r w:rsidRPr="00567AB2">
        <w:rPr>
          <w:lang w:bidi="ar-EG"/>
        </w:rPr>
        <w:t>Ljunggren</w:t>
      </w:r>
      <w:proofErr w:type="spellEnd"/>
      <w:r w:rsidRPr="00567AB2">
        <w:rPr>
          <w:lang w:bidi="ar-EG"/>
        </w:rPr>
        <w:t xml:space="preserve">, K. (2010). </w:t>
      </w:r>
      <w:r w:rsidRPr="00567AB2">
        <w:rPr>
          <w:i/>
          <w:iCs/>
          <w:lang w:bidi="ar-EG"/>
        </w:rPr>
        <w:t xml:space="preserve">Self-Efficacy in Programming among STS </w:t>
      </w:r>
      <w:r w:rsidRPr="00D5002B">
        <w:rPr>
          <w:rFonts w:cs="Minion Pro"/>
          <w:color w:val="000000"/>
          <w:sz w:val="24"/>
          <w:szCs w:val="24"/>
        </w:rPr>
        <w:t>Students</w:t>
      </w:r>
      <w:r w:rsidRPr="00567AB2">
        <w:rPr>
          <w:lang w:bidi="ar-EG"/>
        </w:rPr>
        <w:t xml:space="preserve">. </w:t>
      </w:r>
      <w:proofErr w:type="spellStart"/>
      <w:r w:rsidRPr="00567AB2">
        <w:rPr>
          <w:lang w:bidi="ar-EG"/>
        </w:rPr>
        <w:t>Upssala</w:t>
      </w:r>
      <w:proofErr w:type="spellEnd"/>
      <w:r w:rsidRPr="00567AB2">
        <w:rPr>
          <w:lang w:bidi="ar-EG"/>
        </w:rPr>
        <w:t xml:space="preserve"> University. </w:t>
      </w:r>
      <w:hyperlink r:id="rId40" w:history="1">
        <w:r w:rsidRPr="00B72ED7">
          <w:rPr>
            <w:rStyle w:val="Hyperlink"/>
            <w:lang w:bidi="ar-EG"/>
          </w:rPr>
          <w:t>https://www.it.uu.se/edu/course/homepage/datadidaktik/ht10/reports/Self-Efficacy.pdf</w:t>
        </w:r>
      </w:hyperlink>
      <w:r w:rsidRPr="00567AB2">
        <w:rPr>
          <w:lang w:bidi="ar-EG"/>
        </w:rPr>
        <w:t xml:space="preserve"> </w:t>
      </w:r>
    </w:p>
    <w:p w:rsidR="006C2660" w:rsidRDefault="006C2660" w:rsidP="006C2660">
      <w:pPr>
        <w:spacing w:line="240" w:lineRule="auto"/>
        <w:ind w:left="426" w:hanging="426"/>
        <w:jc w:val="both"/>
        <w:rPr>
          <w:rFonts w:ascii="Times New Roman" w:hAnsi="Times New Roman" w:cs="Traditional Arabic"/>
          <w:color w:val="000000"/>
          <w:sz w:val="24"/>
          <w:szCs w:val="24"/>
          <w:lang w:bidi="ar-EG"/>
        </w:rPr>
      </w:pPr>
      <w:r w:rsidRPr="00B27BDC">
        <w:rPr>
          <w:rFonts w:ascii="Times New Roman" w:hAnsi="Times New Roman" w:cs="Traditional Arabic"/>
          <w:sz w:val="24"/>
          <w:szCs w:val="24"/>
          <w:lang w:bidi="ar-EG"/>
        </w:rPr>
        <w:t xml:space="preserve">de </w:t>
      </w:r>
      <w:proofErr w:type="spellStart"/>
      <w:r w:rsidRPr="00B27BDC">
        <w:rPr>
          <w:rFonts w:ascii="Times New Roman" w:hAnsi="Times New Roman" w:cs="Traditional Arabic"/>
          <w:sz w:val="24"/>
          <w:szCs w:val="24"/>
          <w:lang w:bidi="ar-EG"/>
        </w:rPr>
        <w:t>Jesusi</w:t>
      </w:r>
      <w:proofErr w:type="spellEnd"/>
      <w:r w:rsidRPr="00B27BDC">
        <w:rPr>
          <w:rFonts w:ascii="Times New Roman" w:hAnsi="Times New Roman" w:cs="Traditional Arabic"/>
          <w:sz w:val="24"/>
          <w:szCs w:val="24"/>
          <w:lang w:bidi="ar-EG"/>
        </w:rPr>
        <w:t xml:space="preserve">, A. &amp;  </w:t>
      </w:r>
      <w:proofErr w:type="spellStart"/>
      <w:r w:rsidRPr="00B27BDC">
        <w:rPr>
          <w:rFonts w:ascii="Times New Roman" w:hAnsi="Times New Roman" w:cs="Traditional Arabic"/>
          <w:sz w:val="24"/>
          <w:szCs w:val="24"/>
          <w:lang w:bidi="ar-EG"/>
        </w:rPr>
        <w:t>Silveira</w:t>
      </w:r>
      <w:proofErr w:type="spellEnd"/>
      <w:r w:rsidRPr="00B27BDC">
        <w:rPr>
          <w:rFonts w:ascii="Times New Roman" w:hAnsi="Times New Roman" w:cs="Traditional Arabic"/>
          <w:sz w:val="24"/>
          <w:szCs w:val="24"/>
          <w:lang w:bidi="ar-EG"/>
        </w:rPr>
        <w:t xml:space="preserve">, I. (2022). A Collaborative Learning Framework for Computational </w:t>
      </w:r>
      <w:r w:rsidRPr="00474CFE">
        <w:rPr>
          <w:rFonts w:ascii="Times New Roman" w:hAnsi="Times New Roman" w:cs="Traditional Arabic"/>
          <w:color w:val="000000"/>
          <w:sz w:val="24"/>
          <w:szCs w:val="24"/>
          <w:lang w:bidi="ar-EG"/>
        </w:rPr>
        <w:t xml:space="preserve">Thinking Development through Game Programming.  </w:t>
      </w:r>
      <w:r w:rsidRPr="00474CFE">
        <w:rPr>
          <w:rFonts w:ascii="Times New Roman" w:hAnsi="Times New Roman" w:cs="Traditional Arabic"/>
          <w:i/>
          <w:iCs/>
          <w:color w:val="000000"/>
          <w:sz w:val="24"/>
          <w:szCs w:val="24"/>
          <w:lang w:bidi="ar-EG"/>
        </w:rPr>
        <w:t>Informatics in Education, 21</w:t>
      </w:r>
      <w:r w:rsidRPr="00474CFE">
        <w:rPr>
          <w:rFonts w:ascii="Times New Roman" w:hAnsi="Times New Roman" w:cs="Traditional Arabic"/>
          <w:color w:val="000000"/>
          <w:sz w:val="24"/>
          <w:szCs w:val="24"/>
          <w:lang w:bidi="ar-EG"/>
        </w:rPr>
        <w:t xml:space="preserve"> (2), 253–281. </w:t>
      </w:r>
      <w:hyperlink r:id="rId41" w:history="1">
        <w:r w:rsidRPr="000060B9">
          <w:rPr>
            <w:rStyle w:val="Hyperlink"/>
            <w:rFonts w:ascii="Times New Roman" w:hAnsi="Times New Roman" w:cs="Traditional Arabic"/>
            <w:sz w:val="24"/>
            <w:szCs w:val="24"/>
            <w:lang w:bidi="ar-EG"/>
          </w:rPr>
          <w:t>https://doi.org/10.15388/infedu.2022.14</w:t>
        </w:r>
      </w:hyperlink>
    </w:p>
    <w:p w:rsidR="006C2660" w:rsidRDefault="006C2660" w:rsidP="006C2660">
      <w:pPr>
        <w:spacing w:line="240" w:lineRule="auto"/>
        <w:ind w:left="426" w:hanging="426"/>
        <w:jc w:val="both"/>
        <w:rPr>
          <w:rFonts w:cs="Minion Pro"/>
          <w:color w:val="000000"/>
          <w:sz w:val="24"/>
          <w:szCs w:val="24"/>
        </w:rPr>
      </w:pPr>
      <w:proofErr w:type="spellStart"/>
      <w:r w:rsidRPr="001604D3">
        <w:rPr>
          <w:rFonts w:cs="Minion Pro"/>
          <w:color w:val="000000"/>
          <w:sz w:val="24"/>
          <w:szCs w:val="24"/>
        </w:rPr>
        <w:t>DeRosier</w:t>
      </w:r>
      <w:proofErr w:type="spellEnd"/>
      <w:r w:rsidRPr="001604D3">
        <w:rPr>
          <w:rFonts w:cs="Minion Pro"/>
          <w:color w:val="000000"/>
          <w:sz w:val="24"/>
          <w:szCs w:val="24"/>
        </w:rPr>
        <w:t>, M. E., Frank, E., Schwartz, V., &amp; Leary, K. A. (2013). The potential role of resilience education for preventing mental health problems for college students. </w:t>
      </w:r>
      <w:r w:rsidRPr="001604D3">
        <w:rPr>
          <w:rFonts w:cs="Minion Pro"/>
          <w:i/>
          <w:iCs/>
          <w:color w:val="000000"/>
          <w:sz w:val="24"/>
          <w:szCs w:val="24"/>
        </w:rPr>
        <w:t>Psychiatric Annals, 43</w:t>
      </w:r>
      <w:r w:rsidRPr="001604D3">
        <w:rPr>
          <w:rFonts w:cs="Minion Pro"/>
          <w:color w:val="000000"/>
          <w:sz w:val="24"/>
          <w:szCs w:val="24"/>
        </w:rPr>
        <w:t>(12), 538–544. </w:t>
      </w:r>
      <w:hyperlink r:id="rId42" w:tgtFrame="_blank" w:history="1">
        <w:r w:rsidRPr="001604D3">
          <w:rPr>
            <w:rStyle w:val="Hyperlink"/>
            <w:rFonts w:cs="Minion Pro"/>
            <w:sz w:val="24"/>
            <w:szCs w:val="24"/>
          </w:rPr>
          <w:t>https://doi.org/10.3928/00485713-20131206-05</w:t>
        </w:r>
      </w:hyperlink>
      <w:r w:rsidRPr="001604D3">
        <w:rPr>
          <w:rFonts w:cs="Minion Pro"/>
          <w:color w:val="000000"/>
          <w:sz w:val="24"/>
          <w:szCs w:val="24"/>
        </w:rPr>
        <w:t xml:space="preserve"> </w:t>
      </w:r>
    </w:p>
    <w:p w:rsidR="006C2660" w:rsidRPr="00474CFE" w:rsidRDefault="006C2660" w:rsidP="006C2660">
      <w:pPr>
        <w:spacing w:line="240" w:lineRule="auto"/>
        <w:ind w:left="426" w:hanging="426"/>
        <w:jc w:val="both"/>
        <w:rPr>
          <w:color w:val="FF0000"/>
          <w:sz w:val="24"/>
          <w:szCs w:val="24"/>
          <w:u w:val="single"/>
          <w:rtl/>
          <w:lang w:bidi="ar-EG"/>
        </w:rPr>
      </w:pPr>
      <w:r w:rsidRPr="00D5002B">
        <w:rPr>
          <w:rFonts w:cs="Minion Pro"/>
          <w:color w:val="000000"/>
          <w:sz w:val="24"/>
          <w:szCs w:val="24"/>
        </w:rPr>
        <w:t>Dickerson</w:t>
      </w:r>
      <w:r w:rsidRPr="00B27BDC">
        <w:rPr>
          <w:sz w:val="24"/>
          <w:szCs w:val="24"/>
        </w:rPr>
        <w:t xml:space="preserve">, J. (2019). </w:t>
      </w:r>
      <w:r w:rsidRPr="00B27BDC">
        <w:rPr>
          <w:i/>
          <w:iCs/>
          <w:sz w:val="24"/>
          <w:szCs w:val="24"/>
        </w:rPr>
        <w:t>Computational Thinking Self-Efficacy in High School Latin Language Learning.</w:t>
      </w:r>
      <w:r w:rsidRPr="00B27BDC">
        <w:rPr>
          <w:sz w:val="24"/>
          <w:szCs w:val="24"/>
        </w:rPr>
        <w:t xml:space="preserve"> Electronic Theses and Dissertations. 2515. </w:t>
      </w:r>
      <w:hyperlink r:id="rId43" w:history="1">
        <w:r w:rsidRPr="00474CFE">
          <w:rPr>
            <w:rStyle w:val="Hyperlink"/>
            <w:sz w:val="24"/>
            <w:szCs w:val="24"/>
          </w:rPr>
          <w:t>https://digitalcommons.memphis.edu/etd/2515</w:t>
        </w:r>
      </w:hyperlink>
    </w:p>
    <w:p w:rsidR="006C2660" w:rsidRDefault="006C2660" w:rsidP="006C2660">
      <w:pPr>
        <w:spacing w:line="240" w:lineRule="auto"/>
        <w:ind w:left="426" w:hanging="426"/>
        <w:jc w:val="both"/>
        <w:rPr>
          <w:sz w:val="23"/>
          <w:szCs w:val="23"/>
          <w:rtl/>
        </w:rPr>
      </w:pPr>
      <w:proofErr w:type="spellStart"/>
      <w:r w:rsidRPr="00D5002B">
        <w:rPr>
          <w:lang w:bidi="ar-EG"/>
        </w:rPr>
        <w:t>Diener</w:t>
      </w:r>
      <w:proofErr w:type="spellEnd"/>
      <w:r w:rsidRPr="00386AF7">
        <w:rPr>
          <w:sz w:val="23"/>
          <w:szCs w:val="23"/>
        </w:rPr>
        <w:t xml:space="preserve">, E. D., Emmons, R. A., Larsen, R. J., &amp; Griffin, S. (1985). The satisfaction with life scale. </w:t>
      </w:r>
      <w:r w:rsidRPr="00386AF7">
        <w:rPr>
          <w:i/>
          <w:iCs/>
          <w:sz w:val="23"/>
          <w:szCs w:val="23"/>
        </w:rPr>
        <w:t>Journal of Personality Assessment</w:t>
      </w:r>
      <w:r w:rsidRPr="00386AF7">
        <w:rPr>
          <w:sz w:val="23"/>
          <w:szCs w:val="23"/>
        </w:rPr>
        <w:t xml:space="preserve">, </w:t>
      </w:r>
      <w:r w:rsidRPr="00386AF7">
        <w:rPr>
          <w:i/>
          <w:iCs/>
          <w:sz w:val="23"/>
          <w:szCs w:val="23"/>
        </w:rPr>
        <w:t>49</w:t>
      </w:r>
      <w:r w:rsidRPr="00386AF7">
        <w:rPr>
          <w:sz w:val="23"/>
          <w:szCs w:val="23"/>
        </w:rPr>
        <w:t xml:space="preserve">(1), 71-75. </w:t>
      </w:r>
      <w:hyperlink r:id="rId44" w:history="1">
        <w:r w:rsidRPr="004D11EC">
          <w:rPr>
            <w:rStyle w:val="Hyperlink"/>
            <w:sz w:val="23"/>
            <w:szCs w:val="23"/>
          </w:rPr>
          <w:t>https://doi.org/10.1207/s15327752jpa4901_13</w:t>
        </w:r>
      </w:hyperlink>
    </w:p>
    <w:p w:rsidR="006C2660" w:rsidRDefault="006C2660" w:rsidP="006C2660">
      <w:pPr>
        <w:spacing w:line="240" w:lineRule="auto"/>
        <w:ind w:left="426" w:hanging="426"/>
        <w:jc w:val="both"/>
        <w:rPr>
          <w:rtl/>
          <w:lang w:bidi="ar-EG"/>
        </w:rPr>
      </w:pPr>
      <w:proofErr w:type="spellStart"/>
      <w:r w:rsidRPr="009A3DF6">
        <w:rPr>
          <w:lang w:bidi="ar-EG"/>
        </w:rPr>
        <w:t>Doleck</w:t>
      </w:r>
      <w:proofErr w:type="spellEnd"/>
      <w:r w:rsidRPr="009A3DF6">
        <w:rPr>
          <w:lang w:bidi="ar-EG"/>
        </w:rPr>
        <w:t xml:space="preserve">, T., </w:t>
      </w:r>
      <w:proofErr w:type="spellStart"/>
      <w:r w:rsidRPr="009A3DF6">
        <w:rPr>
          <w:lang w:bidi="ar-EG"/>
        </w:rPr>
        <w:t>Bazelais</w:t>
      </w:r>
      <w:proofErr w:type="spellEnd"/>
      <w:r w:rsidRPr="009A3DF6">
        <w:rPr>
          <w:lang w:bidi="ar-EG"/>
        </w:rPr>
        <w:t xml:space="preserve">, P., Lemay, D. J., </w:t>
      </w:r>
      <w:proofErr w:type="spellStart"/>
      <w:r w:rsidRPr="009A3DF6">
        <w:rPr>
          <w:lang w:bidi="ar-EG"/>
        </w:rPr>
        <w:t>Saxena</w:t>
      </w:r>
      <w:proofErr w:type="spellEnd"/>
      <w:r w:rsidRPr="009A3DF6">
        <w:rPr>
          <w:lang w:bidi="ar-EG"/>
        </w:rPr>
        <w:t xml:space="preserve">, A., &amp; </w:t>
      </w:r>
      <w:proofErr w:type="spellStart"/>
      <w:r w:rsidRPr="009A3DF6">
        <w:rPr>
          <w:lang w:bidi="ar-EG"/>
        </w:rPr>
        <w:t>Basnet</w:t>
      </w:r>
      <w:proofErr w:type="spellEnd"/>
      <w:r w:rsidRPr="009A3DF6">
        <w:rPr>
          <w:lang w:bidi="ar-EG"/>
        </w:rPr>
        <w:t>, R. B. (2017).</w:t>
      </w:r>
      <w:r>
        <w:rPr>
          <w:rFonts w:hint="cs"/>
          <w:rtl/>
          <w:lang w:bidi="ar-EG"/>
        </w:rPr>
        <w:t xml:space="preserve"> </w:t>
      </w:r>
      <w:r w:rsidRPr="009A3DF6">
        <w:rPr>
          <w:lang w:bidi="ar-EG"/>
        </w:rPr>
        <w:t xml:space="preserve">Algorithmic thinking, </w:t>
      </w:r>
      <w:proofErr w:type="spellStart"/>
      <w:r w:rsidRPr="009A3DF6">
        <w:rPr>
          <w:lang w:bidi="ar-EG"/>
        </w:rPr>
        <w:t>cooperativity</w:t>
      </w:r>
      <w:proofErr w:type="spellEnd"/>
      <w:r w:rsidRPr="009A3DF6">
        <w:rPr>
          <w:lang w:bidi="ar-EG"/>
        </w:rPr>
        <w:t>, creativity, critical thinking, and problem solving: exploring the relationship between computational thinking skills and academic performance. </w:t>
      </w:r>
      <w:r w:rsidRPr="009A3DF6">
        <w:rPr>
          <w:i/>
          <w:iCs/>
          <w:lang w:bidi="ar-EG"/>
        </w:rPr>
        <w:t xml:space="preserve">Journal </w:t>
      </w:r>
      <w:r>
        <w:rPr>
          <w:i/>
          <w:iCs/>
          <w:lang w:bidi="ar-EG"/>
        </w:rPr>
        <w:t>of Computers in Education, 4</w:t>
      </w:r>
      <w:r w:rsidRPr="009A3DF6">
        <w:rPr>
          <w:lang w:bidi="ar-EG"/>
        </w:rPr>
        <w:t xml:space="preserve">(4), 355–369. </w:t>
      </w:r>
      <w:hyperlink r:id="rId45" w:history="1">
        <w:r w:rsidRPr="00FF30D8">
          <w:rPr>
            <w:rStyle w:val="Hyperlink"/>
            <w:lang w:bidi="ar-EG"/>
          </w:rPr>
          <w:t>https://doi.org/10.1007/s40692-017-0090-9</w:t>
        </w:r>
      </w:hyperlink>
    </w:p>
    <w:p w:rsidR="006C2660" w:rsidRDefault="006C2660" w:rsidP="006C2660">
      <w:pPr>
        <w:spacing w:line="240" w:lineRule="auto"/>
        <w:ind w:left="426" w:hanging="426"/>
        <w:jc w:val="both"/>
        <w:rPr>
          <w:sz w:val="23"/>
          <w:szCs w:val="23"/>
        </w:rPr>
      </w:pPr>
      <w:proofErr w:type="spellStart"/>
      <w:r w:rsidRPr="00D5002B">
        <w:rPr>
          <w:lang w:bidi="ar-EG"/>
        </w:rPr>
        <w:t>Douwes</w:t>
      </w:r>
      <w:proofErr w:type="spellEnd"/>
      <w:r w:rsidRPr="006A07EE">
        <w:rPr>
          <w:sz w:val="23"/>
          <w:szCs w:val="23"/>
        </w:rPr>
        <w:t xml:space="preserve">, R., </w:t>
      </w:r>
      <w:proofErr w:type="spellStart"/>
      <w:r w:rsidRPr="006A07EE">
        <w:rPr>
          <w:sz w:val="23"/>
          <w:szCs w:val="23"/>
        </w:rPr>
        <w:t>Metselaar</w:t>
      </w:r>
      <w:proofErr w:type="spellEnd"/>
      <w:r w:rsidRPr="006A07EE">
        <w:rPr>
          <w:sz w:val="23"/>
          <w:szCs w:val="23"/>
        </w:rPr>
        <w:t xml:space="preserve">, J., </w:t>
      </w:r>
      <w:proofErr w:type="spellStart"/>
      <w:r w:rsidRPr="006A07EE">
        <w:rPr>
          <w:sz w:val="23"/>
          <w:szCs w:val="23"/>
        </w:rPr>
        <w:t>Pijnenborg</w:t>
      </w:r>
      <w:proofErr w:type="spellEnd"/>
      <w:r w:rsidRPr="006A07EE">
        <w:rPr>
          <w:sz w:val="23"/>
          <w:szCs w:val="23"/>
        </w:rPr>
        <w:t xml:space="preserve">, G. H. M., &amp; </w:t>
      </w:r>
      <w:proofErr w:type="spellStart"/>
      <w:r w:rsidRPr="006A07EE">
        <w:rPr>
          <w:sz w:val="23"/>
          <w:szCs w:val="23"/>
        </w:rPr>
        <w:t>Boonstra</w:t>
      </w:r>
      <w:proofErr w:type="spellEnd"/>
      <w:r w:rsidRPr="006A07EE">
        <w:rPr>
          <w:sz w:val="23"/>
          <w:szCs w:val="23"/>
        </w:rPr>
        <w:t xml:space="preserve">, N. (2023). Well-being of students in higher education: The importance of a student perspective. </w:t>
      </w:r>
      <w:r w:rsidRPr="006A07EE">
        <w:rPr>
          <w:i/>
          <w:iCs/>
          <w:sz w:val="23"/>
          <w:szCs w:val="23"/>
        </w:rPr>
        <w:t>Cogent Education, 10</w:t>
      </w:r>
      <w:r w:rsidRPr="006A07EE">
        <w:rPr>
          <w:sz w:val="23"/>
          <w:szCs w:val="23"/>
        </w:rPr>
        <w:t xml:space="preserve">(1). </w:t>
      </w:r>
      <w:hyperlink r:id="rId46" w:history="1">
        <w:r w:rsidRPr="004D11EC">
          <w:rPr>
            <w:rStyle w:val="Hyperlink"/>
            <w:sz w:val="23"/>
            <w:szCs w:val="23"/>
          </w:rPr>
          <w:t>https://doi.org/10.1080/2331186X.2023.2190697</w:t>
        </w:r>
      </w:hyperlink>
    </w:p>
    <w:p w:rsidR="006C2660" w:rsidRPr="00E204E2" w:rsidRDefault="006C2660" w:rsidP="006C2660">
      <w:pPr>
        <w:spacing w:line="240" w:lineRule="auto"/>
        <w:ind w:left="426" w:hanging="426"/>
        <w:jc w:val="both"/>
        <w:rPr>
          <w:lang w:bidi="ar-EG"/>
        </w:rPr>
      </w:pPr>
      <w:proofErr w:type="spellStart"/>
      <w:r w:rsidRPr="00E204E2">
        <w:rPr>
          <w:lang w:bidi="ar-EG"/>
        </w:rPr>
        <w:t>Dumbauld</w:t>
      </w:r>
      <w:proofErr w:type="spellEnd"/>
      <w:r w:rsidRPr="00E204E2">
        <w:rPr>
          <w:lang w:bidi="ar-EG"/>
        </w:rPr>
        <w:t xml:space="preserve">, J., Black, M., Depp, C., Daly, R. Curran, M., </w:t>
      </w:r>
      <w:proofErr w:type="spellStart"/>
      <w:r w:rsidRPr="00E204E2">
        <w:rPr>
          <w:lang w:bidi="ar-EG"/>
        </w:rPr>
        <w:t>Winegarden</w:t>
      </w:r>
      <w:proofErr w:type="spellEnd"/>
      <w:r w:rsidRPr="00E204E2">
        <w:rPr>
          <w:lang w:bidi="ar-EG"/>
        </w:rPr>
        <w:t xml:space="preserve">, B. </w:t>
      </w:r>
      <w:r>
        <w:rPr>
          <w:lang w:bidi="ar-EG"/>
        </w:rPr>
        <w:t>&amp;</w:t>
      </w:r>
      <w:r w:rsidRPr="00E204E2">
        <w:rPr>
          <w:lang w:bidi="ar-EG"/>
        </w:rPr>
        <w:t xml:space="preserve"> </w:t>
      </w:r>
      <w:proofErr w:type="spellStart"/>
      <w:r w:rsidRPr="00E204E2">
        <w:rPr>
          <w:lang w:bidi="ar-EG"/>
        </w:rPr>
        <w:t>Jeste</w:t>
      </w:r>
      <w:proofErr w:type="spellEnd"/>
      <w:r w:rsidRPr="00E204E2">
        <w:rPr>
          <w:lang w:bidi="ar-EG"/>
        </w:rPr>
        <w:t>, D. (2014) ‘Association of Learning Styles with Research Self-Efficacy: Study of Short-Term</w:t>
      </w:r>
      <w:r>
        <w:rPr>
          <w:lang w:bidi="ar-EG"/>
        </w:rPr>
        <w:t xml:space="preserve"> </w:t>
      </w:r>
      <w:r w:rsidRPr="00E204E2">
        <w:rPr>
          <w:lang w:bidi="ar-EG"/>
        </w:rPr>
        <w:t xml:space="preserve">Research Training Program for Medical Students’, </w:t>
      </w:r>
      <w:r w:rsidRPr="00E204E2">
        <w:rPr>
          <w:i/>
          <w:iCs/>
          <w:lang w:bidi="ar-EG"/>
        </w:rPr>
        <w:t>Clinical and Translational Science</w:t>
      </w:r>
      <w:r w:rsidRPr="00E204E2">
        <w:rPr>
          <w:lang w:bidi="ar-EG"/>
        </w:rPr>
        <w:t>, 7</w:t>
      </w:r>
      <w:r>
        <w:rPr>
          <w:lang w:bidi="ar-EG"/>
        </w:rPr>
        <w:t xml:space="preserve"> (</w:t>
      </w:r>
      <w:r w:rsidRPr="00E204E2">
        <w:rPr>
          <w:lang w:bidi="ar-EG"/>
        </w:rPr>
        <w:t>6</w:t>
      </w:r>
      <w:r>
        <w:rPr>
          <w:lang w:bidi="ar-EG"/>
        </w:rPr>
        <w:t>)</w:t>
      </w:r>
      <w:r w:rsidRPr="00E204E2">
        <w:rPr>
          <w:lang w:bidi="ar-EG"/>
        </w:rPr>
        <w:t xml:space="preserve">, 489–492. </w:t>
      </w:r>
      <w:hyperlink r:id="rId47" w:history="1">
        <w:r w:rsidRPr="00E204E2">
          <w:rPr>
            <w:rStyle w:val="Hyperlink"/>
            <w:lang w:bidi="ar-EG"/>
          </w:rPr>
          <w:t>https://doi.org/10.1111/cts.12197</w:t>
        </w:r>
      </w:hyperlink>
    </w:p>
    <w:p w:rsidR="006C2660" w:rsidRDefault="006C2660" w:rsidP="006C2660">
      <w:pPr>
        <w:spacing w:line="240" w:lineRule="auto"/>
        <w:ind w:left="426" w:hanging="426"/>
        <w:jc w:val="both"/>
        <w:rPr>
          <w:sz w:val="23"/>
          <w:szCs w:val="23"/>
        </w:rPr>
      </w:pPr>
      <w:proofErr w:type="spellStart"/>
      <w:r w:rsidRPr="00D5002B">
        <w:rPr>
          <w:lang w:bidi="ar-EG"/>
        </w:rPr>
        <w:t>Durlak</w:t>
      </w:r>
      <w:proofErr w:type="spellEnd"/>
      <w:r w:rsidRPr="00C4125A">
        <w:rPr>
          <w:sz w:val="23"/>
          <w:szCs w:val="23"/>
        </w:rPr>
        <w:t xml:space="preserve">, J. A.,. </w:t>
      </w:r>
      <w:proofErr w:type="spellStart"/>
      <w:r w:rsidRPr="00C4125A">
        <w:rPr>
          <w:sz w:val="23"/>
          <w:szCs w:val="23"/>
        </w:rPr>
        <w:t>Weissberg</w:t>
      </w:r>
      <w:proofErr w:type="spellEnd"/>
      <w:r w:rsidRPr="00C4125A">
        <w:rPr>
          <w:sz w:val="23"/>
          <w:szCs w:val="23"/>
        </w:rPr>
        <w:t xml:space="preserve">, R. P., </w:t>
      </w:r>
      <w:proofErr w:type="spellStart"/>
      <w:r w:rsidRPr="00C4125A">
        <w:rPr>
          <w:sz w:val="23"/>
          <w:szCs w:val="23"/>
        </w:rPr>
        <w:t>Dymnicki</w:t>
      </w:r>
      <w:proofErr w:type="spellEnd"/>
      <w:r w:rsidRPr="00C4125A">
        <w:rPr>
          <w:sz w:val="23"/>
          <w:szCs w:val="23"/>
        </w:rPr>
        <w:t xml:space="preserve">, A. </w:t>
      </w:r>
      <w:proofErr w:type="spellStart"/>
      <w:r w:rsidRPr="00C4125A">
        <w:rPr>
          <w:sz w:val="23"/>
          <w:szCs w:val="23"/>
        </w:rPr>
        <w:t>B.,Taylor</w:t>
      </w:r>
      <w:proofErr w:type="spellEnd"/>
      <w:r w:rsidRPr="00C4125A">
        <w:rPr>
          <w:sz w:val="23"/>
          <w:szCs w:val="23"/>
        </w:rPr>
        <w:t xml:space="preserve">, R. D.&amp; </w:t>
      </w:r>
      <w:proofErr w:type="spellStart"/>
      <w:r w:rsidRPr="00C4125A">
        <w:rPr>
          <w:sz w:val="23"/>
          <w:szCs w:val="23"/>
        </w:rPr>
        <w:t>Schellinger</w:t>
      </w:r>
      <w:proofErr w:type="spellEnd"/>
      <w:r w:rsidRPr="00C4125A">
        <w:rPr>
          <w:sz w:val="23"/>
          <w:szCs w:val="23"/>
        </w:rPr>
        <w:t>, K. B. (2011). The impact of enhancing students’</w:t>
      </w:r>
      <w:r>
        <w:rPr>
          <w:sz w:val="23"/>
          <w:szCs w:val="23"/>
        </w:rPr>
        <w:t xml:space="preserve"> </w:t>
      </w:r>
      <w:r w:rsidRPr="00C4125A">
        <w:rPr>
          <w:sz w:val="23"/>
          <w:szCs w:val="23"/>
        </w:rPr>
        <w:t xml:space="preserve">social and emotional learning: A meta-analysis of school-based universal interventions. </w:t>
      </w:r>
      <w:r w:rsidRPr="00C4125A">
        <w:rPr>
          <w:i/>
          <w:iCs/>
          <w:sz w:val="23"/>
          <w:szCs w:val="23"/>
        </w:rPr>
        <w:t xml:space="preserve">Child </w:t>
      </w:r>
      <w:r w:rsidRPr="006A07EE">
        <w:rPr>
          <w:i/>
          <w:iCs/>
          <w:sz w:val="23"/>
          <w:szCs w:val="23"/>
        </w:rPr>
        <w:t>Development, 82</w:t>
      </w:r>
      <w:r w:rsidRPr="00C4125A">
        <w:rPr>
          <w:sz w:val="23"/>
          <w:szCs w:val="23"/>
        </w:rPr>
        <w:t xml:space="preserve">, 405–432. </w:t>
      </w:r>
      <w:hyperlink r:id="rId48" w:history="1">
        <w:r w:rsidRPr="004D11EC">
          <w:rPr>
            <w:rStyle w:val="Hyperlink"/>
            <w:sz w:val="23"/>
            <w:szCs w:val="23"/>
          </w:rPr>
          <w:t>https://doi.org/10.1111/j.1467-8624.2010.01564.x</w:t>
        </w:r>
      </w:hyperlink>
      <w:r w:rsidRPr="00C4125A">
        <w:rPr>
          <w:sz w:val="23"/>
          <w:szCs w:val="23"/>
        </w:rPr>
        <w:t>.</w:t>
      </w:r>
    </w:p>
    <w:p w:rsidR="006C2660" w:rsidRPr="005A7745" w:rsidRDefault="006C2660" w:rsidP="006C2660">
      <w:pPr>
        <w:spacing w:line="240" w:lineRule="auto"/>
        <w:ind w:left="426" w:hanging="426"/>
        <w:jc w:val="both"/>
        <w:rPr>
          <w:rFonts w:asciiTheme="majorBidi" w:hAnsiTheme="majorBidi" w:cstheme="majorBidi"/>
          <w:color w:val="000000"/>
          <w:rtl/>
        </w:rPr>
      </w:pPr>
      <w:proofErr w:type="spellStart"/>
      <w:r w:rsidRPr="005A7745">
        <w:rPr>
          <w:lang w:bidi="ar-EG"/>
        </w:rPr>
        <w:t>Durndell</w:t>
      </w:r>
      <w:proofErr w:type="spellEnd"/>
      <w:r w:rsidRPr="005A7745">
        <w:rPr>
          <w:rFonts w:asciiTheme="majorBidi" w:hAnsiTheme="majorBidi" w:cstheme="majorBidi"/>
          <w:color w:val="000000"/>
        </w:rPr>
        <w:t xml:space="preserve">, A. &amp; Haag, Z. (2002) ‘Computer self-efficacy, computer anxiety, attitudes towards the Internet and reported experience with the Internet, by gender, in an Eat European simple’, </w:t>
      </w:r>
      <w:r w:rsidRPr="005A7745">
        <w:rPr>
          <w:rFonts w:asciiTheme="majorBidi" w:hAnsiTheme="majorBidi" w:cstheme="majorBidi"/>
          <w:i/>
          <w:iCs/>
          <w:color w:val="000000"/>
        </w:rPr>
        <w:t>Computers in Human Behavior</w:t>
      </w:r>
      <w:r w:rsidRPr="005A7745">
        <w:rPr>
          <w:rFonts w:asciiTheme="majorBidi" w:hAnsiTheme="majorBidi" w:cstheme="majorBidi"/>
          <w:color w:val="000000"/>
        </w:rPr>
        <w:t xml:space="preserve">, Vol. 18, No. 5, pp. 521–535. </w:t>
      </w:r>
      <w:hyperlink r:id="rId49" w:history="1">
        <w:r w:rsidRPr="005A7745">
          <w:rPr>
            <w:rStyle w:val="Hyperlink"/>
            <w:rFonts w:asciiTheme="majorBidi" w:hAnsiTheme="majorBidi" w:cstheme="majorBidi"/>
          </w:rPr>
          <w:t>https://doi.org/10.1016/S0747-5632(02)00006-7</w:t>
        </w:r>
      </w:hyperlink>
    </w:p>
    <w:p w:rsidR="006C2660" w:rsidRDefault="006C2660" w:rsidP="006C2660">
      <w:pPr>
        <w:spacing w:line="240" w:lineRule="auto"/>
        <w:ind w:left="426" w:hanging="426"/>
        <w:jc w:val="both"/>
        <w:rPr>
          <w:sz w:val="23"/>
          <w:szCs w:val="23"/>
          <w:rtl/>
        </w:rPr>
      </w:pPr>
      <w:proofErr w:type="spellStart"/>
      <w:r w:rsidRPr="006773DD">
        <w:rPr>
          <w:sz w:val="23"/>
          <w:szCs w:val="23"/>
        </w:rPr>
        <w:t>Eccles</w:t>
      </w:r>
      <w:proofErr w:type="spellEnd"/>
      <w:r w:rsidRPr="006773DD">
        <w:rPr>
          <w:sz w:val="23"/>
          <w:szCs w:val="23"/>
        </w:rPr>
        <w:t xml:space="preserve">, J. S., </w:t>
      </w:r>
      <w:r>
        <w:rPr>
          <w:sz w:val="23"/>
          <w:szCs w:val="23"/>
        </w:rPr>
        <w:t>&amp;</w:t>
      </w:r>
      <w:r w:rsidRPr="006773DD">
        <w:rPr>
          <w:sz w:val="23"/>
          <w:szCs w:val="23"/>
        </w:rPr>
        <w:t xml:space="preserve"> </w:t>
      </w:r>
      <w:proofErr w:type="spellStart"/>
      <w:r w:rsidRPr="006773DD">
        <w:rPr>
          <w:sz w:val="23"/>
          <w:szCs w:val="23"/>
        </w:rPr>
        <w:t>Roeser</w:t>
      </w:r>
      <w:proofErr w:type="spellEnd"/>
      <w:r w:rsidRPr="006773DD">
        <w:rPr>
          <w:sz w:val="23"/>
          <w:szCs w:val="23"/>
        </w:rPr>
        <w:t>, R. W. (2009).</w:t>
      </w:r>
      <w:r>
        <w:rPr>
          <w:sz w:val="23"/>
          <w:szCs w:val="23"/>
        </w:rPr>
        <w:t xml:space="preserve"> </w:t>
      </w:r>
      <w:r w:rsidRPr="006773DD">
        <w:rPr>
          <w:sz w:val="23"/>
          <w:szCs w:val="23"/>
        </w:rPr>
        <w:t>Schools, academic motivation, and stage-environment fit,” in Handbook of Adolescent Psychology: Individual Bases of Adolescent Development, eds</w:t>
      </w:r>
      <w:r>
        <w:rPr>
          <w:sz w:val="23"/>
          <w:szCs w:val="23"/>
        </w:rPr>
        <w:t>.,</w:t>
      </w:r>
      <w:r w:rsidRPr="006773DD">
        <w:rPr>
          <w:sz w:val="23"/>
          <w:szCs w:val="23"/>
        </w:rPr>
        <w:t xml:space="preserve"> R. M. Lerner and L. Steinberg (Hoboken, NJ: John Wiley &amp; Sons Inc.), 404–434. </w:t>
      </w:r>
      <w:hyperlink r:id="rId50" w:history="1">
        <w:r w:rsidRPr="004D11EC">
          <w:rPr>
            <w:rStyle w:val="Hyperlink"/>
            <w:sz w:val="23"/>
            <w:szCs w:val="23"/>
          </w:rPr>
          <w:t>https://doi.org/10.1002/9780470479193.adlpsy001013</w:t>
        </w:r>
      </w:hyperlink>
    </w:p>
    <w:p w:rsidR="006C2660" w:rsidRDefault="006C2660" w:rsidP="006C2660">
      <w:pPr>
        <w:spacing w:line="240" w:lineRule="auto"/>
        <w:ind w:left="426" w:hanging="426"/>
        <w:jc w:val="both"/>
        <w:rPr>
          <w:rFonts w:asciiTheme="majorBidi" w:hAnsiTheme="majorBidi" w:cstheme="majorBidi"/>
          <w:color w:val="0000FF"/>
          <w:sz w:val="24"/>
          <w:szCs w:val="24"/>
          <w:rtl/>
        </w:rPr>
      </w:pPr>
      <w:r w:rsidRPr="008C7CFB">
        <w:rPr>
          <w:rFonts w:asciiTheme="majorBidi" w:hAnsiTheme="majorBidi" w:cstheme="majorBidi"/>
          <w:sz w:val="24"/>
          <w:szCs w:val="24"/>
          <w:lang w:bidi="ar-EG"/>
        </w:rPr>
        <w:t xml:space="preserve">Espinosa, E., Cortés Ruiz, J., &amp; Mercado, M. (2021). Computational </w:t>
      </w:r>
      <w:r w:rsidRPr="00AA4356">
        <w:rPr>
          <w:rFonts w:asciiTheme="majorBidi" w:hAnsiTheme="majorBidi" w:cstheme="majorBidi"/>
          <w:sz w:val="24"/>
          <w:szCs w:val="24"/>
          <w:lang w:bidi="ar-EG"/>
        </w:rPr>
        <w:t xml:space="preserve">Self-Efficacy and Information Skills in Postgraduate Students in Administration at the Times of Covid-19. </w:t>
      </w:r>
      <w:r w:rsidRPr="00AA4356">
        <w:rPr>
          <w:rFonts w:asciiTheme="majorBidi" w:hAnsiTheme="majorBidi" w:cstheme="majorBidi"/>
          <w:i/>
          <w:iCs/>
          <w:sz w:val="24"/>
          <w:szCs w:val="24"/>
          <w:lang w:bidi="ar-EG"/>
        </w:rPr>
        <w:lastRenderedPageBreak/>
        <w:t>Journal on Efficiency and Responsibility in Education and Science, 14</w:t>
      </w:r>
      <w:r w:rsidRPr="00AA4356">
        <w:rPr>
          <w:rFonts w:asciiTheme="majorBidi" w:hAnsiTheme="majorBidi" w:cstheme="majorBidi"/>
          <w:sz w:val="24"/>
          <w:szCs w:val="24"/>
          <w:lang w:bidi="ar-EG"/>
        </w:rPr>
        <w:t xml:space="preserve"> (2), 118-129. </w:t>
      </w:r>
      <w:hyperlink r:id="rId51" w:history="1">
        <w:r w:rsidRPr="00437167">
          <w:rPr>
            <w:rStyle w:val="Hyperlink"/>
            <w:rFonts w:asciiTheme="majorBidi" w:hAnsiTheme="majorBidi" w:cstheme="majorBidi"/>
            <w:sz w:val="24"/>
            <w:szCs w:val="24"/>
          </w:rPr>
          <w:t>http://dx.doi.org/10.7160/eriesj.2021.140205</w:t>
        </w:r>
      </w:hyperlink>
    </w:p>
    <w:p w:rsidR="006C2660" w:rsidRDefault="006C2660" w:rsidP="006C2660">
      <w:pPr>
        <w:spacing w:line="240" w:lineRule="auto"/>
        <w:ind w:left="426" w:hanging="426"/>
        <w:jc w:val="both"/>
        <w:rPr>
          <w:sz w:val="23"/>
          <w:szCs w:val="23"/>
        </w:rPr>
      </w:pPr>
      <w:proofErr w:type="spellStart"/>
      <w:r w:rsidRPr="005F419F">
        <w:rPr>
          <w:sz w:val="23"/>
          <w:szCs w:val="23"/>
        </w:rPr>
        <w:t>Faqih</w:t>
      </w:r>
      <w:proofErr w:type="spellEnd"/>
      <w:r w:rsidRPr="005F419F">
        <w:rPr>
          <w:sz w:val="23"/>
          <w:szCs w:val="23"/>
        </w:rPr>
        <w:t xml:space="preserve">, M., &amp; </w:t>
      </w:r>
      <w:proofErr w:type="spellStart"/>
      <w:r w:rsidRPr="005F419F">
        <w:rPr>
          <w:sz w:val="23"/>
          <w:szCs w:val="23"/>
        </w:rPr>
        <w:t>Nasab</w:t>
      </w:r>
      <w:proofErr w:type="spellEnd"/>
      <w:r w:rsidRPr="005F419F">
        <w:rPr>
          <w:sz w:val="23"/>
          <w:szCs w:val="23"/>
        </w:rPr>
        <w:t xml:space="preserve">, L. (2023). Psychometric properties of the college student subjective wellbeing questionnaire (CSSWQ) in a sample of Iranian students. </w:t>
      </w:r>
      <w:r w:rsidRPr="006A07EE">
        <w:rPr>
          <w:i/>
          <w:iCs/>
          <w:sz w:val="23"/>
          <w:szCs w:val="23"/>
        </w:rPr>
        <w:t xml:space="preserve">Journal of Biological Studies, 6 </w:t>
      </w:r>
      <w:r w:rsidRPr="005F419F">
        <w:rPr>
          <w:sz w:val="23"/>
          <w:szCs w:val="23"/>
        </w:rPr>
        <w:t>(1), 162-168.</w:t>
      </w:r>
      <w:r w:rsidRPr="00024ED3">
        <w:t xml:space="preserve"> </w:t>
      </w:r>
      <w:hyperlink r:id="rId52" w:history="1">
        <w:r w:rsidRPr="004D11EC">
          <w:rPr>
            <w:rStyle w:val="Hyperlink"/>
            <w:sz w:val="23"/>
            <w:szCs w:val="23"/>
          </w:rPr>
          <w:t>https://doi.org/10.62400/jbs.v6i1.7775</w:t>
        </w:r>
      </w:hyperlink>
    </w:p>
    <w:p w:rsidR="006C2660" w:rsidRDefault="006C2660" w:rsidP="006C2660">
      <w:pPr>
        <w:spacing w:line="240" w:lineRule="auto"/>
        <w:ind w:left="426" w:hanging="426"/>
        <w:jc w:val="both"/>
        <w:rPr>
          <w:sz w:val="23"/>
          <w:szCs w:val="23"/>
          <w:rtl/>
        </w:rPr>
      </w:pPr>
      <w:r w:rsidRPr="00386AF7">
        <w:rPr>
          <w:sz w:val="23"/>
          <w:szCs w:val="23"/>
        </w:rPr>
        <w:t xml:space="preserve"> </w:t>
      </w:r>
      <w:proofErr w:type="spellStart"/>
      <w:r w:rsidRPr="00D5002B">
        <w:rPr>
          <w:lang w:bidi="ar-EG"/>
        </w:rPr>
        <w:t>Fiorilli</w:t>
      </w:r>
      <w:proofErr w:type="spellEnd"/>
      <w:r w:rsidRPr="00386AF7">
        <w:rPr>
          <w:sz w:val="23"/>
          <w:szCs w:val="23"/>
        </w:rPr>
        <w:t xml:space="preserve">, C., De </w:t>
      </w:r>
      <w:proofErr w:type="spellStart"/>
      <w:r w:rsidRPr="00386AF7">
        <w:rPr>
          <w:sz w:val="23"/>
          <w:szCs w:val="23"/>
        </w:rPr>
        <w:t>Stasio</w:t>
      </w:r>
      <w:proofErr w:type="spellEnd"/>
      <w:r w:rsidRPr="00386AF7">
        <w:rPr>
          <w:sz w:val="23"/>
          <w:szCs w:val="23"/>
        </w:rPr>
        <w:t xml:space="preserve">, S., Di </w:t>
      </w:r>
      <w:proofErr w:type="spellStart"/>
      <w:r w:rsidRPr="00386AF7">
        <w:rPr>
          <w:sz w:val="23"/>
          <w:szCs w:val="23"/>
        </w:rPr>
        <w:t>Chiacchio</w:t>
      </w:r>
      <w:proofErr w:type="spellEnd"/>
      <w:r w:rsidRPr="00386AF7">
        <w:rPr>
          <w:sz w:val="23"/>
          <w:szCs w:val="23"/>
        </w:rPr>
        <w:t xml:space="preserve">, C., </w:t>
      </w:r>
      <w:proofErr w:type="spellStart"/>
      <w:r w:rsidRPr="00386AF7">
        <w:rPr>
          <w:sz w:val="23"/>
          <w:szCs w:val="23"/>
        </w:rPr>
        <w:t>Pepe</w:t>
      </w:r>
      <w:proofErr w:type="spellEnd"/>
      <w:r w:rsidRPr="00386AF7">
        <w:rPr>
          <w:sz w:val="23"/>
          <w:szCs w:val="23"/>
        </w:rPr>
        <w:t xml:space="preserve">, A., </w:t>
      </w:r>
      <w:r>
        <w:rPr>
          <w:sz w:val="23"/>
          <w:szCs w:val="23"/>
        </w:rPr>
        <w:t>&amp;</w:t>
      </w:r>
      <w:r w:rsidRPr="00386AF7">
        <w:rPr>
          <w:sz w:val="23"/>
          <w:szCs w:val="23"/>
        </w:rPr>
        <w:t xml:space="preserve"> </w:t>
      </w:r>
      <w:proofErr w:type="spellStart"/>
      <w:r w:rsidRPr="00386AF7">
        <w:rPr>
          <w:sz w:val="23"/>
          <w:szCs w:val="23"/>
        </w:rPr>
        <w:t>Salmela-Aro</w:t>
      </w:r>
      <w:proofErr w:type="spellEnd"/>
      <w:r w:rsidRPr="00386AF7">
        <w:rPr>
          <w:sz w:val="23"/>
          <w:szCs w:val="23"/>
        </w:rPr>
        <w:t>, K. (2017).</w:t>
      </w:r>
      <w:r>
        <w:rPr>
          <w:sz w:val="23"/>
          <w:szCs w:val="23"/>
        </w:rPr>
        <w:t xml:space="preserve"> </w:t>
      </w:r>
      <w:r w:rsidRPr="00386AF7">
        <w:rPr>
          <w:sz w:val="23"/>
          <w:szCs w:val="23"/>
        </w:rPr>
        <w:t>School burnout, depressive symptoms and engagement: their combined effect</w:t>
      </w:r>
      <w:r>
        <w:rPr>
          <w:sz w:val="23"/>
          <w:szCs w:val="23"/>
        </w:rPr>
        <w:t xml:space="preserve"> </w:t>
      </w:r>
      <w:r w:rsidRPr="00386AF7">
        <w:rPr>
          <w:sz w:val="23"/>
          <w:szCs w:val="23"/>
        </w:rPr>
        <w:t xml:space="preserve">on student achievement. </w:t>
      </w:r>
      <w:r w:rsidRPr="001E5B34">
        <w:rPr>
          <w:i/>
          <w:iCs/>
          <w:sz w:val="23"/>
          <w:szCs w:val="23"/>
        </w:rPr>
        <w:t>Int. J. Educ. Res. 84</w:t>
      </w:r>
      <w:r w:rsidRPr="00386AF7">
        <w:rPr>
          <w:sz w:val="23"/>
          <w:szCs w:val="23"/>
        </w:rPr>
        <w:t xml:space="preserve">, 1–12. </w:t>
      </w:r>
      <w:hyperlink r:id="rId53" w:history="1">
        <w:r w:rsidRPr="004D11EC">
          <w:rPr>
            <w:rStyle w:val="Hyperlink"/>
            <w:sz w:val="23"/>
            <w:szCs w:val="23"/>
          </w:rPr>
          <w:t>https://doi.org/10.1016/j.ijer.2017.04.001</w:t>
        </w:r>
      </w:hyperlink>
    </w:p>
    <w:p w:rsidR="006C2660" w:rsidRDefault="006C2660" w:rsidP="006C2660">
      <w:pPr>
        <w:spacing w:line="240" w:lineRule="auto"/>
        <w:ind w:left="426" w:hanging="426"/>
        <w:jc w:val="both"/>
        <w:rPr>
          <w:rFonts w:cs="Minion Pro"/>
          <w:color w:val="000000"/>
          <w:sz w:val="24"/>
          <w:szCs w:val="24"/>
        </w:rPr>
      </w:pPr>
      <w:proofErr w:type="spellStart"/>
      <w:r w:rsidRPr="008866D4">
        <w:rPr>
          <w:rFonts w:cs="Minion Pro"/>
          <w:color w:val="000000"/>
          <w:sz w:val="24"/>
          <w:szCs w:val="24"/>
        </w:rPr>
        <w:t>Gesun</w:t>
      </w:r>
      <w:proofErr w:type="spellEnd"/>
      <w:r w:rsidRPr="008866D4">
        <w:rPr>
          <w:rFonts w:cs="Minion Pro"/>
          <w:color w:val="000000"/>
          <w:sz w:val="24"/>
          <w:szCs w:val="24"/>
        </w:rPr>
        <w:t xml:space="preserve">, J. </w:t>
      </w:r>
      <w:r>
        <w:rPr>
          <w:rFonts w:cs="Minion Pro"/>
          <w:color w:val="000000"/>
          <w:sz w:val="24"/>
          <w:szCs w:val="24"/>
        </w:rPr>
        <w:t xml:space="preserve"> (2021). </w:t>
      </w:r>
      <w:r w:rsidRPr="008866D4">
        <w:rPr>
          <w:rFonts w:cs="Minion Pro"/>
          <w:i/>
          <w:iCs/>
          <w:color w:val="000000"/>
          <w:sz w:val="24"/>
          <w:szCs w:val="24"/>
        </w:rPr>
        <w:t xml:space="preserve">Beyond Surviving: Developing and Testing a Model of Thriving for Engineering Students. </w:t>
      </w:r>
      <w:r w:rsidRPr="008866D4">
        <w:rPr>
          <w:rFonts w:cs="Minion Pro"/>
          <w:color w:val="000000"/>
          <w:sz w:val="24"/>
          <w:szCs w:val="24"/>
        </w:rPr>
        <w:t>Ph.D. Thesis, Purdue University Graduate School, West Lafayette, IN, USA.</w:t>
      </w:r>
    </w:p>
    <w:p w:rsidR="006C2660" w:rsidRDefault="006C2660" w:rsidP="006C2660">
      <w:pPr>
        <w:spacing w:line="240" w:lineRule="auto"/>
        <w:ind w:left="426" w:hanging="426"/>
        <w:jc w:val="both"/>
        <w:rPr>
          <w:sz w:val="23"/>
          <w:szCs w:val="23"/>
          <w:rtl/>
        </w:rPr>
      </w:pPr>
      <w:proofErr w:type="spellStart"/>
      <w:r w:rsidRPr="00D5002B">
        <w:rPr>
          <w:lang w:bidi="ar-EG"/>
        </w:rPr>
        <w:t>Govorova</w:t>
      </w:r>
      <w:proofErr w:type="spellEnd"/>
      <w:r w:rsidRPr="00386AF7">
        <w:rPr>
          <w:sz w:val="23"/>
          <w:szCs w:val="23"/>
        </w:rPr>
        <w:t xml:space="preserve">, E., </w:t>
      </w:r>
      <w:proofErr w:type="spellStart"/>
      <w:r w:rsidRPr="00386AF7">
        <w:rPr>
          <w:sz w:val="23"/>
          <w:szCs w:val="23"/>
        </w:rPr>
        <w:t>Benítez</w:t>
      </w:r>
      <w:proofErr w:type="spellEnd"/>
      <w:r w:rsidRPr="00386AF7">
        <w:rPr>
          <w:sz w:val="23"/>
          <w:szCs w:val="23"/>
        </w:rPr>
        <w:t xml:space="preserve">, I., and </w:t>
      </w:r>
      <w:proofErr w:type="spellStart"/>
      <w:r w:rsidRPr="00386AF7">
        <w:rPr>
          <w:sz w:val="23"/>
          <w:szCs w:val="23"/>
        </w:rPr>
        <w:t>Muñiz</w:t>
      </w:r>
      <w:proofErr w:type="spellEnd"/>
      <w:r w:rsidRPr="00386AF7">
        <w:rPr>
          <w:sz w:val="23"/>
          <w:szCs w:val="23"/>
        </w:rPr>
        <w:t xml:space="preserve">, J. (2020). How schools affect student well-being: A cross-cultural approach in 35 OECD countries. </w:t>
      </w:r>
      <w:r w:rsidRPr="00386AF7">
        <w:rPr>
          <w:i/>
          <w:iCs/>
          <w:sz w:val="23"/>
          <w:szCs w:val="23"/>
        </w:rPr>
        <w:t xml:space="preserve">Front. Psychol. </w:t>
      </w:r>
      <w:r w:rsidRPr="00386AF7">
        <w:rPr>
          <w:sz w:val="23"/>
          <w:szCs w:val="23"/>
        </w:rPr>
        <w:t xml:space="preserve">11:431. </w:t>
      </w:r>
      <w:hyperlink r:id="rId54" w:history="1">
        <w:r w:rsidRPr="004D11EC">
          <w:rPr>
            <w:rStyle w:val="Hyperlink"/>
            <w:sz w:val="23"/>
            <w:szCs w:val="23"/>
          </w:rPr>
          <w:t>https://doi.org/10.3389/fpsyg.2020.00431</w:t>
        </w:r>
      </w:hyperlink>
      <w:r w:rsidRPr="00386AF7">
        <w:rPr>
          <w:sz w:val="23"/>
          <w:szCs w:val="23"/>
        </w:rPr>
        <w:t xml:space="preserve"> </w:t>
      </w:r>
    </w:p>
    <w:p w:rsidR="006C2660" w:rsidRDefault="006C2660" w:rsidP="006C2660">
      <w:pPr>
        <w:spacing w:line="240" w:lineRule="auto"/>
        <w:ind w:left="426" w:hanging="426"/>
        <w:jc w:val="both"/>
        <w:rPr>
          <w:color w:val="FF0000"/>
          <w:sz w:val="24"/>
          <w:szCs w:val="24"/>
        </w:rPr>
      </w:pPr>
      <w:r w:rsidRPr="003B595A">
        <w:rPr>
          <w:sz w:val="24"/>
          <w:szCs w:val="24"/>
        </w:rPr>
        <w:t>Grover, S., &amp; Pea, R. (2013). Computational Thinking in K–12: A Review of the State of the Field. </w:t>
      </w:r>
      <w:r w:rsidRPr="003B595A">
        <w:rPr>
          <w:i/>
          <w:iCs/>
          <w:sz w:val="24"/>
          <w:szCs w:val="24"/>
        </w:rPr>
        <w:t>Educational Researcher</w:t>
      </w:r>
      <w:r w:rsidRPr="003B595A">
        <w:rPr>
          <w:sz w:val="24"/>
          <w:szCs w:val="24"/>
        </w:rPr>
        <w:t>, </w:t>
      </w:r>
      <w:r w:rsidRPr="003B595A">
        <w:rPr>
          <w:i/>
          <w:iCs/>
          <w:sz w:val="24"/>
          <w:szCs w:val="24"/>
        </w:rPr>
        <w:t>42</w:t>
      </w:r>
      <w:r w:rsidRPr="003B595A">
        <w:rPr>
          <w:sz w:val="24"/>
          <w:szCs w:val="24"/>
        </w:rPr>
        <w:t>(1), 38-43. </w:t>
      </w:r>
      <w:hyperlink r:id="rId55" w:history="1">
        <w:r w:rsidRPr="003B595A">
          <w:rPr>
            <w:rStyle w:val="Hyperlink"/>
            <w:sz w:val="24"/>
            <w:szCs w:val="24"/>
          </w:rPr>
          <w:t>https://doi.org/10.3102/0013189X12463051</w:t>
        </w:r>
      </w:hyperlink>
    </w:p>
    <w:p w:rsidR="006C2660" w:rsidRDefault="006C2660" w:rsidP="006C2660">
      <w:pPr>
        <w:spacing w:line="240" w:lineRule="auto"/>
        <w:ind w:left="426" w:hanging="426"/>
        <w:jc w:val="both"/>
        <w:rPr>
          <w:rFonts w:asciiTheme="majorBidi" w:hAnsiTheme="majorBidi" w:cstheme="majorBidi"/>
          <w:color w:val="000000"/>
        </w:rPr>
      </w:pPr>
      <w:proofErr w:type="spellStart"/>
      <w:r w:rsidRPr="00D5002B">
        <w:rPr>
          <w:lang w:bidi="ar-EG"/>
        </w:rPr>
        <w:t>Gudek</w:t>
      </w:r>
      <w:proofErr w:type="spellEnd"/>
      <w:r w:rsidRPr="00CD4A6B">
        <w:rPr>
          <w:rFonts w:asciiTheme="majorBidi" w:hAnsiTheme="majorBidi" w:cstheme="majorBidi"/>
          <w:color w:val="000000"/>
        </w:rPr>
        <w:t>, B. (2019). Computer</w:t>
      </w:r>
      <w:r w:rsidRPr="00FA5C3F">
        <w:rPr>
          <w:rFonts w:asciiTheme="majorBidi" w:hAnsiTheme="majorBidi" w:cstheme="majorBidi"/>
          <w:color w:val="000000"/>
        </w:rPr>
        <w:t xml:space="preserve"> self-efficacy perceptions of music teacher candidates and their attitudes towards digital technology</w:t>
      </w:r>
      <w:r w:rsidRPr="00FA5C3F">
        <w:rPr>
          <w:rFonts w:asciiTheme="majorBidi" w:hAnsiTheme="majorBidi" w:cstheme="majorBidi"/>
          <w:i/>
          <w:iCs/>
          <w:color w:val="000000"/>
        </w:rPr>
        <w:t>. European Journal of Educational Research, 8</w:t>
      </w:r>
      <w:r w:rsidRPr="00FA5C3F">
        <w:rPr>
          <w:rFonts w:asciiTheme="majorBidi" w:hAnsiTheme="majorBidi" w:cstheme="majorBidi"/>
          <w:color w:val="000000"/>
        </w:rPr>
        <w:t xml:space="preserve">(3), 683-696. </w:t>
      </w:r>
      <w:hyperlink r:id="rId56" w:history="1">
        <w:r w:rsidRPr="00FF30D8">
          <w:rPr>
            <w:rStyle w:val="Hyperlink"/>
            <w:rFonts w:asciiTheme="majorBidi" w:hAnsiTheme="majorBidi" w:cstheme="majorBidi"/>
          </w:rPr>
          <w:t>https://doi.org/10.12973/eu-jer.8.3.683</w:t>
        </w:r>
      </w:hyperlink>
    </w:p>
    <w:p w:rsidR="006C2660" w:rsidRDefault="006C2660" w:rsidP="006C2660">
      <w:pPr>
        <w:spacing w:line="240" w:lineRule="auto"/>
        <w:ind w:left="426" w:hanging="426"/>
        <w:jc w:val="both"/>
        <w:rPr>
          <w:i/>
          <w:iCs/>
          <w:sz w:val="24"/>
          <w:szCs w:val="24"/>
        </w:rPr>
      </w:pPr>
      <w:proofErr w:type="spellStart"/>
      <w:r w:rsidRPr="00D5002B">
        <w:rPr>
          <w:rFonts w:cs="Minion Pro"/>
          <w:color w:val="000000"/>
          <w:sz w:val="24"/>
          <w:szCs w:val="24"/>
        </w:rPr>
        <w:t>Gulbahar</w:t>
      </w:r>
      <w:proofErr w:type="spellEnd"/>
      <w:r w:rsidRPr="00B27BDC">
        <w:rPr>
          <w:sz w:val="24"/>
          <w:szCs w:val="24"/>
        </w:rPr>
        <w:t xml:space="preserve">, Y. </w:t>
      </w:r>
      <w:proofErr w:type="spellStart"/>
      <w:r w:rsidRPr="00B27BDC">
        <w:rPr>
          <w:sz w:val="24"/>
          <w:szCs w:val="24"/>
        </w:rPr>
        <w:t>Kert</w:t>
      </w:r>
      <w:proofErr w:type="spellEnd"/>
      <w:r w:rsidRPr="00B27BDC">
        <w:rPr>
          <w:sz w:val="24"/>
          <w:szCs w:val="24"/>
        </w:rPr>
        <w:t xml:space="preserve">, S. B., &amp; </w:t>
      </w:r>
      <w:proofErr w:type="spellStart"/>
      <w:r w:rsidRPr="00B27BDC">
        <w:rPr>
          <w:sz w:val="24"/>
          <w:szCs w:val="24"/>
        </w:rPr>
        <w:t>Kalelioglu</w:t>
      </w:r>
      <w:proofErr w:type="spellEnd"/>
      <w:r w:rsidRPr="00B27BDC">
        <w:rPr>
          <w:sz w:val="24"/>
          <w:szCs w:val="24"/>
        </w:rPr>
        <w:t xml:space="preserve"> F. (2019). The self-efficacy perception scale for computational thinking skill: </w:t>
      </w:r>
      <w:r w:rsidRPr="00474CFE">
        <w:rPr>
          <w:sz w:val="24"/>
          <w:szCs w:val="24"/>
        </w:rPr>
        <w:t xml:space="preserve">Validity and reliability study. </w:t>
      </w:r>
      <w:r w:rsidRPr="00B451A3">
        <w:rPr>
          <w:i/>
          <w:iCs/>
          <w:sz w:val="24"/>
          <w:szCs w:val="24"/>
        </w:rPr>
        <w:t xml:space="preserve">The Self-Efficacy Perception Scale for Computational Thinking Skill: Validity and Reliability Study. Turkish Journal of Computer and Mathematics Education (TURCOMAT), 10(1), 01–29. Retrieved from </w:t>
      </w:r>
      <w:hyperlink r:id="rId57" w:history="1">
        <w:r w:rsidRPr="00FF30D8">
          <w:rPr>
            <w:rStyle w:val="Hyperlink"/>
            <w:i/>
            <w:iCs/>
            <w:sz w:val="24"/>
            <w:szCs w:val="24"/>
          </w:rPr>
          <w:t>https://turcomat.org/index.php/turkbilmat/article/view/194</w:t>
        </w:r>
      </w:hyperlink>
    </w:p>
    <w:p w:rsidR="006C2660" w:rsidRDefault="006C2660" w:rsidP="006C2660">
      <w:pPr>
        <w:spacing w:line="240" w:lineRule="auto"/>
        <w:ind w:left="426" w:hanging="426"/>
        <w:jc w:val="both"/>
        <w:rPr>
          <w:lang w:bidi="ar-EG"/>
        </w:rPr>
      </w:pPr>
      <w:proofErr w:type="spellStart"/>
      <w:r w:rsidRPr="00B42D00">
        <w:rPr>
          <w:lang w:bidi="ar-EG"/>
        </w:rPr>
        <w:t>Gülmez</w:t>
      </w:r>
      <w:proofErr w:type="spellEnd"/>
      <w:r w:rsidRPr="00B42D00">
        <w:rPr>
          <w:lang w:bidi="ar-EG"/>
        </w:rPr>
        <w:t xml:space="preserve">, I., &amp; </w:t>
      </w:r>
      <w:proofErr w:type="spellStart"/>
      <w:r w:rsidRPr="00B42D00">
        <w:rPr>
          <w:lang w:bidi="ar-EG"/>
        </w:rPr>
        <w:t>Özdener</w:t>
      </w:r>
      <w:proofErr w:type="spellEnd"/>
      <w:r w:rsidRPr="00B42D00">
        <w:rPr>
          <w:lang w:bidi="ar-EG"/>
        </w:rPr>
        <w:t>, N. (2015). Academic achievement in computer programming instruction and effects of the use of visualization tools; at the elementary school level</w:t>
      </w:r>
      <w:r w:rsidRPr="00B42D00">
        <w:rPr>
          <w:i/>
          <w:iCs/>
          <w:lang w:bidi="ar-EG"/>
        </w:rPr>
        <w:t>.</w:t>
      </w:r>
      <w:r w:rsidRPr="00B42D00">
        <w:rPr>
          <w:rFonts w:hint="cs"/>
          <w:i/>
          <w:iCs/>
          <w:rtl/>
          <w:lang w:bidi="ar-EG"/>
        </w:rPr>
        <w:t xml:space="preserve"> </w:t>
      </w:r>
      <w:r w:rsidRPr="00B42D00">
        <w:rPr>
          <w:i/>
          <w:iCs/>
          <w:lang w:bidi="ar-EG"/>
        </w:rPr>
        <w:t xml:space="preserve">British Journal of Education, Society &amp; </w:t>
      </w:r>
      <w:proofErr w:type="spellStart"/>
      <w:r w:rsidRPr="00B42D00">
        <w:rPr>
          <w:i/>
          <w:iCs/>
          <w:lang w:bidi="ar-EG"/>
        </w:rPr>
        <w:t>Behavioural</w:t>
      </w:r>
      <w:proofErr w:type="spellEnd"/>
      <w:r w:rsidRPr="00B42D00">
        <w:rPr>
          <w:i/>
          <w:iCs/>
          <w:lang w:bidi="ar-EG"/>
        </w:rPr>
        <w:t xml:space="preserve"> Science, 11</w:t>
      </w:r>
      <w:r>
        <w:rPr>
          <w:lang w:bidi="ar-EG"/>
        </w:rPr>
        <w:t xml:space="preserve">(1), 1–18. </w:t>
      </w:r>
      <w:hyperlink r:id="rId58" w:history="1">
        <w:r w:rsidRPr="00FF30D8">
          <w:rPr>
            <w:rStyle w:val="Hyperlink"/>
            <w:lang w:bidi="ar-EG"/>
          </w:rPr>
          <w:t>https://doi.org/10.9734/BJESBS/2015/18316</w:t>
        </w:r>
      </w:hyperlink>
    </w:p>
    <w:p w:rsidR="006C2660" w:rsidRDefault="006C2660" w:rsidP="006C2660">
      <w:pPr>
        <w:spacing w:line="240" w:lineRule="auto"/>
        <w:ind w:left="426" w:hanging="426"/>
        <w:jc w:val="both"/>
        <w:rPr>
          <w:rtl/>
          <w:lang w:bidi="ar-EG"/>
        </w:rPr>
      </w:pPr>
      <w:r w:rsidRPr="009A3DF6">
        <w:rPr>
          <w:lang w:bidi="ar-EG"/>
        </w:rPr>
        <w:t xml:space="preserve">Haddad, R. J., &amp; </w:t>
      </w:r>
      <w:proofErr w:type="spellStart"/>
      <w:r w:rsidRPr="009A3DF6">
        <w:rPr>
          <w:lang w:bidi="ar-EG"/>
        </w:rPr>
        <w:t>Kalaani</w:t>
      </w:r>
      <w:proofErr w:type="spellEnd"/>
      <w:r w:rsidRPr="009A3DF6">
        <w:rPr>
          <w:lang w:bidi="ar-EG"/>
        </w:rPr>
        <w:t xml:space="preserve">, Y. (2015). "Can computational thinking predict academic performance?," </w:t>
      </w:r>
      <w:r w:rsidRPr="009A3DF6">
        <w:rPr>
          <w:i/>
          <w:iCs/>
          <w:lang w:bidi="ar-EG"/>
        </w:rPr>
        <w:t>2015 IEEE Integrated STEM Education Conference</w:t>
      </w:r>
      <w:r w:rsidRPr="009A3DF6">
        <w:rPr>
          <w:lang w:bidi="ar-EG"/>
        </w:rPr>
        <w:t xml:space="preserve">, Princeton, NJ, USA, pp. 225-229, </w:t>
      </w:r>
      <w:hyperlink r:id="rId59" w:history="1">
        <w:r w:rsidRPr="00FF30D8">
          <w:rPr>
            <w:rStyle w:val="Hyperlink"/>
            <w:lang w:bidi="ar-EG"/>
          </w:rPr>
          <w:t>https://doi.org/10.1109/ISECon.2015.7119929</w:t>
        </w:r>
      </w:hyperlink>
    </w:p>
    <w:p w:rsidR="006C2660" w:rsidRDefault="006C2660" w:rsidP="006C2660">
      <w:pPr>
        <w:spacing w:line="240" w:lineRule="auto"/>
        <w:ind w:left="426" w:hanging="426"/>
        <w:jc w:val="both"/>
        <w:rPr>
          <w:rFonts w:asciiTheme="majorBidi" w:hAnsiTheme="majorBidi" w:cstheme="majorBidi"/>
          <w:color w:val="000000"/>
        </w:rPr>
      </w:pPr>
      <w:proofErr w:type="spellStart"/>
      <w:r w:rsidRPr="00D5002B">
        <w:rPr>
          <w:lang w:bidi="ar-EG"/>
        </w:rPr>
        <w:t>Hatlevik</w:t>
      </w:r>
      <w:proofErr w:type="spellEnd"/>
      <w:r w:rsidRPr="00137B33">
        <w:rPr>
          <w:rFonts w:asciiTheme="majorBidi" w:hAnsiTheme="majorBidi" w:cstheme="majorBidi"/>
          <w:color w:val="000000"/>
        </w:rPr>
        <w:t xml:space="preserve">, O. E., </w:t>
      </w:r>
      <w:proofErr w:type="spellStart"/>
      <w:r w:rsidRPr="00137B33">
        <w:rPr>
          <w:rFonts w:asciiTheme="majorBidi" w:hAnsiTheme="majorBidi" w:cstheme="majorBidi"/>
          <w:color w:val="000000"/>
        </w:rPr>
        <w:t>Throndsen</w:t>
      </w:r>
      <w:proofErr w:type="spellEnd"/>
      <w:r w:rsidRPr="00137B33">
        <w:rPr>
          <w:rFonts w:asciiTheme="majorBidi" w:hAnsiTheme="majorBidi" w:cstheme="majorBidi"/>
          <w:color w:val="000000"/>
        </w:rPr>
        <w:t xml:space="preserve">, I., </w:t>
      </w:r>
      <w:proofErr w:type="spellStart"/>
      <w:r w:rsidRPr="00137B33">
        <w:rPr>
          <w:rFonts w:asciiTheme="majorBidi" w:hAnsiTheme="majorBidi" w:cstheme="majorBidi"/>
          <w:color w:val="000000"/>
        </w:rPr>
        <w:t>Loi</w:t>
      </w:r>
      <w:proofErr w:type="spellEnd"/>
      <w:r w:rsidRPr="00137B33">
        <w:rPr>
          <w:rFonts w:asciiTheme="majorBidi" w:hAnsiTheme="majorBidi" w:cstheme="majorBidi"/>
          <w:color w:val="000000"/>
        </w:rPr>
        <w:t xml:space="preserve">, M., &amp; </w:t>
      </w:r>
      <w:proofErr w:type="spellStart"/>
      <w:r w:rsidRPr="00137B33">
        <w:rPr>
          <w:rFonts w:asciiTheme="majorBidi" w:hAnsiTheme="majorBidi" w:cstheme="majorBidi"/>
          <w:color w:val="000000"/>
        </w:rPr>
        <w:t>Gudmundsdottir</w:t>
      </w:r>
      <w:proofErr w:type="spellEnd"/>
      <w:r w:rsidRPr="00137B33">
        <w:rPr>
          <w:rFonts w:asciiTheme="majorBidi" w:hAnsiTheme="majorBidi" w:cstheme="majorBidi"/>
          <w:color w:val="000000"/>
        </w:rPr>
        <w:t>, G. B. (2018). Students’ ICT self-efficacy and computer and information literacy: Determinants and relationships.</w:t>
      </w:r>
      <w:r>
        <w:rPr>
          <w:rFonts w:asciiTheme="majorBidi" w:hAnsiTheme="majorBidi" w:cstheme="majorBidi"/>
          <w:color w:val="000000"/>
        </w:rPr>
        <w:t xml:space="preserve"> </w:t>
      </w:r>
      <w:r w:rsidRPr="00137B33">
        <w:rPr>
          <w:rFonts w:asciiTheme="majorBidi" w:hAnsiTheme="majorBidi" w:cstheme="majorBidi"/>
          <w:i/>
          <w:iCs/>
          <w:color w:val="000000"/>
        </w:rPr>
        <w:t>Computers &amp; Education</w:t>
      </w:r>
      <w:r w:rsidRPr="00137B33">
        <w:rPr>
          <w:rFonts w:asciiTheme="majorBidi" w:hAnsiTheme="majorBidi" w:cstheme="majorBidi"/>
          <w:color w:val="000000"/>
        </w:rPr>
        <w:t xml:space="preserve">, </w:t>
      </w:r>
      <w:r w:rsidRPr="00137B33">
        <w:rPr>
          <w:rFonts w:asciiTheme="majorBidi" w:hAnsiTheme="majorBidi" w:cstheme="majorBidi"/>
          <w:i/>
          <w:iCs/>
          <w:color w:val="000000"/>
        </w:rPr>
        <w:t>118</w:t>
      </w:r>
      <w:r w:rsidRPr="00137B33">
        <w:rPr>
          <w:rFonts w:asciiTheme="majorBidi" w:hAnsiTheme="majorBidi" w:cstheme="majorBidi"/>
          <w:color w:val="000000"/>
        </w:rPr>
        <w:t>, 107-119.</w:t>
      </w:r>
      <w:r w:rsidRPr="00CD4A6B">
        <w:t xml:space="preserve"> </w:t>
      </w:r>
      <w:hyperlink r:id="rId60" w:history="1">
        <w:r w:rsidRPr="00FF30D8">
          <w:rPr>
            <w:rStyle w:val="Hyperlink"/>
            <w:rFonts w:asciiTheme="majorBidi" w:hAnsiTheme="majorBidi" w:cstheme="majorBidi"/>
          </w:rPr>
          <w:t>https://doi.org/10.1016/j.compedu.2017.11.011</w:t>
        </w:r>
      </w:hyperlink>
    </w:p>
    <w:p w:rsidR="006C2660" w:rsidRDefault="006C2660" w:rsidP="006C2660">
      <w:pPr>
        <w:spacing w:line="240" w:lineRule="auto"/>
        <w:ind w:left="426" w:hanging="426"/>
        <w:jc w:val="both"/>
        <w:rPr>
          <w:sz w:val="23"/>
          <w:szCs w:val="23"/>
        </w:rPr>
      </w:pPr>
      <w:r w:rsidRPr="00D859C9">
        <w:rPr>
          <w:sz w:val="23"/>
          <w:szCs w:val="23"/>
        </w:rPr>
        <w:t>Heller-</w:t>
      </w:r>
      <w:proofErr w:type="spellStart"/>
      <w:r w:rsidRPr="00D859C9">
        <w:rPr>
          <w:sz w:val="23"/>
          <w:szCs w:val="23"/>
        </w:rPr>
        <w:t>Sahlgren</w:t>
      </w:r>
      <w:proofErr w:type="spellEnd"/>
      <w:r w:rsidRPr="00D859C9">
        <w:rPr>
          <w:sz w:val="23"/>
          <w:szCs w:val="23"/>
        </w:rPr>
        <w:t xml:space="preserve">, G. (2018). Smart but unhappy: Independent-school competition and the wellbeing-efficiency trade-off in education. </w:t>
      </w:r>
      <w:r w:rsidRPr="00D859C9">
        <w:rPr>
          <w:i/>
          <w:iCs/>
          <w:sz w:val="23"/>
          <w:szCs w:val="23"/>
        </w:rPr>
        <w:t>Economics of Education Review, 62</w:t>
      </w:r>
      <w:r w:rsidRPr="00D859C9">
        <w:rPr>
          <w:sz w:val="23"/>
          <w:szCs w:val="23"/>
        </w:rPr>
        <w:t>, 66</w:t>
      </w:r>
      <w:r w:rsidRPr="00D859C9">
        <w:rPr>
          <w:rFonts w:hint="eastAsia"/>
          <w:sz w:val="23"/>
          <w:szCs w:val="23"/>
        </w:rPr>
        <w:t>–</w:t>
      </w:r>
      <w:r w:rsidRPr="00D859C9">
        <w:rPr>
          <w:sz w:val="23"/>
          <w:szCs w:val="23"/>
        </w:rPr>
        <w:t>81.</w:t>
      </w:r>
      <w:r w:rsidRPr="00047F63">
        <w:t xml:space="preserve"> </w:t>
      </w:r>
      <w:hyperlink r:id="rId61" w:history="1">
        <w:r w:rsidRPr="004D11EC">
          <w:rPr>
            <w:rStyle w:val="Hyperlink"/>
            <w:sz w:val="23"/>
            <w:szCs w:val="23"/>
          </w:rPr>
          <w:t>https://doi.org/10.1016/j.econedurev.2017.10.005</w:t>
        </w:r>
      </w:hyperlink>
    </w:p>
    <w:p w:rsidR="006C2660" w:rsidRPr="006C374A" w:rsidRDefault="006C2660" w:rsidP="006C2660">
      <w:pPr>
        <w:spacing w:line="240" w:lineRule="auto"/>
        <w:ind w:left="426" w:hanging="426"/>
        <w:jc w:val="both"/>
        <w:rPr>
          <w:rFonts w:cs="Minion Pro"/>
          <w:color w:val="000000"/>
          <w:sz w:val="24"/>
          <w:szCs w:val="24"/>
          <w:rtl/>
        </w:rPr>
      </w:pPr>
      <w:proofErr w:type="spellStart"/>
      <w:r w:rsidRPr="006C374A">
        <w:rPr>
          <w:rFonts w:cs="Minion Pro"/>
          <w:color w:val="000000"/>
          <w:sz w:val="24"/>
          <w:szCs w:val="24"/>
        </w:rPr>
        <w:lastRenderedPageBreak/>
        <w:t>Hou</w:t>
      </w:r>
      <w:proofErr w:type="spellEnd"/>
      <w:r w:rsidRPr="006C374A">
        <w:rPr>
          <w:rFonts w:cs="Minion Pro"/>
          <w:color w:val="000000"/>
          <w:sz w:val="24"/>
          <w:szCs w:val="24"/>
        </w:rPr>
        <w:t xml:space="preserve">, H. Y., </w:t>
      </w:r>
      <w:proofErr w:type="spellStart"/>
      <w:r w:rsidRPr="006C374A">
        <w:rPr>
          <w:rFonts w:cs="Minion Pro"/>
          <w:color w:val="000000"/>
          <w:sz w:val="24"/>
          <w:szCs w:val="24"/>
        </w:rPr>
        <w:t>Agrawal</w:t>
      </w:r>
      <w:proofErr w:type="spellEnd"/>
      <w:r w:rsidRPr="006C374A">
        <w:rPr>
          <w:rFonts w:cs="Minion Pro"/>
          <w:color w:val="000000"/>
          <w:sz w:val="24"/>
          <w:szCs w:val="24"/>
        </w:rPr>
        <w:t xml:space="preserve">, S., &amp; Lee, C. F. (2020). Computational thinking training with technology for non-information undergraduates. </w:t>
      </w:r>
      <w:r w:rsidRPr="006C374A">
        <w:rPr>
          <w:rFonts w:cs="Minion Pro"/>
          <w:i/>
          <w:iCs/>
          <w:color w:val="000000"/>
          <w:sz w:val="24"/>
          <w:szCs w:val="24"/>
        </w:rPr>
        <w:t>Thinking Skills and Creativity</w:t>
      </w:r>
      <w:r w:rsidRPr="006C374A">
        <w:rPr>
          <w:rFonts w:cs="Minion Pro"/>
          <w:color w:val="000000"/>
          <w:sz w:val="24"/>
          <w:szCs w:val="24"/>
        </w:rPr>
        <w:t xml:space="preserve">, </w:t>
      </w:r>
      <w:r w:rsidRPr="006C374A">
        <w:rPr>
          <w:rFonts w:cs="Minion Pro"/>
          <w:i/>
          <w:iCs/>
          <w:color w:val="000000"/>
          <w:sz w:val="24"/>
          <w:szCs w:val="24"/>
        </w:rPr>
        <w:t>38</w:t>
      </w:r>
      <w:r w:rsidRPr="006C374A">
        <w:rPr>
          <w:rFonts w:cs="Minion Pro"/>
          <w:color w:val="000000"/>
          <w:sz w:val="24"/>
          <w:szCs w:val="24"/>
        </w:rPr>
        <w:t xml:space="preserve">, 100720. </w:t>
      </w:r>
      <w:hyperlink r:id="rId62" w:history="1">
        <w:r w:rsidRPr="006C374A">
          <w:rPr>
            <w:rStyle w:val="Hyperlink"/>
            <w:rFonts w:cs="Minion Pro"/>
            <w:sz w:val="24"/>
            <w:szCs w:val="24"/>
          </w:rPr>
          <w:t>https://doi.org/10.1016/j.tsc.2020.100720</w:t>
        </w:r>
      </w:hyperlink>
    </w:p>
    <w:p w:rsidR="006C2660" w:rsidRDefault="006C2660" w:rsidP="006C2660">
      <w:pPr>
        <w:spacing w:line="240" w:lineRule="auto"/>
        <w:ind w:left="426" w:hanging="426"/>
        <w:jc w:val="both"/>
        <w:rPr>
          <w:rFonts w:cs="Minion Pro"/>
          <w:color w:val="000000"/>
          <w:sz w:val="24"/>
          <w:szCs w:val="24"/>
        </w:rPr>
      </w:pPr>
      <w:r w:rsidRPr="005A2DAF">
        <w:rPr>
          <w:rFonts w:cs="Minion Pro"/>
          <w:color w:val="000000"/>
          <w:sz w:val="24"/>
          <w:szCs w:val="24"/>
        </w:rPr>
        <w:t xml:space="preserve">Howell, A., </w:t>
      </w:r>
      <w:proofErr w:type="spellStart"/>
      <w:r w:rsidRPr="005A2DAF">
        <w:rPr>
          <w:rFonts w:cs="Minion Pro"/>
          <w:color w:val="000000"/>
          <w:sz w:val="24"/>
          <w:szCs w:val="24"/>
        </w:rPr>
        <w:t>Passmore</w:t>
      </w:r>
      <w:proofErr w:type="spellEnd"/>
      <w:r w:rsidRPr="005A2DAF">
        <w:rPr>
          <w:rFonts w:cs="Minion Pro"/>
          <w:color w:val="000000"/>
          <w:sz w:val="24"/>
          <w:szCs w:val="24"/>
        </w:rPr>
        <w:t xml:space="preserve">, H., </w:t>
      </w:r>
      <w:r>
        <w:rPr>
          <w:rFonts w:cs="Minion Pro"/>
          <w:color w:val="000000"/>
          <w:sz w:val="24"/>
          <w:szCs w:val="24"/>
        </w:rPr>
        <w:t xml:space="preserve">&amp; </w:t>
      </w:r>
      <w:proofErr w:type="spellStart"/>
      <w:r w:rsidRPr="005A2DAF">
        <w:rPr>
          <w:rFonts w:cs="Minion Pro"/>
          <w:color w:val="000000"/>
          <w:sz w:val="24"/>
          <w:szCs w:val="24"/>
        </w:rPr>
        <w:t>Buro</w:t>
      </w:r>
      <w:proofErr w:type="spellEnd"/>
      <w:r w:rsidRPr="005A2DAF">
        <w:rPr>
          <w:rFonts w:cs="Minion Pro"/>
          <w:color w:val="000000"/>
          <w:sz w:val="24"/>
          <w:szCs w:val="24"/>
        </w:rPr>
        <w:t>, K. (2013). Meaning in nature: meaning in life</w:t>
      </w:r>
      <w:r>
        <w:rPr>
          <w:rFonts w:cs="Minion Pro"/>
          <w:color w:val="000000"/>
          <w:sz w:val="24"/>
          <w:szCs w:val="24"/>
        </w:rPr>
        <w:t xml:space="preserve"> </w:t>
      </w:r>
      <w:r w:rsidRPr="005A2DAF">
        <w:rPr>
          <w:rFonts w:cs="Minion Pro"/>
          <w:color w:val="000000"/>
          <w:sz w:val="24"/>
          <w:szCs w:val="24"/>
        </w:rPr>
        <w:t>as a mediator of the relationship between nature connectedness and wellbeing.</w:t>
      </w:r>
      <w:r>
        <w:rPr>
          <w:rFonts w:cs="Minion Pro"/>
          <w:color w:val="000000"/>
          <w:sz w:val="24"/>
          <w:szCs w:val="24"/>
        </w:rPr>
        <w:t xml:space="preserve"> </w:t>
      </w:r>
      <w:r w:rsidRPr="005A2DAF">
        <w:rPr>
          <w:rFonts w:cs="Minion Pro"/>
          <w:i/>
          <w:iCs/>
          <w:color w:val="000000"/>
          <w:sz w:val="24"/>
          <w:szCs w:val="24"/>
        </w:rPr>
        <w:t>J. Happiness Stud. 14</w:t>
      </w:r>
      <w:r w:rsidRPr="005A2DAF">
        <w:rPr>
          <w:rFonts w:cs="Minion Pro"/>
          <w:color w:val="000000"/>
          <w:sz w:val="24"/>
          <w:szCs w:val="24"/>
        </w:rPr>
        <w:t xml:space="preserve">, 1681–1696. </w:t>
      </w:r>
      <w:hyperlink r:id="rId63" w:history="1">
        <w:r w:rsidRPr="004403D1">
          <w:rPr>
            <w:rStyle w:val="Hyperlink"/>
            <w:rFonts w:cs="Minion Pro"/>
            <w:sz w:val="24"/>
            <w:szCs w:val="24"/>
          </w:rPr>
          <w:t>http://dx.doi.org/10.1007/s10902-012-9403-x</w:t>
        </w:r>
      </w:hyperlink>
      <w:r w:rsidRPr="005A2DAF">
        <w:rPr>
          <w:rFonts w:cs="Minion Pro"/>
          <w:color w:val="000000"/>
          <w:sz w:val="24"/>
          <w:szCs w:val="24"/>
        </w:rPr>
        <w:t xml:space="preserve"> </w:t>
      </w:r>
    </w:p>
    <w:p w:rsidR="006C2660" w:rsidRPr="00253589" w:rsidRDefault="006C2660" w:rsidP="006C2660">
      <w:pPr>
        <w:spacing w:line="240" w:lineRule="auto"/>
        <w:ind w:left="426" w:hanging="426"/>
        <w:jc w:val="both"/>
        <w:rPr>
          <w:lang w:bidi="ar-EG"/>
        </w:rPr>
      </w:pPr>
      <w:r w:rsidRPr="00CC4924">
        <w:rPr>
          <w:lang w:bidi="ar-EG"/>
        </w:rPr>
        <w:t xml:space="preserve">Huda, N. &amp; </w:t>
      </w:r>
      <w:proofErr w:type="spellStart"/>
      <w:r w:rsidRPr="00CC4924">
        <w:rPr>
          <w:lang w:bidi="ar-EG"/>
        </w:rPr>
        <w:t>Rohaeti</w:t>
      </w:r>
      <w:proofErr w:type="spellEnd"/>
      <w:r w:rsidRPr="00CC4924">
        <w:rPr>
          <w:lang w:bidi="ar-EG"/>
        </w:rPr>
        <w:t xml:space="preserve">, E. (2024). Computational Thinking Skill Level of Senior High School Students Majoring in Natural Science. </w:t>
      </w:r>
      <w:r w:rsidRPr="00AE0B0B">
        <w:rPr>
          <w:i/>
          <w:iCs/>
          <w:lang w:bidi="ar-EG"/>
        </w:rPr>
        <w:t xml:space="preserve">International Journal of Learning, Teaching and Educational Research, 23 </w:t>
      </w:r>
      <w:r w:rsidRPr="00CC4924">
        <w:rPr>
          <w:lang w:bidi="ar-EG"/>
        </w:rPr>
        <w:t xml:space="preserve">(1), 339-359. </w:t>
      </w:r>
      <w:hyperlink r:id="rId64" w:history="1">
        <w:r w:rsidRPr="00253589">
          <w:rPr>
            <w:rStyle w:val="Hyperlink"/>
            <w:lang w:bidi="ar-EG"/>
          </w:rPr>
          <w:t>https://doi.org/10.26803/ijlter.23.1.17</w:t>
        </w:r>
      </w:hyperlink>
    </w:p>
    <w:p w:rsidR="006C2660" w:rsidRDefault="006C2660" w:rsidP="006C2660">
      <w:pPr>
        <w:spacing w:line="240" w:lineRule="auto"/>
        <w:ind w:left="426" w:hanging="426"/>
        <w:jc w:val="both"/>
        <w:rPr>
          <w:sz w:val="23"/>
          <w:szCs w:val="23"/>
          <w:rtl/>
        </w:rPr>
      </w:pPr>
      <w:r w:rsidRPr="00D5002B">
        <w:rPr>
          <w:lang w:bidi="ar-EG"/>
        </w:rPr>
        <w:t>Huebner</w:t>
      </w:r>
      <w:r>
        <w:rPr>
          <w:sz w:val="23"/>
          <w:szCs w:val="23"/>
        </w:rPr>
        <w:t>,</w:t>
      </w:r>
      <w:r w:rsidRPr="00D859C9">
        <w:rPr>
          <w:sz w:val="23"/>
          <w:szCs w:val="23"/>
        </w:rPr>
        <w:t xml:space="preserve"> E</w:t>
      </w:r>
      <w:r>
        <w:rPr>
          <w:sz w:val="23"/>
          <w:szCs w:val="23"/>
        </w:rPr>
        <w:t xml:space="preserve">. </w:t>
      </w:r>
      <w:r w:rsidRPr="00D859C9">
        <w:rPr>
          <w:sz w:val="23"/>
          <w:szCs w:val="23"/>
        </w:rPr>
        <w:t>S.</w:t>
      </w:r>
      <w:r>
        <w:rPr>
          <w:sz w:val="23"/>
          <w:szCs w:val="23"/>
        </w:rPr>
        <w:t xml:space="preserve"> (1991).</w:t>
      </w:r>
      <w:r w:rsidRPr="00D859C9">
        <w:rPr>
          <w:sz w:val="23"/>
          <w:szCs w:val="23"/>
        </w:rPr>
        <w:t xml:space="preserve"> Correlates of life satisfaction in children. </w:t>
      </w:r>
      <w:r w:rsidRPr="006A07EE">
        <w:rPr>
          <w:i/>
          <w:iCs/>
          <w:sz w:val="23"/>
          <w:szCs w:val="23"/>
        </w:rPr>
        <w:t>School Psychology Quarterly</w:t>
      </w:r>
      <w:r>
        <w:rPr>
          <w:i/>
          <w:iCs/>
          <w:sz w:val="23"/>
          <w:szCs w:val="23"/>
        </w:rPr>
        <w:t xml:space="preserve">, </w:t>
      </w:r>
      <w:r w:rsidRPr="006A07EE">
        <w:rPr>
          <w:i/>
          <w:iCs/>
          <w:sz w:val="23"/>
          <w:szCs w:val="23"/>
        </w:rPr>
        <w:t>6</w:t>
      </w:r>
      <w:r w:rsidRPr="00D859C9">
        <w:rPr>
          <w:sz w:val="23"/>
          <w:szCs w:val="23"/>
        </w:rPr>
        <w:t xml:space="preserve">(2):103-111. </w:t>
      </w:r>
      <w:hyperlink r:id="rId65" w:history="1">
        <w:r w:rsidRPr="004D11EC">
          <w:rPr>
            <w:rStyle w:val="Hyperlink"/>
            <w:sz w:val="23"/>
            <w:szCs w:val="23"/>
          </w:rPr>
          <w:t>https://doi.org/10.1037/h0088805</w:t>
        </w:r>
      </w:hyperlink>
    </w:p>
    <w:p w:rsidR="006C2660" w:rsidRDefault="006C2660" w:rsidP="006C2660">
      <w:pPr>
        <w:spacing w:line="240" w:lineRule="auto"/>
        <w:ind w:left="426" w:hanging="426"/>
        <w:rPr>
          <w:rFonts w:cs="Minion Pro"/>
          <w:color w:val="000000"/>
          <w:sz w:val="24"/>
          <w:szCs w:val="24"/>
        </w:rPr>
      </w:pPr>
      <w:r w:rsidRPr="005A2DAF">
        <w:rPr>
          <w:rFonts w:cs="Minion Pro"/>
          <w:color w:val="000000"/>
          <w:sz w:val="24"/>
          <w:szCs w:val="24"/>
        </w:rPr>
        <w:t xml:space="preserve">Huebner, E. S., </w:t>
      </w:r>
      <w:proofErr w:type="spellStart"/>
      <w:r w:rsidRPr="005A2DAF">
        <w:rPr>
          <w:rFonts w:cs="Minion Pro"/>
          <w:color w:val="000000"/>
          <w:sz w:val="24"/>
          <w:szCs w:val="24"/>
        </w:rPr>
        <w:t>Suldo</w:t>
      </w:r>
      <w:proofErr w:type="spellEnd"/>
      <w:r w:rsidRPr="005A2DAF">
        <w:rPr>
          <w:rFonts w:cs="Minion Pro"/>
          <w:color w:val="000000"/>
          <w:sz w:val="24"/>
          <w:szCs w:val="24"/>
        </w:rPr>
        <w:t xml:space="preserve">, S. M., Smith, L. C., </w:t>
      </w:r>
      <w:r>
        <w:rPr>
          <w:rFonts w:cs="Minion Pro"/>
          <w:color w:val="000000"/>
          <w:sz w:val="24"/>
          <w:szCs w:val="24"/>
        </w:rPr>
        <w:t xml:space="preserve">&amp; </w:t>
      </w:r>
      <w:r w:rsidRPr="005A2DAF">
        <w:rPr>
          <w:rFonts w:cs="Minion Pro"/>
          <w:color w:val="000000"/>
          <w:sz w:val="24"/>
          <w:szCs w:val="24"/>
        </w:rPr>
        <w:t xml:space="preserve"> McKnight, C. G. (2004). Life</w:t>
      </w:r>
      <w:r>
        <w:rPr>
          <w:rFonts w:cs="Minion Pro"/>
          <w:color w:val="000000"/>
          <w:sz w:val="24"/>
          <w:szCs w:val="24"/>
        </w:rPr>
        <w:t xml:space="preserve"> </w:t>
      </w:r>
      <w:r w:rsidRPr="005A2DAF">
        <w:rPr>
          <w:rFonts w:cs="Minion Pro"/>
          <w:color w:val="000000"/>
          <w:sz w:val="24"/>
          <w:szCs w:val="24"/>
        </w:rPr>
        <w:t>satisfaction in children and youth: empirical foundations and implications</w:t>
      </w:r>
      <w:r>
        <w:rPr>
          <w:rFonts w:cs="Minion Pro"/>
          <w:color w:val="000000"/>
          <w:sz w:val="24"/>
          <w:szCs w:val="24"/>
        </w:rPr>
        <w:t xml:space="preserve"> </w:t>
      </w:r>
      <w:r w:rsidRPr="005A2DAF">
        <w:rPr>
          <w:rFonts w:cs="Minion Pro"/>
          <w:color w:val="000000"/>
          <w:sz w:val="24"/>
          <w:szCs w:val="24"/>
        </w:rPr>
        <w:t xml:space="preserve">for school psychologists. Psychol. Sch. 41, 81–93. </w:t>
      </w:r>
      <w:hyperlink r:id="rId66" w:history="1">
        <w:r w:rsidRPr="004403D1">
          <w:rPr>
            <w:rStyle w:val="Hyperlink"/>
            <w:rFonts w:cs="Minion Pro"/>
            <w:sz w:val="24"/>
            <w:szCs w:val="24"/>
          </w:rPr>
          <w:t>http://dx.doi.org/10.1002/pits.10140</w:t>
        </w:r>
      </w:hyperlink>
    </w:p>
    <w:p w:rsidR="006C2660" w:rsidRDefault="006C2660" w:rsidP="006C2660">
      <w:pPr>
        <w:spacing w:line="240" w:lineRule="auto"/>
        <w:ind w:left="426" w:hanging="426"/>
        <w:jc w:val="both"/>
        <w:rPr>
          <w:sz w:val="23"/>
          <w:szCs w:val="23"/>
          <w:rtl/>
        </w:rPr>
      </w:pPr>
      <w:r w:rsidRPr="00D5002B">
        <w:rPr>
          <w:lang w:bidi="ar-EG"/>
        </w:rPr>
        <w:t>Huebner</w:t>
      </w:r>
      <w:r>
        <w:rPr>
          <w:sz w:val="23"/>
          <w:szCs w:val="23"/>
        </w:rPr>
        <w:t>,</w:t>
      </w:r>
      <w:r w:rsidRPr="00D859C9">
        <w:rPr>
          <w:sz w:val="23"/>
          <w:szCs w:val="23"/>
        </w:rPr>
        <w:t xml:space="preserve"> E</w:t>
      </w:r>
      <w:r>
        <w:rPr>
          <w:sz w:val="23"/>
          <w:szCs w:val="23"/>
        </w:rPr>
        <w:t>.</w:t>
      </w:r>
      <w:r w:rsidRPr="00D859C9">
        <w:rPr>
          <w:sz w:val="23"/>
          <w:szCs w:val="23"/>
        </w:rPr>
        <w:t>S</w:t>
      </w:r>
      <w:r>
        <w:rPr>
          <w:sz w:val="23"/>
          <w:szCs w:val="23"/>
        </w:rPr>
        <w:t>.</w:t>
      </w:r>
      <w:r w:rsidRPr="00D859C9">
        <w:rPr>
          <w:sz w:val="23"/>
          <w:szCs w:val="23"/>
        </w:rPr>
        <w:t xml:space="preserve">, </w:t>
      </w:r>
      <w:r>
        <w:rPr>
          <w:sz w:val="23"/>
          <w:szCs w:val="23"/>
        </w:rPr>
        <w:t xml:space="preserve">&amp; </w:t>
      </w:r>
      <w:r w:rsidRPr="00D859C9">
        <w:rPr>
          <w:sz w:val="23"/>
          <w:szCs w:val="23"/>
        </w:rPr>
        <w:t>Gilman</w:t>
      </w:r>
      <w:r>
        <w:rPr>
          <w:sz w:val="23"/>
          <w:szCs w:val="23"/>
        </w:rPr>
        <w:t>,</w:t>
      </w:r>
      <w:r w:rsidRPr="00D859C9">
        <w:rPr>
          <w:sz w:val="23"/>
          <w:szCs w:val="23"/>
        </w:rPr>
        <w:t xml:space="preserve"> R. (2006).Students who like and dislike school. </w:t>
      </w:r>
      <w:r w:rsidRPr="001E5B34">
        <w:rPr>
          <w:i/>
          <w:iCs/>
          <w:sz w:val="23"/>
          <w:szCs w:val="23"/>
        </w:rPr>
        <w:t>Applied Re</w:t>
      </w:r>
      <w:r>
        <w:rPr>
          <w:i/>
          <w:iCs/>
          <w:sz w:val="23"/>
          <w:szCs w:val="23"/>
        </w:rPr>
        <w:t xml:space="preserve">search in Quality of Life, </w:t>
      </w:r>
      <w:r w:rsidRPr="001E5B34">
        <w:rPr>
          <w:i/>
          <w:iCs/>
          <w:sz w:val="23"/>
          <w:szCs w:val="23"/>
        </w:rPr>
        <w:t>1</w:t>
      </w:r>
      <w:r w:rsidRPr="00D859C9">
        <w:rPr>
          <w:sz w:val="23"/>
          <w:szCs w:val="23"/>
        </w:rPr>
        <w:t xml:space="preserve">(2):139-150. </w:t>
      </w:r>
      <w:hyperlink r:id="rId67" w:history="1">
        <w:r w:rsidRPr="004D11EC">
          <w:rPr>
            <w:rStyle w:val="Hyperlink"/>
            <w:sz w:val="23"/>
            <w:szCs w:val="23"/>
          </w:rPr>
          <w:t>https://doi.org/10.1007/s11482-006-9001-3</w:t>
        </w:r>
      </w:hyperlink>
    </w:p>
    <w:p w:rsidR="006C2660" w:rsidRDefault="006C2660" w:rsidP="006C2660">
      <w:pPr>
        <w:spacing w:line="240" w:lineRule="auto"/>
        <w:ind w:left="426" w:hanging="426"/>
        <w:jc w:val="both"/>
        <w:rPr>
          <w:rFonts w:cs="Minion Pro"/>
          <w:color w:val="000000"/>
          <w:sz w:val="24"/>
          <w:szCs w:val="24"/>
        </w:rPr>
      </w:pPr>
      <w:r w:rsidRPr="001C7198">
        <w:rPr>
          <w:rFonts w:cs="Minion Pro"/>
          <w:color w:val="000000"/>
          <w:sz w:val="24"/>
          <w:szCs w:val="24"/>
        </w:rPr>
        <w:t xml:space="preserve">Huppert, F. A., </w:t>
      </w:r>
      <w:r>
        <w:rPr>
          <w:rFonts w:cs="Minion Pro"/>
          <w:color w:val="000000"/>
          <w:sz w:val="24"/>
          <w:szCs w:val="24"/>
        </w:rPr>
        <w:t>&amp;</w:t>
      </w:r>
      <w:r w:rsidRPr="001C7198">
        <w:rPr>
          <w:rFonts w:cs="Minion Pro"/>
          <w:color w:val="000000"/>
          <w:sz w:val="24"/>
          <w:szCs w:val="24"/>
        </w:rPr>
        <w:t xml:space="preserve"> So, T. T. (2013). Flourishing across Europe: application of a new</w:t>
      </w:r>
      <w:r>
        <w:rPr>
          <w:rFonts w:cs="Minion Pro"/>
          <w:color w:val="000000"/>
          <w:sz w:val="24"/>
          <w:szCs w:val="24"/>
        </w:rPr>
        <w:t xml:space="preserve"> </w:t>
      </w:r>
      <w:r w:rsidRPr="001C7198">
        <w:rPr>
          <w:rFonts w:cs="Minion Pro"/>
          <w:color w:val="000000"/>
          <w:sz w:val="24"/>
          <w:szCs w:val="24"/>
        </w:rPr>
        <w:t>conceptual framework for defining well-being</w:t>
      </w:r>
      <w:r w:rsidRPr="001C7198">
        <w:rPr>
          <w:rFonts w:cs="Minion Pro"/>
          <w:i/>
          <w:iCs/>
          <w:color w:val="000000"/>
          <w:sz w:val="24"/>
          <w:szCs w:val="24"/>
        </w:rPr>
        <w:t>. Soc. Indic. Res. 110</w:t>
      </w:r>
      <w:r w:rsidRPr="001C7198">
        <w:rPr>
          <w:rFonts w:cs="Minion Pro"/>
          <w:color w:val="000000"/>
          <w:sz w:val="24"/>
          <w:szCs w:val="24"/>
        </w:rPr>
        <w:t>, 837–861.</w:t>
      </w:r>
      <w:r>
        <w:rPr>
          <w:rFonts w:cs="Minion Pro"/>
          <w:color w:val="000000"/>
          <w:sz w:val="24"/>
          <w:szCs w:val="24"/>
        </w:rPr>
        <w:t xml:space="preserve"> </w:t>
      </w:r>
      <w:hyperlink r:id="rId68" w:history="1">
        <w:r w:rsidRPr="004403D1">
          <w:rPr>
            <w:rStyle w:val="Hyperlink"/>
            <w:rFonts w:cs="Minion Pro"/>
            <w:sz w:val="24"/>
            <w:szCs w:val="24"/>
          </w:rPr>
          <w:t>http://dx.doi.org/10.1007/s11205-011-9966-7</w:t>
        </w:r>
      </w:hyperlink>
    </w:p>
    <w:p w:rsidR="006C2660" w:rsidRPr="00567AB2" w:rsidRDefault="006C2660" w:rsidP="006C2660">
      <w:pPr>
        <w:spacing w:line="240" w:lineRule="auto"/>
        <w:ind w:left="426" w:hanging="426"/>
        <w:jc w:val="both"/>
        <w:rPr>
          <w:rtl/>
        </w:rPr>
      </w:pPr>
      <w:r w:rsidRPr="00D5002B">
        <w:rPr>
          <w:rFonts w:cs="Minion Pro"/>
          <w:color w:val="000000"/>
          <w:sz w:val="24"/>
          <w:szCs w:val="24"/>
        </w:rPr>
        <w:t>International</w:t>
      </w:r>
      <w:r w:rsidRPr="00567AB2">
        <w:rPr>
          <w:lang w:bidi="ar-EG"/>
        </w:rPr>
        <w:t xml:space="preserve"> Society for Technology in Education (2016). </w:t>
      </w:r>
      <w:r w:rsidRPr="00567AB2">
        <w:rPr>
          <w:i/>
          <w:iCs/>
          <w:lang w:bidi="ar-EG"/>
        </w:rPr>
        <w:t xml:space="preserve">ISTE standards for students. </w:t>
      </w:r>
      <w:r w:rsidRPr="00567AB2">
        <w:rPr>
          <w:lang w:bidi="ar-EG"/>
        </w:rPr>
        <w:t xml:space="preserve">ISTE. </w:t>
      </w:r>
      <w:hyperlink r:id="rId69" w:history="1">
        <w:r w:rsidRPr="00567AB2">
          <w:rPr>
            <w:rStyle w:val="Hyperlink"/>
            <w:lang w:bidi="ar-EG"/>
          </w:rPr>
          <w:t>https://www.iste.org/standards/for-students</w:t>
        </w:r>
      </w:hyperlink>
    </w:p>
    <w:p w:rsidR="006C2660" w:rsidRDefault="006C2660" w:rsidP="006C2660">
      <w:pPr>
        <w:spacing w:line="240" w:lineRule="auto"/>
        <w:ind w:left="426" w:hanging="426"/>
        <w:jc w:val="both"/>
        <w:rPr>
          <w:sz w:val="23"/>
          <w:szCs w:val="23"/>
          <w:rtl/>
          <w:lang w:val="en-GB"/>
        </w:rPr>
      </w:pPr>
      <w:proofErr w:type="spellStart"/>
      <w:r w:rsidRPr="00D5002B">
        <w:rPr>
          <w:lang w:bidi="ar-EG"/>
        </w:rPr>
        <w:t>Kansky</w:t>
      </w:r>
      <w:proofErr w:type="spellEnd"/>
      <w:r w:rsidRPr="006773DD">
        <w:rPr>
          <w:sz w:val="23"/>
          <w:szCs w:val="23"/>
          <w:lang w:val="en-GB"/>
        </w:rPr>
        <w:t xml:space="preserve"> J, Allen JP, </w:t>
      </w:r>
      <w:r>
        <w:rPr>
          <w:sz w:val="23"/>
          <w:szCs w:val="23"/>
          <w:lang w:val="en-GB"/>
        </w:rPr>
        <w:t>&amp;</w:t>
      </w:r>
      <w:proofErr w:type="spellStart"/>
      <w:r w:rsidRPr="006773DD">
        <w:rPr>
          <w:sz w:val="23"/>
          <w:szCs w:val="23"/>
          <w:lang w:val="en-GB"/>
        </w:rPr>
        <w:t>Diener</w:t>
      </w:r>
      <w:proofErr w:type="spellEnd"/>
      <w:r w:rsidRPr="006773DD">
        <w:rPr>
          <w:sz w:val="23"/>
          <w:szCs w:val="23"/>
          <w:lang w:val="en-GB"/>
        </w:rPr>
        <w:t xml:space="preserve"> E. </w:t>
      </w:r>
      <w:r>
        <w:rPr>
          <w:sz w:val="23"/>
          <w:szCs w:val="23"/>
          <w:lang w:val="en-GB"/>
        </w:rPr>
        <w:t xml:space="preserve">(2016). </w:t>
      </w:r>
      <w:r w:rsidRPr="006773DD">
        <w:rPr>
          <w:sz w:val="23"/>
          <w:szCs w:val="23"/>
          <w:lang w:val="en-GB"/>
        </w:rPr>
        <w:t xml:space="preserve">Early adolescent affect predicts later life outcomes. Applied Psychology. </w:t>
      </w:r>
      <w:r w:rsidRPr="006A07EE">
        <w:rPr>
          <w:i/>
          <w:iCs/>
          <w:sz w:val="23"/>
          <w:szCs w:val="23"/>
          <w:lang w:val="en-GB"/>
        </w:rPr>
        <w:t>Health and Well-Being, 8</w:t>
      </w:r>
      <w:r>
        <w:rPr>
          <w:sz w:val="23"/>
          <w:szCs w:val="23"/>
          <w:lang w:val="en-GB"/>
        </w:rPr>
        <w:t xml:space="preserve"> </w:t>
      </w:r>
      <w:r w:rsidRPr="006773DD">
        <w:rPr>
          <w:sz w:val="23"/>
          <w:szCs w:val="23"/>
          <w:lang w:val="en-GB"/>
        </w:rPr>
        <w:t>(2):192-212.</w:t>
      </w:r>
      <w:r w:rsidRPr="00D5725E">
        <w:t xml:space="preserve"> </w:t>
      </w:r>
      <w:hyperlink r:id="rId70" w:history="1">
        <w:r w:rsidRPr="004D11EC">
          <w:rPr>
            <w:rStyle w:val="Hyperlink"/>
            <w:sz w:val="23"/>
            <w:szCs w:val="23"/>
            <w:lang w:val="en-GB"/>
          </w:rPr>
          <w:t>https://doi.org/10.1111/aphw.12068</w:t>
        </w:r>
      </w:hyperlink>
    </w:p>
    <w:p w:rsidR="006C2660" w:rsidRPr="00C4125A" w:rsidRDefault="006C2660" w:rsidP="006C2660">
      <w:pPr>
        <w:spacing w:line="240" w:lineRule="auto"/>
        <w:ind w:left="426" w:hanging="426"/>
        <w:jc w:val="both"/>
        <w:rPr>
          <w:sz w:val="23"/>
          <w:szCs w:val="23"/>
          <w:lang w:bidi="ar-EG"/>
        </w:rPr>
      </w:pPr>
      <w:proofErr w:type="spellStart"/>
      <w:r w:rsidRPr="00D5002B">
        <w:rPr>
          <w:lang w:bidi="ar-EG"/>
        </w:rPr>
        <w:t>Khodapanah</w:t>
      </w:r>
      <w:proofErr w:type="spellEnd"/>
      <w:r w:rsidRPr="00C4125A">
        <w:rPr>
          <w:sz w:val="23"/>
          <w:szCs w:val="23"/>
          <w:lang w:bidi="ar-EG"/>
        </w:rPr>
        <w:t xml:space="preserve">, F., &amp; </w:t>
      </w:r>
      <w:proofErr w:type="spellStart"/>
      <w:r w:rsidRPr="00C4125A">
        <w:rPr>
          <w:sz w:val="23"/>
          <w:szCs w:val="23"/>
          <w:lang w:bidi="ar-EG"/>
        </w:rPr>
        <w:t>Tamannaeifar</w:t>
      </w:r>
      <w:proofErr w:type="spellEnd"/>
      <w:r w:rsidRPr="00C4125A">
        <w:rPr>
          <w:sz w:val="23"/>
          <w:szCs w:val="23"/>
          <w:lang w:bidi="ar-EG"/>
        </w:rPr>
        <w:t xml:space="preserve">, M. (2023). Academic Well-Being of Adolescent Girls: The Role of Academic Self-Efficacy and Happiness. </w:t>
      </w:r>
      <w:r w:rsidRPr="00C4125A">
        <w:rPr>
          <w:i/>
          <w:iCs/>
          <w:sz w:val="23"/>
          <w:szCs w:val="23"/>
          <w:lang w:bidi="ar-EG"/>
        </w:rPr>
        <w:t>International Journal of Medical Investigation, 12</w:t>
      </w:r>
      <w:r w:rsidRPr="00C4125A">
        <w:rPr>
          <w:sz w:val="23"/>
          <w:szCs w:val="23"/>
          <w:lang w:bidi="ar-EG"/>
        </w:rPr>
        <w:t xml:space="preserve"> (2), 108-120. </w:t>
      </w:r>
      <w:hyperlink r:id="rId71" w:history="1">
        <w:r w:rsidRPr="00C4125A">
          <w:rPr>
            <w:rStyle w:val="Hyperlink"/>
            <w:sz w:val="23"/>
            <w:szCs w:val="23"/>
            <w:lang w:bidi="ar-EG"/>
          </w:rPr>
          <w:t>http://intjmi.com/</w:t>
        </w:r>
      </w:hyperlink>
    </w:p>
    <w:p w:rsidR="006C2660" w:rsidRPr="00174484" w:rsidRDefault="006C2660" w:rsidP="006C2660">
      <w:pPr>
        <w:spacing w:line="240" w:lineRule="auto"/>
        <w:ind w:left="426" w:hanging="426"/>
        <w:jc w:val="both"/>
        <w:rPr>
          <w:sz w:val="23"/>
          <w:szCs w:val="23"/>
        </w:rPr>
      </w:pPr>
      <w:proofErr w:type="spellStart"/>
      <w:r w:rsidRPr="00D5002B">
        <w:rPr>
          <w:lang w:bidi="ar-EG"/>
        </w:rPr>
        <w:t>Klapp</w:t>
      </w:r>
      <w:proofErr w:type="spellEnd"/>
      <w:r w:rsidRPr="00174484">
        <w:rPr>
          <w:sz w:val="23"/>
          <w:szCs w:val="23"/>
        </w:rPr>
        <w:t xml:space="preserve">, T., </w:t>
      </w:r>
      <w:proofErr w:type="spellStart"/>
      <w:r w:rsidRPr="00174484">
        <w:rPr>
          <w:sz w:val="23"/>
          <w:szCs w:val="23"/>
        </w:rPr>
        <w:t>Klapp</w:t>
      </w:r>
      <w:proofErr w:type="spellEnd"/>
      <w:r w:rsidRPr="00174484">
        <w:rPr>
          <w:sz w:val="23"/>
          <w:szCs w:val="23"/>
        </w:rPr>
        <w:t xml:space="preserve">, A. &amp; </w:t>
      </w:r>
      <w:proofErr w:type="spellStart"/>
      <w:r w:rsidRPr="00174484">
        <w:rPr>
          <w:sz w:val="23"/>
          <w:szCs w:val="23"/>
        </w:rPr>
        <w:t>Gustafsson</w:t>
      </w:r>
      <w:proofErr w:type="spellEnd"/>
      <w:r w:rsidRPr="00174484">
        <w:rPr>
          <w:sz w:val="23"/>
          <w:szCs w:val="23"/>
        </w:rPr>
        <w:t>, J. (2024). Relations between students’ well</w:t>
      </w:r>
      <w:r w:rsidRPr="00174484">
        <w:rPr>
          <w:rFonts w:ascii="Cambria Math" w:hAnsi="Cambria Math" w:cs="Cambria Math"/>
          <w:sz w:val="23"/>
          <w:szCs w:val="23"/>
        </w:rPr>
        <w:t>‑</w:t>
      </w:r>
      <w:r w:rsidRPr="00174484">
        <w:rPr>
          <w:sz w:val="23"/>
          <w:szCs w:val="23"/>
        </w:rPr>
        <w:t xml:space="preserve">being and academic achievement: evidence from Swedish compulsory school. </w:t>
      </w:r>
      <w:r w:rsidRPr="00174484">
        <w:rPr>
          <w:i/>
          <w:iCs/>
          <w:sz w:val="23"/>
          <w:szCs w:val="23"/>
        </w:rPr>
        <w:t>European Journal of Psychology of Education, 39</w:t>
      </w:r>
      <w:r w:rsidRPr="00174484">
        <w:rPr>
          <w:sz w:val="23"/>
          <w:szCs w:val="23"/>
        </w:rPr>
        <w:t xml:space="preserve">:275–296. </w:t>
      </w:r>
      <w:hyperlink r:id="rId72" w:history="1">
        <w:r w:rsidRPr="00174484">
          <w:rPr>
            <w:rStyle w:val="Hyperlink"/>
            <w:sz w:val="23"/>
            <w:szCs w:val="23"/>
          </w:rPr>
          <w:t>https://doi.org/10.1007/s10212-023-00690-9</w:t>
        </w:r>
      </w:hyperlink>
    </w:p>
    <w:p w:rsidR="006C2660" w:rsidRPr="003B7BAD" w:rsidRDefault="006C2660" w:rsidP="006C2660">
      <w:pPr>
        <w:spacing w:line="240" w:lineRule="auto"/>
        <w:ind w:left="426" w:hanging="426"/>
        <w:jc w:val="both"/>
        <w:rPr>
          <w:rFonts w:ascii="Times New Roman" w:eastAsia="Calibri" w:hAnsi="Times New Roman" w:cs="Traditional Arabic"/>
          <w:color w:val="FF0000"/>
          <w:sz w:val="24"/>
          <w:szCs w:val="24"/>
          <w:rtl/>
        </w:rPr>
      </w:pPr>
      <w:r w:rsidRPr="007D5942">
        <w:rPr>
          <w:rFonts w:ascii="Times New Roman" w:eastAsia="Calibri" w:hAnsi="Times New Roman" w:cs="Traditional Arabic"/>
          <w:sz w:val="24"/>
          <w:szCs w:val="24"/>
        </w:rPr>
        <w:t xml:space="preserve">Kong, S. C., Chiu, M. M., &amp; Lai, M. (2018). A study of primary school students' interest, collaboration attitude, and programming empowerment in computational thinking education. </w:t>
      </w:r>
      <w:r w:rsidRPr="007D5942">
        <w:rPr>
          <w:rFonts w:ascii="Times New Roman" w:eastAsia="Calibri" w:hAnsi="Times New Roman" w:cs="Traditional Arabic"/>
          <w:i/>
          <w:iCs/>
          <w:sz w:val="24"/>
          <w:szCs w:val="24"/>
        </w:rPr>
        <w:t>Computers &amp; Education</w:t>
      </w:r>
      <w:r w:rsidRPr="007D5942">
        <w:rPr>
          <w:rFonts w:ascii="Times New Roman" w:eastAsia="Calibri" w:hAnsi="Times New Roman" w:cs="Traditional Arabic"/>
          <w:sz w:val="24"/>
          <w:szCs w:val="24"/>
        </w:rPr>
        <w:t xml:space="preserve">, </w:t>
      </w:r>
      <w:r w:rsidRPr="007D5942">
        <w:rPr>
          <w:rFonts w:ascii="Times New Roman" w:eastAsia="Calibri" w:hAnsi="Times New Roman" w:cs="Traditional Arabic"/>
          <w:i/>
          <w:iCs/>
          <w:sz w:val="24"/>
          <w:szCs w:val="24"/>
        </w:rPr>
        <w:t>127</w:t>
      </w:r>
      <w:r w:rsidRPr="007D5942">
        <w:rPr>
          <w:rFonts w:ascii="Times New Roman" w:eastAsia="Calibri" w:hAnsi="Times New Roman" w:cs="Traditional Arabic"/>
          <w:sz w:val="24"/>
          <w:szCs w:val="24"/>
        </w:rPr>
        <w:t xml:space="preserve">(12), 178-189. </w:t>
      </w:r>
      <w:hyperlink r:id="rId73" w:tgtFrame="_blank" w:tooltip="Persistent link using digital object identifier" w:history="1">
        <w:r w:rsidRPr="003B7BAD">
          <w:rPr>
            <w:rStyle w:val="Hyperlink"/>
            <w:rFonts w:ascii="Times New Roman" w:eastAsia="Calibri" w:hAnsi="Times New Roman" w:cs="Traditional Arabic"/>
            <w:sz w:val="24"/>
            <w:szCs w:val="24"/>
          </w:rPr>
          <w:t>https://doi.org/10.1016/j.compedu.2018.08.026</w:t>
        </w:r>
      </w:hyperlink>
    </w:p>
    <w:p w:rsidR="006C2660" w:rsidRDefault="006C2660" w:rsidP="006C2660">
      <w:pPr>
        <w:spacing w:line="240" w:lineRule="auto"/>
        <w:ind w:left="426" w:hanging="426"/>
        <w:jc w:val="both"/>
        <w:rPr>
          <w:rFonts w:cs="Minion Pro"/>
          <w:color w:val="000000"/>
          <w:sz w:val="24"/>
          <w:szCs w:val="24"/>
        </w:rPr>
      </w:pPr>
      <w:proofErr w:type="spellStart"/>
      <w:r w:rsidRPr="001C7198">
        <w:rPr>
          <w:rFonts w:cs="Minion Pro"/>
          <w:color w:val="000000"/>
          <w:sz w:val="24"/>
          <w:szCs w:val="24"/>
        </w:rPr>
        <w:t>Korhonen</w:t>
      </w:r>
      <w:proofErr w:type="spellEnd"/>
      <w:r w:rsidRPr="001C7198">
        <w:rPr>
          <w:rFonts w:cs="Minion Pro"/>
          <w:color w:val="000000"/>
          <w:sz w:val="24"/>
          <w:szCs w:val="24"/>
        </w:rPr>
        <w:t xml:space="preserve"> J (2018) Academic Well-Being, Mathematics Performance, and Educational Aspirations in Lower Secondary Education: Changes Within a School Year. </w:t>
      </w:r>
      <w:r w:rsidRPr="001C7198">
        <w:rPr>
          <w:rFonts w:cs="Minion Pro"/>
          <w:i/>
          <w:iCs/>
          <w:color w:val="000000"/>
          <w:sz w:val="24"/>
          <w:szCs w:val="24"/>
        </w:rPr>
        <w:t>Front. Psychol. 9</w:t>
      </w:r>
      <w:r w:rsidRPr="001C7198">
        <w:rPr>
          <w:rFonts w:cs="Minion Pro"/>
          <w:color w:val="000000"/>
          <w:sz w:val="24"/>
          <w:szCs w:val="24"/>
        </w:rPr>
        <w:t>:297.</w:t>
      </w:r>
      <w:r w:rsidRPr="005A2DAF">
        <w:t xml:space="preserve"> </w:t>
      </w:r>
      <w:hyperlink r:id="rId74" w:history="1">
        <w:r w:rsidRPr="004403D1">
          <w:rPr>
            <w:rStyle w:val="Hyperlink"/>
            <w:rFonts w:cs="Minion Pro"/>
            <w:sz w:val="24"/>
            <w:szCs w:val="24"/>
          </w:rPr>
          <w:t>http://dx.doi.org/10.3389/fpsyg.2018.00297</w:t>
        </w:r>
      </w:hyperlink>
      <w:r>
        <w:rPr>
          <w:rStyle w:val="Hyperlink"/>
          <w:rFonts w:cs="Minion Pro" w:hint="cs"/>
          <w:sz w:val="24"/>
          <w:szCs w:val="24"/>
          <w:rtl/>
        </w:rPr>
        <w:t xml:space="preserve"> </w:t>
      </w:r>
    </w:p>
    <w:p w:rsidR="006C2660" w:rsidRDefault="006C2660" w:rsidP="006C2660">
      <w:pPr>
        <w:spacing w:line="240" w:lineRule="auto"/>
        <w:ind w:left="426" w:hanging="426"/>
        <w:jc w:val="both"/>
        <w:rPr>
          <w:sz w:val="23"/>
          <w:szCs w:val="23"/>
          <w:rtl/>
        </w:rPr>
      </w:pPr>
      <w:proofErr w:type="spellStart"/>
      <w:r w:rsidRPr="00D5002B">
        <w:rPr>
          <w:lang w:bidi="ar-EG"/>
        </w:rPr>
        <w:lastRenderedPageBreak/>
        <w:t>Korhonen</w:t>
      </w:r>
      <w:proofErr w:type="spellEnd"/>
      <w:r w:rsidRPr="00174484">
        <w:rPr>
          <w:sz w:val="23"/>
          <w:szCs w:val="23"/>
        </w:rPr>
        <w:t xml:space="preserve">, J., </w:t>
      </w:r>
      <w:proofErr w:type="spellStart"/>
      <w:r w:rsidRPr="00174484">
        <w:rPr>
          <w:sz w:val="23"/>
          <w:szCs w:val="23"/>
        </w:rPr>
        <w:t>Linnanmäki</w:t>
      </w:r>
      <w:proofErr w:type="spellEnd"/>
      <w:r w:rsidRPr="00174484">
        <w:rPr>
          <w:sz w:val="23"/>
          <w:szCs w:val="23"/>
        </w:rPr>
        <w:t xml:space="preserve">, K., </w:t>
      </w:r>
      <w:r>
        <w:rPr>
          <w:sz w:val="23"/>
          <w:szCs w:val="23"/>
        </w:rPr>
        <w:t>&amp;</w:t>
      </w:r>
      <w:r w:rsidRPr="00174484">
        <w:rPr>
          <w:sz w:val="23"/>
          <w:szCs w:val="23"/>
        </w:rPr>
        <w:t xml:space="preserve"> </w:t>
      </w:r>
      <w:proofErr w:type="spellStart"/>
      <w:r w:rsidRPr="00174484">
        <w:rPr>
          <w:sz w:val="23"/>
          <w:szCs w:val="23"/>
        </w:rPr>
        <w:t>Aunio</w:t>
      </w:r>
      <w:proofErr w:type="spellEnd"/>
      <w:r w:rsidRPr="00174484">
        <w:rPr>
          <w:sz w:val="23"/>
          <w:szCs w:val="23"/>
        </w:rPr>
        <w:t>, P. (2014). Learning difficulties, academic well-being and educational dropout: A person-</w:t>
      </w:r>
      <w:proofErr w:type="spellStart"/>
      <w:r w:rsidRPr="00174484">
        <w:rPr>
          <w:sz w:val="23"/>
          <w:szCs w:val="23"/>
        </w:rPr>
        <w:t>centred</w:t>
      </w:r>
      <w:proofErr w:type="spellEnd"/>
      <w:r w:rsidRPr="00174484">
        <w:rPr>
          <w:sz w:val="23"/>
          <w:szCs w:val="23"/>
        </w:rPr>
        <w:t xml:space="preserve"> approach. </w:t>
      </w:r>
      <w:r w:rsidRPr="00174484">
        <w:rPr>
          <w:i/>
          <w:iCs/>
          <w:sz w:val="23"/>
          <w:szCs w:val="23"/>
        </w:rPr>
        <w:t xml:space="preserve">Learn. </w:t>
      </w:r>
      <w:proofErr w:type="spellStart"/>
      <w:r w:rsidRPr="00174484">
        <w:rPr>
          <w:i/>
          <w:iCs/>
          <w:sz w:val="23"/>
          <w:szCs w:val="23"/>
        </w:rPr>
        <w:t>Individ</w:t>
      </w:r>
      <w:proofErr w:type="spellEnd"/>
      <w:r w:rsidRPr="00174484">
        <w:rPr>
          <w:i/>
          <w:iCs/>
          <w:sz w:val="23"/>
          <w:szCs w:val="23"/>
        </w:rPr>
        <w:t xml:space="preserve">. Differ. </w:t>
      </w:r>
      <w:r w:rsidRPr="006A07EE">
        <w:rPr>
          <w:i/>
          <w:iCs/>
          <w:sz w:val="23"/>
          <w:szCs w:val="23"/>
        </w:rPr>
        <w:t>31</w:t>
      </w:r>
      <w:r w:rsidRPr="00174484">
        <w:rPr>
          <w:sz w:val="23"/>
          <w:szCs w:val="23"/>
        </w:rPr>
        <w:t xml:space="preserve">, 1–10. </w:t>
      </w:r>
      <w:hyperlink r:id="rId75" w:history="1">
        <w:r w:rsidRPr="004D11EC">
          <w:rPr>
            <w:rStyle w:val="Hyperlink"/>
            <w:sz w:val="23"/>
            <w:szCs w:val="23"/>
          </w:rPr>
          <w:t>https://doi.org/10.1016/j.lindif.2013.12.011</w:t>
        </w:r>
      </w:hyperlink>
    </w:p>
    <w:p w:rsidR="006C2660" w:rsidRDefault="006C2660" w:rsidP="006C2660">
      <w:pPr>
        <w:spacing w:line="240" w:lineRule="auto"/>
        <w:ind w:left="426" w:hanging="426"/>
        <w:jc w:val="both"/>
        <w:rPr>
          <w:sz w:val="23"/>
          <w:szCs w:val="23"/>
          <w:rtl/>
        </w:rPr>
      </w:pPr>
      <w:proofErr w:type="spellStart"/>
      <w:r w:rsidRPr="00D5002B">
        <w:rPr>
          <w:lang w:bidi="ar-EG"/>
        </w:rPr>
        <w:t>Korhonen</w:t>
      </w:r>
      <w:proofErr w:type="spellEnd"/>
      <w:r w:rsidRPr="00174484">
        <w:rPr>
          <w:sz w:val="23"/>
          <w:szCs w:val="23"/>
        </w:rPr>
        <w:t xml:space="preserve">, J., </w:t>
      </w:r>
      <w:proofErr w:type="spellStart"/>
      <w:r w:rsidRPr="00174484">
        <w:rPr>
          <w:sz w:val="23"/>
          <w:szCs w:val="23"/>
        </w:rPr>
        <w:t>Tapola</w:t>
      </w:r>
      <w:proofErr w:type="spellEnd"/>
      <w:r w:rsidRPr="00174484">
        <w:rPr>
          <w:sz w:val="23"/>
          <w:szCs w:val="23"/>
        </w:rPr>
        <w:t xml:space="preserve">, A., </w:t>
      </w:r>
      <w:proofErr w:type="spellStart"/>
      <w:r w:rsidRPr="00174484">
        <w:rPr>
          <w:sz w:val="23"/>
          <w:szCs w:val="23"/>
        </w:rPr>
        <w:t>Linnanmäki</w:t>
      </w:r>
      <w:proofErr w:type="spellEnd"/>
      <w:r w:rsidRPr="00174484">
        <w:rPr>
          <w:sz w:val="23"/>
          <w:szCs w:val="23"/>
        </w:rPr>
        <w:t xml:space="preserve">, K., </w:t>
      </w:r>
      <w:r>
        <w:rPr>
          <w:sz w:val="23"/>
          <w:szCs w:val="23"/>
        </w:rPr>
        <w:t>&amp;</w:t>
      </w:r>
      <w:r w:rsidRPr="00174484">
        <w:rPr>
          <w:sz w:val="23"/>
          <w:szCs w:val="23"/>
        </w:rPr>
        <w:t xml:space="preserve"> </w:t>
      </w:r>
      <w:proofErr w:type="spellStart"/>
      <w:r w:rsidRPr="00174484">
        <w:rPr>
          <w:sz w:val="23"/>
          <w:szCs w:val="23"/>
        </w:rPr>
        <w:t>Aunio</w:t>
      </w:r>
      <w:proofErr w:type="spellEnd"/>
      <w:r w:rsidRPr="00174484">
        <w:rPr>
          <w:sz w:val="23"/>
          <w:szCs w:val="23"/>
        </w:rPr>
        <w:t>, P. (2016). Gendered</w:t>
      </w:r>
      <w:r>
        <w:rPr>
          <w:sz w:val="23"/>
          <w:szCs w:val="23"/>
        </w:rPr>
        <w:t xml:space="preserve"> </w:t>
      </w:r>
      <w:r w:rsidRPr="00174484">
        <w:rPr>
          <w:sz w:val="23"/>
          <w:szCs w:val="23"/>
        </w:rPr>
        <w:t>pathways to educational aspirations: the role of academic self-concept, school</w:t>
      </w:r>
      <w:r>
        <w:rPr>
          <w:sz w:val="23"/>
          <w:szCs w:val="23"/>
        </w:rPr>
        <w:t xml:space="preserve"> </w:t>
      </w:r>
      <w:r w:rsidRPr="00174484">
        <w:rPr>
          <w:sz w:val="23"/>
          <w:szCs w:val="23"/>
        </w:rPr>
        <w:t>burnout, achievement and interest in mathematics</w:t>
      </w:r>
      <w:r>
        <w:rPr>
          <w:sz w:val="23"/>
          <w:szCs w:val="23"/>
        </w:rPr>
        <w:t xml:space="preserve"> </w:t>
      </w:r>
      <w:r w:rsidRPr="00174484">
        <w:rPr>
          <w:sz w:val="23"/>
          <w:szCs w:val="23"/>
        </w:rPr>
        <w:t xml:space="preserve">and reading. </w:t>
      </w:r>
      <w:r w:rsidRPr="006A07EE">
        <w:rPr>
          <w:i/>
          <w:iCs/>
          <w:sz w:val="23"/>
          <w:szCs w:val="23"/>
        </w:rPr>
        <w:t>Learn. Instr. 46</w:t>
      </w:r>
      <w:r w:rsidRPr="00174484">
        <w:rPr>
          <w:sz w:val="23"/>
          <w:szCs w:val="23"/>
        </w:rPr>
        <w:t xml:space="preserve">, 21–33. </w:t>
      </w:r>
      <w:hyperlink r:id="rId76" w:history="1">
        <w:r w:rsidRPr="004D11EC">
          <w:rPr>
            <w:rStyle w:val="Hyperlink"/>
            <w:sz w:val="23"/>
            <w:szCs w:val="23"/>
          </w:rPr>
          <w:t>https://doi.org/10.1016/j.learninstruc.2016.08.006</w:t>
        </w:r>
      </w:hyperlink>
    </w:p>
    <w:p w:rsidR="006C2660" w:rsidRDefault="006C2660" w:rsidP="006C2660">
      <w:pPr>
        <w:spacing w:line="240" w:lineRule="auto"/>
        <w:ind w:left="426" w:hanging="426"/>
        <w:jc w:val="both"/>
        <w:rPr>
          <w:lang w:bidi="ar-EG"/>
        </w:rPr>
      </w:pPr>
      <w:proofErr w:type="spellStart"/>
      <w:r w:rsidRPr="00253589">
        <w:rPr>
          <w:lang w:bidi="ar-EG"/>
        </w:rPr>
        <w:t>Korkmaz</w:t>
      </w:r>
      <w:proofErr w:type="spellEnd"/>
      <w:r w:rsidRPr="00253589">
        <w:rPr>
          <w:lang w:bidi="ar-EG"/>
        </w:rPr>
        <w:t xml:space="preserve">, Ö., </w:t>
      </w:r>
      <w:proofErr w:type="spellStart"/>
      <w:r w:rsidRPr="00253589">
        <w:rPr>
          <w:lang w:bidi="ar-EG"/>
        </w:rPr>
        <w:t>Çakır</w:t>
      </w:r>
      <w:proofErr w:type="spellEnd"/>
      <w:r w:rsidRPr="00253589">
        <w:rPr>
          <w:lang w:bidi="ar-EG"/>
        </w:rPr>
        <w:t xml:space="preserve">, R., </w:t>
      </w:r>
      <w:proofErr w:type="spellStart"/>
      <w:r w:rsidRPr="00253589">
        <w:rPr>
          <w:lang w:bidi="ar-EG"/>
        </w:rPr>
        <w:t>Özden</w:t>
      </w:r>
      <w:proofErr w:type="spellEnd"/>
      <w:r w:rsidRPr="00253589">
        <w:rPr>
          <w:lang w:bidi="ar-EG"/>
        </w:rPr>
        <w:t xml:space="preserve">, M. Y., </w:t>
      </w:r>
      <w:proofErr w:type="spellStart"/>
      <w:r w:rsidRPr="00253589">
        <w:rPr>
          <w:lang w:bidi="ar-EG"/>
        </w:rPr>
        <w:t>Oluk</w:t>
      </w:r>
      <w:proofErr w:type="spellEnd"/>
      <w:r w:rsidRPr="00253589">
        <w:rPr>
          <w:lang w:bidi="ar-EG"/>
        </w:rPr>
        <w:t xml:space="preserve">, A., &amp; </w:t>
      </w:r>
      <w:proofErr w:type="spellStart"/>
      <w:r w:rsidRPr="00253589">
        <w:rPr>
          <w:lang w:bidi="ar-EG"/>
        </w:rPr>
        <w:t>Sarıoğlu</w:t>
      </w:r>
      <w:proofErr w:type="spellEnd"/>
      <w:r w:rsidRPr="00253589">
        <w:rPr>
          <w:lang w:bidi="ar-EG"/>
        </w:rPr>
        <w:t>, S. (2015). Examining</w:t>
      </w:r>
      <w:r w:rsidRPr="003372B3">
        <w:rPr>
          <w:lang w:bidi="ar-EG"/>
        </w:rPr>
        <w:t xml:space="preserve"> Individuals' Computational Thinking Skills in Terms of Different Variables</w:t>
      </w:r>
      <w:r w:rsidRPr="00CC4924">
        <w:rPr>
          <w:lang w:bidi="ar-EG"/>
        </w:rPr>
        <w:t xml:space="preserve">. </w:t>
      </w:r>
      <w:proofErr w:type="spellStart"/>
      <w:r w:rsidRPr="00CC4924">
        <w:rPr>
          <w:i/>
          <w:iCs/>
          <w:lang w:bidi="ar-EG"/>
        </w:rPr>
        <w:t>Ondokuz</w:t>
      </w:r>
      <w:proofErr w:type="spellEnd"/>
      <w:r w:rsidRPr="00CC4924">
        <w:rPr>
          <w:i/>
          <w:iCs/>
          <w:lang w:bidi="ar-EG"/>
        </w:rPr>
        <w:t xml:space="preserve"> </w:t>
      </w:r>
      <w:proofErr w:type="spellStart"/>
      <w:r w:rsidRPr="00CC4924">
        <w:rPr>
          <w:i/>
          <w:iCs/>
          <w:lang w:bidi="ar-EG"/>
        </w:rPr>
        <w:t>Mayis</w:t>
      </w:r>
      <w:proofErr w:type="spellEnd"/>
      <w:r w:rsidRPr="00CC4924">
        <w:rPr>
          <w:i/>
          <w:iCs/>
          <w:lang w:bidi="ar-EG"/>
        </w:rPr>
        <w:t xml:space="preserve"> University Journal of Faculty of Education, 34</w:t>
      </w:r>
      <w:r w:rsidRPr="00CC4924">
        <w:rPr>
          <w:lang w:bidi="ar-EG"/>
        </w:rPr>
        <w:t>(2), 68-87.</w:t>
      </w:r>
      <w:r w:rsidRPr="00253589">
        <w:t xml:space="preserve"> </w:t>
      </w:r>
      <w:hyperlink r:id="rId77" w:history="1">
        <w:r w:rsidRPr="00FF30D8">
          <w:rPr>
            <w:rStyle w:val="Hyperlink"/>
            <w:lang w:bidi="ar-EG"/>
          </w:rPr>
          <w:t>https://doi.org/10.7822/omuefd.215276</w:t>
        </w:r>
      </w:hyperlink>
    </w:p>
    <w:p w:rsidR="006C2660" w:rsidRDefault="006C2660" w:rsidP="006C2660">
      <w:pPr>
        <w:spacing w:line="240" w:lineRule="auto"/>
        <w:ind w:left="426" w:hanging="426"/>
        <w:jc w:val="both"/>
        <w:rPr>
          <w:lang w:bidi="ar-EG"/>
        </w:rPr>
      </w:pPr>
      <w:proofErr w:type="spellStart"/>
      <w:r w:rsidRPr="00CC4924">
        <w:rPr>
          <w:lang w:bidi="ar-EG"/>
        </w:rPr>
        <w:t>Korucu</w:t>
      </w:r>
      <w:proofErr w:type="spellEnd"/>
      <w:r w:rsidRPr="00CC4924">
        <w:rPr>
          <w:lang w:bidi="ar-EG"/>
        </w:rPr>
        <w:t xml:space="preserve">, A., </w:t>
      </w:r>
      <w:proofErr w:type="spellStart"/>
      <w:r w:rsidRPr="00CC4924">
        <w:rPr>
          <w:lang w:bidi="ar-EG"/>
        </w:rPr>
        <w:t>Gencturk</w:t>
      </w:r>
      <w:proofErr w:type="spellEnd"/>
      <w:r w:rsidRPr="00CC4924">
        <w:rPr>
          <w:lang w:bidi="ar-EG"/>
        </w:rPr>
        <w:t xml:space="preserve">, A., &amp;  </w:t>
      </w:r>
      <w:proofErr w:type="spellStart"/>
      <w:r w:rsidRPr="00CC4924">
        <w:rPr>
          <w:lang w:bidi="ar-EG"/>
        </w:rPr>
        <w:t>Gundogdu</w:t>
      </w:r>
      <w:proofErr w:type="spellEnd"/>
      <w:r w:rsidRPr="00CC4924">
        <w:rPr>
          <w:lang w:bidi="ar-EG"/>
        </w:rPr>
        <w:t xml:space="preserve">, M. (2017). Examination of the Computational Thinking Skills of Students. </w:t>
      </w:r>
      <w:r w:rsidRPr="00AE0B0B">
        <w:rPr>
          <w:i/>
          <w:iCs/>
          <w:lang w:bidi="ar-EG"/>
        </w:rPr>
        <w:t>Journal of Learning and Teaching in Digital Age, 2</w:t>
      </w:r>
      <w:r w:rsidRPr="00CC4924">
        <w:rPr>
          <w:lang w:bidi="ar-EG"/>
        </w:rPr>
        <w:t xml:space="preserve">(1), 11-19. </w:t>
      </w:r>
    </w:p>
    <w:p w:rsidR="006C2660" w:rsidRDefault="006C2660" w:rsidP="006C2660">
      <w:pPr>
        <w:spacing w:line="240" w:lineRule="auto"/>
        <w:ind w:left="426" w:hanging="426"/>
        <w:jc w:val="both"/>
        <w:rPr>
          <w:lang w:bidi="ar-EG"/>
        </w:rPr>
      </w:pPr>
      <w:proofErr w:type="spellStart"/>
      <w:r w:rsidRPr="00E204E2">
        <w:rPr>
          <w:lang w:bidi="ar-EG"/>
        </w:rPr>
        <w:t>Krejčová</w:t>
      </w:r>
      <w:proofErr w:type="spellEnd"/>
      <w:r w:rsidRPr="00E204E2">
        <w:rPr>
          <w:lang w:bidi="ar-EG"/>
        </w:rPr>
        <w:t xml:space="preserve">, K., </w:t>
      </w:r>
      <w:proofErr w:type="spellStart"/>
      <w:r w:rsidRPr="00E204E2">
        <w:rPr>
          <w:lang w:bidi="ar-EG"/>
        </w:rPr>
        <w:t>Chýlová</w:t>
      </w:r>
      <w:proofErr w:type="spellEnd"/>
      <w:r w:rsidRPr="00E204E2">
        <w:rPr>
          <w:lang w:bidi="ar-EG"/>
        </w:rPr>
        <w:t xml:space="preserve">, H. </w:t>
      </w:r>
      <w:r>
        <w:rPr>
          <w:lang w:bidi="ar-EG"/>
        </w:rPr>
        <w:t>&amp;</w:t>
      </w:r>
      <w:r w:rsidRPr="00E204E2">
        <w:rPr>
          <w:lang w:bidi="ar-EG"/>
        </w:rPr>
        <w:t xml:space="preserve"> </w:t>
      </w:r>
      <w:proofErr w:type="spellStart"/>
      <w:r w:rsidRPr="00E204E2">
        <w:rPr>
          <w:lang w:bidi="ar-EG"/>
        </w:rPr>
        <w:t>Michálek</w:t>
      </w:r>
      <w:proofErr w:type="spellEnd"/>
      <w:r w:rsidRPr="00E204E2">
        <w:rPr>
          <w:lang w:bidi="ar-EG"/>
        </w:rPr>
        <w:t>, P. (2019) ’A Role of Siblings in Perception of</w:t>
      </w:r>
      <w:r>
        <w:rPr>
          <w:lang w:bidi="ar-EG"/>
        </w:rPr>
        <w:t xml:space="preserve"> </w:t>
      </w:r>
      <w:r w:rsidRPr="00E204E2">
        <w:rPr>
          <w:lang w:bidi="ar-EG"/>
        </w:rPr>
        <w:t xml:space="preserve">Academic </w:t>
      </w:r>
      <w:r w:rsidRPr="00D5002B">
        <w:rPr>
          <w:rFonts w:cs="Minion Pro"/>
          <w:color w:val="000000"/>
          <w:sz w:val="24"/>
          <w:szCs w:val="24"/>
        </w:rPr>
        <w:t>Self</w:t>
      </w:r>
      <w:r w:rsidRPr="00E204E2">
        <w:rPr>
          <w:lang w:bidi="ar-EG"/>
        </w:rPr>
        <w:t>-Efficacy and Social Support’</w:t>
      </w:r>
      <w:r>
        <w:rPr>
          <w:rFonts w:cs="Minion Pro"/>
          <w:color w:val="000000"/>
          <w:sz w:val="24"/>
          <w:szCs w:val="24"/>
        </w:rPr>
        <w:t xml:space="preserve">. </w:t>
      </w:r>
      <w:r w:rsidRPr="00E204E2">
        <w:rPr>
          <w:i/>
          <w:iCs/>
          <w:lang w:bidi="ar-EG"/>
        </w:rPr>
        <w:t>Journal on Efficiency and Responsibility in Education and Science</w:t>
      </w:r>
      <w:r w:rsidRPr="00E204E2">
        <w:rPr>
          <w:lang w:bidi="ar-EG"/>
        </w:rPr>
        <w:t xml:space="preserve">, 12, </w:t>
      </w:r>
      <w:r>
        <w:rPr>
          <w:lang w:bidi="ar-EG"/>
        </w:rPr>
        <w:t xml:space="preserve"> (</w:t>
      </w:r>
      <w:r w:rsidRPr="00E204E2">
        <w:rPr>
          <w:lang w:bidi="ar-EG"/>
        </w:rPr>
        <w:t>4</w:t>
      </w:r>
      <w:r>
        <w:rPr>
          <w:lang w:bidi="ar-EG"/>
        </w:rPr>
        <w:t xml:space="preserve">), </w:t>
      </w:r>
      <w:r w:rsidRPr="00E204E2">
        <w:rPr>
          <w:lang w:bidi="ar-EG"/>
        </w:rPr>
        <w:t>126–134.</w:t>
      </w:r>
      <w:r>
        <w:rPr>
          <w:lang w:bidi="ar-EG"/>
        </w:rPr>
        <w:t xml:space="preserve"> </w:t>
      </w:r>
      <w:hyperlink r:id="rId78" w:history="1">
        <w:r w:rsidRPr="00FF30D8">
          <w:rPr>
            <w:rStyle w:val="Hyperlink"/>
            <w:lang w:bidi="ar-EG"/>
          </w:rPr>
          <w:t>https://doi.org/10.7160/eriesj.2019.120403</w:t>
        </w:r>
      </w:hyperlink>
    </w:p>
    <w:p w:rsidR="006C2660" w:rsidRDefault="006C2660" w:rsidP="006C2660">
      <w:pPr>
        <w:spacing w:line="240" w:lineRule="auto"/>
        <w:ind w:left="426" w:hanging="426"/>
        <w:jc w:val="both"/>
        <w:rPr>
          <w:rFonts w:cs="Minion Pro"/>
          <w:color w:val="000000"/>
          <w:sz w:val="24"/>
          <w:szCs w:val="24"/>
        </w:rPr>
      </w:pPr>
      <w:proofErr w:type="spellStart"/>
      <w:r w:rsidRPr="00A145F3">
        <w:rPr>
          <w:rFonts w:cs="Minion Pro"/>
          <w:color w:val="000000"/>
          <w:sz w:val="24"/>
          <w:szCs w:val="24"/>
        </w:rPr>
        <w:t>K</w:t>
      </w:r>
      <w:r>
        <w:rPr>
          <w:rFonts w:cs="Minion Pro"/>
          <w:color w:val="000000"/>
          <w:sz w:val="24"/>
          <w:szCs w:val="24"/>
        </w:rPr>
        <w:t>ukul</w:t>
      </w:r>
      <w:proofErr w:type="spellEnd"/>
      <w:r w:rsidRPr="00A145F3">
        <w:rPr>
          <w:rFonts w:cs="Minion Pro"/>
          <w:color w:val="000000"/>
          <w:sz w:val="24"/>
          <w:szCs w:val="24"/>
        </w:rPr>
        <w:t xml:space="preserve">, V. &amp; KARATAŞ, S. (2019). Computational Thinking Self-Efficacy Scale: Development, Validity and Reliability. </w:t>
      </w:r>
      <w:r w:rsidRPr="00A145F3">
        <w:rPr>
          <w:rFonts w:cs="Minion Pro"/>
          <w:i/>
          <w:iCs/>
          <w:color w:val="000000"/>
          <w:sz w:val="24"/>
          <w:szCs w:val="24"/>
        </w:rPr>
        <w:t>Informatics in Education, 18</w:t>
      </w:r>
      <w:r w:rsidRPr="00A145F3">
        <w:rPr>
          <w:rFonts w:cs="Minion Pro"/>
          <w:color w:val="000000"/>
          <w:sz w:val="24"/>
          <w:szCs w:val="24"/>
        </w:rPr>
        <w:t xml:space="preserve"> (1), 151–164, </w:t>
      </w:r>
      <w:hyperlink r:id="rId79" w:history="1">
        <w:r w:rsidRPr="004403D1">
          <w:rPr>
            <w:rStyle w:val="Hyperlink"/>
            <w:rFonts w:cs="Minion Pro"/>
            <w:sz w:val="24"/>
            <w:szCs w:val="24"/>
          </w:rPr>
          <w:t>https://doi.org/10.15388/infedu.2019.07</w:t>
        </w:r>
      </w:hyperlink>
    </w:p>
    <w:p w:rsidR="006C2660" w:rsidRDefault="006C2660" w:rsidP="006C2660">
      <w:pPr>
        <w:spacing w:line="240" w:lineRule="auto"/>
        <w:ind w:left="426" w:hanging="426"/>
        <w:jc w:val="both"/>
        <w:rPr>
          <w:rFonts w:cs="Minion Pro"/>
          <w:color w:val="000000"/>
          <w:sz w:val="24"/>
          <w:szCs w:val="24"/>
        </w:rPr>
      </w:pPr>
      <w:r w:rsidRPr="001604D3">
        <w:rPr>
          <w:rFonts w:cs="Minion Pro"/>
          <w:color w:val="000000"/>
          <w:sz w:val="24"/>
          <w:szCs w:val="24"/>
        </w:rPr>
        <w:t xml:space="preserve">Lambert, L., </w:t>
      </w:r>
      <w:proofErr w:type="spellStart"/>
      <w:r w:rsidRPr="001604D3">
        <w:rPr>
          <w:rFonts w:cs="Minion Pro"/>
          <w:color w:val="000000"/>
          <w:sz w:val="24"/>
          <w:szCs w:val="24"/>
        </w:rPr>
        <w:t>Passmore</w:t>
      </w:r>
      <w:proofErr w:type="spellEnd"/>
      <w:r w:rsidRPr="001604D3">
        <w:rPr>
          <w:rFonts w:cs="Minion Pro"/>
          <w:color w:val="000000"/>
          <w:sz w:val="24"/>
          <w:szCs w:val="24"/>
        </w:rPr>
        <w:t>, H.-A., &amp; Holder, M. D. (2015). Foundational frameworks of positive psychology: Mapping well-being orientations. </w:t>
      </w:r>
      <w:r w:rsidRPr="001604D3">
        <w:rPr>
          <w:rFonts w:cs="Minion Pro"/>
          <w:i/>
          <w:iCs/>
          <w:color w:val="000000"/>
          <w:sz w:val="24"/>
          <w:szCs w:val="24"/>
        </w:rPr>
        <w:t xml:space="preserve">Canadian Psychology / </w:t>
      </w:r>
      <w:proofErr w:type="spellStart"/>
      <w:r w:rsidRPr="001604D3">
        <w:rPr>
          <w:rFonts w:cs="Minion Pro"/>
          <w:i/>
          <w:iCs/>
          <w:color w:val="000000"/>
          <w:sz w:val="24"/>
          <w:szCs w:val="24"/>
        </w:rPr>
        <w:t>Psychologie</w:t>
      </w:r>
      <w:proofErr w:type="spellEnd"/>
      <w:r w:rsidRPr="001604D3">
        <w:rPr>
          <w:rFonts w:cs="Minion Pro"/>
          <w:i/>
          <w:iCs/>
          <w:color w:val="000000"/>
          <w:sz w:val="24"/>
          <w:szCs w:val="24"/>
        </w:rPr>
        <w:t xml:space="preserve"> </w:t>
      </w:r>
      <w:proofErr w:type="spellStart"/>
      <w:r w:rsidRPr="001604D3">
        <w:rPr>
          <w:rFonts w:cs="Minion Pro"/>
          <w:i/>
          <w:iCs/>
          <w:color w:val="000000"/>
          <w:sz w:val="24"/>
          <w:szCs w:val="24"/>
        </w:rPr>
        <w:t>canadienne</w:t>
      </w:r>
      <w:proofErr w:type="spellEnd"/>
      <w:r w:rsidRPr="001604D3">
        <w:rPr>
          <w:rFonts w:cs="Minion Pro"/>
          <w:i/>
          <w:iCs/>
          <w:color w:val="000000"/>
          <w:sz w:val="24"/>
          <w:szCs w:val="24"/>
        </w:rPr>
        <w:t>, 56</w:t>
      </w:r>
      <w:r w:rsidRPr="001604D3">
        <w:rPr>
          <w:rFonts w:cs="Minion Pro"/>
          <w:color w:val="000000"/>
          <w:sz w:val="24"/>
          <w:szCs w:val="24"/>
        </w:rPr>
        <w:t>(3), 311–321. </w:t>
      </w:r>
      <w:hyperlink r:id="rId80" w:tgtFrame="_blank" w:history="1">
        <w:r w:rsidRPr="001604D3">
          <w:rPr>
            <w:rStyle w:val="Hyperlink"/>
            <w:rFonts w:cs="Minion Pro"/>
            <w:sz w:val="24"/>
            <w:szCs w:val="24"/>
          </w:rPr>
          <w:t>https://doi.org/10.1037/cap0000033</w:t>
        </w:r>
      </w:hyperlink>
      <w:r w:rsidRPr="008866D4">
        <w:rPr>
          <w:rFonts w:cs="Minion Pro"/>
          <w:color w:val="000000"/>
          <w:sz w:val="24"/>
          <w:szCs w:val="24"/>
        </w:rPr>
        <w:t>.</w:t>
      </w:r>
    </w:p>
    <w:p w:rsidR="006C2660" w:rsidRPr="00AC5A19" w:rsidRDefault="006C2660" w:rsidP="006C2660">
      <w:pPr>
        <w:spacing w:line="240" w:lineRule="auto"/>
        <w:ind w:left="426" w:hanging="426"/>
        <w:jc w:val="both"/>
        <w:rPr>
          <w:lang w:bidi="ar-EG"/>
        </w:rPr>
      </w:pPr>
      <w:r w:rsidRPr="00AC5A19">
        <w:rPr>
          <w:lang w:bidi="ar-EG"/>
        </w:rPr>
        <w:t xml:space="preserve">Lei, H., Chiu, M., Li, F., Wang, X. &amp; </w:t>
      </w:r>
      <w:proofErr w:type="spellStart"/>
      <w:r w:rsidRPr="00AC5A19">
        <w:rPr>
          <w:lang w:bidi="ar-EG"/>
        </w:rPr>
        <w:t>Geng</w:t>
      </w:r>
      <w:proofErr w:type="spellEnd"/>
      <w:r w:rsidRPr="00AC5A19">
        <w:rPr>
          <w:lang w:bidi="ar-EG"/>
        </w:rPr>
        <w:t xml:space="preserve">, Y. (2020). Computational thinking and academic achievement: A meta-analysis among students. Children and Youth Services Review, 118, 105439. </w:t>
      </w:r>
      <w:hyperlink r:id="rId81" w:history="1">
        <w:r w:rsidRPr="00AC5A19">
          <w:rPr>
            <w:rStyle w:val="Hyperlink"/>
            <w:lang w:bidi="ar-EG"/>
          </w:rPr>
          <w:t>https://doi.org/10.1016/j.childyouth.2020.105439</w:t>
        </w:r>
      </w:hyperlink>
    </w:p>
    <w:p w:rsidR="006C2660" w:rsidRPr="003066B0" w:rsidRDefault="006C2660" w:rsidP="006C2660">
      <w:pPr>
        <w:spacing w:line="240" w:lineRule="auto"/>
        <w:ind w:left="426" w:hanging="426"/>
        <w:jc w:val="both"/>
        <w:rPr>
          <w:sz w:val="23"/>
          <w:szCs w:val="23"/>
          <w:rtl/>
        </w:rPr>
      </w:pPr>
      <w:r w:rsidRPr="003066B0">
        <w:rPr>
          <w:sz w:val="23"/>
          <w:szCs w:val="23"/>
        </w:rPr>
        <w:t xml:space="preserve">Li, M., Yang, D., Ding, C., &amp; Kong, F. (2015). Validation of the Social Well-being Scale in a Chinese sample and invariance across gender. </w:t>
      </w:r>
      <w:r w:rsidRPr="003066B0">
        <w:rPr>
          <w:i/>
          <w:iCs/>
          <w:sz w:val="23"/>
          <w:szCs w:val="23"/>
        </w:rPr>
        <w:t>Social Indicators Research</w:t>
      </w:r>
      <w:r w:rsidRPr="003066B0">
        <w:rPr>
          <w:sz w:val="23"/>
          <w:szCs w:val="23"/>
        </w:rPr>
        <w:t xml:space="preserve">, </w:t>
      </w:r>
      <w:r w:rsidRPr="003066B0">
        <w:rPr>
          <w:i/>
          <w:iCs/>
          <w:sz w:val="23"/>
          <w:szCs w:val="23"/>
        </w:rPr>
        <w:t>121</w:t>
      </w:r>
      <w:r w:rsidRPr="003066B0">
        <w:rPr>
          <w:sz w:val="23"/>
          <w:szCs w:val="23"/>
        </w:rPr>
        <w:t xml:space="preserve">(2), 607–618. </w:t>
      </w:r>
      <w:hyperlink r:id="rId82" w:history="1">
        <w:r w:rsidRPr="003066B0">
          <w:rPr>
            <w:rStyle w:val="Hyperlink"/>
            <w:sz w:val="23"/>
            <w:szCs w:val="23"/>
          </w:rPr>
          <w:t>https://doi.org/10.1007/s11205-014-0639-1</w:t>
        </w:r>
      </w:hyperlink>
      <w:r w:rsidRPr="003066B0">
        <w:rPr>
          <w:sz w:val="23"/>
          <w:szCs w:val="23"/>
        </w:rPr>
        <w:t xml:space="preserve"> </w:t>
      </w:r>
    </w:p>
    <w:p w:rsidR="006C2660" w:rsidRPr="00C4125A" w:rsidRDefault="006C2660" w:rsidP="006C2660">
      <w:pPr>
        <w:spacing w:line="240" w:lineRule="auto"/>
        <w:ind w:left="426" w:hanging="426"/>
        <w:jc w:val="both"/>
        <w:rPr>
          <w:sz w:val="23"/>
          <w:szCs w:val="23"/>
        </w:rPr>
      </w:pPr>
      <w:r w:rsidRPr="00D5002B">
        <w:rPr>
          <w:lang w:bidi="ar-EG"/>
        </w:rPr>
        <w:t>Ling</w:t>
      </w:r>
      <w:r w:rsidRPr="00C4125A">
        <w:rPr>
          <w:sz w:val="23"/>
          <w:szCs w:val="23"/>
        </w:rPr>
        <w:t xml:space="preserve">, X., Chen, J., Chow, D., </w:t>
      </w:r>
      <w:proofErr w:type="spellStart"/>
      <w:r w:rsidRPr="00C4125A">
        <w:rPr>
          <w:sz w:val="23"/>
          <w:szCs w:val="23"/>
        </w:rPr>
        <w:t>Xu</w:t>
      </w:r>
      <w:proofErr w:type="spellEnd"/>
      <w:r w:rsidRPr="00C4125A">
        <w:rPr>
          <w:sz w:val="23"/>
          <w:szCs w:val="23"/>
        </w:rPr>
        <w:t xml:space="preserve">, W. &amp; Li, Y. (2022). </w:t>
      </w:r>
      <w:r w:rsidRPr="00C4125A">
        <w:rPr>
          <w:i/>
          <w:iCs/>
          <w:sz w:val="23"/>
          <w:szCs w:val="23"/>
        </w:rPr>
        <w:t>The “Trade-Off” of Student Well-Being and Academic Achievement: A Perspective of Multidimensional Student Well-Being</w:t>
      </w:r>
      <w:r w:rsidRPr="00C4125A">
        <w:rPr>
          <w:sz w:val="23"/>
          <w:szCs w:val="23"/>
        </w:rPr>
        <w:t xml:space="preserve">. </w:t>
      </w:r>
      <w:r w:rsidRPr="00C4125A">
        <w:rPr>
          <w:i/>
          <w:iCs/>
          <w:sz w:val="23"/>
          <w:szCs w:val="23"/>
        </w:rPr>
        <w:t>Front. Psychol. 13</w:t>
      </w:r>
      <w:r w:rsidRPr="00C4125A">
        <w:rPr>
          <w:sz w:val="23"/>
          <w:szCs w:val="23"/>
        </w:rPr>
        <w:t xml:space="preserve">:772653. </w:t>
      </w:r>
      <w:hyperlink r:id="rId83" w:history="1">
        <w:r w:rsidRPr="00C4125A">
          <w:rPr>
            <w:rStyle w:val="Hyperlink"/>
            <w:sz w:val="23"/>
            <w:szCs w:val="23"/>
          </w:rPr>
          <w:t>https://doi.org/10.3389/fpsyg.2022.772653</w:t>
        </w:r>
      </w:hyperlink>
    </w:p>
    <w:p w:rsidR="006C2660" w:rsidRDefault="006C2660" w:rsidP="006C2660">
      <w:pPr>
        <w:spacing w:line="240" w:lineRule="auto"/>
        <w:ind w:left="426" w:hanging="426"/>
        <w:jc w:val="both"/>
        <w:rPr>
          <w:rtl/>
          <w:lang w:bidi="ar-EG"/>
        </w:rPr>
      </w:pPr>
      <w:proofErr w:type="spellStart"/>
      <w:r w:rsidRPr="00312693">
        <w:rPr>
          <w:lang w:bidi="ar-EG"/>
        </w:rPr>
        <w:t>Lishinski</w:t>
      </w:r>
      <w:proofErr w:type="spellEnd"/>
      <w:r w:rsidRPr="00312693">
        <w:rPr>
          <w:lang w:bidi="ar-EG"/>
        </w:rPr>
        <w:t xml:space="preserve">, A., </w:t>
      </w:r>
      <w:proofErr w:type="spellStart"/>
      <w:r w:rsidRPr="00312693">
        <w:rPr>
          <w:lang w:bidi="ar-EG"/>
        </w:rPr>
        <w:t>Yadav</w:t>
      </w:r>
      <w:proofErr w:type="spellEnd"/>
      <w:r w:rsidRPr="00312693">
        <w:rPr>
          <w:lang w:bidi="ar-EG"/>
        </w:rPr>
        <w:t xml:space="preserve">, A., </w:t>
      </w:r>
      <w:proofErr w:type="spellStart"/>
      <w:r w:rsidRPr="00312693">
        <w:rPr>
          <w:lang w:bidi="ar-EG"/>
        </w:rPr>
        <w:t>Enbody</w:t>
      </w:r>
      <w:proofErr w:type="spellEnd"/>
      <w:r w:rsidRPr="00312693">
        <w:rPr>
          <w:lang w:bidi="ar-EG"/>
        </w:rPr>
        <w:t xml:space="preserve">, R., &amp; Good, J. (2016). The influence of problem solving abilities on students' performance on different assessment tasks in CS1. </w:t>
      </w:r>
      <w:r w:rsidRPr="009A3DF6">
        <w:rPr>
          <w:i/>
          <w:iCs/>
          <w:lang w:bidi="ar-EG"/>
        </w:rPr>
        <w:t>SIGCSE '16: Proceedings of the 47th ACM Technical Symposium on Computing Science Education</w:t>
      </w:r>
      <w:r>
        <w:rPr>
          <w:rFonts w:hint="cs"/>
          <w:rtl/>
          <w:lang w:bidi="ar-EG"/>
        </w:rPr>
        <w:t xml:space="preserve"> </w:t>
      </w:r>
      <w:r w:rsidRPr="009A3DF6">
        <w:rPr>
          <w:lang w:bidi="ar-EG"/>
        </w:rPr>
        <w:t>(pp. 329–334).</w:t>
      </w:r>
      <w:r>
        <w:rPr>
          <w:rFonts w:hint="cs"/>
          <w:rtl/>
          <w:lang w:bidi="ar-EG"/>
        </w:rPr>
        <w:t xml:space="preserve"> </w:t>
      </w:r>
      <w:hyperlink r:id="rId84" w:history="1">
        <w:r w:rsidRPr="00FF30D8">
          <w:rPr>
            <w:rStyle w:val="Hyperlink"/>
            <w:lang w:bidi="ar-EG"/>
          </w:rPr>
          <w:t>https://doi.org/10.1145/2839509.2844596</w:t>
        </w:r>
      </w:hyperlink>
    </w:p>
    <w:p w:rsidR="006C2660" w:rsidRDefault="006C2660" w:rsidP="006C2660">
      <w:pPr>
        <w:spacing w:line="240" w:lineRule="auto"/>
        <w:ind w:left="426" w:hanging="426"/>
        <w:jc w:val="both"/>
        <w:rPr>
          <w:sz w:val="23"/>
          <w:szCs w:val="23"/>
          <w:rtl/>
          <w:lang w:val="en-GB"/>
        </w:rPr>
      </w:pPr>
      <w:proofErr w:type="spellStart"/>
      <w:r w:rsidRPr="00D5002B">
        <w:rPr>
          <w:lang w:bidi="ar-EG"/>
        </w:rPr>
        <w:t>Luhmann</w:t>
      </w:r>
      <w:proofErr w:type="spellEnd"/>
      <w:r>
        <w:rPr>
          <w:sz w:val="23"/>
          <w:szCs w:val="23"/>
          <w:lang w:val="en-GB"/>
        </w:rPr>
        <w:t>,</w:t>
      </w:r>
      <w:r w:rsidRPr="006773DD">
        <w:rPr>
          <w:sz w:val="23"/>
          <w:szCs w:val="23"/>
          <w:lang w:val="en-GB"/>
        </w:rPr>
        <w:t xml:space="preserve"> M</w:t>
      </w:r>
      <w:r>
        <w:rPr>
          <w:sz w:val="23"/>
          <w:szCs w:val="23"/>
          <w:lang w:val="en-GB"/>
        </w:rPr>
        <w:t>.</w:t>
      </w:r>
      <w:r w:rsidRPr="006773DD">
        <w:rPr>
          <w:sz w:val="23"/>
          <w:szCs w:val="23"/>
          <w:lang w:val="en-GB"/>
        </w:rPr>
        <w:t>, Lucas</w:t>
      </w:r>
      <w:r>
        <w:rPr>
          <w:sz w:val="23"/>
          <w:szCs w:val="23"/>
          <w:lang w:val="en-GB"/>
        </w:rPr>
        <w:t>,</w:t>
      </w:r>
      <w:r w:rsidRPr="006773DD">
        <w:rPr>
          <w:sz w:val="23"/>
          <w:szCs w:val="23"/>
          <w:lang w:val="en-GB"/>
        </w:rPr>
        <w:t xml:space="preserve"> R</w:t>
      </w:r>
      <w:r>
        <w:rPr>
          <w:sz w:val="23"/>
          <w:szCs w:val="23"/>
          <w:lang w:val="en-GB"/>
        </w:rPr>
        <w:t>.</w:t>
      </w:r>
      <w:r w:rsidRPr="006773DD">
        <w:rPr>
          <w:sz w:val="23"/>
          <w:szCs w:val="23"/>
          <w:lang w:val="en-GB"/>
        </w:rPr>
        <w:t>E</w:t>
      </w:r>
      <w:r>
        <w:rPr>
          <w:sz w:val="23"/>
          <w:szCs w:val="23"/>
          <w:lang w:val="en-GB"/>
        </w:rPr>
        <w:t>.</w:t>
      </w:r>
      <w:r w:rsidRPr="006773DD">
        <w:rPr>
          <w:sz w:val="23"/>
          <w:szCs w:val="23"/>
          <w:lang w:val="en-GB"/>
        </w:rPr>
        <w:t>, Eid</w:t>
      </w:r>
      <w:r>
        <w:rPr>
          <w:sz w:val="23"/>
          <w:szCs w:val="23"/>
          <w:lang w:val="en-GB"/>
        </w:rPr>
        <w:t>,</w:t>
      </w:r>
      <w:r w:rsidRPr="006773DD">
        <w:rPr>
          <w:sz w:val="23"/>
          <w:szCs w:val="23"/>
          <w:lang w:val="en-GB"/>
        </w:rPr>
        <w:t xml:space="preserve"> M</w:t>
      </w:r>
      <w:r>
        <w:rPr>
          <w:sz w:val="23"/>
          <w:szCs w:val="23"/>
          <w:lang w:val="en-GB"/>
        </w:rPr>
        <w:t>.</w:t>
      </w:r>
      <w:r w:rsidRPr="006773DD">
        <w:rPr>
          <w:sz w:val="23"/>
          <w:szCs w:val="23"/>
          <w:lang w:val="en-GB"/>
        </w:rPr>
        <w:t xml:space="preserve">, </w:t>
      </w:r>
      <w:r>
        <w:rPr>
          <w:sz w:val="23"/>
          <w:szCs w:val="23"/>
          <w:lang w:val="en-GB"/>
        </w:rPr>
        <w:t xml:space="preserve">&amp; </w:t>
      </w:r>
      <w:proofErr w:type="spellStart"/>
      <w:r w:rsidRPr="006773DD">
        <w:rPr>
          <w:sz w:val="23"/>
          <w:szCs w:val="23"/>
          <w:lang w:val="en-GB"/>
        </w:rPr>
        <w:t>Diener</w:t>
      </w:r>
      <w:proofErr w:type="spellEnd"/>
      <w:r>
        <w:rPr>
          <w:sz w:val="23"/>
          <w:szCs w:val="23"/>
          <w:lang w:val="en-GB"/>
        </w:rPr>
        <w:t>,</w:t>
      </w:r>
      <w:r w:rsidRPr="006773DD">
        <w:rPr>
          <w:sz w:val="23"/>
          <w:szCs w:val="23"/>
          <w:lang w:val="en-GB"/>
        </w:rPr>
        <w:t xml:space="preserve"> E.</w:t>
      </w:r>
      <w:r>
        <w:rPr>
          <w:sz w:val="23"/>
          <w:szCs w:val="23"/>
          <w:lang w:val="en-GB"/>
        </w:rPr>
        <w:t xml:space="preserve"> (2012).</w:t>
      </w:r>
      <w:r w:rsidRPr="006773DD">
        <w:rPr>
          <w:sz w:val="23"/>
          <w:szCs w:val="23"/>
          <w:lang w:val="en-GB"/>
        </w:rPr>
        <w:t xml:space="preserve"> The prospective effect of life satisfaction on life events. </w:t>
      </w:r>
      <w:r w:rsidRPr="006A07EE">
        <w:rPr>
          <w:i/>
          <w:iCs/>
          <w:sz w:val="23"/>
          <w:szCs w:val="23"/>
          <w:lang w:val="en-GB"/>
        </w:rPr>
        <w:t>Social Psychological and Personality Science, 4</w:t>
      </w:r>
      <w:r>
        <w:rPr>
          <w:sz w:val="23"/>
          <w:szCs w:val="23"/>
          <w:lang w:val="en-GB"/>
        </w:rPr>
        <w:t xml:space="preserve"> </w:t>
      </w:r>
      <w:r w:rsidRPr="006773DD">
        <w:rPr>
          <w:sz w:val="23"/>
          <w:szCs w:val="23"/>
          <w:lang w:val="en-GB"/>
        </w:rPr>
        <w:t xml:space="preserve">(1):39-45. </w:t>
      </w:r>
      <w:hyperlink r:id="rId85" w:history="1">
        <w:r w:rsidRPr="004D11EC">
          <w:rPr>
            <w:rStyle w:val="Hyperlink"/>
            <w:sz w:val="23"/>
            <w:szCs w:val="23"/>
            <w:lang w:val="en-GB"/>
          </w:rPr>
          <w:t>https://doi.org/10.1177/1948550612440105</w:t>
        </w:r>
      </w:hyperlink>
    </w:p>
    <w:p w:rsidR="006C2660" w:rsidRDefault="006C2660" w:rsidP="006C2660">
      <w:pPr>
        <w:spacing w:line="240" w:lineRule="auto"/>
        <w:ind w:left="426" w:hanging="426"/>
        <w:jc w:val="both"/>
        <w:rPr>
          <w:sz w:val="23"/>
          <w:szCs w:val="23"/>
          <w:rtl/>
        </w:rPr>
      </w:pPr>
      <w:proofErr w:type="spellStart"/>
      <w:r w:rsidRPr="006773DD">
        <w:rPr>
          <w:sz w:val="23"/>
          <w:szCs w:val="23"/>
        </w:rPr>
        <w:lastRenderedPageBreak/>
        <w:t>Lv</w:t>
      </w:r>
      <w:proofErr w:type="spellEnd"/>
      <w:r>
        <w:rPr>
          <w:sz w:val="23"/>
          <w:szCs w:val="23"/>
        </w:rPr>
        <w:t>,</w:t>
      </w:r>
      <w:r w:rsidRPr="006773DD">
        <w:rPr>
          <w:sz w:val="23"/>
          <w:szCs w:val="23"/>
        </w:rPr>
        <w:t xml:space="preserve"> B</w:t>
      </w:r>
      <w:r>
        <w:rPr>
          <w:sz w:val="23"/>
          <w:szCs w:val="23"/>
        </w:rPr>
        <w:t>.</w:t>
      </w:r>
      <w:r w:rsidRPr="006773DD">
        <w:rPr>
          <w:sz w:val="23"/>
          <w:szCs w:val="23"/>
        </w:rPr>
        <w:t>, Zhou</w:t>
      </w:r>
      <w:r>
        <w:rPr>
          <w:sz w:val="23"/>
          <w:szCs w:val="23"/>
        </w:rPr>
        <w:t>,</w:t>
      </w:r>
      <w:r w:rsidRPr="006773DD">
        <w:rPr>
          <w:sz w:val="23"/>
          <w:szCs w:val="23"/>
        </w:rPr>
        <w:t xml:space="preserve"> H</w:t>
      </w:r>
      <w:r>
        <w:rPr>
          <w:sz w:val="23"/>
          <w:szCs w:val="23"/>
        </w:rPr>
        <w:t>.</w:t>
      </w:r>
      <w:r w:rsidRPr="006773DD">
        <w:rPr>
          <w:sz w:val="23"/>
          <w:szCs w:val="23"/>
        </w:rPr>
        <w:t xml:space="preserve">, </w:t>
      </w:r>
      <w:proofErr w:type="spellStart"/>
      <w:r w:rsidRPr="006773DD">
        <w:rPr>
          <w:sz w:val="23"/>
          <w:szCs w:val="23"/>
        </w:rPr>
        <w:t>Guo</w:t>
      </w:r>
      <w:proofErr w:type="spellEnd"/>
      <w:r>
        <w:rPr>
          <w:sz w:val="23"/>
          <w:szCs w:val="23"/>
        </w:rPr>
        <w:t>,</w:t>
      </w:r>
      <w:r w:rsidRPr="006773DD">
        <w:rPr>
          <w:sz w:val="23"/>
          <w:szCs w:val="23"/>
        </w:rPr>
        <w:t xml:space="preserve"> X</w:t>
      </w:r>
      <w:r>
        <w:rPr>
          <w:sz w:val="23"/>
          <w:szCs w:val="23"/>
        </w:rPr>
        <w:t>.</w:t>
      </w:r>
      <w:r w:rsidRPr="006773DD">
        <w:rPr>
          <w:sz w:val="23"/>
          <w:szCs w:val="23"/>
        </w:rPr>
        <w:t>, Liu</w:t>
      </w:r>
      <w:r>
        <w:rPr>
          <w:sz w:val="23"/>
          <w:szCs w:val="23"/>
        </w:rPr>
        <w:t>,</w:t>
      </w:r>
      <w:r w:rsidRPr="006773DD">
        <w:rPr>
          <w:sz w:val="23"/>
          <w:szCs w:val="23"/>
        </w:rPr>
        <w:t xml:space="preserve"> C</w:t>
      </w:r>
      <w:r>
        <w:rPr>
          <w:sz w:val="23"/>
          <w:szCs w:val="23"/>
        </w:rPr>
        <w:t>.</w:t>
      </w:r>
      <w:r w:rsidRPr="006773DD">
        <w:rPr>
          <w:sz w:val="23"/>
          <w:szCs w:val="23"/>
        </w:rPr>
        <w:t>, Liu</w:t>
      </w:r>
      <w:r>
        <w:rPr>
          <w:sz w:val="23"/>
          <w:szCs w:val="23"/>
        </w:rPr>
        <w:t>,</w:t>
      </w:r>
      <w:r w:rsidRPr="006773DD">
        <w:rPr>
          <w:sz w:val="23"/>
          <w:szCs w:val="23"/>
        </w:rPr>
        <w:t xml:space="preserve"> Z</w:t>
      </w:r>
      <w:r>
        <w:rPr>
          <w:sz w:val="23"/>
          <w:szCs w:val="23"/>
        </w:rPr>
        <w:t>.</w:t>
      </w:r>
      <w:r w:rsidRPr="006773DD">
        <w:rPr>
          <w:sz w:val="23"/>
          <w:szCs w:val="23"/>
        </w:rPr>
        <w:t xml:space="preserve">, </w:t>
      </w:r>
      <w:r>
        <w:rPr>
          <w:sz w:val="23"/>
          <w:szCs w:val="23"/>
        </w:rPr>
        <w:t xml:space="preserve">&amp; </w:t>
      </w:r>
      <w:proofErr w:type="spellStart"/>
      <w:r w:rsidRPr="006773DD">
        <w:rPr>
          <w:sz w:val="23"/>
          <w:szCs w:val="23"/>
        </w:rPr>
        <w:t>Luo</w:t>
      </w:r>
      <w:proofErr w:type="spellEnd"/>
      <w:r>
        <w:rPr>
          <w:sz w:val="23"/>
          <w:szCs w:val="23"/>
        </w:rPr>
        <w:t>,</w:t>
      </w:r>
      <w:r w:rsidRPr="006773DD">
        <w:rPr>
          <w:sz w:val="23"/>
          <w:szCs w:val="23"/>
        </w:rPr>
        <w:t xml:space="preserve"> L. (2016). The relationship between academic achievement and the emotional well-being of elementary school children in China: The moderating role of parent school communication. </w:t>
      </w:r>
      <w:r w:rsidRPr="006A07EE">
        <w:rPr>
          <w:i/>
          <w:iCs/>
          <w:sz w:val="23"/>
          <w:szCs w:val="23"/>
        </w:rPr>
        <w:t>Frontiers in Psychology</w:t>
      </w:r>
      <w:r>
        <w:rPr>
          <w:i/>
          <w:iCs/>
          <w:sz w:val="23"/>
          <w:szCs w:val="23"/>
        </w:rPr>
        <w:t>,</w:t>
      </w:r>
      <w:r w:rsidRPr="006A07EE">
        <w:rPr>
          <w:i/>
          <w:iCs/>
          <w:sz w:val="23"/>
          <w:szCs w:val="23"/>
        </w:rPr>
        <w:t>7</w:t>
      </w:r>
      <w:r>
        <w:rPr>
          <w:i/>
          <w:iCs/>
          <w:sz w:val="23"/>
          <w:szCs w:val="23"/>
        </w:rPr>
        <w:t xml:space="preserve">, </w:t>
      </w:r>
      <w:r w:rsidRPr="006773DD">
        <w:rPr>
          <w:sz w:val="23"/>
          <w:szCs w:val="23"/>
        </w:rPr>
        <w:t xml:space="preserve">1-10. </w:t>
      </w:r>
      <w:hyperlink r:id="rId86" w:history="1">
        <w:r w:rsidRPr="004D11EC">
          <w:rPr>
            <w:rStyle w:val="Hyperlink"/>
            <w:sz w:val="23"/>
            <w:szCs w:val="23"/>
          </w:rPr>
          <w:t>https://doi.org/10.3389/fpsyg.2016.00948</w:t>
        </w:r>
      </w:hyperlink>
    </w:p>
    <w:p w:rsidR="006C2660" w:rsidRPr="00474CFE" w:rsidRDefault="006C2660" w:rsidP="006C2660">
      <w:pPr>
        <w:spacing w:line="240" w:lineRule="auto"/>
        <w:ind w:left="426" w:hanging="426"/>
        <w:jc w:val="both"/>
        <w:rPr>
          <w:rFonts w:cs="Minion Pro"/>
          <w:color w:val="000000"/>
          <w:sz w:val="24"/>
          <w:szCs w:val="24"/>
        </w:rPr>
      </w:pPr>
      <w:r w:rsidRPr="005D568A">
        <w:rPr>
          <w:rFonts w:cs="Minion Pro"/>
          <w:sz w:val="24"/>
          <w:szCs w:val="24"/>
        </w:rPr>
        <w:t xml:space="preserve">Malone, T., &amp; </w:t>
      </w:r>
      <w:proofErr w:type="spellStart"/>
      <w:r w:rsidRPr="005D568A">
        <w:rPr>
          <w:rFonts w:cs="Minion Pro"/>
          <w:sz w:val="24"/>
          <w:szCs w:val="24"/>
        </w:rPr>
        <w:t>Lepper</w:t>
      </w:r>
      <w:proofErr w:type="spellEnd"/>
      <w:r w:rsidRPr="005D568A">
        <w:rPr>
          <w:rFonts w:cs="Minion Pro"/>
          <w:sz w:val="24"/>
          <w:szCs w:val="24"/>
        </w:rPr>
        <w:t xml:space="preserve">, M. R. (2021). Making learning fun: A taxonomy of intrinsic motivations for </w:t>
      </w:r>
      <w:r w:rsidRPr="00474CFE">
        <w:rPr>
          <w:rFonts w:cs="Minion Pro"/>
          <w:color w:val="000000"/>
          <w:sz w:val="24"/>
          <w:szCs w:val="24"/>
        </w:rPr>
        <w:t xml:space="preserve">learning. In </w:t>
      </w:r>
      <w:r w:rsidRPr="00474CFE">
        <w:rPr>
          <w:rFonts w:cs="Minion Pro"/>
          <w:i/>
          <w:iCs/>
          <w:color w:val="000000"/>
          <w:sz w:val="24"/>
          <w:szCs w:val="24"/>
        </w:rPr>
        <w:t xml:space="preserve">Aptitude, learning, and instruction </w:t>
      </w:r>
      <w:r w:rsidRPr="00474CFE">
        <w:rPr>
          <w:rFonts w:cs="Minion Pro"/>
          <w:color w:val="000000"/>
          <w:sz w:val="24"/>
          <w:szCs w:val="24"/>
        </w:rPr>
        <w:t xml:space="preserve">(pp. 223-254), </w:t>
      </w:r>
      <w:proofErr w:type="spellStart"/>
      <w:r w:rsidRPr="00474CFE">
        <w:rPr>
          <w:rFonts w:cs="Minion Pro"/>
          <w:color w:val="000000"/>
          <w:sz w:val="24"/>
          <w:szCs w:val="24"/>
        </w:rPr>
        <w:t>Routledge</w:t>
      </w:r>
      <w:proofErr w:type="spellEnd"/>
      <w:r w:rsidRPr="00474CFE">
        <w:rPr>
          <w:rFonts w:cs="Minion Pro"/>
          <w:color w:val="000000"/>
          <w:sz w:val="24"/>
          <w:szCs w:val="24"/>
        </w:rPr>
        <w:t xml:space="preserve">: London. </w:t>
      </w:r>
      <w:hyperlink r:id="rId87" w:history="1">
        <w:r w:rsidRPr="00474CFE">
          <w:rPr>
            <w:rStyle w:val="Hyperlink"/>
            <w:rFonts w:cs="Minion Pro"/>
            <w:sz w:val="24"/>
            <w:szCs w:val="24"/>
          </w:rPr>
          <w:t>https://doi.org/10.4324/9781003163244</w:t>
        </w:r>
      </w:hyperlink>
    </w:p>
    <w:p w:rsidR="006C2660" w:rsidRPr="00FA5C3F" w:rsidRDefault="006C2660" w:rsidP="006C2660">
      <w:pPr>
        <w:spacing w:line="240" w:lineRule="auto"/>
        <w:ind w:left="426" w:hanging="426"/>
        <w:jc w:val="both"/>
        <w:rPr>
          <w:rFonts w:asciiTheme="majorBidi" w:hAnsiTheme="majorBidi" w:cstheme="majorBidi"/>
          <w:color w:val="000000"/>
          <w:rtl/>
        </w:rPr>
      </w:pPr>
      <w:proofErr w:type="spellStart"/>
      <w:r w:rsidRPr="00D5002B">
        <w:rPr>
          <w:lang w:bidi="ar-EG"/>
        </w:rPr>
        <w:t>Marakas</w:t>
      </w:r>
      <w:proofErr w:type="spellEnd"/>
      <w:r w:rsidRPr="00FA5C3F">
        <w:rPr>
          <w:rFonts w:asciiTheme="majorBidi" w:hAnsiTheme="majorBidi" w:cstheme="majorBidi"/>
          <w:color w:val="000000"/>
        </w:rPr>
        <w:t xml:space="preserve">, G. M., Yi, M. Y. </w:t>
      </w:r>
      <w:r>
        <w:rPr>
          <w:rFonts w:asciiTheme="majorBidi" w:hAnsiTheme="majorBidi" w:cstheme="majorBidi"/>
          <w:color w:val="000000"/>
        </w:rPr>
        <w:t xml:space="preserve">&amp; </w:t>
      </w:r>
      <w:r w:rsidRPr="00FA5C3F">
        <w:rPr>
          <w:rFonts w:asciiTheme="majorBidi" w:hAnsiTheme="majorBidi" w:cstheme="majorBidi"/>
          <w:color w:val="000000"/>
        </w:rPr>
        <w:t xml:space="preserve">Johnson, R. D. (1998) ‘The multilevel and multifaceted character of computer self-efficacy: toward a clarification of the construct and an integrative framework for research’, </w:t>
      </w:r>
      <w:r w:rsidRPr="00FA5C3F">
        <w:rPr>
          <w:rFonts w:asciiTheme="majorBidi" w:hAnsiTheme="majorBidi" w:cstheme="majorBidi"/>
          <w:i/>
          <w:iCs/>
          <w:color w:val="000000"/>
        </w:rPr>
        <w:t>Information Systems Research</w:t>
      </w:r>
      <w:r w:rsidRPr="00FA5C3F">
        <w:rPr>
          <w:rFonts w:asciiTheme="majorBidi" w:hAnsiTheme="majorBidi" w:cstheme="majorBidi"/>
          <w:color w:val="000000"/>
        </w:rPr>
        <w:t xml:space="preserve">, Vol. 9, No. 2, pp. 126–163. </w:t>
      </w:r>
      <w:hyperlink r:id="rId88" w:history="1">
        <w:r w:rsidRPr="00FA5C3F">
          <w:rPr>
            <w:rStyle w:val="Hyperlink"/>
            <w:rFonts w:asciiTheme="majorBidi" w:hAnsiTheme="majorBidi" w:cstheme="majorBidi"/>
          </w:rPr>
          <w:t>https://doi.org/10.1287/isre.9.2.126</w:t>
        </w:r>
      </w:hyperlink>
    </w:p>
    <w:p w:rsidR="006C2660" w:rsidRDefault="006C2660" w:rsidP="006C2660">
      <w:pPr>
        <w:spacing w:line="240" w:lineRule="auto"/>
        <w:ind w:left="426" w:hanging="426"/>
        <w:jc w:val="both"/>
        <w:rPr>
          <w:sz w:val="23"/>
          <w:szCs w:val="23"/>
        </w:rPr>
      </w:pPr>
      <w:proofErr w:type="spellStart"/>
      <w:r w:rsidRPr="00D5002B">
        <w:rPr>
          <w:lang w:bidi="ar-EG"/>
        </w:rPr>
        <w:t>McGeown</w:t>
      </w:r>
      <w:proofErr w:type="spellEnd"/>
      <w:r w:rsidRPr="00761B18">
        <w:rPr>
          <w:sz w:val="23"/>
          <w:szCs w:val="23"/>
        </w:rPr>
        <w:t xml:space="preserve">, S. P., </w:t>
      </w:r>
      <w:proofErr w:type="spellStart"/>
      <w:r w:rsidRPr="00761B18">
        <w:rPr>
          <w:sz w:val="23"/>
          <w:szCs w:val="23"/>
        </w:rPr>
        <w:t>Putwain</w:t>
      </w:r>
      <w:proofErr w:type="spellEnd"/>
      <w:r w:rsidRPr="00761B18">
        <w:rPr>
          <w:sz w:val="23"/>
          <w:szCs w:val="23"/>
        </w:rPr>
        <w:t xml:space="preserve">, D., </w:t>
      </w:r>
      <w:proofErr w:type="spellStart"/>
      <w:r w:rsidRPr="00761B18">
        <w:rPr>
          <w:sz w:val="23"/>
          <w:szCs w:val="23"/>
        </w:rPr>
        <w:t>Geijer</w:t>
      </w:r>
      <w:proofErr w:type="spellEnd"/>
      <w:r w:rsidRPr="00761B18">
        <w:rPr>
          <w:sz w:val="23"/>
          <w:szCs w:val="23"/>
        </w:rPr>
        <w:t xml:space="preserve"> Simpson, E., </w:t>
      </w:r>
      <w:proofErr w:type="spellStart"/>
      <w:r w:rsidRPr="00761B18">
        <w:rPr>
          <w:sz w:val="23"/>
          <w:szCs w:val="23"/>
        </w:rPr>
        <w:t>Boffey</w:t>
      </w:r>
      <w:proofErr w:type="spellEnd"/>
      <w:r w:rsidRPr="00761B18">
        <w:rPr>
          <w:sz w:val="23"/>
          <w:szCs w:val="23"/>
        </w:rPr>
        <w:t xml:space="preserve">, E., Markham, J., &amp; Vince, A. (2014). Predictors of adolescents' academic motivation: Personality, self-efficacy and adolescents' characteristics. </w:t>
      </w:r>
      <w:r w:rsidRPr="00761B18">
        <w:rPr>
          <w:i/>
          <w:iCs/>
          <w:sz w:val="23"/>
          <w:szCs w:val="23"/>
        </w:rPr>
        <w:t>Learning and Individual Differences, 32</w:t>
      </w:r>
      <w:r w:rsidRPr="00761B18">
        <w:rPr>
          <w:sz w:val="23"/>
          <w:szCs w:val="23"/>
        </w:rPr>
        <w:t xml:space="preserve">, 278–286. </w:t>
      </w:r>
      <w:hyperlink r:id="rId89" w:history="1">
        <w:r w:rsidRPr="004D11EC">
          <w:rPr>
            <w:rStyle w:val="Hyperlink"/>
            <w:sz w:val="23"/>
            <w:szCs w:val="23"/>
          </w:rPr>
          <w:t>https://doi.org/10.1016/j.lindif.2014.03.022</w:t>
        </w:r>
      </w:hyperlink>
      <w:r w:rsidRPr="00761B18">
        <w:rPr>
          <w:sz w:val="23"/>
          <w:szCs w:val="23"/>
        </w:rPr>
        <w:t xml:space="preserve"> </w:t>
      </w:r>
    </w:p>
    <w:p w:rsidR="006C2660" w:rsidRDefault="006C2660" w:rsidP="006C2660">
      <w:pPr>
        <w:spacing w:line="240" w:lineRule="auto"/>
        <w:ind w:left="426" w:hanging="426"/>
        <w:jc w:val="both"/>
        <w:rPr>
          <w:sz w:val="24"/>
          <w:szCs w:val="24"/>
        </w:rPr>
      </w:pPr>
      <w:r w:rsidRPr="00B27BDC">
        <w:rPr>
          <w:sz w:val="24"/>
          <w:szCs w:val="24"/>
        </w:rPr>
        <w:t xml:space="preserve">Miller, L. D., </w:t>
      </w:r>
      <w:proofErr w:type="spellStart"/>
      <w:r w:rsidRPr="00B27BDC">
        <w:rPr>
          <w:sz w:val="24"/>
          <w:szCs w:val="24"/>
        </w:rPr>
        <w:t>Soh</w:t>
      </w:r>
      <w:proofErr w:type="spellEnd"/>
      <w:r w:rsidRPr="00B27BDC">
        <w:rPr>
          <w:sz w:val="24"/>
          <w:szCs w:val="24"/>
        </w:rPr>
        <w:t xml:space="preserve">, L. K., </w:t>
      </w:r>
      <w:proofErr w:type="spellStart"/>
      <w:r w:rsidRPr="00B27BDC">
        <w:rPr>
          <w:sz w:val="24"/>
          <w:szCs w:val="24"/>
        </w:rPr>
        <w:t>Chiriacescu</w:t>
      </w:r>
      <w:proofErr w:type="spellEnd"/>
      <w:r w:rsidRPr="00B27BDC">
        <w:rPr>
          <w:sz w:val="24"/>
          <w:szCs w:val="24"/>
        </w:rPr>
        <w:t xml:space="preserve">, V., Ingraham, E., Shell, D. F., Ramsay, S., &amp; </w:t>
      </w:r>
      <w:proofErr w:type="spellStart"/>
      <w:r w:rsidRPr="00B27BDC">
        <w:rPr>
          <w:sz w:val="24"/>
          <w:szCs w:val="24"/>
        </w:rPr>
        <w:t>Hazley</w:t>
      </w:r>
      <w:proofErr w:type="spellEnd"/>
      <w:r w:rsidRPr="00B27BDC">
        <w:rPr>
          <w:sz w:val="24"/>
          <w:szCs w:val="24"/>
        </w:rPr>
        <w:t>, M.</w:t>
      </w:r>
      <w:r w:rsidRPr="00B27BDC">
        <w:rPr>
          <w:rFonts w:hint="cs"/>
          <w:sz w:val="24"/>
          <w:szCs w:val="24"/>
          <w:rtl/>
        </w:rPr>
        <w:t xml:space="preserve"> </w:t>
      </w:r>
      <w:r w:rsidRPr="00B27BDC">
        <w:rPr>
          <w:sz w:val="24"/>
          <w:szCs w:val="24"/>
        </w:rPr>
        <w:t xml:space="preserve">P. (2013). Improving learning of computational thinking using creative thinking exercises in CS-1 </w:t>
      </w:r>
      <w:r w:rsidRPr="00474CFE">
        <w:rPr>
          <w:sz w:val="24"/>
          <w:szCs w:val="24"/>
        </w:rPr>
        <w:t xml:space="preserve">computer science courses. </w:t>
      </w:r>
      <w:r w:rsidRPr="00474CFE">
        <w:rPr>
          <w:i/>
          <w:iCs/>
          <w:sz w:val="24"/>
          <w:szCs w:val="24"/>
        </w:rPr>
        <w:t>IEEE Frontiers in Education Conference</w:t>
      </w:r>
      <w:r>
        <w:rPr>
          <w:i/>
          <w:iCs/>
          <w:sz w:val="24"/>
          <w:szCs w:val="24"/>
        </w:rPr>
        <w:t xml:space="preserve"> (FIE)</w:t>
      </w:r>
      <w:r w:rsidRPr="00474CFE">
        <w:rPr>
          <w:i/>
          <w:iCs/>
          <w:sz w:val="24"/>
          <w:szCs w:val="24"/>
        </w:rPr>
        <w:t xml:space="preserve">, </w:t>
      </w:r>
      <w:r w:rsidRPr="00253589">
        <w:rPr>
          <w:sz w:val="24"/>
          <w:szCs w:val="24"/>
        </w:rPr>
        <w:t>Oklahoma City, OK, USA, 2013</w:t>
      </w:r>
      <w:r w:rsidRPr="00253589">
        <w:rPr>
          <w:i/>
          <w:iCs/>
          <w:sz w:val="24"/>
          <w:szCs w:val="24"/>
        </w:rPr>
        <w:t>,</w:t>
      </w:r>
      <w:r w:rsidRPr="00474CFE">
        <w:rPr>
          <w:i/>
          <w:iCs/>
          <w:sz w:val="24"/>
          <w:szCs w:val="24"/>
        </w:rPr>
        <w:t xml:space="preserve"> </w:t>
      </w:r>
      <w:r w:rsidRPr="00474CFE">
        <w:rPr>
          <w:sz w:val="24"/>
          <w:szCs w:val="24"/>
        </w:rPr>
        <w:t>(pp. 1426-1432).</w:t>
      </w:r>
      <w:r w:rsidRPr="00253589">
        <w:t xml:space="preserve"> </w:t>
      </w:r>
      <w:hyperlink r:id="rId90" w:history="1">
        <w:r w:rsidRPr="00FF30D8">
          <w:rPr>
            <w:rStyle w:val="Hyperlink"/>
            <w:sz w:val="24"/>
            <w:szCs w:val="24"/>
          </w:rPr>
          <w:t>https://doi.org/10.1109/FIE.2013.6685067</w:t>
        </w:r>
      </w:hyperlink>
    </w:p>
    <w:p w:rsidR="006C2660" w:rsidRDefault="006C2660" w:rsidP="006C2660">
      <w:pPr>
        <w:spacing w:line="240" w:lineRule="auto"/>
        <w:ind w:left="426" w:hanging="426"/>
        <w:jc w:val="both"/>
        <w:rPr>
          <w:rtl/>
          <w:lang w:bidi="ar-EG"/>
        </w:rPr>
      </w:pPr>
      <w:proofErr w:type="spellStart"/>
      <w:r w:rsidRPr="00AC5A19">
        <w:rPr>
          <w:lang w:bidi="ar-EG"/>
        </w:rPr>
        <w:t>Mindetbay</w:t>
      </w:r>
      <w:proofErr w:type="spellEnd"/>
      <w:r w:rsidRPr="00AC5A19">
        <w:rPr>
          <w:lang w:bidi="ar-EG"/>
        </w:rPr>
        <w:t xml:space="preserve">, Y., </w:t>
      </w:r>
      <w:proofErr w:type="spellStart"/>
      <w:r w:rsidRPr="00AC5A19">
        <w:rPr>
          <w:lang w:bidi="ar-EG"/>
        </w:rPr>
        <w:t>Bokhove</w:t>
      </w:r>
      <w:proofErr w:type="spellEnd"/>
      <w:r w:rsidRPr="00AC5A19">
        <w:rPr>
          <w:lang w:bidi="ar-EG"/>
        </w:rPr>
        <w:t xml:space="preserve">, C., &amp; </w:t>
      </w:r>
      <w:proofErr w:type="spellStart"/>
      <w:r w:rsidRPr="00AC5A19">
        <w:rPr>
          <w:lang w:bidi="ar-EG"/>
        </w:rPr>
        <w:t>Woollard</w:t>
      </w:r>
      <w:proofErr w:type="spellEnd"/>
      <w:r w:rsidRPr="00AC5A19">
        <w:rPr>
          <w:lang w:bidi="ar-EG"/>
        </w:rPr>
        <w:t>, J. (2019). What is the Relationship between Students’ Computational Thinking Performance and School Achievement?. </w:t>
      </w:r>
      <w:r w:rsidRPr="00AC5A19">
        <w:rPr>
          <w:i/>
          <w:iCs/>
          <w:lang w:bidi="ar-EG"/>
        </w:rPr>
        <w:t>International Journal of Computer Science Education in Schools</w:t>
      </w:r>
      <w:r w:rsidRPr="00AC5A19">
        <w:rPr>
          <w:lang w:bidi="ar-EG"/>
        </w:rPr>
        <w:t>, </w:t>
      </w:r>
      <w:r w:rsidRPr="00AC5A19">
        <w:rPr>
          <w:i/>
          <w:iCs/>
          <w:lang w:bidi="ar-EG"/>
        </w:rPr>
        <w:t xml:space="preserve">2 </w:t>
      </w:r>
      <w:r w:rsidRPr="00AC5A19">
        <w:rPr>
          <w:lang w:bidi="ar-EG"/>
        </w:rPr>
        <w:t xml:space="preserve">(5), 3–19. </w:t>
      </w:r>
      <w:hyperlink r:id="rId91" w:history="1">
        <w:r w:rsidRPr="000060B9">
          <w:rPr>
            <w:rStyle w:val="Hyperlink"/>
            <w:lang w:bidi="ar-EG"/>
          </w:rPr>
          <w:t>https://doi.org/10.21585/ijcses.v0i0.45</w:t>
        </w:r>
      </w:hyperlink>
    </w:p>
    <w:p w:rsidR="006C2660" w:rsidRPr="00D859C9" w:rsidRDefault="006C2660" w:rsidP="006C2660">
      <w:pPr>
        <w:spacing w:line="240" w:lineRule="auto"/>
        <w:ind w:left="426" w:hanging="426"/>
        <w:jc w:val="both"/>
        <w:rPr>
          <w:sz w:val="23"/>
          <w:szCs w:val="23"/>
        </w:rPr>
      </w:pPr>
      <w:proofErr w:type="spellStart"/>
      <w:r w:rsidRPr="00D5002B">
        <w:rPr>
          <w:lang w:bidi="ar-EG"/>
        </w:rPr>
        <w:t>Mohtasham</w:t>
      </w:r>
      <w:proofErr w:type="spellEnd"/>
      <w:r w:rsidRPr="00D859C9">
        <w:rPr>
          <w:sz w:val="23"/>
          <w:szCs w:val="23"/>
        </w:rPr>
        <w:t xml:space="preserve">, S., </w:t>
      </w:r>
      <w:proofErr w:type="spellStart"/>
      <w:r w:rsidRPr="00D859C9">
        <w:rPr>
          <w:sz w:val="23"/>
          <w:szCs w:val="23"/>
        </w:rPr>
        <w:t>Hatami</w:t>
      </w:r>
      <w:proofErr w:type="spellEnd"/>
      <w:r w:rsidRPr="00D859C9">
        <w:rPr>
          <w:sz w:val="23"/>
          <w:szCs w:val="23"/>
        </w:rPr>
        <w:t xml:space="preserve"> Rad, S. S., </w:t>
      </w:r>
      <w:proofErr w:type="spellStart"/>
      <w:r w:rsidRPr="00D859C9">
        <w:rPr>
          <w:sz w:val="23"/>
          <w:szCs w:val="23"/>
        </w:rPr>
        <w:t>Hormozi</w:t>
      </w:r>
      <w:proofErr w:type="spellEnd"/>
      <w:r w:rsidRPr="00D859C9">
        <w:rPr>
          <w:sz w:val="23"/>
          <w:szCs w:val="23"/>
        </w:rPr>
        <w:t xml:space="preserve">, A., </w:t>
      </w:r>
      <w:proofErr w:type="spellStart"/>
      <w:r w:rsidRPr="00D859C9">
        <w:rPr>
          <w:sz w:val="23"/>
          <w:szCs w:val="23"/>
        </w:rPr>
        <w:t>Moodi</w:t>
      </w:r>
      <w:proofErr w:type="spellEnd"/>
      <w:r w:rsidRPr="00D859C9">
        <w:rPr>
          <w:sz w:val="23"/>
          <w:szCs w:val="23"/>
        </w:rPr>
        <w:t xml:space="preserve"> </w:t>
      </w:r>
      <w:proofErr w:type="spellStart"/>
      <w:r w:rsidRPr="00D859C9">
        <w:rPr>
          <w:sz w:val="23"/>
          <w:szCs w:val="23"/>
        </w:rPr>
        <w:t>Ghalibaf</w:t>
      </w:r>
      <w:proofErr w:type="spellEnd"/>
      <w:r w:rsidRPr="00D859C9">
        <w:rPr>
          <w:sz w:val="23"/>
          <w:szCs w:val="23"/>
        </w:rPr>
        <w:t xml:space="preserve">, A., &amp; </w:t>
      </w:r>
      <w:proofErr w:type="spellStart"/>
      <w:r w:rsidRPr="00D859C9">
        <w:rPr>
          <w:sz w:val="23"/>
          <w:szCs w:val="23"/>
        </w:rPr>
        <w:t>Mohammadi</w:t>
      </w:r>
      <w:proofErr w:type="spellEnd"/>
      <w:r w:rsidRPr="00D859C9">
        <w:rPr>
          <w:sz w:val="23"/>
          <w:szCs w:val="23"/>
        </w:rPr>
        <w:t>, Y. (2024). Academic Self-Efficacy and Psychological Well-Being in Medical Students: A cross-sectional study. </w:t>
      </w:r>
      <w:r w:rsidRPr="00D859C9">
        <w:rPr>
          <w:i/>
          <w:iCs/>
          <w:sz w:val="23"/>
          <w:szCs w:val="23"/>
        </w:rPr>
        <w:t>Canon Journal of Medicine</w:t>
      </w:r>
      <w:r w:rsidRPr="00D859C9">
        <w:rPr>
          <w:sz w:val="23"/>
          <w:szCs w:val="23"/>
        </w:rPr>
        <w:t>, </w:t>
      </w:r>
      <w:r w:rsidRPr="00D859C9">
        <w:rPr>
          <w:i/>
          <w:iCs/>
          <w:sz w:val="23"/>
          <w:szCs w:val="23"/>
        </w:rPr>
        <w:t>4</w:t>
      </w:r>
      <w:r w:rsidRPr="00D859C9">
        <w:rPr>
          <w:sz w:val="23"/>
          <w:szCs w:val="23"/>
        </w:rPr>
        <w:t xml:space="preserve">(3), 87-90. </w:t>
      </w:r>
      <w:hyperlink r:id="rId92" w:history="1">
        <w:r w:rsidRPr="00D859C9">
          <w:rPr>
            <w:rStyle w:val="Hyperlink"/>
            <w:sz w:val="23"/>
            <w:szCs w:val="23"/>
          </w:rPr>
          <w:t>https://doi.org/10.30477/cjm.2024.418330.1065</w:t>
        </w:r>
      </w:hyperlink>
    </w:p>
    <w:p w:rsidR="006C2660" w:rsidRPr="003066B0" w:rsidRDefault="006C2660" w:rsidP="006C2660">
      <w:pPr>
        <w:spacing w:line="240" w:lineRule="auto"/>
        <w:ind w:left="426" w:hanging="426"/>
        <w:jc w:val="both"/>
        <w:rPr>
          <w:sz w:val="23"/>
          <w:szCs w:val="23"/>
        </w:rPr>
      </w:pPr>
      <w:proofErr w:type="spellStart"/>
      <w:r w:rsidRPr="00D5002B">
        <w:rPr>
          <w:lang w:bidi="ar-EG"/>
        </w:rPr>
        <w:t>Moliner</w:t>
      </w:r>
      <w:proofErr w:type="spellEnd"/>
      <w:r w:rsidRPr="003066B0">
        <w:rPr>
          <w:sz w:val="23"/>
          <w:szCs w:val="23"/>
        </w:rPr>
        <w:t xml:space="preserve">, L., </w:t>
      </w:r>
      <w:proofErr w:type="spellStart"/>
      <w:r w:rsidRPr="003066B0">
        <w:rPr>
          <w:sz w:val="23"/>
          <w:szCs w:val="23"/>
        </w:rPr>
        <w:t>Alegre</w:t>
      </w:r>
      <w:proofErr w:type="spellEnd"/>
      <w:r w:rsidRPr="003066B0">
        <w:rPr>
          <w:sz w:val="23"/>
          <w:szCs w:val="23"/>
        </w:rPr>
        <w:t xml:space="preserve">, F., </w:t>
      </w:r>
      <w:proofErr w:type="spellStart"/>
      <w:r w:rsidRPr="003066B0">
        <w:rPr>
          <w:sz w:val="23"/>
          <w:szCs w:val="23"/>
        </w:rPr>
        <w:t>Cabedo</w:t>
      </w:r>
      <w:proofErr w:type="spellEnd"/>
      <w:r w:rsidRPr="003066B0">
        <w:rPr>
          <w:sz w:val="23"/>
          <w:szCs w:val="23"/>
        </w:rPr>
        <w:t xml:space="preserve">-Mas, A. &amp; </w:t>
      </w:r>
      <w:proofErr w:type="spellStart"/>
      <w:r w:rsidRPr="003066B0">
        <w:rPr>
          <w:sz w:val="23"/>
          <w:szCs w:val="23"/>
        </w:rPr>
        <w:t>Chiva-Bartoll</w:t>
      </w:r>
      <w:proofErr w:type="spellEnd"/>
      <w:r w:rsidRPr="003066B0">
        <w:rPr>
          <w:sz w:val="23"/>
          <w:szCs w:val="23"/>
        </w:rPr>
        <w:t xml:space="preserve">, O. (2021). Social Well-Being at School: Development and Validation of a Scale for Primary Education Students. </w:t>
      </w:r>
      <w:r w:rsidRPr="003066B0">
        <w:rPr>
          <w:i/>
          <w:iCs/>
          <w:sz w:val="23"/>
          <w:szCs w:val="23"/>
        </w:rPr>
        <w:t>Front. Educ. 6</w:t>
      </w:r>
      <w:r w:rsidRPr="003066B0">
        <w:rPr>
          <w:sz w:val="23"/>
          <w:szCs w:val="23"/>
        </w:rPr>
        <w:t xml:space="preserve">:800248. </w:t>
      </w:r>
      <w:hyperlink r:id="rId93" w:history="1">
        <w:r w:rsidRPr="003066B0">
          <w:rPr>
            <w:rStyle w:val="Hyperlink"/>
            <w:sz w:val="23"/>
            <w:szCs w:val="23"/>
          </w:rPr>
          <w:t>https://doi.org/10.3389/feduc.2021.800248</w:t>
        </w:r>
      </w:hyperlink>
    </w:p>
    <w:p w:rsidR="006C2660" w:rsidRPr="006C374A" w:rsidRDefault="006C2660" w:rsidP="006C2660">
      <w:pPr>
        <w:spacing w:line="240" w:lineRule="auto"/>
        <w:ind w:left="426" w:hanging="426"/>
        <w:jc w:val="both"/>
        <w:rPr>
          <w:rFonts w:cs="Minion Pro"/>
          <w:color w:val="000000"/>
          <w:sz w:val="24"/>
          <w:szCs w:val="24"/>
          <w:rtl/>
        </w:rPr>
      </w:pPr>
      <w:r w:rsidRPr="006C374A">
        <w:rPr>
          <w:rFonts w:cs="Minion Pro"/>
          <w:color w:val="000000"/>
          <w:sz w:val="24"/>
          <w:szCs w:val="24"/>
        </w:rPr>
        <w:t xml:space="preserve">Moore, T. J., </w:t>
      </w:r>
      <w:proofErr w:type="spellStart"/>
      <w:r w:rsidRPr="006C374A">
        <w:rPr>
          <w:rFonts w:cs="Minion Pro"/>
          <w:color w:val="000000"/>
          <w:sz w:val="24"/>
          <w:szCs w:val="24"/>
        </w:rPr>
        <w:t>Brophy</w:t>
      </w:r>
      <w:proofErr w:type="spellEnd"/>
      <w:r w:rsidRPr="006C374A">
        <w:rPr>
          <w:rFonts w:cs="Minion Pro"/>
          <w:color w:val="000000"/>
          <w:sz w:val="24"/>
          <w:szCs w:val="24"/>
        </w:rPr>
        <w:t xml:space="preserve">, S. P., Tank, K. M., Lopez, R. D., Johnston, A. C., Hynes, M. M., &amp; </w:t>
      </w:r>
      <w:proofErr w:type="spellStart"/>
      <w:r w:rsidRPr="006C374A">
        <w:rPr>
          <w:rFonts w:cs="Minion Pro"/>
          <w:color w:val="000000"/>
          <w:sz w:val="24"/>
          <w:szCs w:val="24"/>
        </w:rPr>
        <w:t>Gajdzik</w:t>
      </w:r>
      <w:proofErr w:type="spellEnd"/>
      <w:r w:rsidRPr="006C374A">
        <w:rPr>
          <w:rFonts w:cs="Minion Pro"/>
          <w:color w:val="000000"/>
          <w:sz w:val="24"/>
          <w:szCs w:val="24"/>
        </w:rPr>
        <w:t xml:space="preserve">, E. (2020). Multiple representations in computational thinking tasks: a clinical study of second-grade students. </w:t>
      </w:r>
      <w:r w:rsidRPr="006C374A">
        <w:rPr>
          <w:rFonts w:cs="Minion Pro"/>
          <w:i/>
          <w:iCs/>
          <w:color w:val="000000"/>
          <w:sz w:val="24"/>
          <w:szCs w:val="24"/>
        </w:rPr>
        <w:t>Journal of Science Education and Technology</w:t>
      </w:r>
      <w:r w:rsidRPr="006C374A">
        <w:rPr>
          <w:rFonts w:cs="Minion Pro"/>
          <w:color w:val="000000"/>
          <w:sz w:val="24"/>
          <w:szCs w:val="24"/>
        </w:rPr>
        <w:t xml:space="preserve">, </w:t>
      </w:r>
      <w:r w:rsidRPr="006C374A">
        <w:rPr>
          <w:rFonts w:cs="Minion Pro"/>
          <w:i/>
          <w:iCs/>
          <w:color w:val="000000"/>
          <w:sz w:val="24"/>
          <w:szCs w:val="24"/>
        </w:rPr>
        <w:t>29</w:t>
      </w:r>
      <w:r w:rsidRPr="006C374A">
        <w:rPr>
          <w:rFonts w:cs="Minion Pro"/>
          <w:color w:val="000000"/>
          <w:sz w:val="24"/>
          <w:szCs w:val="24"/>
        </w:rPr>
        <w:t xml:space="preserve">(1), 19-34. </w:t>
      </w:r>
      <w:hyperlink r:id="rId94" w:history="1">
        <w:r w:rsidRPr="006C374A">
          <w:rPr>
            <w:rStyle w:val="Hyperlink"/>
            <w:rFonts w:cs="Minion Pro"/>
            <w:sz w:val="24"/>
            <w:szCs w:val="24"/>
          </w:rPr>
          <w:t>https://doi.org/10.1007/s10956-020-09812-0</w:t>
        </w:r>
      </w:hyperlink>
    </w:p>
    <w:p w:rsidR="006C2660" w:rsidRDefault="006C2660" w:rsidP="006C2660">
      <w:pPr>
        <w:spacing w:line="240" w:lineRule="auto"/>
        <w:ind w:left="426" w:hanging="426"/>
        <w:jc w:val="both"/>
        <w:rPr>
          <w:rStyle w:val="Hyperlink"/>
          <w:rFonts w:cs="Minion Pro"/>
          <w:sz w:val="24"/>
          <w:szCs w:val="24"/>
          <w:rtl/>
        </w:rPr>
      </w:pPr>
      <w:proofErr w:type="spellStart"/>
      <w:r w:rsidRPr="00D5002B">
        <w:rPr>
          <w:rFonts w:cs="Minion Pro"/>
          <w:color w:val="000000"/>
          <w:sz w:val="24"/>
          <w:szCs w:val="24"/>
        </w:rPr>
        <w:t>Murnieks</w:t>
      </w:r>
      <w:proofErr w:type="spellEnd"/>
      <w:r w:rsidRPr="005D568A">
        <w:rPr>
          <w:rFonts w:cs="Minion Pro"/>
          <w:sz w:val="24"/>
          <w:szCs w:val="24"/>
        </w:rPr>
        <w:t xml:space="preserve">, C. Y., Klotz, A. C., &amp; Shepherd, D. A. (2020). Entrepreneurial motivation: A review of </w:t>
      </w:r>
      <w:r w:rsidRPr="00474CFE">
        <w:rPr>
          <w:rFonts w:cs="Minion Pro"/>
          <w:color w:val="000000"/>
          <w:sz w:val="24"/>
          <w:szCs w:val="24"/>
        </w:rPr>
        <w:t xml:space="preserve">the literature and an agenda for future research. </w:t>
      </w:r>
      <w:r w:rsidRPr="00474CFE">
        <w:rPr>
          <w:rFonts w:cs="Minion Pro"/>
          <w:i/>
          <w:iCs/>
          <w:color w:val="000000"/>
          <w:sz w:val="24"/>
          <w:szCs w:val="24"/>
        </w:rPr>
        <w:t>Journal of Organizational Behavior</w:t>
      </w:r>
      <w:r w:rsidRPr="00474CFE">
        <w:rPr>
          <w:rFonts w:cs="Minion Pro"/>
          <w:color w:val="000000"/>
          <w:sz w:val="24"/>
          <w:szCs w:val="24"/>
        </w:rPr>
        <w:t xml:space="preserve">, </w:t>
      </w:r>
      <w:r w:rsidRPr="00474CFE">
        <w:rPr>
          <w:rFonts w:cs="Minion Pro"/>
          <w:i/>
          <w:iCs/>
          <w:color w:val="000000"/>
          <w:sz w:val="24"/>
          <w:szCs w:val="24"/>
        </w:rPr>
        <w:t>41</w:t>
      </w:r>
      <w:r w:rsidRPr="00474CFE">
        <w:rPr>
          <w:rFonts w:cs="Minion Pro"/>
          <w:color w:val="000000"/>
          <w:sz w:val="24"/>
          <w:szCs w:val="24"/>
        </w:rPr>
        <w:t xml:space="preserve">(2), 115-143. </w:t>
      </w:r>
      <w:hyperlink r:id="rId95" w:history="1">
        <w:r w:rsidRPr="00474CFE">
          <w:rPr>
            <w:rStyle w:val="Hyperlink"/>
            <w:rFonts w:cs="Minion Pro"/>
            <w:sz w:val="24"/>
            <w:szCs w:val="24"/>
          </w:rPr>
          <w:t>https://doi.org/10.1002/job.2374</w:t>
        </w:r>
      </w:hyperlink>
    </w:p>
    <w:p w:rsidR="006C2660" w:rsidRPr="003066B0" w:rsidRDefault="006C2660" w:rsidP="006C2660">
      <w:pPr>
        <w:spacing w:line="240" w:lineRule="auto"/>
        <w:ind w:left="426" w:hanging="426"/>
        <w:jc w:val="both"/>
        <w:rPr>
          <w:sz w:val="23"/>
          <w:szCs w:val="23"/>
          <w:rtl/>
        </w:rPr>
      </w:pPr>
      <w:proofErr w:type="spellStart"/>
      <w:r w:rsidRPr="00D5002B">
        <w:rPr>
          <w:lang w:bidi="ar-EG"/>
        </w:rPr>
        <w:t>Nainian</w:t>
      </w:r>
      <w:proofErr w:type="spellEnd"/>
      <w:r w:rsidRPr="003066B0">
        <w:rPr>
          <w:sz w:val="23"/>
          <w:szCs w:val="23"/>
        </w:rPr>
        <w:t xml:space="preserve">, M., </w:t>
      </w:r>
      <w:proofErr w:type="spellStart"/>
      <w:r w:rsidRPr="003066B0">
        <w:rPr>
          <w:sz w:val="23"/>
          <w:szCs w:val="23"/>
        </w:rPr>
        <w:t>Nik</w:t>
      </w:r>
      <w:proofErr w:type="spellEnd"/>
      <w:r w:rsidRPr="003066B0">
        <w:rPr>
          <w:sz w:val="23"/>
          <w:szCs w:val="23"/>
        </w:rPr>
        <w:t xml:space="preserve"> </w:t>
      </w:r>
      <w:proofErr w:type="spellStart"/>
      <w:r w:rsidRPr="003066B0">
        <w:rPr>
          <w:sz w:val="23"/>
          <w:szCs w:val="23"/>
        </w:rPr>
        <w:t>Azin</w:t>
      </w:r>
      <w:proofErr w:type="spellEnd"/>
      <w:r w:rsidRPr="003066B0">
        <w:rPr>
          <w:sz w:val="23"/>
          <w:szCs w:val="23"/>
        </w:rPr>
        <w:t xml:space="preserve">, A., </w:t>
      </w:r>
      <w:proofErr w:type="spellStart"/>
      <w:r w:rsidRPr="003066B0">
        <w:rPr>
          <w:sz w:val="23"/>
          <w:szCs w:val="23"/>
        </w:rPr>
        <w:t>Shairi</w:t>
      </w:r>
      <w:proofErr w:type="spellEnd"/>
      <w:r w:rsidRPr="003066B0">
        <w:rPr>
          <w:sz w:val="23"/>
          <w:szCs w:val="23"/>
        </w:rPr>
        <w:t xml:space="preserve">, M., &amp; </w:t>
      </w:r>
      <w:proofErr w:type="spellStart"/>
      <w:r w:rsidRPr="003066B0">
        <w:rPr>
          <w:sz w:val="23"/>
          <w:szCs w:val="23"/>
        </w:rPr>
        <w:t>Rajabi</w:t>
      </w:r>
      <w:proofErr w:type="spellEnd"/>
      <w:r w:rsidRPr="003066B0">
        <w:rPr>
          <w:sz w:val="23"/>
          <w:szCs w:val="23"/>
        </w:rPr>
        <w:t xml:space="preserve">, M. (2017). Reliability and Validity of Adults Personal Wellbeing Index. </w:t>
      </w:r>
      <w:r w:rsidRPr="003066B0">
        <w:rPr>
          <w:i/>
          <w:iCs/>
          <w:sz w:val="23"/>
          <w:szCs w:val="23"/>
        </w:rPr>
        <w:t>Biannual Journal of Clinical Psychology &amp; Personality, 15</w:t>
      </w:r>
      <w:r w:rsidRPr="003066B0">
        <w:rPr>
          <w:sz w:val="23"/>
          <w:szCs w:val="23"/>
        </w:rPr>
        <w:t xml:space="preserve">(1), 189-199. </w:t>
      </w:r>
      <w:hyperlink r:id="rId96" w:history="1">
        <w:r w:rsidRPr="003066B0">
          <w:rPr>
            <w:rStyle w:val="Hyperlink"/>
            <w:sz w:val="23"/>
            <w:szCs w:val="23"/>
          </w:rPr>
          <w:t>https://20.1001.1.23452188.1396.15.1.18.2</w:t>
        </w:r>
      </w:hyperlink>
    </w:p>
    <w:p w:rsidR="006C2660" w:rsidRDefault="006C2660" w:rsidP="006C2660">
      <w:pPr>
        <w:spacing w:line="240" w:lineRule="auto"/>
        <w:ind w:left="426" w:hanging="426"/>
        <w:jc w:val="both"/>
        <w:rPr>
          <w:rFonts w:ascii="Times New Roman" w:eastAsia="Calibri" w:hAnsi="Times New Roman" w:cs="Traditional Arabic"/>
          <w:color w:val="FF0000"/>
          <w:sz w:val="24"/>
          <w:szCs w:val="24"/>
        </w:rPr>
      </w:pPr>
      <w:proofErr w:type="spellStart"/>
      <w:r w:rsidRPr="00B27BDC">
        <w:rPr>
          <w:rFonts w:ascii="Times New Roman" w:eastAsia="Calibri" w:hAnsi="Times New Roman" w:cs="Traditional Arabic"/>
          <w:sz w:val="24"/>
          <w:szCs w:val="24"/>
        </w:rPr>
        <w:lastRenderedPageBreak/>
        <w:t>Nordén</w:t>
      </w:r>
      <w:proofErr w:type="spellEnd"/>
      <w:r w:rsidRPr="00B27BDC">
        <w:rPr>
          <w:rFonts w:ascii="Times New Roman" w:eastAsia="Calibri" w:hAnsi="Times New Roman" w:cs="Traditional Arabic"/>
          <w:sz w:val="24"/>
          <w:szCs w:val="24"/>
        </w:rPr>
        <w:t xml:space="preserve">, L-Å., </w:t>
      </w:r>
      <w:proofErr w:type="spellStart"/>
      <w:r w:rsidRPr="00B27BDC">
        <w:rPr>
          <w:rFonts w:ascii="Times New Roman" w:eastAsia="Calibri" w:hAnsi="Times New Roman" w:cs="Traditional Arabic"/>
          <w:sz w:val="24"/>
          <w:szCs w:val="24"/>
        </w:rPr>
        <w:t>Mannila</w:t>
      </w:r>
      <w:proofErr w:type="spellEnd"/>
      <w:r w:rsidRPr="00B27BDC">
        <w:rPr>
          <w:rFonts w:ascii="Times New Roman" w:eastAsia="Calibri" w:hAnsi="Times New Roman" w:cs="Traditional Arabic"/>
          <w:sz w:val="24"/>
          <w:szCs w:val="24"/>
        </w:rPr>
        <w:t xml:space="preserve">, L., </w:t>
      </w:r>
      <w:r>
        <w:rPr>
          <w:rFonts w:ascii="Times New Roman" w:eastAsia="Calibri" w:hAnsi="Times New Roman" w:cs="Traditional Arabic"/>
          <w:sz w:val="24"/>
          <w:szCs w:val="24"/>
        </w:rPr>
        <w:t xml:space="preserve">&amp; </w:t>
      </w:r>
      <w:r w:rsidRPr="00B27BDC">
        <w:rPr>
          <w:rFonts w:ascii="Times New Roman" w:eastAsia="Calibri" w:hAnsi="Times New Roman" w:cs="Traditional Arabic"/>
          <w:sz w:val="24"/>
          <w:szCs w:val="24"/>
        </w:rPr>
        <w:t xml:space="preserve">Pears, A. (2017). Development of a self-efficacy scale for digital competences in schools. In: In: </w:t>
      </w:r>
      <w:r w:rsidRPr="00B27BDC">
        <w:rPr>
          <w:rFonts w:ascii="Times New Roman" w:eastAsia="Calibri" w:hAnsi="Times New Roman" w:cs="Traditional Arabic"/>
          <w:i/>
          <w:iCs/>
          <w:sz w:val="24"/>
          <w:szCs w:val="24"/>
        </w:rPr>
        <w:t>2017 IEEE Frontiers in Education Conference (FIE): Proc. 47th ASEE/IEEE Frontiers in Education Conference</w:t>
      </w:r>
      <w:r w:rsidRPr="00B27BDC">
        <w:rPr>
          <w:rFonts w:ascii="Times New Roman" w:eastAsia="Calibri" w:hAnsi="Times New Roman" w:cs="Traditional Arabic"/>
          <w:sz w:val="24"/>
          <w:szCs w:val="24"/>
        </w:rPr>
        <w:t xml:space="preserve">, IEEE Press, 2017. </w:t>
      </w:r>
      <w:hyperlink r:id="rId97" w:history="1">
        <w:r w:rsidRPr="00A37A67">
          <w:rPr>
            <w:rStyle w:val="Hyperlink"/>
            <w:rFonts w:ascii="Times New Roman" w:eastAsia="Calibri" w:hAnsi="Times New Roman" w:cs="Traditional Arabic"/>
            <w:sz w:val="24"/>
            <w:szCs w:val="24"/>
          </w:rPr>
          <w:t>https://doi.org/10.1109/FIE.2017.8190673</w:t>
        </w:r>
      </w:hyperlink>
    </w:p>
    <w:p w:rsidR="006C2660" w:rsidRDefault="006C2660" w:rsidP="006C2660">
      <w:pPr>
        <w:spacing w:line="240" w:lineRule="auto"/>
        <w:ind w:left="426" w:hanging="426"/>
        <w:jc w:val="both"/>
        <w:rPr>
          <w:lang w:bidi="ar-EG"/>
        </w:rPr>
      </w:pPr>
      <w:proofErr w:type="spellStart"/>
      <w:r w:rsidRPr="00D5002B">
        <w:rPr>
          <w:rFonts w:cs="Minion Pro"/>
          <w:color w:val="000000"/>
          <w:sz w:val="24"/>
          <w:szCs w:val="24"/>
        </w:rPr>
        <w:t>Odaci</w:t>
      </w:r>
      <w:proofErr w:type="spellEnd"/>
      <w:r w:rsidRPr="00E204E2">
        <w:rPr>
          <w:lang w:bidi="ar-EG"/>
        </w:rPr>
        <w:t>, H. (2013). Risk-Taking Behavior and Academic Self-Efficacy as Variables Accounting for</w:t>
      </w:r>
      <w:r>
        <w:rPr>
          <w:lang w:bidi="ar-EG"/>
        </w:rPr>
        <w:t xml:space="preserve"> </w:t>
      </w:r>
      <w:r w:rsidRPr="00E204E2">
        <w:rPr>
          <w:lang w:bidi="ar-EG"/>
        </w:rPr>
        <w:t xml:space="preserve">Problematic Internet Use in Adolescent University Students. </w:t>
      </w:r>
      <w:r w:rsidRPr="008A1C5C">
        <w:rPr>
          <w:i/>
          <w:iCs/>
          <w:lang w:bidi="ar-EG"/>
        </w:rPr>
        <w:t>Children and Youth Services Review, 35,</w:t>
      </w:r>
      <w:r w:rsidRPr="00E204E2">
        <w:rPr>
          <w:lang w:bidi="ar-EG"/>
        </w:rPr>
        <w:t xml:space="preserve"> 183-187. </w:t>
      </w:r>
      <w:r w:rsidRPr="008A1C5C">
        <w:rPr>
          <w:rStyle w:val="Hyperlink"/>
        </w:rPr>
        <w:t>https:/doi.org/10.1016/j.childyouth.2012.09.011</w:t>
      </w:r>
    </w:p>
    <w:p w:rsidR="006C2660" w:rsidRDefault="006C2660" w:rsidP="006C2660">
      <w:pPr>
        <w:spacing w:line="240" w:lineRule="auto"/>
        <w:ind w:left="426" w:hanging="426"/>
        <w:jc w:val="both"/>
        <w:rPr>
          <w:rFonts w:cs="Minion Pro"/>
          <w:color w:val="000000"/>
          <w:sz w:val="24"/>
          <w:szCs w:val="24"/>
        </w:rPr>
      </w:pPr>
      <w:proofErr w:type="spellStart"/>
      <w:r w:rsidRPr="003B595A">
        <w:rPr>
          <w:rFonts w:cs="Minion Pro"/>
          <w:color w:val="000000"/>
          <w:sz w:val="24"/>
          <w:szCs w:val="24"/>
        </w:rPr>
        <w:t>Özmen</w:t>
      </w:r>
      <w:proofErr w:type="spellEnd"/>
      <w:r w:rsidRPr="003B595A">
        <w:rPr>
          <w:rFonts w:cs="Minion Pro"/>
          <w:color w:val="000000"/>
          <w:sz w:val="24"/>
          <w:szCs w:val="24"/>
        </w:rPr>
        <w:t xml:space="preserve">, B., &amp; </w:t>
      </w:r>
      <w:proofErr w:type="spellStart"/>
      <w:r w:rsidRPr="003B595A">
        <w:rPr>
          <w:rFonts w:cs="Minion Pro"/>
          <w:color w:val="000000"/>
          <w:sz w:val="24"/>
          <w:szCs w:val="24"/>
        </w:rPr>
        <w:t>Altun</w:t>
      </w:r>
      <w:proofErr w:type="spellEnd"/>
      <w:r w:rsidRPr="003B595A">
        <w:rPr>
          <w:rFonts w:cs="Minion Pro"/>
          <w:color w:val="000000"/>
          <w:sz w:val="24"/>
          <w:szCs w:val="24"/>
        </w:rPr>
        <w:t xml:space="preserve">, A. (2014). Undergraduate Students’ Experiences in Programming: Difficulties and Obstacles. </w:t>
      </w:r>
      <w:r w:rsidRPr="003B595A">
        <w:rPr>
          <w:rFonts w:cs="Minion Pro"/>
          <w:i/>
          <w:iCs/>
          <w:color w:val="000000"/>
          <w:sz w:val="24"/>
          <w:szCs w:val="24"/>
        </w:rPr>
        <w:t>Turkish Online Journal of Qualitative Inquiry, 5</w:t>
      </w:r>
      <w:r>
        <w:rPr>
          <w:rFonts w:cs="Minion Pro"/>
          <w:i/>
          <w:iCs/>
          <w:color w:val="000000"/>
          <w:sz w:val="24"/>
          <w:szCs w:val="24"/>
        </w:rPr>
        <w:t xml:space="preserve"> </w:t>
      </w:r>
      <w:r w:rsidRPr="003B595A">
        <w:rPr>
          <w:rFonts w:cs="Minion Pro"/>
          <w:color w:val="000000"/>
          <w:sz w:val="24"/>
          <w:szCs w:val="24"/>
        </w:rPr>
        <w:t xml:space="preserve">(3), 1-27. </w:t>
      </w:r>
      <w:hyperlink r:id="rId98" w:history="1">
        <w:r w:rsidRPr="00FF30D8">
          <w:rPr>
            <w:rStyle w:val="Hyperlink"/>
            <w:rFonts w:cs="Minion Pro"/>
            <w:sz w:val="24"/>
            <w:szCs w:val="24"/>
          </w:rPr>
          <w:t>https://doi.org/10.17569/tojqi.20328</w:t>
        </w:r>
      </w:hyperlink>
    </w:p>
    <w:p w:rsidR="006C2660" w:rsidRPr="00137B33" w:rsidRDefault="006C2660" w:rsidP="006C2660">
      <w:pPr>
        <w:spacing w:line="240" w:lineRule="auto"/>
        <w:ind w:left="426" w:hanging="426"/>
        <w:jc w:val="both"/>
        <w:rPr>
          <w:rFonts w:asciiTheme="majorBidi" w:hAnsiTheme="majorBidi" w:cstheme="majorBidi"/>
          <w:color w:val="000000"/>
        </w:rPr>
      </w:pPr>
      <w:proofErr w:type="spellStart"/>
      <w:r w:rsidRPr="00D5002B">
        <w:rPr>
          <w:lang w:bidi="ar-EG"/>
        </w:rPr>
        <w:t>Pellas</w:t>
      </w:r>
      <w:proofErr w:type="spellEnd"/>
      <w:r w:rsidRPr="00137B33">
        <w:rPr>
          <w:rFonts w:asciiTheme="majorBidi" w:hAnsiTheme="majorBidi" w:cstheme="majorBidi"/>
          <w:color w:val="000000"/>
        </w:rPr>
        <w:t xml:space="preserve">, N. </w:t>
      </w:r>
      <w:r>
        <w:rPr>
          <w:rFonts w:asciiTheme="majorBidi" w:hAnsiTheme="majorBidi" w:cstheme="majorBidi"/>
          <w:color w:val="000000"/>
        </w:rPr>
        <w:t>&amp;</w:t>
      </w:r>
      <w:r w:rsidRPr="00137B33">
        <w:rPr>
          <w:rFonts w:asciiTheme="majorBidi" w:hAnsiTheme="majorBidi" w:cstheme="majorBidi"/>
          <w:color w:val="000000"/>
        </w:rPr>
        <w:t xml:space="preserve"> </w:t>
      </w:r>
      <w:proofErr w:type="spellStart"/>
      <w:r w:rsidRPr="00137B33">
        <w:rPr>
          <w:rFonts w:asciiTheme="majorBidi" w:hAnsiTheme="majorBidi" w:cstheme="majorBidi"/>
          <w:color w:val="000000"/>
        </w:rPr>
        <w:t>Kazanidis</w:t>
      </w:r>
      <w:proofErr w:type="spellEnd"/>
      <w:r w:rsidRPr="00137B33">
        <w:rPr>
          <w:rFonts w:asciiTheme="majorBidi" w:hAnsiTheme="majorBidi" w:cstheme="majorBidi"/>
          <w:color w:val="000000"/>
        </w:rPr>
        <w:t xml:space="preserve"> I. (2014) ‘The impact of computer self-efficacy, situational interest and academic self-concept in virtual communities of inquiry during the distance learning procedures through second life’, </w:t>
      </w:r>
      <w:r w:rsidRPr="00137B33">
        <w:rPr>
          <w:rFonts w:asciiTheme="majorBidi" w:hAnsiTheme="majorBidi" w:cstheme="majorBidi"/>
          <w:i/>
          <w:iCs/>
          <w:color w:val="000000"/>
        </w:rPr>
        <w:t>World Wide Web</w:t>
      </w:r>
      <w:r w:rsidRPr="00137B33">
        <w:rPr>
          <w:rFonts w:asciiTheme="majorBidi" w:hAnsiTheme="majorBidi" w:cstheme="majorBidi"/>
          <w:color w:val="000000"/>
        </w:rPr>
        <w:t xml:space="preserve">, Vol. 17, pp. 695–722. </w:t>
      </w:r>
      <w:hyperlink r:id="rId99" w:history="1">
        <w:r w:rsidRPr="00137B33">
          <w:rPr>
            <w:rStyle w:val="Hyperlink"/>
            <w:rFonts w:asciiTheme="majorBidi" w:hAnsiTheme="majorBidi" w:cstheme="majorBidi"/>
          </w:rPr>
          <w:t>https://doi.org/10.1007/s11280-013-0266-9</w:t>
        </w:r>
      </w:hyperlink>
    </w:p>
    <w:p w:rsidR="006C2660" w:rsidRDefault="006C2660" w:rsidP="006C2660">
      <w:pPr>
        <w:spacing w:line="240" w:lineRule="auto"/>
        <w:ind w:left="426" w:hanging="426"/>
        <w:jc w:val="both"/>
        <w:rPr>
          <w:rFonts w:cs="Minion Pro"/>
          <w:color w:val="FF0000"/>
          <w:sz w:val="24"/>
          <w:szCs w:val="24"/>
        </w:rPr>
      </w:pPr>
      <w:proofErr w:type="spellStart"/>
      <w:r w:rsidRPr="00B27BDC">
        <w:rPr>
          <w:rFonts w:ascii="Times New Roman" w:eastAsia="Calibri" w:hAnsi="Times New Roman" w:cs="Traditional Arabic"/>
          <w:sz w:val="24"/>
          <w:szCs w:val="24"/>
        </w:rPr>
        <w:t>Pewkam</w:t>
      </w:r>
      <w:proofErr w:type="spellEnd"/>
      <w:r w:rsidRPr="00B27BDC">
        <w:rPr>
          <w:rFonts w:cs="Minion Pro"/>
          <w:sz w:val="24"/>
          <w:szCs w:val="24"/>
        </w:rPr>
        <w:t xml:space="preserve">,  W., &amp; </w:t>
      </w:r>
      <w:proofErr w:type="spellStart"/>
      <w:r w:rsidRPr="00B27BDC">
        <w:rPr>
          <w:rFonts w:cs="Minion Pro"/>
          <w:sz w:val="24"/>
          <w:szCs w:val="24"/>
        </w:rPr>
        <w:t>Chamrat</w:t>
      </w:r>
      <w:proofErr w:type="spellEnd"/>
      <w:r w:rsidRPr="00B27BDC">
        <w:rPr>
          <w:rFonts w:cs="Minion Pro"/>
          <w:sz w:val="24"/>
          <w:szCs w:val="24"/>
        </w:rPr>
        <w:t xml:space="preserve">, S. (2022). Pre-Service Teacher Training Program of STEM-based Activities in Computing Science to Develop Computational Thinking. </w:t>
      </w:r>
      <w:r w:rsidRPr="00B27BDC">
        <w:rPr>
          <w:rFonts w:cs="Minion Pro"/>
          <w:i/>
          <w:iCs/>
          <w:sz w:val="24"/>
          <w:szCs w:val="24"/>
        </w:rPr>
        <w:t>Informatics in Education, 21</w:t>
      </w:r>
      <w:r w:rsidRPr="00B27BDC">
        <w:rPr>
          <w:rFonts w:cs="Minion Pro"/>
          <w:sz w:val="24"/>
          <w:szCs w:val="24"/>
        </w:rPr>
        <w:t xml:space="preserve"> (2), 311–329. </w:t>
      </w:r>
      <w:hyperlink r:id="rId100" w:history="1">
        <w:r w:rsidRPr="00A37A67">
          <w:rPr>
            <w:rStyle w:val="Hyperlink"/>
            <w:rFonts w:cs="Minion Pro"/>
            <w:sz w:val="24"/>
            <w:szCs w:val="24"/>
          </w:rPr>
          <w:t>https://doi.org/10.15388/infedu.2022.09</w:t>
        </w:r>
      </w:hyperlink>
    </w:p>
    <w:p w:rsidR="006C2660" w:rsidRPr="00CC4924" w:rsidRDefault="006C2660" w:rsidP="006C2660">
      <w:pPr>
        <w:spacing w:line="240" w:lineRule="auto"/>
        <w:ind w:left="426" w:hanging="426"/>
        <w:jc w:val="both"/>
        <w:rPr>
          <w:lang w:bidi="ar-EG"/>
        </w:rPr>
      </w:pPr>
      <w:proofErr w:type="spellStart"/>
      <w:r w:rsidRPr="00CC4924">
        <w:rPr>
          <w:lang w:bidi="ar-EG"/>
        </w:rPr>
        <w:t>Prabawa</w:t>
      </w:r>
      <w:proofErr w:type="spellEnd"/>
      <w:r w:rsidRPr="00CC4924">
        <w:rPr>
          <w:lang w:bidi="ar-EG"/>
        </w:rPr>
        <w:t xml:space="preserve">, H., </w:t>
      </w:r>
      <w:proofErr w:type="spellStart"/>
      <w:r w:rsidRPr="00CC4924">
        <w:rPr>
          <w:lang w:bidi="ar-EG"/>
        </w:rPr>
        <w:t>Rosjanuardi</w:t>
      </w:r>
      <w:proofErr w:type="spellEnd"/>
      <w:r w:rsidRPr="00CC4924">
        <w:rPr>
          <w:lang w:bidi="ar-EG"/>
        </w:rPr>
        <w:t xml:space="preserve">,  R. , &amp; </w:t>
      </w:r>
      <w:proofErr w:type="spellStart"/>
      <w:r w:rsidRPr="00CC4924">
        <w:rPr>
          <w:lang w:bidi="ar-EG"/>
        </w:rPr>
        <w:t>Nurlaelah</w:t>
      </w:r>
      <w:proofErr w:type="spellEnd"/>
      <w:r w:rsidRPr="00CC4924">
        <w:rPr>
          <w:lang w:bidi="ar-EG"/>
        </w:rPr>
        <w:t xml:space="preserve">, E. (2024). Computational Thinking Level of Student in Statistics Using Computational Thinking Scale. In; F. </w:t>
      </w:r>
      <w:proofErr w:type="spellStart"/>
      <w:r w:rsidRPr="00CC4924">
        <w:rPr>
          <w:lang w:bidi="ar-EG"/>
        </w:rPr>
        <w:t>Khoerunnisa</w:t>
      </w:r>
      <w:proofErr w:type="spellEnd"/>
      <w:r w:rsidRPr="00CC4924">
        <w:rPr>
          <w:lang w:bidi="ar-EG"/>
        </w:rPr>
        <w:t xml:space="preserve"> et al. (eds.), </w:t>
      </w:r>
      <w:r w:rsidRPr="00CC4924">
        <w:rPr>
          <w:i/>
          <w:iCs/>
          <w:lang w:bidi="ar-EG"/>
        </w:rPr>
        <w:t>Proceedings of the 9th Mathematics, Science, and Computer Science Education International Seminar (MSCEIS 2023)</w:t>
      </w:r>
      <w:r w:rsidRPr="00CC4924">
        <w:rPr>
          <w:lang w:bidi="ar-EG"/>
        </w:rPr>
        <w:t xml:space="preserve">, Advances in Social Science, Education and Humanities Research 860. </w:t>
      </w:r>
      <w:hyperlink r:id="rId101" w:history="1">
        <w:r w:rsidRPr="00CC4924">
          <w:rPr>
            <w:rStyle w:val="Hyperlink"/>
            <w:lang w:bidi="ar-EG"/>
          </w:rPr>
          <w:t>https://doi.org/10.2991/978-2-38476-283-5_9</w:t>
        </w:r>
      </w:hyperlink>
    </w:p>
    <w:p w:rsidR="006C2660" w:rsidRDefault="006C2660" w:rsidP="006C2660">
      <w:pPr>
        <w:spacing w:line="240" w:lineRule="auto"/>
        <w:ind w:left="426" w:hanging="426"/>
        <w:jc w:val="both"/>
        <w:rPr>
          <w:rFonts w:cs="Minion Pro"/>
          <w:color w:val="000000"/>
          <w:sz w:val="24"/>
          <w:szCs w:val="24"/>
        </w:rPr>
      </w:pPr>
      <w:r w:rsidRPr="005A2DAF">
        <w:rPr>
          <w:rFonts w:cs="Minion Pro"/>
          <w:color w:val="000000"/>
          <w:sz w:val="24"/>
          <w:szCs w:val="24"/>
        </w:rPr>
        <w:t xml:space="preserve">Proctor, C. L., Linley, P. A., </w:t>
      </w:r>
      <w:r>
        <w:rPr>
          <w:rFonts w:cs="Minion Pro"/>
          <w:color w:val="000000"/>
          <w:sz w:val="24"/>
          <w:szCs w:val="24"/>
        </w:rPr>
        <w:t xml:space="preserve">&amp; </w:t>
      </w:r>
      <w:proofErr w:type="spellStart"/>
      <w:r w:rsidRPr="005A2DAF">
        <w:rPr>
          <w:rFonts w:cs="Minion Pro"/>
          <w:color w:val="000000"/>
          <w:sz w:val="24"/>
          <w:szCs w:val="24"/>
        </w:rPr>
        <w:t>Maltby</w:t>
      </w:r>
      <w:proofErr w:type="spellEnd"/>
      <w:r w:rsidRPr="005A2DAF">
        <w:rPr>
          <w:rFonts w:cs="Minion Pro"/>
          <w:color w:val="000000"/>
          <w:sz w:val="24"/>
          <w:szCs w:val="24"/>
        </w:rPr>
        <w:t>, J. (2009). Youth life satisfaction: a review of</w:t>
      </w:r>
      <w:r>
        <w:rPr>
          <w:rFonts w:cs="Minion Pro"/>
          <w:color w:val="000000"/>
          <w:sz w:val="24"/>
          <w:szCs w:val="24"/>
        </w:rPr>
        <w:t xml:space="preserve"> </w:t>
      </w:r>
      <w:r w:rsidRPr="005A2DAF">
        <w:rPr>
          <w:rFonts w:cs="Minion Pro"/>
          <w:color w:val="000000"/>
          <w:sz w:val="24"/>
          <w:szCs w:val="24"/>
        </w:rPr>
        <w:t xml:space="preserve">the literature. J. Happiness. Stud. 10, 583–630. </w:t>
      </w:r>
      <w:hyperlink r:id="rId102" w:history="1">
        <w:r w:rsidRPr="004403D1">
          <w:rPr>
            <w:rStyle w:val="Hyperlink"/>
            <w:rFonts w:cs="Minion Pro"/>
            <w:sz w:val="24"/>
            <w:szCs w:val="24"/>
          </w:rPr>
          <w:t>http://dx.doi.org/10.1007/s10902-008-9110-9</w:t>
        </w:r>
      </w:hyperlink>
    </w:p>
    <w:p w:rsidR="006C2660" w:rsidRDefault="006C2660" w:rsidP="006C2660">
      <w:pPr>
        <w:spacing w:line="240" w:lineRule="auto"/>
        <w:ind w:left="426" w:hanging="426"/>
        <w:jc w:val="both"/>
        <w:rPr>
          <w:lang w:bidi="ar-EG"/>
        </w:rPr>
      </w:pPr>
      <w:proofErr w:type="spellStart"/>
      <w:r w:rsidRPr="00D5002B">
        <w:rPr>
          <w:rFonts w:cs="Minion Pro"/>
          <w:color w:val="000000"/>
          <w:sz w:val="24"/>
          <w:szCs w:val="24"/>
        </w:rPr>
        <w:t>Ramalingam</w:t>
      </w:r>
      <w:proofErr w:type="spellEnd"/>
      <w:r w:rsidRPr="00DA61BB">
        <w:rPr>
          <w:lang w:bidi="ar-EG"/>
        </w:rPr>
        <w:t xml:space="preserve">, V., &amp; </w:t>
      </w:r>
      <w:proofErr w:type="spellStart"/>
      <w:r w:rsidRPr="00DA61BB">
        <w:rPr>
          <w:lang w:bidi="ar-EG"/>
        </w:rPr>
        <w:t>Wiedenbeck</w:t>
      </w:r>
      <w:proofErr w:type="spellEnd"/>
      <w:r w:rsidRPr="00DA61BB">
        <w:rPr>
          <w:lang w:bidi="ar-EG"/>
        </w:rPr>
        <w:t>, S. (1998). Development and Validation of Scores on a Computer Programming Self-Efficacy Scale and Group Analyses of Novice Programmer Self-Efficacy. </w:t>
      </w:r>
      <w:r w:rsidRPr="00DA61BB">
        <w:rPr>
          <w:i/>
          <w:iCs/>
          <w:lang w:bidi="ar-EG"/>
        </w:rPr>
        <w:t>Journal of Educational Computing Research</w:t>
      </w:r>
      <w:r w:rsidRPr="00DA61BB">
        <w:rPr>
          <w:lang w:bidi="ar-EG"/>
        </w:rPr>
        <w:t>, </w:t>
      </w:r>
      <w:r w:rsidRPr="00DA61BB">
        <w:rPr>
          <w:i/>
          <w:iCs/>
          <w:lang w:bidi="ar-EG"/>
        </w:rPr>
        <w:t>19</w:t>
      </w:r>
      <w:r w:rsidRPr="00DA61BB">
        <w:rPr>
          <w:lang w:bidi="ar-EG"/>
        </w:rPr>
        <w:t>(4), 367-381. </w:t>
      </w:r>
      <w:hyperlink r:id="rId103" w:history="1">
        <w:r w:rsidRPr="00DA61BB">
          <w:rPr>
            <w:rStyle w:val="Hyperlink"/>
            <w:lang w:bidi="ar-EG"/>
          </w:rPr>
          <w:t>https://doi.org/10.2190/C670-Y3C8-LTJ1-CT3P</w:t>
        </w:r>
      </w:hyperlink>
    </w:p>
    <w:p w:rsidR="006C2660" w:rsidRDefault="006C2660" w:rsidP="006C2660">
      <w:pPr>
        <w:spacing w:line="240" w:lineRule="auto"/>
        <w:ind w:left="426" w:hanging="426"/>
        <w:jc w:val="both"/>
        <w:rPr>
          <w:sz w:val="23"/>
          <w:szCs w:val="23"/>
        </w:rPr>
      </w:pPr>
      <w:proofErr w:type="spellStart"/>
      <w:r w:rsidRPr="00D5002B">
        <w:rPr>
          <w:lang w:bidi="ar-EG"/>
        </w:rPr>
        <w:t>Reisberg</w:t>
      </w:r>
      <w:proofErr w:type="spellEnd"/>
      <w:r w:rsidRPr="00D859C9">
        <w:rPr>
          <w:sz w:val="23"/>
          <w:szCs w:val="23"/>
        </w:rPr>
        <w:t xml:space="preserve"> L. (2000).Student stress is rising, especially among women. </w:t>
      </w:r>
      <w:r w:rsidRPr="006A07EE">
        <w:rPr>
          <w:i/>
          <w:iCs/>
          <w:sz w:val="23"/>
          <w:szCs w:val="23"/>
        </w:rPr>
        <w:t>The Chronicle of Higher Education, 46</w:t>
      </w:r>
      <w:r w:rsidRPr="00D859C9">
        <w:rPr>
          <w:sz w:val="23"/>
          <w:szCs w:val="23"/>
        </w:rPr>
        <w:t>(21):49-50</w:t>
      </w:r>
    </w:p>
    <w:p w:rsidR="006C2660" w:rsidRDefault="006C2660" w:rsidP="006C2660">
      <w:pPr>
        <w:spacing w:line="240" w:lineRule="auto"/>
        <w:ind w:left="426" w:hanging="426"/>
        <w:jc w:val="both"/>
        <w:rPr>
          <w:sz w:val="23"/>
          <w:szCs w:val="23"/>
          <w:rtl/>
        </w:rPr>
      </w:pPr>
      <w:proofErr w:type="spellStart"/>
      <w:r w:rsidRPr="00D5002B">
        <w:rPr>
          <w:lang w:bidi="ar-EG"/>
        </w:rPr>
        <w:t>Renshaw</w:t>
      </w:r>
      <w:proofErr w:type="spellEnd"/>
      <w:r w:rsidRPr="00F829B9">
        <w:rPr>
          <w:sz w:val="23"/>
          <w:szCs w:val="23"/>
        </w:rPr>
        <w:t xml:space="preserve">, T. L. (2018). Psychometrics of the Revised College Student Subjective Wellbeing Questionnaire. </w:t>
      </w:r>
      <w:r w:rsidRPr="00F829B9">
        <w:rPr>
          <w:i/>
          <w:iCs/>
          <w:sz w:val="23"/>
          <w:szCs w:val="23"/>
        </w:rPr>
        <w:t>Journal of School Psychology</w:t>
      </w:r>
      <w:r w:rsidRPr="00F829B9">
        <w:rPr>
          <w:sz w:val="23"/>
          <w:szCs w:val="23"/>
        </w:rPr>
        <w:t xml:space="preserve">, </w:t>
      </w:r>
      <w:r w:rsidRPr="00F829B9">
        <w:rPr>
          <w:i/>
          <w:iCs/>
          <w:sz w:val="23"/>
          <w:szCs w:val="23"/>
        </w:rPr>
        <w:t>33</w:t>
      </w:r>
      <w:r w:rsidRPr="00F829B9">
        <w:rPr>
          <w:sz w:val="23"/>
          <w:szCs w:val="23"/>
        </w:rPr>
        <w:t xml:space="preserve">(2), 136–149. </w:t>
      </w:r>
      <w:hyperlink r:id="rId104" w:history="1">
        <w:r w:rsidRPr="005F7B38">
          <w:rPr>
            <w:rStyle w:val="Hyperlink"/>
            <w:sz w:val="23"/>
            <w:szCs w:val="23"/>
          </w:rPr>
          <w:t>https://doi.org/10.1177/0829573516678704</w:t>
        </w:r>
      </w:hyperlink>
      <w:r w:rsidRPr="00F829B9">
        <w:rPr>
          <w:sz w:val="23"/>
          <w:szCs w:val="23"/>
        </w:rPr>
        <w:t xml:space="preserve"> </w:t>
      </w:r>
    </w:p>
    <w:p w:rsidR="006C2660" w:rsidRDefault="006C2660" w:rsidP="006C2660">
      <w:pPr>
        <w:spacing w:line="240" w:lineRule="auto"/>
        <w:ind w:left="426" w:hanging="426"/>
        <w:jc w:val="both"/>
        <w:rPr>
          <w:sz w:val="23"/>
          <w:szCs w:val="23"/>
        </w:rPr>
      </w:pPr>
      <w:proofErr w:type="spellStart"/>
      <w:r w:rsidRPr="00D5002B">
        <w:rPr>
          <w:lang w:bidi="ar-EG"/>
        </w:rPr>
        <w:t>Renshaw</w:t>
      </w:r>
      <w:proofErr w:type="spellEnd"/>
      <w:r w:rsidRPr="003066B0">
        <w:rPr>
          <w:sz w:val="23"/>
          <w:szCs w:val="23"/>
        </w:rPr>
        <w:t xml:space="preserve">, T. L., &amp; </w:t>
      </w:r>
      <w:proofErr w:type="spellStart"/>
      <w:r w:rsidRPr="003066B0">
        <w:rPr>
          <w:sz w:val="23"/>
          <w:szCs w:val="23"/>
        </w:rPr>
        <w:t>Arslan</w:t>
      </w:r>
      <w:proofErr w:type="spellEnd"/>
      <w:r w:rsidRPr="003066B0">
        <w:rPr>
          <w:sz w:val="23"/>
          <w:szCs w:val="23"/>
        </w:rPr>
        <w:t xml:space="preserve">, G. (2016). Psychometric properties of the Student Subjective Wellbeing Questionnaire with Turkish adolescents: A generalizability study. </w:t>
      </w:r>
      <w:r w:rsidRPr="003066B0">
        <w:rPr>
          <w:i/>
          <w:iCs/>
          <w:sz w:val="23"/>
          <w:szCs w:val="23"/>
        </w:rPr>
        <w:t>Canadian Journal of School Psychology</w:t>
      </w:r>
      <w:r w:rsidRPr="003066B0">
        <w:rPr>
          <w:sz w:val="23"/>
          <w:szCs w:val="23"/>
        </w:rPr>
        <w:t xml:space="preserve">, </w:t>
      </w:r>
      <w:r w:rsidRPr="003066B0">
        <w:rPr>
          <w:i/>
          <w:iCs/>
          <w:sz w:val="23"/>
          <w:szCs w:val="23"/>
        </w:rPr>
        <w:t>31</w:t>
      </w:r>
      <w:r w:rsidRPr="003066B0">
        <w:rPr>
          <w:sz w:val="23"/>
          <w:szCs w:val="23"/>
        </w:rPr>
        <w:t xml:space="preserve">(2), 139–151. </w:t>
      </w:r>
      <w:hyperlink r:id="rId105" w:history="1">
        <w:r w:rsidRPr="004D11EC">
          <w:rPr>
            <w:rStyle w:val="Hyperlink"/>
            <w:sz w:val="23"/>
            <w:szCs w:val="23"/>
          </w:rPr>
          <w:t>https://doi.org/10.1177/0829573516634644</w:t>
        </w:r>
      </w:hyperlink>
    </w:p>
    <w:p w:rsidR="006C2660" w:rsidRPr="002F21AF" w:rsidRDefault="006C2660" w:rsidP="006C2660">
      <w:pPr>
        <w:spacing w:line="240" w:lineRule="auto"/>
        <w:ind w:left="426" w:hanging="426"/>
        <w:jc w:val="both"/>
        <w:rPr>
          <w:sz w:val="23"/>
          <w:szCs w:val="23"/>
          <w:rtl/>
        </w:rPr>
      </w:pPr>
      <w:proofErr w:type="spellStart"/>
      <w:r w:rsidRPr="00D5002B">
        <w:rPr>
          <w:lang w:bidi="ar-EG"/>
        </w:rPr>
        <w:t>Renshaw</w:t>
      </w:r>
      <w:proofErr w:type="spellEnd"/>
      <w:r w:rsidRPr="002F21AF">
        <w:rPr>
          <w:sz w:val="23"/>
          <w:szCs w:val="23"/>
        </w:rPr>
        <w:t xml:space="preserve">, T. L., &amp; </w:t>
      </w:r>
      <w:proofErr w:type="spellStart"/>
      <w:r w:rsidRPr="002F21AF">
        <w:rPr>
          <w:sz w:val="23"/>
          <w:szCs w:val="23"/>
        </w:rPr>
        <w:t>Bolognino</w:t>
      </w:r>
      <w:proofErr w:type="spellEnd"/>
      <w:r w:rsidRPr="002F21AF">
        <w:rPr>
          <w:sz w:val="23"/>
          <w:szCs w:val="23"/>
        </w:rPr>
        <w:t xml:space="preserve">, S. J. (2016). The College Student Subjective Wellbeing Questionnaire: A brief, multidimensional measure of undergraduate’s </w:t>
      </w:r>
      <w:proofErr w:type="spellStart"/>
      <w:r w:rsidRPr="002F21AF">
        <w:rPr>
          <w:sz w:val="23"/>
          <w:szCs w:val="23"/>
        </w:rPr>
        <w:t>covitality</w:t>
      </w:r>
      <w:proofErr w:type="spellEnd"/>
      <w:r w:rsidRPr="002F21AF">
        <w:rPr>
          <w:sz w:val="23"/>
          <w:szCs w:val="23"/>
        </w:rPr>
        <w:t xml:space="preserve">. </w:t>
      </w:r>
      <w:r w:rsidRPr="002F21AF">
        <w:rPr>
          <w:i/>
          <w:iCs/>
          <w:sz w:val="23"/>
          <w:szCs w:val="23"/>
        </w:rPr>
        <w:t>Journal of Happiness Studies</w:t>
      </w:r>
      <w:r w:rsidRPr="002F21AF">
        <w:rPr>
          <w:sz w:val="23"/>
          <w:szCs w:val="23"/>
        </w:rPr>
        <w:t xml:space="preserve">, </w:t>
      </w:r>
      <w:r w:rsidRPr="002F21AF">
        <w:rPr>
          <w:i/>
          <w:iCs/>
          <w:sz w:val="23"/>
          <w:szCs w:val="23"/>
        </w:rPr>
        <w:t>17</w:t>
      </w:r>
      <w:r w:rsidRPr="002F21AF">
        <w:rPr>
          <w:sz w:val="23"/>
          <w:szCs w:val="23"/>
        </w:rPr>
        <w:t xml:space="preserve">(2), 463-484. </w:t>
      </w:r>
      <w:hyperlink r:id="rId106" w:history="1">
        <w:r w:rsidRPr="002F21AF">
          <w:rPr>
            <w:rStyle w:val="Hyperlink"/>
            <w:sz w:val="23"/>
            <w:szCs w:val="23"/>
          </w:rPr>
          <w:t>https://doi.org/10.1007/s10902-014-9606-4</w:t>
        </w:r>
      </w:hyperlink>
    </w:p>
    <w:p w:rsidR="006C2660" w:rsidRDefault="006C2660" w:rsidP="006C2660">
      <w:pPr>
        <w:spacing w:line="240" w:lineRule="auto"/>
        <w:ind w:left="426" w:hanging="426"/>
        <w:jc w:val="both"/>
        <w:rPr>
          <w:rFonts w:cs="Minion Pro"/>
          <w:color w:val="000000"/>
          <w:sz w:val="24"/>
          <w:szCs w:val="24"/>
        </w:rPr>
      </w:pPr>
      <w:r w:rsidRPr="005A2DAF">
        <w:rPr>
          <w:rFonts w:cs="Minion Pro"/>
          <w:color w:val="000000"/>
          <w:sz w:val="24"/>
          <w:szCs w:val="24"/>
        </w:rPr>
        <w:lastRenderedPageBreak/>
        <w:t xml:space="preserve">Rey, L., </w:t>
      </w:r>
      <w:proofErr w:type="spellStart"/>
      <w:r w:rsidRPr="005A2DAF">
        <w:rPr>
          <w:rFonts w:cs="Minion Pro"/>
          <w:color w:val="000000"/>
          <w:sz w:val="24"/>
          <w:szCs w:val="24"/>
        </w:rPr>
        <w:t>Extremera</w:t>
      </w:r>
      <w:proofErr w:type="spellEnd"/>
      <w:r w:rsidRPr="005A2DAF">
        <w:rPr>
          <w:rFonts w:cs="Minion Pro"/>
          <w:color w:val="000000"/>
          <w:sz w:val="24"/>
          <w:szCs w:val="24"/>
        </w:rPr>
        <w:t xml:space="preserve">, N., </w:t>
      </w:r>
      <w:r>
        <w:rPr>
          <w:rFonts w:cs="Minion Pro"/>
          <w:color w:val="000000"/>
          <w:sz w:val="24"/>
          <w:szCs w:val="24"/>
        </w:rPr>
        <w:t>&amp;</w:t>
      </w:r>
      <w:r w:rsidRPr="005A2DAF">
        <w:rPr>
          <w:rFonts w:cs="Minion Pro"/>
          <w:color w:val="000000"/>
          <w:sz w:val="24"/>
          <w:szCs w:val="24"/>
        </w:rPr>
        <w:t xml:space="preserve"> Pena, M. (2011). Perceived emotional intelligence,</w:t>
      </w:r>
      <w:r>
        <w:rPr>
          <w:rFonts w:cs="Minion Pro"/>
          <w:color w:val="000000"/>
          <w:sz w:val="24"/>
          <w:szCs w:val="24"/>
        </w:rPr>
        <w:t xml:space="preserve"> </w:t>
      </w:r>
      <w:r w:rsidRPr="005A2DAF">
        <w:rPr>
          <w:rFonts w:cs="Minion Pro"/>
          <w:color w:val="000000"/>
          <w:sz w:val="24"/>
          <w:szCs w:val="24"/>
        </w:rPr>
        <w:t xml:space="preserve">self-esteem and life satisfaction in adolescents. </w:t>
      </w:r>
      <w:proofErr w:type="spellStart"/>
      <w:r w:rsidRPr="005A2DAF">
        <w:rPr>
          <w:rFonts w:cs="Minion Pro"/>
          <w:color w:val="000000"/>
          <w:sz w:val="24"/>
          <w:szCs w:val="24"/>
        </w:rPr>
        <w:t>Interv</w:t>
      </w:r>
      <w:proofErr w:type="spellEnd"/>
      <w:r w:rsidRPr="005A2DAF">
        <w:rPr>
          <w:rFonts w:cs="Minion Pro"/>
          <w:color w:val="000000"/>
          <w:sz w:val="24"/>
          <w:szCs w:val="24"/>
        </w:rPr>
        <w:t xml:space="preserve">. </w:t>
      </w:r>
      <w:proofErr w:type="spellStart"/>
      <w:r w:rsidRPr="005A2DAF">
        <w:rPr>
          <w:rFonts w:cs="Minion Pro"/>
          <w:color w:val="000000"/>
          <w:sz w:val="24"/>
          <w:szCs w:val="24"/>
        </w:rPr>
        <w:t>Psicosoc</w:t>
      </w:r>
      <w:proofErr w:type="spellEnd"/>
      <w:r w:rsidRPr="005A2DAF">
        <w:rPr>
          <w:rFonts w:cs="Minion Pro"/>
          <w:color w:val="000000"/>
          <w:sz w:val="24"/>
          <w:szCs w:val="24"/>
        </w:rPr>
        <w:t>. 20, 227–234.</w:t>
      </w:r>
      <w:r>
        <w:rPr>
          <w:rFonts w:cs="Minion Pro"/>
          <w:color w:val="000000"/>
          <w:sz w:val="24"/>
          <w:szCs w:val="24"/>
        </w:rPr>
        <w:t xml:space="preserve"> </w:t>
      </w:r>
      <w:hyperlink r:id="rId107" w:history="1">
        <w:r w:rsidRPr="004403D1">
          <w:rPr>
            <w:rStyle w:val="Hyperlink"/>
            <w:rFonts w:cs="Minion Pro"/>
            <w:sz w:val="24"/>
            <w:szCs w:val="24"/>
          </w:rPr>
          <w:t>http://dx.doi.org/10.5093/in2011v20n2a10</w:t>
        </w:r>
      </w:hyperlink>
    </w:p>
    <w:p w:rsidR="006C2660" w:rsidRPr="00352359" w:rsidRDefault="006C2660" w:rsidP="006C2660">
      <w:pPr>
        <w:spacing w:line="240" w:lineRule="auto"/>
        <w:ind w:left="426" w:hanging="426"/>
        <w:jc w:val="both"/>
        <w:rPr>
          <w:sz w:val="23"/>
          <w:szCs w:val="23"/>
          <w:rtl/>
          <w:lang w:bidi="ar-EG"/>
        </w:rPr>
      </w:pPr>
      <w:r w:rsidRPr="00D5002B">
        <w:rPr>
          <w:lang w:bidi="ar-EG"/>
        </w:rPr>
        <w:t>Reynolds</w:t>
      </w:r>
      <w:r w:rsidRPr="00352359">
        <w:rPr>
          <w:sz w:val="23"/>
          <w:szCs w:val="23"/>
        </w:rPr>
        <w:t xml:space="preserve">, K.A., </w:t>
      </w:r>
      <w:proofErr w:type="spellStart"/>
      <w:r w:rsidRPr="00352359">
        <w:rPr>
          <w:sz w:val="23"/>
          <w:szCs w:val="23"/>
        </w:rPr>
        <w:t>Komakhidze</w:t>
      </w:r>
      <w:proofErr w:type="spellEnd"/>
      <w:r w:rsidRPr="00352359">
        <w:rPr>
          <w:sz w:val="23"/>
          <w:szCs w:val="23"/>
        </w:rPr>
        <w:t xml:space="preserve">, M., </w:t>
      </w:r>
      <w:proofErr w:type="spellStart"/>
      <w:r w:rsidRPr="00352359">
        <w:rPr>
          <w:sz w:val="23"/>
          <w:szCs w:val="23"/>
        </w:rPr>
        <w:t>Fishbein</w:t>
      </w:r>
      <w:proofErr w:type="spellEnd"/>
      <w:r w:rsidRPr="00352359">
        <w:rPr>
          <w:sz w:val="23"/>
          <w:szCs w:val="23"/>
        </w:rPr>
        <w:t xml:space="preserve">, B., &amp; von </w:t>
      </w:r>
      <w:proofErr w:type="spellStart"/>
      <w:r w:rsidRPr="00352359">
        <w:rPr>
          <w:sz w:val="23"/>
          <w:szCs w:val="23"/>
        </w:rPr>
        <w:t>Davier</w:t>
      </w:r>
      <w:proofErr w:type="spellEnd"/>
      <w:r w:rsidRPr="00352359">
        <w:rPr>
          <w:sz w:val="23"/>
          <w:szCs w:val="23"/>
        </w:rPr>
        <w:t xml:space="preserve">, M. (2024). </w:t>
      </w:r>
      <w:r w:rsidRPr="00352359">
        <w:rPr>
          <w:i/>
          <w:iCs/>
          <w:sz w:val="23"/>
          <w:szCs w:val="23"/>
        </w:rPr>
        <w:t xml:space="preserve">Aspects of Student Well-Being and Reading Achievement in PIRLS 2021 </w:t>
      </w:r>
      <w:r w:rsidRPr="00352359">
        <w:rPr>
          <w:sz w:val="23"/>
          <w:szCs w:val="23"/>
        </w:rPr>
        <w:t xml:space="preserve">(PIRLS Insights). Boston College, TIMSS &amp; PIRLS International Study Center. </w:t>
      </w:r>
      <w:hyperlink r:id="rId108" w:history="1">
        <w:r w:rsidRPr="00352359">
          <w:rPr>
            <w:rStyle w:val="Hyperlink"/>
            <w:sz w:val="23"/>
            <w:szCs w:val="23"/>
          </w:rPr>
          <w:t>https://doi.org/10.6017/lse.tpisc.tr2103.kb1236</w:t>
        </w:r>
      </w:hyperlink>
    </w:p>
    <w:p w:rsidR="006C2660" w:rsidRDefault="006C2660" w:rsidP="006C2660">
      <w:pPr>
        <w:spacing w:line="240" w:lineRule="auto"/>
        <w:ind w:left="426" w:hanging="426"/>
        <w:jc w:val="both"/>
        <w:rPr>
          <w:rFonts w:cs="Minion Pro"/>
          <w:color w:val="000000"/>
          <w:sz w:val="24"/>
          <w:szCs w:val="24"/>
        </w:rPr>
      </w:pPr>
      <w:r w:rsidRPr="006C374A">
        <w:rPr>
          <w:rFonts w:cs="Minion Pro"/>
          <w:color w:val="000000"/>
          <w:sz w:val="24"/>
          <w:szCs w:val="24"/>
        </w:rPr>
        <w:t xml:space="preserve">Rich, P. J., Mason, S. L., &amp; O’Leary, J. (2021). Measuring the effect of continuous professional development on elementary teachers’ self-efficacy to teach coding and computational thinking. </w:t>
      </w:r>
      <w:r w:rsidRPr="006C374A">
        <w:rPr>
          <w:rFonts w:cs="Minion Pro"/>
          <w:i/>
          <w:iCs/>
          <w:color w:val="000000"/>
          <w:sz w:val="24"/>
          <w:szCs w:val="24"/>
        </w:rPr>
        <w:t>Computers &amp; Education</w:t>
      </w:r>
      <w:r w:rsidRPr="006C374A">
        <w:rPr>
          <w:rFonts w:cs="Minion Pro"/>
          <w:color w:val="000000"/>
          <w:sz w:val="24"/>
          <w:szCs w:val="24"/>
        </w:rPr>
        <w:t xml:space="preserve">, </w:t>
      </w:r>
      <w:r w:rsidRPr="006C374A">
        <w:rPr>
          <w:rFonts w:cs="Minion Pro"/>
          <w:i/>
          <w:iCs/>
          <w:color w:val="000000"/>
          <w:sz w:val="24"/>
          <w:szCs w:val="24"/>
        </w:rPr>
        <w:t>168</w:t>
      </w:r>
      <w:r w:rsidRPr="006C374A">
        <w:rPr>
          <w:rFonts w:cs="Minion Pro"/>
          <w:color w:val="000000"/>
          <w:sz w:val="24"/>
          <w:szCs w:val="24"/>
        </w:rPr>
        <w:t xml:space="preserve">, 104196. </w:t>
      </w:r>
      <w:hyperlink r:id="rId109" w:history="1">
        <w:r w:rsidRPr="00FF30D8">
          <w:rPr>
            <w:rStyle w:val="Hyperlink"/>
            <w:rFonts w:cs="Minion Pro"/>
            <w:sz w:val="24"/>
            <w:szCs w:val="24"/>
          </w:rPr>
          <w:t>https://doi.org/10.1016/j.compedu.2021.104196</w:t>
        </w:r>
      </w:hyperlink>
    </w:p>
    <w:p w:rsidR="006C2660" w:rsidRDefault="006C2660" w:rsidP="006C2660">
      <w:pPr>
        <w:spacing w:line="240" w:lineRule="auto"/>
        <w:ind w:left="426" w:hanging="426"/>
        <w:jc w:val="both"/>
        <w:rPr>
          <w:color w:val="FF0000"/>
          <w:sz w:val="24"/>
          <w:szCs w:val="24"/>
        </w:rPr>
      </w:pPr>
      <w:proofErr w:type="spellStart"/>
      <w:r w:rsidRPr="007D5942">
        <w:rPr>
          <w:sz w:val="24"/>
          <w:szCs w:val="24"/>
        </w:rPr>
        <w:t>Richado</w:t>
      </w:r>
      <w:proofErr w:type="spellEnd"/>
      <w:r w:rsidRPr="007D5942">
        <w:rPr>
          <w:sz w:val="24"/>
          <w:szCs w:val="24"/>
        </w:rPr>
        <w:t xml:space="preserve">,  R., </w:t>
      </w:r>
      <w:proofErr w:type="spellStart"/>
      <w:r w:rsidRPr="007D5942">
        <w:rPr>
          <w:sz w:val="24"/>
          <w:szCs w:val="24"/>
        </w:rPr>
        <w:t>Dwiningrum</w:t>
      </w:r>
      <w:proofErr w:type="spellEnd"/>
      <w:r w:rsidRPr="007D5942">
        <w:rPr>
          <w:sz w:val="24"/>
          <w:szCs w:val="24"/>
        </w:rPr>
        <w:t xml:space="preserve">, S., &amp; </w:t>
      </w:r>
      <w:proofErr w:type="spellStart"/>
      <w:r w:rsidRPr="007D5942">
        <w:rPr>
          <w:sz w:val="24"/>
          <w:szCs w:val="24"/>
        </w:rPr>
        <w:t>Wijaya</w:t>
      </w:r>
      <w:proofErr w:type="spellEnd"/>
      <w:r w:rsidRPr="007D5942">
        <w:rPr>
          <w:sz w:val="24"/>
          <w:szCs w:val="24"/>
        </w:rPr>
        <w:t xml:space="preserve">, A. (2023). Computational Thinking Skill for Mathematics and Attitudes Based on Gender: Comparative and Relationship Analysis. </w:t>
      </w:r>
      <w:proofErr w:type="spellStart"/>
      <w:r w:rsidRPr="007D5942">
        <w:rPr>
          <w:i/>
          <w:iCs/>
          <w:sz w:val="24"/>
          <w:szCs w:val="24"/>
        </w:rPr>
        <w:t>Pegem</w:t>
      </w:r>
      <w:proofErr w:type="spellEnd"/>
      <w:r w:rsidRPr="007D5942">
        <w:rPr>
          <w:i/>
          <w:iCs/>
          <w:sz w:val="24"/>
          <w:szCs w:val="24"/>
        </w:rPr>
        <w:t xml:space="preserve"> Journal of Education and Instruction, 13</w:t>
      </w:r>
      <w:r w:rsidRPr="007D5942">
        <w:rPr>
          <w:sz w:val="24"/>
          <w:szCs w:val="24"/>
        </w:rPr>
        <w:t xml:space="preserve"> (2), 2023, 345-353. </w:t>
      </w:r>
      <w:hyperlink r:id="rId110" w:history="1">
        <w:r w:rsidRPr="00A37A67">
          <w:rPr>
            <w:rStyle w:val="Hyperlink"/>
            <w:sz w:val="24"/>
            <w:szCs w:val="24"/>
          </w:rPr>
          <w:t>https://doi.org/10.47750/pegegog.13.02.38</w:t>
        </w:r>
      </w:hyperlink>
    </w:p>
    <w:p w:rsidR="006C2660" w:rsidRPr="00D859C9" w:rsidRDefault="006C2660" w:rsidP="006C2660">
      <w:pPr>
        <w:spacing w:line="240" w:lineRule="auto"/>
        <w:ind w:left="426" w:hanging="426"/>
        <w:jc w:val="both"/>
        <w:rPr>
          <w:sz w:val="23"/>
          <w:szCs w:val="23"/>
          <w:rtl/>
        </w:rPr>
      </w:pPr>
      <w:r w:rsidRPr="00D5002B">
        <w:rPr>
          <w:lang w:bidi="ar-EG"/>
        </w:rPr>
        <w:t>Robinson</w:t>
      </w:r>
      <w:r w:rsidRPr="00D859C9">
        <w:rPr>
          <w:sz w:val="23"/>
          <w:szCs w:val="23"/>
        </w:rPr>
        <w:t xml:space="preserve">, C., </w:t>
      </w:r>
      <w:r>
        <w:rPr>
          <w:sz w:val="23"/>
          <w:szCs w:val="23"/>
        </w:rPr>
        <w:t>&amp;</w:t>
      </w:r>
      <w:r w:rsidRPr="00D859C9">
        <w:rPr>
          <w:sz w:val="23"/>
          <w:szCs w:val="23"/>
        </w:rPr>
        <w:t xml:space="preserve"> Snipes, K. (2009). Hope, optimism and self-efficacy: A system of competence and control enhancing African American college students academic well-being. </w:t>
      </w:r>
      <w:r w:rsidRPr="00D859C9">
        <w:rPr>
          <w:i/>
          <w:iCs/>
          <w:sz w:val="23"/>
          <w:szCs w:val="23"/>
        </w:rPr>
        <w:t xml:space="preserve">Multiple Lin. Reg. Viewpoints </w:t>
      </w:r>
      <w:r w:rsidRPr="00D859C9">
        <w:rPr>
          <w:sz w:val="23"/>
          <w:szCs w:val="23"/>
        </w:rPr>
        <w:t>35, 16–26.</w:t>
      </w:r>
    </w:p>
    <w:p w:rsidR="006C2660" w:rsidRDefault="006C2660" w:rsidP="006C2660">
      <w:pPr>
        <w:spacing w:line="240" w:lineRule="auto"/>
        <w:ind w:left="426" w:hanging="426"/>
        <w:jc w:val="both"/>
        <w:rPr>
          <w:sz w:val="23"/>
          <w:szCs w:val="23"/>
        </w:rPr>
      </w:pPr>
      <w:proofErr w:type="spellStart"/>
      <w:r w:rsidRPr="00D5002B">
        <w:rPr>
          <w:lang w:bidi="ar-EG"/>
        </w:rPr>
        <w:t>Roeser</w:t>
      </w:r>
      <w:proofErr w:type="spellEnd"/>
      <w:r w:rsidRPr="006773DD">
        <w:rPr>
          <w:sz w:val="23"/>
          <w:szCs w:val="23"/>
        </w:rPr>
        <w:t xml:space="preserve">, R. W., </w:t>
      </w:r>
      <w:proofErr w:type="spellStart"/>
      <w:r w:rsidRPr="006773DD">
        <w:rPr>
          <w:sz w:val="23"/>
          <w:szCs w:val="23"/>
        </w:rPr>
        <w:t>Eccles</w:t>
      </w:r>
      <w:proofErr w:type="spellEnd"/>
      <w:r w:rsidRPr="006773DD">
        <w:rPr>
          <w:sz w:val="23"/>
          <w:szCs w:val="23"/>
        </w:rPr>
        <w:t xml:space="preserve">, J. S., &amp; Freedman-Doan, C. (1999). Academic functioning and mental health in adolescence: Patterns, progressions, and routes from childhood. </w:t>
      </w:r>
      <w:r w:rsidRPr="006A07EE">
        <w:rPr>
          <w:i/>
          <w:iCs/>
          <w:sz w:val="23"/>
          <w:szCs w:val="23"/>
        </w:rPr>
        <w:t xml:space="preserve">Journal of Adolescent Research, 14, </w:t>
      </w:r>
      <w:r w:rsidRPr="006773DD">
        <w:rPr>
          <w:sz w:val="23"/>
          <w:szCs w:val="23"/>
        </w:rPr>
        <w:t xml:space="preserve">135–174. </w:t>
      </w:r>
      <w:hyperlink r:id="rId111" w:history="1">
        <w:r w:rsidRPr="00B72ED7">
          <w:rPr>
            <w:rStyle w:val="Hyperlink"/>
            <w:sz w:val="23"/>
            <w:szCs w:val="23"/>
          </w:rPr>
          <w:t>https://doi.org/10.1177/0743558499142002</w:t>
        </w:r>
      </w:hyperlink>
    </w:p>
    <w:p w:rsidR="006C2660" w:rsidRDefault="006C2660" w:rsidP="006C2660">
      <w:pPr>
        <w:spacing w:line="240" w:lineRule="auto"/>
        <w:ind w:left="426" w:hanging="426"/>
        <w:jc w:val="both"/>
        <w:rPr>
          <w:rFonts w:cs="Minion Pro"/>
          <w:color w:val="000000"/>
          <w:sz w:val="24"/>
          <w:szCs w:val="24"/>
        </w:rPr>
      </w:pPr>
      <w:proofErr w:type="spellStart"/>
      <w:r w:rsidRPr="00B27BDC">
        <w:rPr>
          <w:rFonts w:ascii="Times New Roman" w:eastAsia="Calibri" w:hAnsi="Times New Roman" w:cs="Traditional Arabic"/>
          <w:sz w:val="24"/>
          <w:szCs w:val="24"/>
        </w:rPr>
        <w:t>Román</w:t>
      </w:r>
      <w:proofErr w:type="spellEnd"/>
      <w:r w:rsidRPr="00B27BDC">
        <w:rPr>
          <w:rFonts w:cs="Minion Pro"/>
          <w:sz w:val="24"/>
          <w:szCs w:val="24"/>
        </w:rPr>
        <w:t>-González, M., Pérez-González, J. C., &amp; Jiménez-</w:t>
      </w:r>
      <w:proofErr w:type="spellStart"/>
      <w:r w:rsidRPr="00B27BDC">
        <w:rPr>
          <w:rFonts w:cs="Minion Pro"/>
          <w:sz w:val="24"/>
          <w:szCs w:val="24"/>
        </w:rPr>
        <w:t>Fernández</w:t>
      </w:r>
      <w:proofErr w:type="spellEnd"/>
      <w:r w:rsidRPr="00B27BDC">
        <w:rPr>
          <w:rFonts w:cs="Minion Pro"/>
          <w:sz w:val="24"/>
          <w:szCs w:val="24"/>
        </w:rPr>
        <w:t xml:space="preserve">, C. (2017). Which cognitive </w:t>
      </w:r>
      <w:r w:rsidRPr="00474CFE">
        <w:rPr>
          <w:rFonts w:cs="Minion Pro"/>
          <w:color w:val="000000"/>
          <w:sz w:val="24"/>
          <w:szCs w:val="24"/>
        </w:rPr>
        <w:t xml:space="preserve">abilities underlie computational thinking? Criterion validity of the Computational Thinking Test. </w:t>
      </w:r>
      <w:r w:rsidRPr="00474CFE">
        <w:rPr>
          <w:rFonts w:cs="Minion Pro"/>
          <w:i/>
          <w:iCs/>
          <w:color w:val="000000"/>
          <w:sz w:val="24"/>
          <w:szCs w:val="24"/>
        </w:rPr>
        <w:t>Computers in human behavior</w:t>
      </w:r>
      <w:r w:rsidRPr="00474CFE">
        <w:rPr>
          <w:rFonts w:cs="Minion Pro"/>
          <w:color w:val="000000"/>
          <w:sz w:val="24"/>
          <w:szCs w:val="24"/>
        </w:rPr>
        <w:t xml:space="preserve">, </w:t>
      </w:r>
      <w:r w:rsidRPr="00474CFE">
        <w:rPr>
          <w:rFonts w:cs="Minion Pro"/>
          <w:i/>
          <w:iCs/>
          <w:color w:val="000000"/>
          <w:sz w:val="24"/>
          <w:szCs w:val="24"/>
        </w:rPr>
        <w:t>72</w:t>
      </w:r>
      <w:r w:rsidRPr="00474CFE">
        <w:rPr>
          <w:rFonts w:cs="Minion Pro"/>
          <w:color w:val="000000"/>
          <w:sz w:val="24"/>
          <w:szCs w:val="24"/>
        </w:rPr>
        <w:t xml:space="preserve">, 678-691. </w:t>
      </w:r>
      <w:hyperlink r:id="rId112" w:history="1">
        <w:r w:rsidRPr="00A37A67">
          <w:rPr>
            <w:rStyle w:val="Hyperlink"/>
            <w:rFonts w:cs="Minion Pro"/>
            <w:sz w:val="24"/>
            <w:szCs w:val="24"/>
          </w:rPr>
          <w:t>https://doi.org/10.1016/j.chb.2016.08.047</w:t>
        </w:r>
      </w:hyperlink>
    </w:p>
    <w:p w:rsidR="006C2660" w:rsidRDefault="006C2660" w:rsidP="006C2660">
      <w:pPr>
        <w:spacing w:line="240" w:lineRule="auto"/>
        <w:ind w:left="426" w:hanging="426"/>
        <w:jc w:val="both"/>
        <w:rPr>
          <w:lang w:bidi="ar-EG"/>
        </w:rPr>
      </w:pPr>
      <w:r w:rsidRPr="00436276">
        <w:rPr>
          <w:lang w:bidi="ar-EG"/>
        </w:rPr>
        <w:t xml:space="preserve">Roman-Gonzalez, M., Perez-Gonzalez, J. C., Moreno-Leon, J., &amp; Robles, G. (2018). Extending the </w:t>
      </w:r>
      <w:proofErr w:type="spellStart"/>
      <w:r w:rsidRPr="00436276">
        <w:rPr>
          <w:lang w:bidi="ar-EG"/>
        </w:rPr>
        <w:t>nomological</w:t>
      </w:r>
      <w:proofErr w:type="spellEnd"/>
      <w:r w:rsidRPr="00436276">
        <w:rPr>
          <w:lang w:bidi="ar-EG"/>
        </w:rPr>
        <w:t xml:space="preserve"> network of computational thinking with non-cognitive factors. </w:t>
      </w:r>
      <w:r w:rsidRPr="00436276">
        <w:rPr>
          <w:i/>
          <w:iCs/>
          <w:lang w:bidi="ar-EG"/>
        </w:rPr>
        <w:t>Computers in Human Behavior</w:t>
      </w:r>
      <w:r w:rsidRPr="00436276">
        <w:rPr>
          <w:lang w:bidi="ar-EG"/>
        </w:rPr>
        <w:t xml:space="preserve">, </w:t>
      </w:r>
      <w:r w:rsidRPr="00436276">
        <w:rPr>
          <w:i/>
          <w:iCs/>
          <w:lang w:bidi="ar-EG"/>
        </w:rPr>
        <w:t>80</w:t>
      </w:r>
      <w:r>
        <w:rPr>
          <w:i/>
          <w:iCs/>
          <w:lang w:bidi="ar-EG"/>
        </w:rPr>
        <w:t xml:space="preserve"> </w:t>
      </w:r>
      <w:r w:rsidRPr="00436276">
        <w:rPr>
          <w:lang w:bidi="ar-EG"/>
        </w:rPr>
        <w:t xml:space="preserve">(3), 441-459. </w:t>
      </w:r>
      <w:hyperlink r:id="rId113" w:history="1">
        <w:r w:rsidRPr="00FF30D8">
          <w:rPr>
            <w:rStyle w:val="Hyperlink"/>
            <w:lang w:bidi="ar-EG"/>
          </w:rPr>
          <w:t>https://doi.org/10.1016/j.chb.2017.09.030</w:t>
        </w:r>
      </w:hyperlink>
    </w:p>
    <w:p w:rsidR="006C2660" w:rsidRPr="00CC4924" w:rsidRDefault="006C2660" w:rsidP="006C2660">
      <w:pPr>
        <w:spacing w:line="240" w:lineRule="auto"/>
        <w:ind w:left="426" w:hanging="426"/>
        <w:jc w:val="both"/>
        <w:rPr>
          <w:lang w:bidi="ar-EG"/>
        </w:rPr>
      </w:pPr>
      <w:proofErr w:type="spellStart"/>
      <w:r w:rsidRPr="00CC4924">
        <w:rPr>
          <w:lang w:bidi="ar-EG"/>
        </w:rPr>
        <w:t>Rosali</w:t>
      </w:r>
      <w:proofErr w:type="spellEnd"/>
      <w:r w:rsidRPr="00CC4924">
        <w:rPr>
          <w:lang w:bidi="ar-EG"/>
        </w:rPr>
        <w:t xml:space="preserve">, D. F., &amp; </w:t>
      </w:r>
      <w:proofErr w:type="spellStart"/>
      <w:r w:rsidRPr="00CC4924">
        <w:rPr>
          <w:lang w:bidi="ar-EG"/>
        </w:rPr>
        <w:t>Suryadi</w:t>
      </w:r>
      <w:proofErr w:type="spellEnd"/>
      <w:r w:rsidRPr="00CC4924">
        <w:rPr>
          <w:lang w:bidi="ar-EG"/>
        </w:rPr>
        <w:t>, D. (2021).</w:t>
      </w:r>
      <w:r w:rsidRPr="00CC4924">
        <w:rPr>
          <w:rFonts w:hint="cs"/>
          <w:rtl/>
          <w:lang w:bidi="ar-EG"/>
        </w:rPr>
        <w:t xml:space="preserve"> </w:t>
      </w:r>
      <w:r w:rsidRPr="00CC4924">
        <w:rPr>
          <w:lang w:bidi="ar-EG"/>
        </w:rPr>
        <w:t xml:space="preserve">An Analysis of Students’ Computational Thinking Skills on The Number Patterns Lesson during The Covid-19 Pandemic. </w:t>
      </w:r>
      <w:proofErr w:type="spellStart"/>
      <w:r w:rsidRPr="00AE0B0B">
        <w:rPr>
          <w:i/>
          <w:iCs/>
          <w:lang w:bidi="ar-EG"/>
        </w:rPr>
        <w:t>Formatif</w:t>
      </w:r>
      <w:proofErr w:type="spellEnd"/>
      <w:r w:rsidRPr="00AE0B0B">
        <w:rPr>
          <w:i/>
          <w:iCs/>
          <w:lang w:bidi="ar-EG"/>
        </w:rPr>
        <w:t xml:space="preserve">: </w:t>
      </w:r>
      <w:proofErr w:type="spellStart"/>
      <w:r w:rsidRPr="00AE0B0B">
        <w:rPr>
          <w:i/>
          <w:iCs/>
          <w:lang w:bidi="ar-EG"/>
        </w:rPr>
        <w:t>Jurnal</w:t>
      </w:r>
      <w:proofErr w:type="spellEnd"/>
      <w:r w:rsidRPr="00AE0B0B">
        <w:rPr>
          <w:i/>
          <w:iCs/>
          <w:lang w:bidi="ar-EG"/>
        </w:rPr>
        <w:t xml:space="preserve"> </w:t>
      </w:r>
      <w:proofErr w:type="spellStart"/>
      <w:r w:rsidRPr="00AE0B0B">
        <w:rPr>
          <w:i/>
          <w:iCs/>
          <w:lang w:bidi="ar-EG"/>
        </w:rPr>
        <w:t>Ilmiah</w:t>
      </w:r>
      <w:proofErr w:type="spellEnd"/>
      <w:r w:rsidRPr="00AE0B0B">
        <w:rPr>
          <w:i/>
          <w:iCs/>
          <w:lang w:bidi="ar-EG"/>
        </w:rPr>
        <w:t xml:space="preserve"> </w:t>
      </w:r>
      <w:proofErr w:type="spellStart"/>
      <w:r w:rsidRPr="00AE0B0B">
        <w:rPr>
          <w:i/>
          <w:iCs/>
          <w:lang w:bidi="ar-EG"/>
        </w:rPr>
        <w:t>Pendidikan</w:t>
      </w:r>
      <w:proofErr w:type="spellEnd"/>
      <w:r w:rsidRPr="00AE0B0B">
        <w:rPr>
          <w:i/>
          <w:iCs/>
          <w:lang w:bidi="ar-EG"/>
        </w:rPr>
        <w:t xml:space="preserve"> MIPA, 11</w:t>
      </w:r>
      <w:r w:rsidRPr="00CC4924">
        <w:rPr>
          <w:lang w:bidi="ar-EG"/>
        </w:rPr>
        <w:t xml:space="preserve">(2), 216–232. </w:t>
      </w:r>
      <w:hyperlink r:id="rId114" w:history="1">
        <w:r w:rsidRPr="00CC4924">
          <w:rPr>
            <w:rStyle w:val="Hyperlink"/>
            <w:lang w:bidi="ar-EG"/>
          </w:rPr>
          <w:t>https://doi.org/10.30998/formatif.v11i2.9905</w:t>
        </w:r>
      </w:hyperlink>
    </w:p>
    <w:p w:rsidR="006C2660" w:rsidRDefault="006C2660" w:rsidP="006C2660">
      <w:pPr>
        <w:spacing w:line="240" w:lineRule="auto"/>
        <w:ind w:left="426" w:hanging="426"/>
        <w:jc w:val="both"/>
        <w:rPr>
          <w:rFonts w:asciiTheme="majorBidi" w:hAnsiTheme="majorBidi" w:cstheme="majorBidi"/>
          <w:sz w:val="24"/>
          <w:szCs w:val="24"/>
        </w:rPr>
      </w:pPr>
      <w:r w:rsidRPr="00506450">
        <w:rPr>
          <w:rFonts w:asciiTheme="majorBidi" w:hAnsiTheme="majorBidi" w:cstheme="majorBidi"/>
          <w:sz w:val="24"/>
          <w:szCs w:val="24"/>
        </w:rPr>
        <w:t xml:space="preserve">Ross, J. A., </w:t>
      </w:r>
      <w:proofErr w:type="spellStart"/>
      <w:r w:rsidRPr="00506450">
        <w:rPr>
          <w:rFonts w:asciiTheme="majorBidi" w:hAnsiTheme="majorBidi" w:cstheme="majorBidi"/>
          <w:sz w:val="24"/>
          <w:szCs w:val="24"/>
        </w:rPr>
        <w:t>Hogaboam</w:t>
      </w:r>
      <w:proofErr w:type="spellEnd"/>
      <w:r w:rsidRPr="00506450">
        <w:rPr>
          <w:rFonts w:asciiTheme="majorBidi" w:hAnsiTheme="majorBidi" w:cstheme="majorBidi"/>
          <w:sz w:val="24"/>
          <w:szCs w:val="24"/>
        </w:rPr>
        <w:t xml:space="preserve">-Gray, A., &amp; </w:t>
      </w:r>
      <w:proofErr w:type="spellStart"/>
      <w:r w:rsidRPr="00506450">
        <w:rPr>
          <w:rFonts w:asciiTheme="majorBidi" w:hAnsiTheme="majorBidi" w:cstheme="majorBidi"/>
          <w:sz w:val="24"/>
          <w:szCs w:val="24"/>
        </w:rPr>
        <w:t>Hannay</w:t>
      </w:r>
      <w:proofErr w:type="spellEnd"/>
      <w:r w:rsidRPr="00506450">
        <w:rPr>
          <w:rFonts w:asciiTheme="majorBidi" w:hAnsiTheme="majorBidi" w:cstheme="majorBidi"/>
          <w:sz w:val="24"/>
          <w:szCs w:val="24"/>
        </w:rPr>
        <w:t xml:space="preserve">, L. (2001). Effects of Teacher Efficacy on Computer Skills and Computer Cognitions of Canadian Students in Grades K-3. </w:t>
      </w:r>
      <w:r w:rsidRPr="005D568A">
        <w:rPr>
          <w:rFonts w:asciiTheme="majorBidi" w:hAnsiTheme="majorBidi" w:cstheme="majorBidi"/>
          <w:i/>
          <w:iCs/>
          <w:sz w:val="24"/>
          <w:szCs w:val="24"/>
        </w:rPr>
        <w:t>The Elementary School Journal, 102</w:t>
      </w:r>
      <w:r w:rsidRPr="00506450">
        <w:rPr>
          <w:rFonts w:asciiTheme="majorBidi" w:hAnsiTheme="majorBidi" w:cstheme="majorBidi"/>
          <w:sz w:val="24"/>
          <w:szCs w:val="24"/>
        </w:rPr>
        <w:t xml:space="preserve">(2), 141–156. </w:t>
      </w:r>
      <w:hyperlink r:id="rId115" w:history="1">
        <w:r w:rsidRPr="00FF30D8">
          <w:rPr>
            <w:rStyle w:val="Hyperlink"/>
            <w:rFonts w:asciiTheme="majorBidi" w:hAnsiTheme="majorBidi" w:cstheme="majorBidi"/>
            <w:sz w:val="24"/>
            <w:szCs w:val="24"/>
          </w:rPr>
          <w:t>http://www.jstor.org/stable/1002205</w:t>
        </w:r>
      </w:hyperlink>
    </w:p>
    <w:p w:rsidR="006C2660" w:rsidRDefault="006C2660" w:rsidP="006C2660">
      <w:pPr>
        <w:spacing w:line="240" w:lineRule="auto"/>
        <w:ind w:left="426" w:hanging="426"/>
        <w:jc w:val="both"/>
        <w:rPr>
          <w:rFonts w:asciiTheme="majorBidi" w:hAnsiTheme="majorBidi" w:cstheme="majorBidi"/>
          <w:color w:val="000000"/>
        </w:rPr>
      </w:pPr>
      <w:r w:rsidRPr="00D5002B">
        <w:rPr>
          <w:lang w:bidi="ar-EG"/>
        </w:rPr>
        <w:t>Safari</w:t>
      </w:r>
      <w:r w:rsidRPr="00CF51BC">
        <w:rPr>
          <w:rFonts w:asciiTheme="majorBidi" w:hAnsiTheme="majorBidi" w:cstheme="majorBidi"/>
          <w:color w:val="000000"/>
        </w:rPr>
        <w:t xml:space="preserve">, I., </w:t>
      </w:r>
      <w:proofErr w:type="spellStart"/>
      <w:r w:rsidRPr="00CF51BC">
        <w:rPr>
          <w:rFonts w:asciiTheme="majorBidi" w:hAnsiTheme="majorBidi" w:cstheme="majorBidi"/>
          <w:color w:val="000000"/>
        </w:rPr>
        <w:t>Davaribina</w:t>
      </w:r>
      <w:proofErr w:type="spellEnd"/>
      <w:r w:rsidRPr="00CF51BC">
        <w:rPr>
          <w:rFonts w:asciiTheme="majorBidi" w:hAnsiTheme="majorBidi" w:cstheme="majorBidi"/>
          <w:color w:val="000000"/>
        </w:rPr>
        <w:t xml:space="preserve">, M. </w:t>
      </w:r>
      <w:r>
        <w:rPr>
          <w:rFonts w:asciiTheme="majorBidi" w:hAnsiTheme="majorBidi" w:cstheme="majorBidi"/>
          <w:color w:val="000000"/>
        </w:rPr>
        <w:t>&amp;</w:t>
      </w:r>
      <w:r w:rsidRPr="00CF51BC">
        <w:rPr>
          <w:rFonts w:asciiTheme="majorBidi" w:hAnsiTheme="majorBidi" w:cstheme="majorBidi"/>
          <w:color w:val="000000"/>
        </w:rPr>
        <w:t xml:space="preserve"> </w:t>
      </w:r>
      <w:proofErr w:type="spellStart"/>
      <w:r w:rsidRPr="00CF51BC">
        <w:rPr>
          <w:rFonts w:asciiTheme="majorBidi" w:hAnsiTheme="majorBidi" w:cstheme="majorBidi"/>
          <w:color w:val="000000"/>
        </w:rPr>
        <w:t>Khoshnevis</w:t>
      </w:r>
      <w:proofErr w:type="spellEnd"/>
      <w:r w:rsidRPr="00CF51BC">
        <w:rPr>
          <w:rFonts w:asciiTheme="majorBidi" w:hAnsiTheme="majorBidi" w:cstheme="majorBidi"/>
          <w:color w:val="000000"/>
        </w:rPr>
        <w:t xml:space="preserve">, I. (2020) ’The Influence of EFL Teachers’ Self-Efficacy, Job Satisfaction and Reflective Thinking on their Professional Development: A Structural Equation Modeling’, </w:t>
      </w:r>
      <w:r w:rsidRPr="00CF51BC">
        <w:rPr>
          <w:rFonts w:asciiTheme="majorBidi" w:hAnsiTheme="majorBidi" w:cstheme="majorBidi"/>
          <w:i/>
          <w:iCs/>
          <w:color w:val="000000"/>
        </w:rPr>
        <w:t>Journal on Efficiency and Responsibility in Education</w:t>
      </w:r>
      <w:r>
        <w:rPr>
          <w:rFonts w:asciiTheme="majorBidi" w:hAnsiTheme="majorBidi" w:cstheme="majorBidi"/>
          <w:i/>
          <w:iCs/>
          <w:color w:val="000000"/>
        </w:rPr>
        <w:t xml:space="preserve"> </w:t>
      </w:r>
      <w:r w:rsidRPr="00CF51BC">
        <w:rPr>
          <w:rFonts w:asciiTheme="majorBidi" w:hAnsiTheme="majorBidi" w:cstheme="majorBidi"/>
          <w:i/>
          <w:iCs/>
          <w:color w:val="000000"/>
        </w:rPr>
        <w:t xml:space="preserve">and </w:t>
      </w:r>
      <w:r w:rsidRPr="00CD4A6B">
        <w:rPr>
          <w:rFonts w:asciiTheme="majorBidi" w:hAnsiTheme="majorBidi" w:cstheme="majorBidi"/>
          <w:i/>
          <w:iCs/>
          <w:color w:val="000000"/>
        </w:rPr>
        <w:t>Science, 13</w:t>
      </w:r>
      <w:r>
        <w:rPr>
          <w:rFonts w:asciiTheme="majorBidi" w:hAnsiTheme="majorBidi" w:cstheme="majorBidi"/>
          <w:color w:val="000000"/>
        </w:rPr>
        <w:t>(</w:t>
      </w:r>
      <w:r w:rsidRPr="00CF51BC">
        <w:rPr>
          <w:rFonts w:asciiTheme="majorBidi" w:hAnsiTheme="majorBidi" w:cstheme="majorBidi"/>
          <w:color w:val="000000"/>
        </w:rPr>
        <w:t>1</w:t>
      </w:r>
      <w:r>
        <w:rPr>
          <w:rFonts w:asciiTheme="majorBidi" w:hAnsiTheme="majorBidi" w:cstheme="majorBidi"/>
          <w:color w:val="000000"/>
        </w:rPr>
        <w:t>)</w:t>
      </w:r>
      <w:r w:rsidRPr="00CF51BC">
        <w:rPr>
          <w:rFonts w:asciiTheme="majorBidi" w:hAnsiTheme="majorBidi" w:cstheme="majorBidi"/>
          <w:color w:val="000000"/>
        </w:rPr>
        <w:t xml:space="preserve">, </w:t>
      </w:r>
      <w:r>
        <w:rPr>
          <w:rFonts w:asciiTheme="majorBidi" w:hAnsiTheme="majorBidi" w:cstheme="majorBidi"/>
          <w:color w:val="000000"/>
        </w:rPr>
        <w:t xml:space="preserve">27–40. </w:t>
      </w:r>
      <w:hyperlink r:id="rId116" w:history="1">
        <w:r w:rsidRPr="00FF30D8">
          <w:rPr>
            <w:rStyle w:val="Hyperlink"/>
            <w:rFonts w:asciiTheme="majorBidi" w:hAnsiTheme="majorBidi" w:cstheme="majorBidi"/>
          </w:rPr>
          <w:t>https://doi.org/10.7160/eriesj.2020.130103</w:t>
        </w:r>
      </w:hyperlink>
    </w:p>
    <w:p w:rsidR="006C2660" w:rsidRPr="00C4125A" w:rsidRDefault="006C2660" w:rsidP="006C2660">
      <w:pPr>
        <w:spacing w:line="240" w:lineRule="auto"/>
        <w:ind w:left="426" w:hanging="426"/>
        <w:jc w:val="both"/>
        <w:rPr>
          <w:sz w:val="23"/>
          <w:szCs w:val="23"/>
        </w:rPr>
      </w:pPr>
      <w:proofErr w:type="spellStart"/>
      <w:r w:rsidRPr="00D5002B">
        <w:rPr>
          <w:lang w:bidi="ar-EG"/>
        </w:rPr>
        <w:lastRenderedPageBreak/>
        <w:t>Sahrai</w:t>
      </w:r>
      <w:proofErr w:type="spellEnd"/>
      <w:r w:rsidRPr="00C4125A">
        <w:rPr>
          <w:sz w:val="23"/>
          <w:szCs w:val="23"/>
        </w:rPr>
        <w:t xml:space="preserve">, S., Sugar, H., </w:t>
      </w:r>
      <w:proofErr w:type="spellStart"/>
      <w:r w:rsidRPr="00C4125A">
        <w:rPr>
          <w:sz w:val="23"/>
          <w:szCs w:val="23"/>
        </w:rPr>
        <w:t>Khanbani</w:t>
      </w:r>
      <w:proofErr w:type="spellEnd"/>
      <w:r w:rsidRPr="00C4125A">
        <w:rPr>
          <w:sz w:val="23"/>
          <w:szCs w:val="23"/>
        </w:rPr>
        <w:t xml:space="preserve">, M., </w:t>
      </w:r>
      <w:proofErr w:type="spellStart"/>
      <w:r w:rsidRPr="00C4125A">
        <w:rPr>
          <w:sz w:val="23"/>
          <w:szCs w:val="23"/>
        </w:rPr>
        <w:t>Hakimi</w:t>
      </w:r>
      <w:proofErr w:type="spellEnd"/>
      <w:r w:rsidRPr="00C4125A">
        <w:rPr>
          <w:sz w:val="23"/>
          <w:szCs w:val="23"/>
        </w:rPr>
        <w:t>, &amp; Rad</w:t>
      </w:r>
      <w:r>
        <w:rPr>
          <w:sz w:val="23"/>
          <w:szCs w:val="23"/>
        </w:rPr>
        <w:t>,</w:t>
      </w:r>
      <w:r w:rsidRPr="00C4125A">
        <w:rPr>
          <w:sz w:val="23"/>
          <w:szCs w:val="23"/>
        </w:rPr>
        <w:t xml:space="preserve"> E. (2017)</w:t>
      </w:r>
      <w:r>
        <w:rPr>
          <w:sz w:val="23"/>
          <w:szCs w:val="23"/>
        </w:rPr>
        <w:t>.</w:t>
      </w:r>
      <w:r w:rsidRPr="00C4125A">
        <w:rPr>
          <w:sz w:val="23"/>
          <w:szCs w:val="23"/>
        </w:rPr>
        <w:t xml:space="preserve"> The relationship between academic self-efficacy beliefs and academic wellbeing: the mediating role of perceived academic stress and achievement emotions. </w:t>
      </w:r>
      <w:r w:rsidRPr="00C4125A">
        <w:rPr>
          <w:i/>
          <w:iCs/>
          <w:sz w:val="23"/>
          <w:szCs w:val="23"/>
        </w:rPr>
        <w:t xml:space="preserve">Educational Psychology Quarterly, 14 </w:t>
      </w:r>
      <w:r w:rsidRPr="00C4125A">
        <w:rPr>
          <w:sz w:val="23"/>
          <w:szCs w:val="23"/>
        </w:rPr>
        <w:t>(49):53-84.</w:t>
      </w:r>
    </w:p>
    <w:p w:rsidR="006C2660" w:rsidRDefault="006C2660" w:rsidP="006C2660">
      <w:pPr>
        <w:spacing w:line="240" w:lineRule="auto"/>
        <w:ind w:left="426" w:hanging="426"/>
        <w:jc w:val="both"/>
        <w:rPr>
          <w:sz w:val="23"/>
          <w:szCs w:val="23"/>
          <w:rtl/>
        </w:rPr>
      </w:pPr>
      <w:proofErr w:type="spellStart"/>
      <w:r w:rsidRPr="00D5002B">
        <w:rPr>
          <w:lang w:bidi="ar-EG"/>
        </w:rPr>
        <w:t>Salmela</w:t>
      </w:r>
      <w:r w:rsidRPr="00386AF7">
        <w:rPr>
          <w:sz w:val="23"/>
          <w:szCs w:val="23"/>
        </w:rPr>
        <w:t>-Aro</w:t>
      </w:r>
      <w:proofErr w:type="spellEnd"/>
      <w:r w:rsidRPr="00386AF7">
        <w:rPr>
          <w:sz w:val="23"/>
          <w:szCs w:val="23"/>
        </w:rPr>
        <w:t xml:space="preserve">, K., </w:t>
      </w:r>
      <w:r>
        <w:rPr>
          <w:sz w:val="23"/>
          <w:szCs w:val="23"/>
        </w:rPr>
        <w:t>&amp;</w:t>
      </w:r>
      <w:r w:rsidRPr="00386AF7">
        <w:rPr>
          <w:sz w:val="23"/>
          <w:szCs w:val="23"/>
        </w:rPr>
        <w:t xml:space="preserve"> </w:t>
      </w:r>
      <w:proofErr w:type="spellStart"/>
      <w:r w:rsidRPr="00386AF7">
        <w:rPr>
          <w:sz w:val="23"/>
          <w:szCs w:val="23"/>
        </w:rPr>
        <w:t>Upadyaya</w:t>
      </w:r>
      <w:proofErr w:type="spellEnd"/>
      <w:r w:rsidRPr="00386AF7">
        <w:rPr>
          <w:sz w:val="23"/>
          <w:szCs w:val="23"/>
        </w:rPr>
        <w:t>, K. (2012). The schoolwork engagement inventory:</w:t>
      </w:r>
      <w:r>
        <w:rPr>
          <w:sz w:val="23"/>
          <w:szCs w:val="23"/>
        </w:rPr>
        <w:t xml:space="preserve"> </w:t>
      </w:r>
      <w:r w:rsidRPr="00386AF7">
        <w:rPr>
          <w:sz w:val="23"/>
          <w:szCs w:val="23"/>
        </w:rPr>
        <w:t>energy, dedication, and absorption (EDA). Eur. J. Psychol. Assess. 28, 60–67.</w:t>
      </w:r>
      <w:r>
        <w:rPr>
          <w:sz w:val="23"/>
          <w:szCs w:val="23"/>
        </w:rPr>
        <w:t xml:space="preserve"> </w:t>
      </w:r>
      <w:hyperlink r:id="rId117" w:history="1">
        <w:r w:rsidRPr="004D11EC">
          <w:rPr>
            <w:rStyle w:val="Hyperlink"/>
            <w:sz w:val="23"/>
            <w:szCs w:val="23"/>
          </w:rPr>
          <w:t>https://doi.org/10.1027/1015-5759/a000091</w:t>
        </w:r>
      </w:hyperlink>
      <w:r w:rsidRPr="00386AF7">
        <w:rPr>
          <w:sz w:val="23"/>
          <w:szCs w:val="23"/>
        </w:rPr>
        <w:t xml:space="preserve"> </w:t>
      </w:r>
    </w:p>
    <w:p w:rsidR="006C2660" w:rsidRPr="00D859C9" w:rsidRDefault="006C2660" w:rsidP="006C2660">
      <w:pPr>
        <w:spacing w:line="240" w:lineRule="auto"/>
        <w:ind w:left="426" w:hanging="426"/>
        <w:jc w:val="both"/>
        <w:rPr>
          <w:sz w:val="23"/>
          <w:szCs w:val="23"/>
          <w:rtl/>
          <w:lang w:bidi="ar-EG"/>
        </w:rPr>
      </w:pPr>
      <w:r w:rsidRPr="00D5002B">
        <w:rPr>
          <w:lang w:bidi="ar-EG"/>
        </w:rPr>
        <w:t>Santos</w:t>
      </w:r>
      <w:r w:rsidRPr="00D859C9">
        <w:rPr>
          <w:sz w:val="23"/>
          <w:szCs w:val="23"/>
          <w:lang w:bidi="ar-EG"/>
        </w:rPr>
        <w:t xml:space="preserve">, M. C. J., </w:t>
      </w:r>
      <w:proofErr w:type="spellStart"/>
      <w:r w:rsidRPr="00D859C9">
        <w:rPr>
          <w:sz w:val="23"/>
          <w:szCs w:val="23"/>
          <w:lang w:bidi="ar-EG"/>
        </w:rPr>
        <w:t>Magramo</w:t>
      </w:r>
      <w:proofErr w:type="spellEnd"/>
      <w:r w:rsidRPr="00D859C9">
        <w:rPr>
          <w:sz w:val="23"/>
          <w:szCs w:val="23"/>
          <w:lang w:bidi="ar-EG"/>
        </w:rPr>
        <w:t xml:space="preserve">, J. C. S., </w:t>
      </w:r>
      <w:proofErr w:type="spellStart"/>
      <w:r w:rsidRPr="00D859C9">
        <w:rPr>
          <w:sz w:val="23"/>
          <w:szCs w:val="23"/>
          <w:lang w:bidi="ar-EG"/>
        </w:rPr>
        <w:t>Oguan</w:t>
      </w:r>
      <w:proofErr w:type="spellEnd"/>
      <w:r w:rsidRPr="00D859C9">
        <w:rPr>
          <w:sz w:val="23"/>
          <w:szCs w:val="23"/>
          <w:lang w:bidi="ar-EG"/>
        </w:rPr>
        <w:t xml:space="preserve">, J. F., &amp; </w:t>
      </w:r>
      <w:proofErr w:type="spellStart"/>
      <w:r w:rsidRPr="00D859C9">
        <w:rPr>
          <w:sz w:val="23"/>
          <w:szCs w:val="23"/>
          <w:lang w:bidi="ar-EG"/>
        </w:rPr>
        <w:t>Paat</w:t>
      </w:r>
      <w:proofErr w:type="spellEnd"/>
      <w:r w:rsidRPr="00D859C9">
        <w:rPr>
          <w:sz w:val="23"/>
          <w:szCs w:val="23"/>
          <w:lang w:bidi="ar-EG"/>
        </w:rPr>
        <w:t>, J. J. (2014). Establishing the relationship between general self-efficacy and subjective well-being among college students. </w:t>
      </w:r>
      <w:r w:rsidRPr="00D859C9">
        <w:rPr>
          <w:i/>
          <w:iCs/>
          <w:sz w:val="23"/>
          <w:szCs w:val="23"/>
          <w:lang w:bidi="ar-EG"/>
        </w:rPr>
        <w:t>Asian Journal of Management Sciences &amp; Education</w:t>
      </w:r>
      <w:r w:rsidRPr="00D859C9">
        <w:rPr>
          <w:sz w:val="23"/>
          <w:szCs w:val="23"/>
          <w:lang w:bidi="ar-EG"/>
        </w:rPr>
        <w:t>, </w:t>
      </w:r>
      <w:r w:rsidRPr="00D859C9">
        <w:rPr>
          <w:i/>
          <w:iCs/>
          <w:sz w:val="23"/>
          <w:szCs w:val="23"/>
          <w:lang w:bidi="ar-EG"/>
        </w:rPr>
        <w:t>3</w:t>
      </w:r>
      <w:r w:rsidRPr="00D859C9">
        <w:rPr>
          <w:sz w:val="23"/>
          <w:szCs w:val="23"/>
          <w:lang w:bidi="ar-EG"/>
        </w:rPr>
        <w:t>(1), 1–12</w:t>
      </w:r>
    </w:p>
    <w:p w:rsidR="006C2660" w:rsidRDefault="006C2660" w:rsidP="006C2660">
      <w:pPr>
        <w:spacing w:line="240" w:lineRule="auto"/>
        <w:ind w:left="426" w:hanging="426"/>
        <w:jc w:val="both"/>
        <w:rPr>
          <w:lang w:bidi="ar-EG"/>
        </w:rPr>
      </w:pPr>
      <w:proofErr w:type="spellStart"/>
      <w:r w:rsidRPr="00D5002B">
        <w:rPr>
          <w:rFonts w:cs="Minion Pro"/>
          <w:color w:val="000000"/>
          <w:sz w:val="24"/>
          <w:szCs w:val="24"/>
        </w:rPr>
        <w:t>Sarfo</w:t>
      </w:r>
      <w:proofErr w:type="spellEnd"/>
      <w:r w:rsidRPr="007C5912">
        <w:rPr>
          <w:lang w:bidi="ar-EG"/>
        </w:rPr>
        <w:t xml:space="preserve">, F. K., </w:t>
      </w:r>
      <w:proofErr w:type="spellStart"/>
      <w:r w:rsidRPr="007C5912">
        <w:rPr>
          <w:lang w:bidi="ar-EG"/>
        </w:rPr>
        <w:t>Amankwah</w:t>
      </w:r>
      <w:proofErr w:type="spellEnd"/>
      <w:r w:rsidRPr="007C5912">
        <w:rPr>
          <w:lang w:bidi="ar-EG"/>
        </w:rPr>
        <w:t xml:space="preserve">, S., </w:t>
      </w:r>
      <w:proofErr w:type="spellStart"/>
      <w:r w:rsidRPr="007C5912">
        <w:rPr>
          <w:lang w:bidi="ar-EG"/>
        </w:rPr>
        <w:t>Oti-Agyen</w:t>
      </w:r>
      <w:proofErr w:type="spellEnd"/>
      <w:r w:rsidRPr="007C5912">
        <w:rPr>
          <w:lang w:bidi="ar-EG"/>
        </w:rPr>
        <w:t xml:space="preserve"> P., &amp; </w:t>
      </w:r>
      <w:proofErr w:type="spellStart"/>
      <w:r w:rsidRPr="007C5912">
        <w:rPr>
          <w:lang w:bidi="ar-EG"/>
        </w:rPr>
        <w:t>Yidana</w:t>
      </w:r>
      <w:proofErr w:type="spellEnd"/>
      <w:r w:rsidRPr="007C5912">
        <w:rPr>
          <w:lang w:bidi="ar-EG"/>
        </w:rPr>
        <w:t xml:space="preserve">, I (2016). Information and communication technology access and use and competency level among second-cycle school teachers in Ghana. </w:t>
      </w:r>
      <w:r w:rsidRPr="00DA61BB">
        <w:rPr>
          <w:i/>
          <w:iCs/>
          <w:lang w:bidi="ar-EG"/>
        </w:rPr>
        <w:t>Journal of Medial and Communication Studies. 8</w:t>
      </w:r>
      <w:r>
        <w:rPr>
          <w:lang w:bidi="ar-EG"/>
        </w:rPr>
        <w:t xml:space="preserve"> </w:t>
      </w:r>
      <w:r w:rsidRPr="007C5912">
        <w:rPr>
          <w:lang w:bidi="ar-EG"/>
        </w:rPr>
        <w:t xml:space="preserve">(5), 43 -51. </w:t>
      </w:r>
      <w:hyperlink r:id="rId118" w:history="1">
        <w:r w:rsidRPr="00FF30D8">
          <w:rPr>
            <w:rStyle w:val="Hyperlink"/>
            <w:lang w:bidi="ar-EG"/>
          </w:rPr>
          <w:t>https://doi.org/10.5897/JMCS2016.0495</w:t>
        </w:r>
      </w:hyperlink>
    </w:p>
    <w:p w:rsidR="006C2660" w:rsidRPr="00054096" w:rsidRDefault="006C2660" w:rsidP="006C2660">
      <w:pPr>
        <w:spacing w:line="240" w:lineRule="auto"/>
        <w:ind w:left="426" w:hanging="426"/>
        <w:jc w:val="both"/>
        <w:rPr>
          <w:lang w:bidi="ar-EG"/>
        </w:rPr>
      </w:pPr>
      <w:proofErr w:type="spellStart"/>
      <w:r w:rsidRPr="007C5912">
        <w:rPr>
          <w:lang w:bidi="ar-EG"/>
        </w:rPr>
        <w:t>Sarfo</w:t>
      </w:r>
      <w:proofErr w:type="spellEnd"/>
      <w:r w:rsidRPr="007C5912">
        <w:rPr>
          <w:lang w:bidi="ar-EG"/>
        </w:rPr>
        <w:t>, F.</w:t>
      </w:r>
      <w:r>
        <w:rPr>
          <w:lang w:bidi="ar-EG"/>
        </w:rPr>
        <w:t>,</w:t>
      </w:r>
      <w:r w:rsidRPr="007C5912">
        <w:rPr>
          <w:lang w:bidi="ar-EG"/>
        </w:rPr>
        <w:t xml:space="preserve"> </w:t>
      </w:r>
      <w:proofErr w:type="spellStart"/>
      <w:r w:rsidRPr="007C5912">
        <w:rPr>
          <w:lang w:bidi="ar-EG"/>
        </w:rPr>
        <w:t>Amankwah</w:t>
      </w:r>
      <w:proofErr w:type="spellEnd"/>
      <w:r w:rsidRPr="007C5912">
        <w:rPr>
          <w:lang w:bidi="ar-EG"/>
        </w:rPr>
        <w:t>, F.</w:t>
      </w:r>
      <w:r>
        <w:rPr>
          <w:lang w:bidi="ar-EG"/>
        </w:rPr>
        <w:t>,</w:t>
      </w:r>
      <w:r w:rsidRPr="007C5912">
        <w:rPr>
          <w:lang w:bidi="ar-EG"/>
        </w:rPr>
        <w:t xml:space="preserve"> &amp; </w:t>
      </w:r>
      <w:proofErr w:type="spellStart"/>
      <w:r w:rsidRPr="007C5912">
        <w:rPr>
          <w:lang w:bidi="ar-EG"/>
        </w:rPr>
        <w:t>Konin</w:t>
      </w:r>
      <w:proofErr w:type="spellEnd"/>
      <w:r w:rsidRPr="007C5912">
        <w:rPr>
          <w:lang w:bidi="ar-EG"/>
        </w:rPr>
        <w:t xml:space="preserve">, D. (2017). </w:t>
      </w:r>
      <w:r w:rsidRPr="00054096">
        <w:rPr>
          <w:lang w:bidi="ar-EG"/>
        </w:rPr>
        <w:t>Computer Self-Efficacy among Senior High School Teachers in Ghana and the Functionality of Demographic Variables on Their Computer Self-Efficacy</w:t>
      </w:r>
      <w:r w:rsidRPr="00054096">
        <w:rPr>
          <w:b/>
          <w:bCs/>
          <w:i/>
          <w:iCs/>
          <w:lang w:bidi="ar-EG"/>
        </w:rPr>
        <w:t xml:space="preserve">. </w:t>
      </w:r>
      <w:r w:rsidRPr="00054096">
        <w:rPr>
          <w:i/>
          <w:iCs/>
          <w:lang w:bidi="ar-EG"/>
        </w:rPr>
        <w:t>Turkish Online Journal of Educational Technology - TOJET,  16</w:t>
      </w:r>
      <w:r w:rsidRPr="00054096">
        <w:rPr>
          <w:lang w:bidi="ar-EG"/>
        </w:rPr>
        <w:t xml:space="preserve"> (1), 19-31. </w:t>
      </w:r>
    </w:p>
    <w:p w:rsidR="006C2660" w:rsidRDefault="006C2660" w:rsidP="006C2660">
      <w:pPr>
        <w:spacing w:line="240" w:lineRule="auto"/>
        <w:ind w:left="426" w:hanging="426"/>
        <w:jc w:val="both"/>
        <w:rPr>
          <w:lang w:bidi="ar-EG"/>
        </w:rPr>
      </w:pPr>
      <w:proofErr w:type="spellStart"/>
      <w:r w:rsidRPr="00D5002B">
        <w:rPr>
          <w:rFonts w:cs="Minion Pro"/>
          <w:color w:val="000000"/>
          <w:sz w:val="24"/>
          <w:szCs w:val="24"/>
        </w:rPr>
        <w:t>Schunk</w:t>
      </w:r>
      <w:proofErr w:type="spellEnd"/>
      <w:r w:rsidRPr="00312693">
        <w:rPr>
          <w:lang w:bidi="ar-EG"/>
        </w:rPr>
        <w:t xml:space="preserve">, D. H. (1991). Self-efficacy and academic motivation. </w:t>
      </w:r>
      <w:r w:rsidRPr="00312693">
        <w:rPr>
          <w:i/>
          <w:iCs/>
          <w:lang w:bidi="ar-EG"/>
        </w:rPr>
        <w:t>Educational psychologist</w:t>
      </w:r>
      <w:r w:rsidRPr="00312693">
        <w:rPr>
          <w:lang w:bidi="ar-EG"/>
        </w:rPr>
        <w:t xml:space="preserve">, </w:t>
      </w:r>
      <w:r w:rsidRPr="00312693">
        <w:rPr>
          <w:i/>
          <w:iCs/>
          <w:lang w:bidi="ar-EG"/>
        </w:rPr>
        <w:t>26</w:t>
      </w:r>
      <w:r>
        <w:rPr>
          <w:i/>
          <w:iCs/>
          <w:lang w:bidi="ar-EG"/>
        </w:rPr>
        <w:t xml:space="preserve"> </w:t>
      </w:r>
      <w:r w:rsidRPr="00312693">
        <w:rPr>
          <w:lang w:bidi="ar-EG"/>
        </w:rPr>
        <w:t>(3-4),</w:t>
      </w:r>
      <w:r>
        <w:rPr>
          <w:lang w:bidi="ar-EG"/>
        </w:rPr>
        <w:t xml:space="preserve"> </w:t>
      </w:r>
      <w:r w:rsidRPr="00312693">
        <w:rPr>
          <w:lang w:bidi="ar-EG"/>
        </w:rPr>
        <w:t>207-231.</w:t>
      </w:r>
      <w:r w:rsidRPr="00DA61BB">
        <w:t xml:space="preserve"> </w:t>
      </w:r>
      <w:hyperlink r:id="rId119" w:history="1">
        <w:r w:rsidRPr="00FF30D8">
          <w:rPr>
            <w:rStyle w:val="Hyperlink"/>
            <w:lang w:bidi="ar-EG"/>
          </w:rPr>
          <w:t>https://doi.org/10.1207/s15326985ep2603&amp;4_2</w:t>
        </w:r>
      </w:hyperlink>
    </w:p>
    <w:p w:rsidR="006C2660" w:rsidRDefault="006C2660" w:rsidP="006C2660">
      <w:pPr>
        <w:spacing w:line="240" w:lineRule="auto"/>
        <w:ind w:left="426" w:hanging="426"/>
        <w:jc w:val="both"/>
        <w:rPr>
          <w:rtl/>
        </w:rPr>
      </w:pPr>
      <w:r>
        <w:rPr>
          <w:rFonts w:ascii="Times New Roman" w:hAnsi="Times New Roman" w:cs="Times New Roman"/>
          <w:color w:val="000000"/>
          <w:sz w:val="23"/>
          <w:szCs w:val="23"/>
        </w:rPr>
        <w:t xml:space="preserve"> </w:t>
      </w:r>
      <w:proofErr w:type="spellStart"/>
      <w:r>
        <w:rPr>
          <w:lang w:bidi="ar-EG"/>
        </w:rPr>
        <w:t>Schunk</w:t>
      </w:r>
      <w:proofErr w:type="spellEnd"/>
      <w:r>
        <w:t xml:space="preserve">, D.H., </w:t>
      </w:r>
      <w:proofErr w:type="spellStart"/>
      <w:r>
        <w:t>Meece</w:t>
      </w:r>
      <w:proofErr w:type="spellEnd"/>
      <w:r>
        <w:t xml:space="preserve">, J.R., &amp; </w:t>
      </w:r>
      <w:proofErr w:type="spellStart"/>
      <w:r>
        <w:t>Pintrich</w:t>
      </w:r>
      <w:proofErr w:type="spellEnd"/>
      <w:r>
        <w:t xml:space="preserve">, P.R. (2014). </w:t>
      </w:r>
      <w:r>
        <w:rPr>
          <w:i/>
          <w:iCs/>
        </w:rPr>
        <w:t xml:space="preserve">Motivation in education: Theory, research, and applications </w:t>
      </w:r>
      <w:r>
        <w:t>(4th ed.). Boston, MA: Pearson.</w:t>
      </w:r>
    </w:p>
    <w:p w:rsidR="006C2660" w:rsidRPr="007C5912" w:rsidRDefault="006C2660" w:rsidP="006C2660">
      <w:pPr>
        <w:spacing w:line="240" w:lineRule="auto"/>
        <w:ind w:left="426" w:hanging="426"/>
        <w:jc w:val="both"/>
        <w:rPr>
          <w:rtl/>
          <w:lang w:bidi="ar-EG"/>
        </w:rPr>
      </w:pPr>
      <w:proofErr w:type="spellStart"/>
      <w:r w:rsidRPr="00D5002B">
        <w:rPr>
          <w:rFonts w:cs="Minion Pro"/>
          <w:color w:val="000000"/>
          <w:sz w:val="24"/>
          <w:szCs w:val="24"/>
        </w:rPr>
        <w:t>Schwarzhaupt</w:t>
      </w:r>
      <w:proofErr w:type="spellEnd"/>
      <w:r w:rsidRPr="007C5912">
        <w:rPr>
          <w:lang w:bidi="ar-EG"/>
        </w:rPr>
        <w:t xml:space="preserve">, R., Liu, F., Wilson, J., Lee, F. </w:t>
      </w:r>
      <w:r>
        <w:rPr>
          <w:lang w:bidi="ar-EG"/>
        </w:rPr>
        <w:t>&amp;</w:t>
      </w:r>
      <w:r w:rsidRPr="007C5912">
        <w:rPr>
          <w:lang w:bidi="ar-EG"/>
        </w:rPr>
        <w:t xml:space="preserve"> </w:t>
      </w:r>
      <w:proofErr w:type="spellStart"/>
      <w:r w:rsidRPr="007C5912">
        <w:rPr>
          <w:lang w:bidi="ar-EG"/>
        </w:rPr>
        <w:t>Rasberry</w:t>
      </w:r>
      <w:proofErr w:type="spellEnd"/>
      <w:r w:rsidRPr="007C5912">
        <w:rPr>
          <w:lang w:bidi="ar-EG"/>
        </w:rPr>
        <w:t>, M. (2021)</w:t>
      </w:r>
      <w:r>
        <w:rPr>
          <w:lang w:bidi="ar-EG"/>
        </w:rPr>
        <w:t xml:space="preserve">. </w:t>
      </w:r>
      <w:r w:rsidRPr="007C5912">
        <w:rPr>
          <w:lang w:bidi="ar-EG"/>
        </w:rPr>
        <w:t>Teachers’ Engagement and Self-Efficacy in a PK–12 Computer Science Teacher Virtual Community of</w:t>
      </w:r>
      <w:r>
        <w:rPr>
          <w:lang w:bidi="ar-EG"/>
        </w:rPr>
        <w:t xml:space="preserve"> </w:t>
      </w:r>
      <w:r w:rsidRPr="007C5912">
        <w:rPr>
          <w:lang w:bidi="ar-EG"/>
        </w:rPr>
        <w:t>Practice’, </w:t>
      </w:r>
      <w:r w:rsidRPr="007C5912">
        <w:rPr>
          <w:i/>
          <w:iCs/>
          <w:lang w:bidi="ar-EG"/>
        </w:rPr>
        <w:t xml:space="preserve">Journal of Computer Science </w:t>
      </w:r>
      <w:r w:rsidRPr="00DA61BB">
        <w:rPr>
          <w:i/>
          <w:iCs/>
          <w:lang w:bidi="ar-EG"/>
        </w:rPr>
        <w:t>Integration, 4</w:t>
      </w:r>
      <w:r>
        <w:rPr>
          <w:lang w:bidi="ar-EG"/>
        </w:rPr>
        <w:t xml:space="preserve">(1), p. 1. </w:t>
      </w:r>
      <w:hyperlink r:id="rId120" w:history="1">
        <w:r w:rsidRPr="007C5912">
          <w:rPr>
            <w:rStyle w:val="Hyperlink"/>
            <w:lang w:bidi="ar-EG"/>
          </w:rPr>
          <w:t>https://doi.org/10.26716/jcsi.2021.10.8.34</w:t>
        </w:r>
      </w:hyperlink>
      <w:r w:rsidRPr="007C5912">
        <w:rPr>
          <w:lang w:bidi="ar-EG"/>
        </w:rPr>
        <w:t>.</w:t>
      </w:r>
    </w:p>
    <w:p w:rsidR="006C2660" w:rsidRDefault="006C2660" w:rsidP="006C2660">
      <w:pPr>
        <w:spacing w:line="240" w:lineRule="auto"/>
        <w:ind w:left="426" w:hanging="426"/>
        <w:jc w:val="both"/>
        <w:rPr>
          <w:sz w:val="23"/>
          <w:szCs w:val="23"/>
        </w:rPr>
      </w:pPr>
      <w:proofErr w:type="spellStart"/>
      <w:r w:rsidRPr="001E5B34">
        <w:rPr>
          <w:sz w:val="23"/>
          <w:szCs w:val="23"/>
        </w:rPr>
        <w:t>Serinci</w:t>
      </w:r>
      <w:proofErr w:type="spellEnd"/>
      <w:r w:rsidRPr="001E5B34">
        <w:rPr>
          <w:sz w:val="23"/>
          <w:szCs w:val="23"/>
        </w:rPr>
        <w:t xml:space="preserve">, S., </w:t>
      </w:r>
      <w:proofErr w:type="spellStart"/>
      <w:r w:rsidRPr="001E5B34">
        <w:rPr>
          <w:sz w:val="23"/>
          <w:szCs w:val="23"/>
        </w:rPr>
        <w:t>Çıkrıkçı</w:t>
      </w:r>
      <w:proofErr w:type="spellEnd"/>
      <w:r w:rsidRPr="001E5B34">
        <w:rPr>
          <w:sz w:val="23"/>
          <w:szCs w:val="23"/>
        </w:rPr>
        <w:t xml:space="preserve">, Ö., &amp; </w:t>
      </w:r>
      <w:proofErr w:type="spellStart"/>
      <w:r w:rsidRPr="001E5B34">
        <w:rPr>
          <w:sz w:val="23"/>
          <w:szCs w:val="23"/>
        </w:rPr>
        <w:t>Sarıkaya</w:t>
      </w:r>
      <w:proofErr w:type="spellEnd"/>
      <w:r w:rsidRPr="001E5B34">
        <w:rPr>
          <w:sz w:val="23"/>
          <w:szCs w:val="23"/>
        </w:rPr>
        <w:t>, Y. (2023). Investigation of relationships between academic self-</w:t>
      </w:r>
      <w:r w:rsidRPr="00D5002B">
        <w:rPr>
          <w:lang w:bidi="ar-EG"/>
        </w:rPr>
        <w:t>efficacy</w:t>
      </w:r>
      <w:r w:rsidRPr="001E5B34">
        <w:rPr>
          <w:sz w:val="23"/>
          <w:szCs w:val="23"/>
        </w:rPr>
        <w:t>, life goals and subjective well-being of middle school students.</w:t>
      </w:r>
      <w:r w:rsidRPr="001E5B34">
        <w:rPr>
          <w:i/>
          <w:iCs/>
          <w:sz w:val="23"/>
          <w:szCs w:val="23"/>
        </w:rPr>
        <w:t xml:space="preserve"> British Journal of Guidance &amp; </w:t>
      </w:r>
      <w:proofErr w:type="spellStart"/>
      <w:r w:rsidRPr="001E5B34">
        <w:rPr>
          <w:i/>
          <w:iCs/>
          <w:sz w:val="23"/>
          <w:szCs w:val="23"/>
        </w:rPr>
        <w:t>Counselling</w:t>
      </w:r>
      <w:proofErr w:type="spellEnd"/>
      <w:r w:rsidRPr="001E5B34">
        <w:rPr>
          <w:i/>
          <w:iCs/>
          <w:sz w:val="23"/>
          <w:szCs w:val="23"/>
        </w:rPr>
        <w:t>, 52</w:t>
      </w:r>
      <w:r w:rsidRPr="001E5B34">
        <w:rPr>
          <w:sz w:val="23"/>
          <w:szCs w:val="23"/>
        </w:rPr>
        <w:t xml:space="preserve">(5), 955–969. </w:t>
      </w:r>
      <w:hyperlink r:id="rId121" w:history="1">
        <w:r w:rsidRPr="004D11EC">
          <w:rPr>
            <w:rStyle w:val="Hyperlink"/>
            <w:sz w:val="23"/>
            <w:szCs w:val="23"/>
          </w:rPr>
          <w:t>https://doi.org/10.1080/03069885.2023.2285326</w:t>
        </w:r>
      </w:hyperlink>
      <w:r w:rsidRPr="001E5B34">
        <w:rPr>
          <w:sz w:val="23"/>
          <w:szCs w:val="23"/>
        </w:rPr>
        <w:t xml:space="preserve"> </w:t>
      </w:r>
    </w:p>
    <w:p w:rsidR="006C2660" w:rsidRDefault="006C2660" w:rsidP="006C2660">
      <w:pPr>
        <w:spacing w:line="240" w:lineRule="auto"/>
        <w:ind w:left="426" w:hanging="426"/>
        <w:jc w:val="both"/>
        <w:rPr>
          <w:sz w:val="24"/>
          <w:szCs w:val="24"/>
        </w:rPr>
      </w:pPr>
      <w:r w:rsidRPr="00B27BDC">
        <w:rPr>
          <w:sz w:val="24"/>
          <w:szCs w:val="24"/>
        </w:rPr>
        <w:t xml:space="preserve">Settle, A., </w:t>
      </w:r>
      <w:proofErr w:type="spellStart"/>
      <w:r w:rsidRPr="00B27BDC">
        <w:rPr>
          <w:sz w:val="24"/>
          <w:szCs w:val="24"/>
        </w:rPr>
        <w:t>Franke</w:t>
      </w:r>
      <w:proofErr w:type="spellEnd"/>
      <w:r w:rsidRPr="00B27BDC">
        <w:rPr>
          <w:sz w:val="24"/>
          <w:szCs w:val="24"/>
        </w:rPr>
        <w:t xml:space="preserve">, B., Hansen, R., </w:t>
      </w:r>
      <w:proofErr w:type="spellStart"/>
      <w:r w:rsidRPr="00B27BDC">
        <w:rPr>
          <w:sz w:val="24"/>
          <w:szCs w:val="24"/>
        </w:rPr>
        <w:t>Spaltro</w:t>
      </w:r>
      <w:proofErr w:type="spellEnd"/>
      <w:r w:rsidRPr="00B27BDC">
        <w:rPr>
          <w:sz w:val="24"/>
          <w:szCs w:val="24"/>
        </w:rPr>
        <w:t xml:space="preserve">, F., </w:t>
      </w:r>
      <w:proofErr w:type="spellStart"/>
      <w:r w:rsidRPr="00B27BDC">
        <w:rPr>
          <w:sz w:val="24"/>
          <w:szCs w:val="24"/>
        </w:rPr>
        <w:t>Jurisson</w:t>
      </w:r>
      <w:proofErr w:type="spellEnd"/>
      <w:r w:rsidRPr="00B27BDC">
        <w:rPr>
          <w:sz w:val="24"/>
          <w:szCs w:val="24"/>
        </w:rPr>
        <w:t xml:space="preserve">, C., </w:t>
      </w:r>
      <w:proofErr w:type="spellStart"/>
      <w:r w:rsidRPr="00B27BDC">
        <w:rPr>
          <w:sz w:val="24"/>
          <w:szCs w:val="24"/>
        </w:rPr>
        <w:t>Rennert</w:t>
      </w:r>
      <w:proofErr w:type="spellEnd"/>
      <w:r w:rsidRPr="00B27BDC">
        <w:rPr>
          <w:sz w:val="24"/>
          <w:szCs w:val="24"/>
        </w:rPr>
        <w:t xml:space="preserve">-May, C., &amp; </w:t>
      </w:r>
      <w:proofErr w:type="spellStart"/>
      <w:r w:rsidRPr="00B27BDC">
        <w:rPr>
          <w:sz w:val="24"/>
          <w:szCs w:val="24"/>
        </w:rPr>
        <w:t>Wildeman</w:t>
      </w:r>
      <w:proofErr w:type="spellEnd"/>
      <w:r w:rsidRPr="00B27BDC">
        <w:rPr>
          <w:sz w:val="24"/>
          <w:szCs w:val="24"/>
        </w:rPr>
        <w:t xml:space="preserve">, B. (2012). Infusing computational thinking into the middle-and high-school curriculum. In </w:t>
      </w:r>
      <w:proofErr w:type="spellStart"/>
      <w:r w:rsidRPr="00253589">
        <w:rPr>
          <w:i/>
          <w:iCs/>
          <w:sz w:val="24"/>
          <w:szCs w:val="24"/>
        </w:rPr>
        <w:t>ITiCSE</w:t>
      </w:r>
      <w:proofErr w:type="spellEnd"/>
      <w:r w:rsidRPr="00253589">
        <w:rPr>
          <w:i/>
          <w:iCs/>
          <w:sz w:val="24"/>
          <w:szCs w:val="24"/>
        </w:rPr>
        <w:t xml:space="preserve"> '12: Proceedings of the 17th ACM annual conference on Innovation and technology in computer science education </w:t>
      </w:r>
      <w:r w:rsidRPr="00474CFE">
        <w:rPr>
          <w:sz w:val="24"/>
          <w:szCs w:val="24"/>
        </w:rPr>
        <w:t>(pp. 22-27). ACM.</w:t>
      </w:r>
      <w:r w:rsidRPr="00253589">
        <w:t xml:space="preserve"> </w:t>
      </w:r>
      <w:hyperlink r:id="rId122" w:history="1">
        <w:r w:rsidRPr="00FF30D8">
          <w:rPr>
            <w:rStyle w:val="Hyperlink"/>
            <w:sz w:val="24"/>
            <w:szCs w:val="24"/>
          </w:rPr>
          <w:t>https://doi.org/10.1145/2325296.232530</w:t>
        </w:r>
      </w:hyperlink>
    </w:p>
    <w:p w:rsidR="006C2660" w:rsidRDefault="006C2660" w:rsidP="006C2660">
      <w:pPr>
        <w:spacing w:line="240" w:lineRule="auto"/>
        <w:ind w:left="426" w:hanging="426"/>
        <w:jc w:val="both"/>
        <w:rPr>
          <w:rFonts w:cs="Minion Pro"/>
          <w:color w:val="000000"/>
          <w:sz w:val="24"/>
          <w:szCs w:val="24"/>
        </w:rPr>
      </w:pPr>
      <w:proofErr w:type="spellStart"/>
      <w:r w:rsidRPr="005A2DAF">
        <w:rPr>
          <w:rFonts w:cs="Minion Pro"/>
          <w:color w:val="000000"/>
          <w:sz w:val="24"/>
          <w:szCs w:val="24"/>
        </w:rPr>
        <w:t>Shek</w:t>
      </w:r>
      <w:proofErr w:type="spellEnd"/>
      <w:r>
        <w:rPr>
          <w:rFonts w:cs="Minion Pro"/>
          <w:color w:val="000000"/>
          <w:sz w:val="24"/>
          <w:szCs w:val="24"/>
        </w:rPr>
        <w:t>.</w:t>
      </w:r>
      <w:r w:rsidRPr="005A2DAF">
        <w:rPr>
          <w:rFonts w:cs="Minion Pro"/>
          <w:color w:val="000000"/>
          <w:sz w:val="24"/>
          <w:szCs w:val="24"/>
        </w:rPr>
        <w:t xml:space="preserve"> D</w:t>
      </w:r>
      <w:r>
        <w:rPr>
          <w:rFonts w:cs="Minion Pro"/>
          <w:color w:val="000000"/>
          <w:sz w:val="24"/>
          <w:szCs w:val="24"/>
        </w:rPr>
        <w:t>.</w:t>
      </w:r>
      <w:r w:rsidRPr="005A2DAF">
        <w:rPr>
          <w:rFonts w:cs="Minion Pro"/>
          <w:color w:val="000000"/>
          <w:sz w:val="24"/>
          <w:szCs w:val="24"/>
        </w:rPr>
        <w:t xml:space="preserve"> </w:t>
      </w:r>
      <w:r>
        <w:rPr>
          <w:rFonts w:cs="Minion Pro"/>
          <w:color w:val="000000"/>
          <w:sz w:val="24"/>
          <w:szCs w:val="24"/>
        </w:rPr>
        <w:t>&amp;</w:t>
      </w:r>
      <w:r w:rsidRPr="005A2DAF">
        <w:rPr>
          <w:rFonts w:cs="Minion Pro"/>
          <w:color w:val="000000"/>
          <w:sz w:val="24"/>
          <w:szCs w:val="24"/>
        </w:rPr>
        <w:t xml:space="preserve"> Chai</w:t>
      </w:r>
      <w:r>
        <w:rPr>
          <w:rFonts w:cs="Minion Pro"/>
          <w:color w:val="000000"/>
          <w:sz w:val="24"/>
          <w:szCs w:val="24"/>
        </w:rPr>
        <w:t>,</w:t>
      </w:r>
      <w:r w:rsidRPr="005A2DAF">
        <w:rPr>
          <w:rFonts w:cs="Minion Pro"/>
          <w:color w:val="000000"/>
          <w:sz w:val="24"/>
          <w:szCs w:val="24"/>
        </w:rPr>
        <w:t xml:space="preserve"> W</w:t>
      </w:r>
      <w:r>
        <w:rPr>
          <w:rFonts w:cs="Minion Pro"/>
          <w:color w:val="000000"/>
          <w:sz w:val="24"/>
          <w:szCs w:val="24"/>
        </w:rPr>
        <w:t>.</w:t>
      </w:r>
      <w:r w:rsidRPr="005A2DAF">
        <w:rPr>
          <w:rFonts w:cs="Minion Pro"/>
          <w:color w:val="000000"/>
          <w:sz w:val="24"/>
          <w:szCs w:val="24"/>
        </w:rPr>
        <w:t xml:space="preserve"> (2020) The Impact of Positive Youth Development Attributes and Life Satisfaction on Academic Well-Being: A Longitudinal Mediation Study. </w:t>
      </w:r>
      <w:r w:rsidRPr="005A2DAF">
        <w:rPr>
          <w:rFonts w:cs="Minion Pro"/>
          <w:i/>
          <w:iCs/>
          <w:color w:val="000000"/>
          <w:sz w:val="24"/>
          <w:szCs w:val="24"/>
        </w:rPr>
        <w:t>Front. Psychol. 11</w:t>
      </w:r>
      <w:r w:rsidRPr="005A2DAF">
        <w:rPr>
          <w:rFonts w:cs="Minion Pro"/>
          <w:color w:val="000000"/>
          <w:sz w:val="24"/>
          <w:szCs w:val="24"/>
        </w:rPr>
        <w:t xml:space="preserve">:2126. </w:t>
      </w:r>
      <w:hyperlink r:id="rId123" w:history="1">
        <w:r w:rsidRPr="004403D1">
          <w:rPr>
            <w:rStyle w:val="Hyperlink"/>
            <w:rFonts w:cs="Minion Pro"/>
            <w:sz w:val="24"/>
            <w:szCs w:val="24"/>
          </w:rPr>
          <w:t>http://dx.doi.org/10.3389/fpsyg.2020.02126</w:t>
        </w:r>
      </w:hyperlink>
    </w:p>
    <w:p w:rsidR="006C2660" w:rsidRPr="00637FBB" w:rsidRDefault="006C2660" w:rsidP="006C2660">
      <w:pPr>
        <w:spacing w:line="240" w:lineRule="auto"/>
        <w:ind w:left="426" w:hanging="426"/>
        <w:jc w:val="both"/>
        <w:rPr>
          <w:rFonts w:asciiTheme="majorBidi" w:hAnsiTheme="majorBidi" w:cstheme="majorBidi"/>
          <w:color w:val="000000"/>
        </w:rPr>
      </w:pPr>
      <w:r w:rsidRPr="00D5002B">
        <w:rPr>
          <w:lang w:bidi="ar-EG"/>
        </w:rPr>
        <w:t>Shell</w:t>
      </w:r>
      <w:r w:rsidRPr="00637FBB">
        <w:rPr>
          <w:rFonts w:asciiTheme="majorBidi" w:hAnsiTheme="majorBidi" w:cstheme="majorBidi"/>
          <w:color w:val="000000"/>
        </w:rPr>
        <w:t xml:space="preserve">, D. F., </w:t>
      </w:r>
      <w:proofErr w:type="spellStart"/>
      <w:r w:rsidRPr="00637FBB">
        <w:rPr>
          <w:rFonts w:asciiTheme="majorBidi" w:hAnsiTheme="majorBidi" w:cstheme="majorBidi"/>
          <w:color w:val="000000"/>
        </w:rPr>
        <w:t>Hazley</w:t>
      </w:r>
      <w:proofErr w:type="spellEnd"/>
      <w:r w:rsidRPr="00637FBB">
        <w:rPr>
          <w:rFonts w:asciiTheme="majorBidi" w:hAnsiTheme="majorBidi" w:cstheme="majorBidi"/>
          <w:color w:val="000000"/>
        </w:rPr>
        <w:t xml:space="preserve">, M. P., </w:t>
      </w:r>
      <w:proofErr w:type="spellStart"/>
      <w:r w:rsidRPr="00637FBB">
        <w:rPr>
          <w:rFonts w:asciiTheme="majorBidi" w:hAnsiTheme="majorBidi" w:cstheme="majorBidi"/>
          <w:color w:val="000000"/>
        </w:rPr>
        <w:t>Soh</w:t>
      </w:r>
      <w:proofErr w:type="spellEnd"/>
      <w:r w:rsidRPr="00637FBB">
        <w:rPr>
          <w:rFonts w:asciiTheme="majorBidi" w:hAnsiTheme="majorBidi" w:cstheme="majorBidi"/>
          <w:color w:val="000000"/>
        </w:rPr>
        <w:t xml:space="preserve">, L. K., Miller, L. D., </w:t>
      </w:r>
      <w:proofErr w:type="spellStart"/>
      <w:r w:rsidRPr="00637FBB">
        <w:rPr>
          <w:rFonts w:asciiTheme="majorBidi" w:hAnsiTheme="majorBidi" w:cstheme="majorBidi"/>
          <w:color w:val="000000"/>
        </w:rPr>
        <w:t>Chiriacescu</w:t>
      </w:r>
      <w:proofErr w:type="spellEnd"/>
      <w:r w:rsidRPr="00637FBB">
        <w:rPr>
          <w:rFonts w:asciiTheme="majorBidi" w:hAnsiTheme="majorBidi" w:cstheme="majorBidi"/>
          <w:color w:val="000000"/>
        </w:rPr>
        <w:t>, V., &amp; Ingraham, E. (2014).</w:t>
      </w:r>
      <w:r>
        <w:rPr>
          <w:rFonts w:asciiTheme="majorBidi" w:hAnsiTheme="majorBidi" w:cstheme="majorBidi"/>
          <w:color w:val="000000"/>
        </w:rPr>
        <w:t xml:space="preserve"> </w:t>
      </w:r>
      <w:r w:rsidRPr="00637FBB">
        <w:rPr>
          <w:rFonts w:asciiTheme="majorBidi" w:hAnsiTheme="majorBidi" w:cstheme="majorBidi"/>
          <w:color w:val="000000"/>
        </w:rPr>
        <w:t xml:space="preserve">Improving learning of computational thinking using computational creativity exercises in a college CSI computer science course for engineers. In </w:t>
      </w:r>
      <w:r w:rsidRPr="00637FBB">
        <w:rPr>
          <w:rFonts w:asciiTheme="majorBidi" w:hAnsiTheme="majorBidi" w:cstheme="majorBidi"/>
          <w:i/>
          <w:iCs/>
          <w:color w:val="000000"/>
        </w:rPr>
        <w:t xml:space="preserve">Frontiers in Education Conference (FIE), 2014 IEEE </w:t>
      </w:r>
      <w:r w:rsidRPr="00637FBB">
        <w:rPr>
          <w:rFonts w:asciiTheme="majorBidi" w:hAnsiTheme="majorBidi" w:cstheme="majorBidi"/>
          <w:color w:val="000000"/>
        </w:rPr>
        <w:t>(pp. 1-7).</w:t>
      </w:r>
    </w:p>
    <w:p w:rsidR="006C2660" w:rsidRPr="00686380" w:rsidRDefault="006C2660" w:rsidP="006C2660">
      <w:pPr>
        <w:spacing w:line="240" w:lineRule="auto"/>
        <w:ind w:left="426" w:hanging="426"/>
        <w:jc w:val="both"/>
        <w:rPr>
          <w:rtl/>
        </w:rPr>
      </w:pPr>
      <w:r w:rsidRPr="00686380">
        <w:rPr>
          <w:lang w:bidi="ar-EG"/>
        </w:rPr>
        <w:t xml:space="preserve">Singh, K.; </w:t>
      </w:r>
      <w:proofErr w:type="spellStart"/>
      <w:r w:rsidRPr="00686380">
        <w:rPr>
          <w:lang w:bidi="ar-EG"/>
        </w:rPr>
        <w:t>Yamt</w:t>
      </w:r>
      <w:proofErr w:type="spellEnd"/>
      <w:r w:rsidRPr="00686380">
        <w:rPr>
          <w:lang w:bidi="ar-EG"/>
        </w:rPr>
        <w:t xml:space="preserve">, H. </w:t>
      </w:r>
      <w:r>
        <w:rPr>
          <w:lang w:bidi="ar-EG"/>
        </w:rPr>
        <w:t>&amp;</w:t>
      </w:r>
      <w:r w:rsidRPr="00686380">
        <w:rPr>
          <w:lang w:bidi="ar-EG"/>
        </w:rPr>
        <w:t xml:space="preserve"> </w:t>
      </w:r>
      <w:proofErr w:type="spellStart"/>
      <w:r w:rsidRPr="00686380">
        <w:rPr>
          <w:lang w:bidi="ar-EG"/>
        </w:rPr>
        <w:t>Wahi</w:t>
      </w:r>
      <w:proofErr w:type="spellEnd"/>
      <w:r w:rsidRPr="00686380">
        <w:rPr>
          <w:lang w:bidi="ar-EG"/>
        </w:rPr>
        <w:t xml:space="preserve">, W. (2018). Teachers’ Beliefs on Technological Fusion in Teaching ESL Students. </w:t>
      </w:r>
      <w:r w:rsidRPr="00054096">
        <w:rPr>
          <w:i/>
          <w:iCs/>
          <w:lang w:bidi="ar-EG"/>
        </w:rPr>
        <w:t>Creative Education, 9</w:t>
      </w:r>
      <w:r w:rsidRPr="00686380">
        <w:rPr>
          <w:lang w:bidi="ar-EG"/>
        </w:rPr>
        <w:t xml:space="preserve">(14), </w:t>
      </w:r>
      <w:r w:rsidRPr="00054096">
        <w:rPr>
          <w:lang w:bidi="ar-EG"/>
        </w:rPr>
        <w:t>2125- 2136.</w:t>
      </w:r>
      <w:r w:rsidRPr="00686380">
        <w:rPr>
          <w:b/>
          <w:bCs/>
          <w:lang w:bidi="ar-EG"/>
        </w:rPr>
        <w:t xml:space="preserve"> </w:t>
      </w:r>
      <w:r w:rsidRPr="00054096">
        <w:rPr>
          <w:rStyle w:val="Hyperlink"/>
          <w:lang w:bidi="ar-EG"/>
        </w:rPr>
        <w:t>https://doi.org/</w:t>
      </w:r>
      <w:hyperlink r:id="rId124" w:tgtFrame="_blank" w:history="1">
        <w:r w:rsidRPr="00686380">
          <w:rPr>
            <w:rStyle w:val="Hyperlink"/>
            <w:lang w:bidi="ar-EG"/>
          </w:rPr>
          <w:t>10.4236/ce.2018.914154</w:t>
        </w:r>
      </w:hyperlink>
    </w:p>
    <w:p w:rsidR="006C2660" w:rsidRPr="00567AB2" w:rsidRDefault="006C2660" w:rsidP="006C2660">
      <w:pPr>
        <w:spacing w:line="240" w:lineRule="auto"/>
        <w:ind w:left="426" w:hanging="426"/>
        <w:jc w:val="both"/>
        <w:rPr>
          <w:lang w:bidi="ar-EG"/>
        </w:rPr>
      </w:pPr>
      <w:r w:rsidRPr="00567AB2">
        <w:rPr>
          <w:lang w:bidi="ar-EG"/>
        </w:rPr>
        <w:lastRenderedPageBreak/>
        <w:t xml:space="preserve">Stout, J., &amp; Tamer, B. (2016). Collaborative learning eliminates the negative impact of gender stereotypes on women’s self-concept. </w:t>
      </w:r>
      <w:r w:rsidRPr="00567AB2">
        <w:rPr>
          <w:i/>
          <w:iCs/>
          <w:lang w:bidi="ar-EG"/>
        </w:rPr>
        <w:t xml:space="preserve">Proceedings of the 47th ACM Technical Symposium on Computing Science Education </w:t>
      </w:r>
      <w:r w:rsidRPr="00567AB2">
        <w:rPr>
          <w:lang w:bidi="ar-EG"/>
        </w:rPr>
        <w:t xml:space="preserve">(pp. 496–496). ACM. </w:t>
      </w:r>
      <w:hyperlink r:id="rId125" w:history="1">
        <w:r w:rsidRPr="00567AB2">
          <w:rPr>
            <w:rStyle w:val="Hyperlink"/>
            <w:lang w:bidi="ar-EG"/>
          </w:rPr>
          <w:t>https://doi.org/10.1145/2839509.2850515</w:t>
        </w:r>
      </w:hyperlink>
    </w:p>
    <w:p w:rsidR="006C2660" w:rsidRPr="00474CFE" w:rsidRDefault="006C2660" w:rsidP="006C2660">
      <w:pPr>
        <w:spacing w:line="240" w:lineRule="auto"/>
        <w:ind w:left="426" w:hanging="426"/>
        <w:jc w:val="both"/>
        <w:rPr>
          <w:color w:val="FF0000"/>
          <w:sz w:val="24"/>
          <w:szCs w:val="24"/>
        </w:rPr>
      </w:pPr>
      <w:r w:rsidRPr="00B27BDC">
        <w:rPr>
          <w:sz w:val="24"/>
          <w:szCs w:val="24"/>
        </w:rPr>
        <w:t xml:space="preserve">Sun, L.; Hu, L.; &amp; Zhou, D. (2022). Programming attitudes predict computational thinking: Analysis of differences in gender and programming experience. </w:t>
      </w:r>
      <w:r w:rsidRPr="00B27BDC">
        <w:rPr>
          <w:i/>
          <w:iCs/>
          <w:sz w:val="24"/>
          <w:szCs w:val="24"/>
        </w:rPr>
        <w:t>Computers &amp; Education, 181,</w:t>
      </w:r>
      <w:r w:rsidRPr="00B27BDC">
        <w:rPr>
          <w:sz w:val="24"/>
          <w:szCs w:val="24"/>
        </w:rPr>
        <w:t xml:space="preserve"> May 2022, 104457. </w:t>
      </w:r>
      <w:hyperlink r:id="rId126" w:history="1">
        <w:r w:rsidRPr="00474CFE">
          <w:rPr>
            <w:rStyle w:val="Hyperlink"/>
            <w:sz w:val="24"/>
            <w:szCs w:val="24"/>
          </w:rPr>
          <w:t>https://doi.org/10.1016/j.compedu.2022.104457</w:t>
        </w:r>
      </w:hyperlink>
    </w:p>
    <w:p w:rsidR="006C2660" w:rsidRPr="00C4125A" w:rsidRDefault="006C2660" w:rsidP="006C2660">
      <w:pPr>
        <w:spacing w:line="240" w:lineRule="auto"/>
        <w:ind w:left="426" w:hanging="426"/>
        <w:jc w:val="both"/>
        <w:rPr>
          <w:sz w:val="23"/>
          <w:szCs w:val="23"/>
        </w:rPr>
      </w:pPr>
      <w:proofErr w:type="spellStart"/>
      <w:r w:rsidRPr="00D5002B">
        <w:rPr>
          <w:lang w:bidi="ar-EG"/>
        </w:rPr>
        <w:t>Szepe</w:t>
      </w:r>
      <w:proofErr w:type="spellEnd"/>
      <w:r w:rsidRPr="00C4125A">
        <w:rPr>
          <w:sz w:val="23"/>
          <w:szCs w:val="23"/>
        </w:rPr>
        <w:t xml:space="preserve">, O., &amp; </w:t>
      </w:r>
      <w:proofErr w:type="spellStart"/>
      <w:r w:rsidRPr="00C4125A">
        <w:rPr>
          <w:sz w:val="23"/>
          <w:szCs w:val="23"/>
        </w:rPr>
        <w:t>Meszaros</w:t>
      </w:r>
      <w:proofErr w:type="spellEnd"/>
      <w:r w:rsidRPr="00C4125A">
        <w:rPr>
          <w:sz w:val="23"/>
          <w:szCs w:val="23"/>
        </w:rPr>
        <w:t>, A. (2024).  Assessing well-being of university students and evaluation of its determinants. </w:t>
      </w:r>
      <w:r w:rsidRPr="00C4125A">
        <w:rPr>
          <w:i/>
          <w:iCs/>
          <w:sz w:val="23"/>
          <w:szCs w:val="23"/>
        </w:rPr>
        <w:t xml:space="preserve">BMC Public </w:t>
      </w:r>
      <w:r w:rsidRPr="00024ED3">
        <w:rPr>
          <w:i/>
          <w:iCs/>
          <w:sz w:val="23"/>
          <w:szCs w:val="23"/>
        </w:rPr>
        <w:t>Health,</w:t>
      </w:r>
      <w:r w:rsidRPr="006A07EE">
        <w:rPr>
          <w:i/>
          <w:iCs/>
          <w:sz w:val="23"/>
          <w:szCs w:val="23"/>
        </w:rPr>
        <w:t> 24</w:t>
      </w:r>
      <w:r w:rsidRPr="00C4125A">
        <w:rPr>
          <w:sz w:val="23"/>
          <w:szCs w:val="23"/>
        </w:rPr>
        <w:t xml:space="preserve">, 2862. </w:t>
      </w:r>
      <w:hyperlink r:id="rId127" w:history="1">
        <w:r w:rsidRPr="00C4125A">
          <w:rPr>
            <w:rStyle w:val="Hyperlink"/>
            <w:sz w:val="23"/>
            <w:szCs w:val="23"/>
          </w:rPr>
          <w:t>https://doi.org/10.1186/s12889-024-20287-1</w:t>
        </w:r>
      </w:hyperlink>
    </w:p>
    <w:p w:rsidR="006C2660" w:rsidRPr="00474CFE" w:rsidRDefault="006C2660" w:rsidP="006C2660">
      <w:pPr>
        <w:spacing w:line="240" w:lineRule="auto"/>
        <w:ind w:left="426" w:hanging="426"/>
        <w:jc w:val="both"/>
        <w:rPr>
          <w:rFonts w:ascii="Times New Roman" w:hAnsi="Times New Roman" w:cs="Times New Roman"/>
          <w:color w:val="000000"/>
          <w:sz w:val="24"/>
          <w:szCs w:val="24"/>
          <w:rtl/>
        </w:rPr>
      </w:pPr>
      <w:proofErr w:type="spellStart"/>
      <w:r w:rsidRPr="003B595A">
        <w:rPr>
          <w:rFonts w:ascii="Times New Roman" w:hAnsi="Times New Roman" w:cs="Times New Roman"/>
          <w:color w:val="000000"/>
          <w:sz w:val="24"/>
          <w:szCs w:val="24"/>
        </w:rPr>
        <w:t>Talsma</w:t>
      </w:r>
      <w:proofErr w:type="spellEnd"/>
      <w:r w:rsidRPr="003B595A">
        <w:rPr>
          <w:rFonts w:ascii="Times New Roman" w:hAnsi="Times New Roman" w:cs="Times New Roman"/>
          <w:color w:val="000000"/>
          <w:sz w:val="24"/>
          <w:szCs w:val="24"/>
        </w:rPr>
        <w:t xml:space="preserve">, K., </w:t>
      </w:r>
      <w:proofErr w:type="spellStart"/>
      <w:r w:rsidRPr="003B595A">
        <w:rPr>
          <w:rFonts w:ascii="Times New Roman" w:hAnsi="Times New Roman" w:cs="Times New Roman"/>
          <w:color w:val="000000"/>
          <w:sz w:val="24"/>
          <w:szCs w:val="24"/>
        </w:rPr>
        <w:t>Schüz</w:t>
      </w:r>
      <w:proofErr w:type="spellEnd"/>
      <w:r w:rsidRPr="003B595A">
        <w:rPr>
          <w:rFonts w:ascii="Times New Roman" w:hAnsi="Times New Roman" w:cs="Times New Roman"/>
          <w:color w:val="000000"/>
          <w:sz w:val="24"/>
          <w:szCs w:val="24"/>
        </w:rPr>
        <w:t xml:space="preserve">, B., </w:t>
      </w:r>
      <w:proofErr w:type="spellStart"/>
      <w:r w:rsidRPr="003B595A">
        <w:rPr>
          <w:rFonts w:ascii="Times New Roman" w:hAnsi="Times New Roman" w:cs="Times New Roman"/>
          <w:color w:val="000000"/>
          <w:sz w:val="24"/>
          <w:szCs w:val="24"/>
        </w:rPr>
        <w:t>Schwarzer</w:t>
      </w:r>
      <w:proofErr w:type="spellEnd"/>
      <w:r w:rsidRPr="003B595A">
        <w:rPr>
          <w:rFonts w:ascii="Times New Roman" w:hAnsi="Times New Roman" w:cs="Times New Roman"/>
          <w:color w:val="000000"/>
          <w:sz w:val="24"/>
          <w:szCs w:val="24"/>
        </w:rPr>
        <w:t>, R., &amp; Norris, K. (2018). I believe, therefore I achieve (and vice versa): A meta-analytic cross-lagged panel analysis of self-efficacy and academic performance. </w:t>
      </w:r>
      <w:r w:rsidRPr="003B595A">
        <w:rPr>
          <w:rFonts w:ascii="Times New Roman" w:hAnsi="Times New Roman" w:cs="Times New Roman"/>
          <w:i/>
          <w:iCs/>
          <w:color w:val="000000"/>
          <w:sz w:val="24"/>
          <w:szCs w:val="24"/>
        </w:rPr>
        <w:t>Learning and Individual Differences, 61,</w:t>
      </w:r>
      <w:r w:rsidRPr="003B595A">
        <w:rPr>
          <w:rFonts w:ascii="Times New Roman" w:hAnsi="Times New Roman" w:cs="Times New Roman"/>
          <w:color w:val="000000"/>
          <w:sz w:val="24"/>
          <w:szCs w:val="24"/>
        </w:rPr>
        <w:t> 136–150. </w:t>
      </w:r>
      <w:hyperlink r:id="rId128" w:tgtFrame="_blank" w:history="1">
        <w:r w:rsidRPr="003B595A">
          <w:rPr>
            <w:rStyle w:val="Hyperlink"/>
            <w:rFonts w:ascii="Times New Roman" w:hAnsi="Times New Roman" w:cs="Times New Roman"/>
            <w:sz w:val="24"/>
            <w:szCs w:val="24"/>
          </w:rPr>
          <w:t>https://doi.org/10.1016/j.lindif.2017.11.015</w:t>
        </w:r>
      </w:hyperlink>
    </w:p>
    <w:p w:rsidR="006C2660" w:rsidRDefault="006C2660" w:rsidP="006C2660">
      <w:pPr>
        <w:spacing w:line="240" w:lineRule="auto"/>
        <w:ind w:left="426" w:hanging="426"/>
        <w:jc w:val="both"/>
        <w:rPr>
          <w:rFonts w:asciiTheme="majorBidi" w:hAnsiTheme="majorBidi" w:cstheme="majorBidi"/>
          <w:sz w:val="24"/>
          <w:szCs w:val="24"/>
        </w:rPr>
      </w:pPr>
      <w:proofErr w:type="spellStart"/>
      <w:r w:rsidRPr="001604D3">
        <w:rPr>
          <w:rFonts w:asciiTheme="majorBidi" w:hAnsiTheme="majorBidi" w:cstheme="majorBidi"/>
          <w:sz w:val="24"/>
          <w:szCs w:val="24"/>
        </w:rPr>
        <w:t>Thoonen</w:t>
      </w:r>
      <w:proofErr w:type="spellEnd"/>
      <w:r w:rsidRPr="001604D3">
        <w:rPr>
          <w:rFonts w:asciiTheme="majorBidi" w:hAnsiTheme="majorBidi" w:cstheme="majorBidi"/>
          <w:sz w:val="24"/>
          <w:szCs w:val="24"/>
        </w:rPr>
        <w:t xml:space="preserve">, E. E. J., </w:t>
      </w:r>
      <w:proofErr w:type="spellStart"/>
      <w:r w:rsidRPr="001604D3">
        <w:rPr>
          <w:rFonts w:asciiTheme="majorBidi" w:hAnsiTheme="majorBidi" w:cstheme="majorBidi"/>
          <w:sz w:val="24"/>
          <w:szCs w:val="24"/>
        </w:rPr>
        <w:t>Sleegers</w:t>
      </w:r>
      <w:proofErr w:type="spellEnd"/>
      <w:r w:rsidRPr="001604D3">
        <w:rPr>
          <w:rFonts w:asciiTheme="majorBidi" w:hAnsiTheme="majorBidi" w:cstheme="majorBidi"/>
          <w:sz w:val="24"/>
          <w:szCs w:val="24"/>
        </w:rPr>
        <w:t xml:space="preserve">, P. J. C., </w:t>
      </w:r>
      <w:proofErr w:type="spellStart"/>
      <w:r w:rsidRPr="001604D3">
        <w:rPr>
          <w:rFonts w:asciiTheme="majorBidi" w:hAnsiTheme="majorBidi" w:cstheme="majorBidi"/>
          <w:sz w:val="24"/>
          <w:szCs w:val="24"/>
        </w:rPr>
        <w:t>Peetsma</w:t>
      </w:r>
      <w:proofErr w:type="spellEnd"/>
      <w:r w:rsidRPr="001604D3">
        <w:rPr>
          <w:rFonts w:asciiTheme="majorBidi" w:hAnsiTheme="majorBidi" w:cstheme="majorBidi"/>
          <w:sz w:val="24"/>
          <w:szCs w:val="24"/>
        </w:rPr>
        <w:t xml:space="preserve">, T. T. D., &amp; </w:t>
      </w:r>
      <w:proofErr w:type="spellStart"/>
      <w:r w:rsidRPr="001604D3">
        <w:rPr>
          <w:rFonts w:asciiTheme="majorBidi" w:hAnsiTheme="majorBidi" w:cstheme="majorBidi"/>
          <w:sz w:val="24"/>
          <w:szCs w:val="24"/>
        </w:rPr>
        <w:t>Oort</w:t>
      </w:r>
      <w:proofErr w:type="spellEnd"/>
      <w:r w:rsidRPr="001604D3">
        <w:rPr>
          <w:rFonts w:asciiTheme="majorBidi" w:hAnsiTheme="majorBidi" w:cstheme="majorBidi"/>
          <w:sz w:val="24"/>
          <w:szCs w:val="24"/>
        </w:rPr>
        <w:t>, F. J. (2010). Can teachers motivate students to learn?</w:t>
      </w:r>
      <w:r>
        <w:rPr>
          <w:rFonts w:asciiTheme="majorBidi" w:hAnsiTheme="majorBidi" w:cstheme="majorBidi"/>
          <w:sz w:val="24"/>
          <w:szCs w:val="24"/>
        </w:rPr>
        <w:t>.</w:t>
      </w:r>
      <w:r w:rsidRPr="001604D3">
        <w:rPr>
          <w:rFonts w:asciiTheme="majorBidi" w:hAnsiTheme="majorBidi" w:cstheme="majorBidi"/>
          <w:sz w:val="24"/>
          <w:szCs w:val="24"/>
        </w:rPr>
        <w:t xml:space="preserve"> </w:t>
      </w:r>
      <w:r w:rsidRPr="005D568A">
        <w:rPr>
          <w:rFonts w:asciiTheme="majorBidi" w:hAnsiTheme="majorBidi" w:cstheme="majorBidi"/>
          <w:i/>
          <w:iCs/>
          <w:sz w:val="24"/>
          <w:szCs w:val="24"/>
        </w:rPr>
        <w:t>Educational Studies, 37</w:t>
      </w:r>
      <w:r w:rsidRPr="001604D3">
        <w:rPr>
          <w:rFonts w:asciiTheme="majorBidi" w:hAnsiTheme="majorBidi" w:cstheme="majorBidi"/>
          <w:sz w:val="24"/>
          <w:szCs w:val="24"/>
        </w:rPr>
        <w:t xml:space="preserve">(3), 345–360. </w:t>
      </w:r>
      <w:hyperlink r:id="rId129" w:history="1">
        <w:r w:rsidRPr="00FF30D8">
          <w:rPr>
            <w:rStyle w:val="Hyperlink"/>
            <w:rFonts w:asciiTheme="majorBidi" w:hAnsiTheme="majorBidi" w:cstheme="majorBidi"/>
            <w:sz w:val="24"/>
            <w:szCs w:val="24"/>
          </w:rPr>
          <w:t>https://doi.org/10.1080/03055698.2010.507008</w:t>
        </w:r>
      </w:hyperlink>
    </w:p>
    <w:p w:rsidR="006C2660" w:rsidRPr="00703E6E" w:rsidRDefault="006C2660" w:rsidP="006C2660">
      <w:pPr>
        <w:spacing w:line="240" w:lineRule="auto"/>
        <w:ind w:left="426" w:hanging="426"/>
        <w:jc w:val="both"/>
        <w:rPr>
          <w:lang w:bidi="ar-EG"/>
        </w:rPr>
      </w:pPr>
      <w:r w:rsidRPr="00D5002B">
        <w:rPr>
          <w:rFonts w:cs="Minion Pro"/>
          <w:color w:val="000000"/>
          <w:sz w:val="24"/>
          <w:szCs w:val="24"/>
        </w:rPr>
        <w:t>Trevelyan</w:t>
      </w:r>
      <w:r w:rsidRPr="00703E6E">
        <w:rPr>
          <w:lang w:bidi="ar-EG"/>
        </w:rPr>
        <w:t xml:space="preserve">, R. (2011). Self-efficacy and effort in new venture development. </w:t>
      </w:r>
      <w:r w:rsidRPr="00703E6E">
        <w:rPr>
          <w:i/>
          <w:iCs/>
          <w:lang w:bidi="ar-EG"/>
        </w:rPr>
        <w:t>Journal of Management &amp; Organization</w:t>
      </w:r>
      <w:r w:rsidRPr="00703E6E">
        <w:rPr>
          <w:lang w:bidi="ar-EG"/>
        </w:rPr>
        <w:t xml:space="preserve">, </w:t>
      </w:r>
      <w:r w:rsidRPr="00703E6E">
        <w:rPr>
          <w:i/>
          <w:iCs/>
          <w:lang w:bidi="ar-EG"/>
        </w:rPr>
        <w:t>17</w:t>
      </w:r>
      <w:r w:rsidRPr="00703E6E">
        <w:rPr>
          <w:lang w:bidi="ar-EG"/>
        </w:rPr>
        <w:t xml:space="preserve">(1), 2-16. </w:t>
      </w:r>
      <w:hyperlink r:id="rId130" w:history="1">
        <w:r w:rsidRPr="00703E6E">
          <w:rPr>
            <w:rStyle w:val="Hyperlink"/>
            <w:lang w:bidi="ar-EG"/>
          </w:rPr>
          <w:t>https://doi.org/10.5172/jmo.2011.17.1.2</w:t>
        </w:r>
      </w:hyperlink>
    </w:p>
    <w:p w:rsidR="006C2660" w:rsidRDefault="006C2660" w:rsidP="006C2660">
      <w:pPr>
        <w:spacing w:line="240" w:lineRule="auto"/>
        <w:ind w:left="426" w:hanging="426"/>
        <w:jc w:val="both"/>
        <w:rPr>
          <w:rFonts w:asciiTheme="majorBidi" w:hAnsiTheme="majorBidi" w:cstheme="majorBidi"/>
          <w:color w:val="000000"/>
        </w:rPr>
      </w:pPr>
      <w:r w:rsidRPr="00CD4A6B">
        <w:rPr>
          <w:rFonts w:asciiTheme="majorBidi" w:hAnsiTheme="majorBidi" w:cstheme="majorBidi"/>
          <w:color w:val="000000"/>
        </w:rPr>
        <w:t xml:space="preserve">Tsai, M.-J., Wang, C.-Y., &amp; Hsu, P.-F. (2019). Developing the Computer Programming Self-Efficacy Scale for Computer Literacy Education. </w:t>
      </w:r>
      <w:r w:rsidRPr="00CD4A6B">
        <w:rPr>
          <w:rFonts w:asciiTheme="majorBidi" w:hAnsiTheme="majorBidi" w:cstheme="majorBidi"/>
          <w:i/>
          <w:iCs/>
          <w:color w:val="000000"/>
        </w:rPr>
        <w:t>Journal of Educational Computing Research, 56</w:t>
      </w:r>
      <w:r w:rsidRPr="00CD4A6B">
        <w:rPr>
          <w:rFonts w:asciiTheme="majorBidi" w:hAnsiTheme="majorBidi" w:cstheme="majorBidi"/>
          <w:color w:val="000000"/>
        </w:rPr>
        <w:t xml:space="preserve">(8), 1345-1360. </w:t>
      </w:r>
      <w:hyperlink r:id="rId131" w:history="1">
        <w:r w:rsidRPr="00FF30D8">
          <w:rPr>
            <w:rStyle w:val="Hyperlink"/>
            <w:rFonts w:asciiTheme="majorBidi" w:hAnsiTheme="majorBidi" w:cstheme="majorBidi"/>
          </w:rPr>
          <w:t>https://doi.org/10.1177/0735633117746747</w:t>
        </w:r>
      </w:hyperlink>
    </w:p>
    <w:p w:rsidR="006C2660" w:rsidRDefault="006C2660" w:rsidP="006C2660">
      <w:pPr>
        <w:spacing w:line="240" w:lineRule="auto"/>
        <w:ind w:left="426" w:hanging="426"/>
        <w:jc w:val="both"/>
        <w:rPr>
          <w:lang w:bidi="ar-EG"/>
        </w:rPr>
      </w:pPr>
      <w:proofErr w:type="spellStart"/>
      <w:r w:rsidRPr="00D5002B">
        <w:rPr>
          <w:rFonts w:cs="Minion Pro"/>
          <w:color w:val="000000"/>
          <w:sz w:val="24"/>
          <w:szCs w:val="24"/>
        </w:rPr>
        <w:t>Turel</w:t>
      </w:r>
      <w:proofErr w:type="spellEnd"/>
      <w:r w:rsidRPr="00F82D30">
        <w:rPr>
          <w:lang w:bidi="ar-EG"/>
        </w:rPr>
        <w:t>, V. (2014). Teachers’ Computer Self-Efficacy And Their Use Of Educational Technology</w:t>
      </w:r>
      <w:r>
        <w:rPr>
          <w:lang w:bidi="ar-EG"/>
        </w:rPr>
        <w:t xml:space="preserve">. </w:t>
      </w:r>
      <w:r w:rsidRPr="00054096">
        <w:rPr>
          <w:i/>
          <w:iCs/>
          <w:lang w:bidi="ar-EG"/>
        </w:rPr>
        <w:t>Turkish Online Journal of Distance Education-TOJDE, 15</w:t>
      </w:r>
      <w:r w:rsidRPr="00F82D30">
        <w:rPr>
          <w:lang w:bidi="ar-EG"/>
        </w:rPr>
        <w:t xml:space="preserve"> </w:t>
      </w:r>
      <w:r>
        <w:rPr>
          <w:lang w:bidi="ar-EG"/>
        </w:rPr>
        <w:t>(</w:t>
      </w:r>
      <w:r w:rsidRPr="00F82D30">
        <w:rPr>
          <w:lang w:bidi="ar-EG"/>
        </w:rPr>
        <w:t>4</w:t>
      </w:r>
      <w:r>
        <w:rPr>
          <w:lang w:bidi="ar-EG"/>
        </w:rPr>
        <w:t>)</w:t>
      </w:r>
      <w:r w:rsidRPr="00F82D30">
        <w:rPr>
          <w:lang w:bidi="ar-EG"/>
        </w:rPr>
        <w:t xml:space="preserve"> Article 7</w:t>
      </w:r>
      <w:r>
        <w:rPr>
          <w:lang w:bidi="ar-EG"/>
        </w:rPr>
        <w:t>, 130-149.</w:t>
      </w:r>
      <w:r w:rsidRPr="00F82D30">
        <w:t xml:space="preserve"> </w:t>
      </w:r>
      <w:hyperlink r:id="rId132" w:history="1">
        <w:r w:rsidRPr="00FF30D8">
          <w:rPr>
            <w:rStyle w:val="Hyperlink"/>
            <w:lang w:bidi="ar-EG"/>
          </w:rPr>
          <w:t>http://dx.doi.org/10.17718/tojde.81990</w:t>
        </w:r>
      </w:hyperlink>
    </w:p>
    <w:p w:rsidR="006C2660" w:rsidRDefault="006C2660" w:rsidP="006C2660">
      <w:pPr>
        <w:spacing w:line="240" w:lineRule="auto"/>
        <w:ind w:left="426" w:hanging="426"/>
        <w:jc w:val="both"/>
        <w:rPr>
          <w:rFonts w:asciiTheme="majorBidi" w:hAnsiTheme="majorBidi" w:cstheme="majorBidi"/>
          <w:color w:val="000000"/>
        </w:rPr>
      </w:pPr>
      <w:proofErr w:type="spellStart"/>
      <w:r w:rsidRPr="00D5002B">
        <w:rPr>
          <w:lang w:bidi="ar-EG"/>
        </w:rPr>
        <w:t>Türker</w:t>
      </w:r>
      <w:proofErr w:type="spellEnd"/>
      <w:r w:rsidRPr="00CF51BC">
        <w:rPr>
          <w:rFonts w:asciiTheme="majorBidi" w:hAnsiTheme="majorBidi" w:cstheme="majorBidi"/>
          <w:color w:val="000000"/>
        </w:rPr>
        <w:t>, P. &amp; Pala, F. (2020). The Effect of Algorithm Education on Students’ Computer Programming Self-Efficacy Perceptions and Computational Thinking</w:t>
      </w:r>
      <w:r>
        <w:rPr>
          <w:rFonts w:asciiTheme="majorBidi" w:hAnsiTheme="majorBidi" w:cstheme="majorBidi"/>
          <w:color w:val="000000"/>
        </w:rPr>
        <w:t xml:space="preserve"> </w:t>
      </w:r>
      <w:r w:rsidRPr="00CF51BC">
        <w:rPr>
          <w:rFonts w:asciiTheme="majorBidi" w:hAnsiTheme="majorBidi" w:cstheme="majorBidi"/>
          <w:color w:val="000000"/>
        </w:rPr>
        <w:t>Skills.</w:t>
      </w:r>
      <w:r w:rsidRPr="00CD4A6B">
        <w:rPr>
          <w:rFonts w:asciiTheme="majorBidi" w:hAnsiTheme="majorBidi" w:cstheme="majorBidi"/>
          <w:i/>
          <w:iCs/>
          <w:color w:val="000000"/>
        </w:rPr>
        <w:t xml:space="preserve"> International Journal of Computer Science Education in Schools,3 </w:t>
      </w:r>
      <w:r w:rsidRPr="00CF51BC">
        <w:rPr>
          <w:rFonts w:asciiTheme="majorBidi" w:hAnsiTheme="majorBidi" w:cstheme="majorBidi"/>
          <w:color w:val="000000"/>
        </w:rPr>
        <w:t xml:space="preserve">(3), </w:t>
      </w:r>
      <w:r w:rsidRPr="00CD4A6B">
        <w:rPr>
          <w:rFonts w:asciiTheme="majorBidi" w:hAnsiTheme="majorBidi" w:cstheme="majorBidi"/>
          <w:color w:val="000000"/>
        </w:rPr>
        <w:t xml:space="preserve">19–32. </w:t>
      </w:r>
      <w:hyperlink r:id="rId133" w:history="1">
        <w:r w:rsidRPr="00FF30D8">
          <w:rPr>
            <w:rStyle w:val="Hyperlink"/>
            <w:rFonts w:asciiTheme="majorBidi" w:hAnsiTheme="majorBidi" w:cstheme="majorBidi"/>
          </w:rPr>
          <w:t>https://doi.org/10.21585/ijcses.v3i3.69</w:t>
        </w:r>
      </w:hyperlink>
    </w:p>
    <w:p w:rsidR="006C2660" w:rsidRPr="00C810BE" w:rsidRDefault="006C2660" w:rsidP="006C2660">
      <w:pPr>
        <w:spacing w:line="240" w:lineRule="auto"/>
        <w:ind w:left="426" w:hanging="426"/>
        <w:jc w:val="both"/>
        <w:rPr>
          <w:rtl/>
          <w:lang w:bidi="ar-EG"/>
        </w:rPr>
      </w:pPr>
      <w:r w:rsidRPr="00C810BE">
        <w:rPr>
          <w:lang w:bidi="ar-EG"/>
        </w:rPr>
        <w:t xml:space="preserve">Valencia-Vallejo, N., </w:t>
      </w:r>
      <w:proofErr w:type="spellStart"/>
      <w:r w:rsidRPr="00C810BE">
        <w:rPr>
          <w:lang w:bidi="ar-EG"/>
        </w:rPr>
        <w:t>López</w:t>
      </w:r>
      <w:proofErr w:type="spellEnd"/>
      <w:r w:rsidRPr="00C810BE">
        <w:rPr>
          <w:lang w:bidi="ar-EG"/>
        </w:rPr>
        <w:t xml:space="preserve">-Vargas, O., &amp; </w:t>
      </w:r>
      <w:proofErr w:type="spellStart"/>
      <w:r w:rsidRPr="00C810BE">
        <w:rPr>
          <w:lang w:bidi="ar-EG"/>
        </w:rPr>
        <w:t>Sanabria</w:t>
      </w:r>
      <w:proofErr w:type="spellEnd"/>
      <w:r w:rsidRPr="00C810BE">
        <w:rPr>
          <w:lang w:bidi="ar-EG"/>
        </w:rPr>
        <w:t xml:space="preserve">-Rodríguez, L. (2016). Self-Efficacy in Computer-Based Learning Environments: A </w:t>
      </w:r>
      <w:proofErr w:type="spellStart"/>
      <w:r w:rsidRPr="00C810BE">
        <w:rPr>
          <w:lang w:bidi="ar-EG"/>
        </w:rPr>
        <w:t>Bibliometric</w:t>
      </w:r>
      <w:proofErr w:type="spellEnd"/>
      <w:r w:rsidRPr="00C810BE">
        <w:rPr>
          <w:lang w:bidi="ar-EG"/>
        </w:rPr>
        <w:t xml:space="preserve"> Analysis. </w:t>
      </w:r>
      <w:r w:rsidRPr="00C810BE">
        <w:rPr>
          <w:i/>
          <w:iCs/>
          <w:lang w:bidi="ar-EG"/>
        </w:rPr>
        <w:t>Psychology, 7</w:t>
      </w:r>
      <w:r w:rsidRPr="00C810BE">
        <w:rPr>
          <w:lang w:bidi="ar-EG"/>
        </w:rPr>
        <w:t xml:space="preserve">, 1839-1857. </w:t>
      </w:r>
      <w:hyperlink r:id="rId134" w:history="1">
        <w:r w:rsidRPr="00C810BE">
          <w:rPr>
            <w:rStyle w:val="Hyperlink"/>
            <w:lang w:bidi="ar-EG"/>
          </w:rPr>
          <w:t>http://dx.doi.org/10.4236/psych.2016.714170</w:t>
        </w:r>
      </w:hyperlink>
    </w:p>
    <w:p w:rsidR="006C2660" w:rsidRPr="00CC4924" w:rsidRDefault="006C2660" w:rsidP="006C2660">
      <w:pPr>
        <w:spacing w:line="240" w:lineRule="auto"/>
        <w:ind w:left="426" w:hanging="426"/>
        <w:jc w:val="both"/>
        <w:rPr>
          <w:lang w:bidi="ar-EG"/>
        </w:rPr>
      </w:pPr>
      <w:proofErr w:type="spellStart"/>
      <w:r w:rsidRPr="00CC4924">
        <w:rPr>
          <w:lang w:bidi="ar-EG"/>
        </w:rPr>
        <w:t>Wardani</w:t>
      </w:r>
      <w:proofErr w:type="spellEnd"/>
      <w:r w:rsidRPr="00CC4924">
        <w:rPr>
          <w:lang w:bidi="ar-EG"/>
        </w:rPr>
        <w:t xml:space="preserve">, R., </w:t>
      </w:r>
      <w:proofErr w:type="spellStart"/>
      <w:r w:rsidRPr="00CC4924">
        <w:rPr>
          <w:lang w:bidi="ar-EG"/>
        </w:rPr>
        <w:t>Zakaria</w:t>
      </w:r>
      <w:proofErr w:type="spellEnd"/>
      <w:r w:rsidRPr="00CC4924">
        <w:rPr>
          <w:lang w:bidi="ar-EG"/>
        </w:rPr>
        <w:t xml:space="preserve">, M., </w:t>
      </w:r>
      <w:proofErr w:type="spellStart"/>
      <w:r w:rsidRPr="00CC4924">
        <w:rPr>
          <w:lang w:bidi="ar-EG"/>
        </w:rPr>
        <w:t>Priyanto</w:t>
      </w:r>
      <w:proofErr w:type="spellEnd"/>
      <w:r w:rsidRPr="00CC4924">
        <w:rPr>
          <w:lang w:bidi="ar-EG"/>
        </w:rPr>
        <w:t xml:space="preserve">, P., </w:t>
      </w:r>
      <w:proofErr w:type="spellStart"/>
      <w:r w:rsidRPr="00CC4924">
        <w:rPr>
          <w:lang w:bidi="ar-EG"/>
        </w:rPr>
        <w:t>Luthfi</w:t>
      </w:r>
      <w:proofErr w:type="spellEnd"/>
      <w:r w:rsidRPr="00CC4924">
        <w:rPr>
          <w:lang w:bidi="ar-EG"/>
        </w:rPr>
        <w:t xml:space="preserve">, M. I., </w:t>
      </w:r>
      <w:proofErr w:type="spellStart"/>
      <w:r w:rsidRPr="00CC4924">
        <w:rPr>
          <w:lang w:bidi="ar-EG"/>
        </w:rPr>
        <w:t>Rochmah</w:t>
      </w:r>
      <w:proofErr w:type="spellEnd"/>
      <w:r w:rsidRPr="00CC4924">
        <w:rPr>
          <w:lang w:bidi="ar-EG"/>
        </w:rPr>
        <w:t xml:space="preserve">, I. N., </w:t>
      </w:r>
      <w:proofErr w:type="spellStart"/>
      <w:r w:rsidRPr="00CC4924">
        <w:rPr>
          <w:lang w:bidi="ar-EG"/>
        </w:rPr>
        <w:t>Rahman</w:t>
      </w:r>
      <w:proofErr w:type="spellEnd"/>
      <w:r w:rsidRPr="00CC4924">
        <w:rPr>
          <w:lang w:bidi="ar-EG"/>
        </w:rPr>
        <w:t xml:space="preserve">, A. F., &amp; Putra, M. T. M. (2022). An Authentic Learning Approach to Assist the Computational Thinking in Mathematics Learning for Elementary School. </w:t>
      </w:r>
      <w:proofErr w:type="spellStart"/>
      <w:r w:rsidRPr="003A2A57">
        <w:rPr>
          <w:i/>
          <w:iCs/>
          <w:lang w:bidi="ar-EG"/>
        </w:rPr>
        <w:t>Elinvo</w:t>
      </w:r>
      <w:proofErr w:type="spellEnd"/>
      <w:r w:rsidRPr="003A2A57">
        <w:rPr>
          <w:i/>
          <w:iCs/>
          <w:lang w:bidi="ar-EG"/>
        </w:rPr>
        <w:t xml:space="preserve"> (Electronics, Informatics, and Vocational Education), 6</w:t>
      </w:r>
      <w:r w:rsidRPr="00CC4924">
        <w:rPr>
          <w:lang w:bidi="ar-EG"/>
        </w:rPr>
        <w:t xml:space="preserve">(2), 139–148. </w:t>
      </w:r>
      <w:hyperlink r:id="rId135" w:history="1">
        <w:r w:rsidRPr="00CC4924">
          <w:rPr>
            <w:rStyle w:val="Hyperlink"/>
            <w:lang w:bidi="ar-EG"/>
          </w:rPr>
          <w:t>https://doi.org/10.21831/elinvo.v6i2.47251</w:t>
        </w:r>
      </w:hyperlink>
    </w:p>
    <w:p w:rsidR="006C2660" w:rsidRDefault="006C2660" w:rsidP="006C2660">
      <w:pPr>
        <w:spacing w:line="240" w:lineRule="auto"/>
        <w:ind w:left="426" w:hanging="426"/>
        <w:jc w:val="both"/>
        <w:rPr>
          <w:sz w:val="23"/>
          <w:szCs w:val="23"/>
          <w:rtl/>
        </w:rPr>
      </w:pPr>
      <w:r w:rsidRPr="006773DD">
        <w:rPr>
          <w:sz w:val="23"/>
          <w:szCs w:val="23"/>
        </w:rPr>
        <w:t xml:space="preserve">Watt, H. M. (2004). Development of adolescents’ self-perceptions, values, and task perceptions according to gender and domain in 7th- through 11th-grade Australian students. </w:t>
      </w:r>
      <w:r w:rsidRPr="006A07EE">
        <w:rPr>
          <w:i/>
          <w:iCs/>
          <w:sz w:val="23"/>
          <w:szCs w:val="23"/>
        </w:rPr>
        <w:t>Child Dev. 75,</w:t>
      </w:r>
      <w:r w:rsidRPr="006773DD">
        <w:rPr>
          <w:sz w:val="23"/>
          <w:szCs w:val="23"/>
        </w:rPr>
        <w:t xml:space="preserve"> 1556–1574. </w:t>
      </w:r>
      <w:hyperlink r:id="rId136" w:history="1">
        <w:r w:rsidRPr="004D11EC">
          <w:rPr>
            <w:rStyle w:val="Hyperlink"/>
            <w:sz w:val="23"/>
            <w:szCs w:val="23"/>
          </w:rPr>
          <w:t>https://doi.org/10.1111/j.1467-8624.2004.00757.x</w:t>
        </w:r>
      </w:hyperlink>
    </w:p>
    <w:p w:rsidR="006C2660" w:rsidRDefault="006C2660" w:rsidP="006C2660">
      <w:pPr>
        <w:spacing w:line="240" w:lineRule="auto"/>
        <w:ind w:left="426" w:hanging="426"/>
        <w:jc w:val="both"/>
        <w:rPr>
          <w:rFonts w:cs="Minion Pro"/>
          <w:color w:val="000000"/>
          <w:sz w:val="24"/>
          <w:szCs w:val="24"/>
        </w:rPr>
      </w:pPr>
      <w:proofErr w:type="spellStart"/>
      <w:r w:rsidRPr="001C7198">
        <w:rPr>
          <w:rFonts w:cs="Minion Pro"/>
          <w:color w:val="000000"/>
          <w:sz w:val="24"/>
          <w:szCs w:val="24"/>
        </w:rPr>
        <w:lastRenderedPageBreak/>
        <w:t>Weese</w:t>
      </w:r>
      <w:proofErr w:type="spellEnd"/>
      <w:r w:rsidRPr="001C7198">
        <w:rPr>
          <w:rFonts w:cs="Minion Pro"/>
          <w:color w:val="000000"/>
          <w:sz w:val="24"/>
          <w:szCs w:val="24"/>
        </w:rPr>
        <w:t xml:space="preserve">, J. L., &amp; </w:t>
      </w:r>
      <w:proofErr w:type="spellStart"/>
      <w:r w:rsidRPr="001C7198">
        <w:rPr>
          <w:rFonts w:cs="Minion Pro"/>
          <w:color w:val="000000"/>
          <w:sz w:val="24"/>
          <w:szCs w:val="24"/>
        </w:rPr>
        <w:t>Feldhausen</w:t>
      </w:r>
      <w:proofErr w:type="spellEnd"/>
      <w:r w:rsidRPr="001C7198">
        <w:rPr>
          <w:rFonts w:cs="Minion Pro"/>
          <w:color w:val="000000"/>
          <w:sz w:val="24"/>
          <w:szCs w:val="24"/>
        </w:rPr>
        <w:t xml:space="preserve">, R. (2017). </w:t>
      </w:r>
      <w:r w:rsidRPr="001C7198">
        <w:rPr>
          <w:rFonts w:cs="Minion Pro"/>
          <w:i/>
          <w:iCs/>
          <w:color w:val="000000"/>
          <w:sz w:val="24"/>
          <w:szCs w:val="24"/>
        </w:rPr>
        <w:t>STEM Outreach: Assessing computational thinking and problem solving.</w:t>
      </w:r>
      <w:r w:rsidRPr="001C7198">
        <w:rPr>
          <w:rFonts w:cs="Minion Pro"/>
          <w:color w:val="000000"/>
          <w:sz w:val="24"/>
          <w:szCs w:val="24"/>
        </w:rPr>
        <w:t xml:space="preserve"> Paper presented at the 2017 ASEE Annual Conference &amp; Exposition, Columbus, Ohio. </w:t>
      </w:r>
    </w:p>
    <w:p w:rsidR="006C2660" w:rsidRDefault="006C2660" w:rsidP="006C2660">
      <w:pPr>
        <w:spacing w:line="240" w:lineRule="auto"/>
        <w:ind w:left="426" w:hanging="426"/>
        <w:jc w:val="both"/>
        <w:rPr>
          <w:sz w:val="23"/>
          <w:szCs w:val="23"/>
          <w:rtl/>
        </w:rPr>
      </w:pPr>
      <w:proofErr w:type="spellStart"/>
      <w:r w:rsidRPr="00D5002B">
        <w:rPr>
          <w:lang w:bidi="ar-EG"/>
        </w:rPr>
        <w:t>Widlund</w:t>
      </w:r>
      <w:proofErr w:type="spellEnd"/>
      <w:r w:rsidRPr="00352359">
        <w:rPr>
          <w:sz w:val="23"/>
          <w:szCs w:val="23"/>
        </w:rPr>
        <w:t xml:space="preserve">, A., </w:t>
      </w:r>
      <w:proofErr w:type="spellStart"/>
      <w:r w:rsidRPr="00352359">
        <w:rPr>
          <w:sz w:val="23"/>
          <w:szCs w:val="23"/>
        </w:rPr>
        <w:t>Tuominen</w:t>
      </w:r>
      <w:proofErr w:type="spellEnd"/>
      <w:r w:rsidRPr="00352359">
        <w:rPr>
          <w:sz w:val="23"/>
          <w:szCs w:val="23"/>
        </w:rPr>
        <w:t xml:space="preserve">, H., </w:t>
      </w:r>
      <w:proofErr w:type="spellStart"/>
      <w:r w:rsidRPr="00352359">
        <w:rPr>
          <w:sz w:val="23"/>
          <w:szCs w:val="23"/>
        </w:rPr>
        <w:t>Tapola</w:t>
      </w:r>
      <w:proofErr w:type="spellEnd"/>
      <w:r w:rsidRPr="00352359">
        <w:rPr>
          <w:sz w:val="23"/>
          <w:szCs w:val="23"/>
        </w:rPr>
        <w:t xml:space="preserve">, A., &amp; </w:t>
      </w:r>
      <w:proofErr w:type="spellStart"/>
      <w:r w:rsidRPr="00352359">
        <w:rPr>
          <w:sz w:val="23"/>
          <w:szCs w:val="23"/>
        </w:rPr>
        <w:t>Korhonen</w:t>
      </w:r>
      <w:proofErr w:type="spellEnd"/>
      <w:r w:rsidRPr="00352359">
        <w:rPr>
          <w:sz w:val="23"/>
          <w:szCs w:val="23"/>
        </w:rPr>
        <w:t>, J. (2020). Gendered pathways from</w:t>
      </w:r>
      <w:r>
        <w:rPr>
          <w:sz w:val="23"/>
          <w:szCs w:val="23"/>
        </w:rPr>
        <w:t xml:space="preserve"> </w:t>
      </w:r>
      <w:r w:rsidRPr="00352359">
        <w:rPr>
          <w:sz w:val="23"/>
          <w:szCs w:val="23"/>
        </w:rPr>
        <w:t>academic performance, motivational beliefs, and school burnout to adolescents’</w:t>
      </w:r>
      <w:r>
        <w:rPr>
          <w:sz w:val="23"/>
          <w:szCs w:val="23"/>
        </w:rPr>
        <w:t xml:space="preserve"> </w:t>
      </w:r>
      <w:r w:rsidRPr="00352359">
        <w:rPr>
          <w:sz w:val="23"/>
          <w:szCs w:val="23"/>
        </w:rPr>
        <w:t>educational and</w:t>
      </w:r>
      <w:r>
        <w:rPr>
          <w:sz w:val="23"/>
          <w:szCs w:val="23"/>
        </w:rPr>
        <w:t xml:space="preserve"> </w:t>
      </w:r>
      <w:r w:rsidRPr="00352359">
        <w:rPr>
          <w:sz w:val="23"/>
          <w:szCs w:val="23"/>
        </w:rPr>
        <w:t xml:space="preserve">occupational aspirations. </w:t>
      </w:r>
      <w:r w:rsidRPr="001E5B34">
        <w:rPr>
          <w:i/>
          <w:iCs/>
          <w:sz w:val="23"/>
          <w:szCs w:val="23"/>
        </w:rPr>
        <w:t>Learning and Instruction, 66</w:t>
      </w:r>
      <w:r w:rsidRPr="00352359">
        <w:rPr>
          <w:sz w:val="23"/>
          <w:szCs w:val="23"/>
        </w:rPr>
        <w:t>.</w:t>
      </w:r>
      <w:r>
        <w:rPr>
          <w:sz w:val="23"/>
          <w:szCs w:val="23"/>
        </w:rPr>
        <w:t xml:space="preserve"> </w:t>
      </w:r>
      <w:hyperlink r:id="rId137" w:history="1">
        <w:r w:rsidRPr="004D11EC">
          <w:rPr>
            <w:rStyle w:val="Hyperlink"/>
            <w:sz w:val="23"/>
            <w:szCs w:val="23"/>
          </w:rPr>
          <w:t>https://doi.org/10.1016/j.learninstruc.2019.101299</w:t>
        </w:r>
      </w:hyperlink>
    </w:p>
    <w:p w:rsidR="006C2660" w:rsidRDefault="006C2660" w:rsidP="006C2660">
      <w:pPr>
        <w:spacing w:line="240" w:lineRule="auto"/>
        <w:ind w:left="426" w:hanging="426"/>
        <w:jc w:val="both"/>
        <w:rPr>
          <w:lang w:bidi="ar-EG"/>
        </w:rPr>
      </w:pPr>
      <w:r w:rsidRPr="00626812">
        <w:rPr>
          <w:lang w:bidi="ar-EG"/>
        </w:rPr>
        <w:t xml:space="preserve">Wing, J. (2014). Computational thinking benefits society. </w:t>
      </w:r>
      <w:r w:rsidRPr="00626812">
        <w:rPr>
          <w:i/>
          <w:iCs/>
          <w:lang w:bidi="ar-EG"/>
        </w:rPr>
        <w:t>40th Anniversary Blog of Social Issues in Computing</w:t>
      </w:r>
      <w:r w:rsidRPr="00626812">
        <w:rPr>
          <w:lang w:bidi="ar-EG"/>
        </w:rPr>
        <w:t xml:space="preserve">. New York: Academic Press. </w:t>
      </w:r>
    </w:p>
    <w:p w:rsidR="006C2660" w:rsidRDefault="006C2660" w:rsidP="006C2660">
      <w:pPr>
        <w:spacing w:line="240" w:lineRule="auto"/>
        <w:ind w:left="426" w:hanging="426"/>
        <w:jc w:val="both"/>
        <w:rPr>
          <w:rFonts w:ascii="Times New Roman" w:hAnsi="Times New Roman" w:cs="Times New Roman"/>
          <w:sz w:val="24"/>
          <w:szCs w:val="24"/>
        </w:rPr>
      </w:pPr>
      <w:r w:rsidRPr="005D568A">
        <w:rPr>
          <w:rFonts w:ascii="Times New Roman" w:hAnsi="Times New Roman" w:cs="Times New Roman"/>
          <w:sz w:val="24"/>
          <w:szCs w:val="24"/>
        </w:rPr>
        <w:t xml:space="preserve">Wing, J. M. (2008). Computational Thinking and Thinking about Computing. </w:t>
      </w:r>
      <w:r w:rsidRPr="005D568A">
        <w:rPr>
          <w:rFonts w:ascii="Times New Roman" w:hAnsi="Times New Roman" w:cs="Times New Roman"/>
          <w:i/>
          <w:iCs/>
          <w:sz w:val="24"/>
          <w:szCs w:val="24"/>
        </w:rPr>
        <w:t>Philosophical Transactions of the Royal Society A: Mathematical, Physical and Engineering Sciences, 366</w:t>
      </w:r>
      <w:r w:rsidRPr="005D568A">
        <w:t xml:space="preserve"> </w:t>
      </w:r>
      <w:r w:rsidRPr="005D568A">
        <w:rPr>
          <w:rFonts w:ascii="Times New Roman" w:hAnsi="Times New Roman" w:cs="Times New Roman"/>
          <w:sz w:val="24"/>
          <w:szCs w:val="24"/>
        </w:rPr>
        <w:t xml:space="preserve">(1881), 3717-3725. </w:t>
      </w:r>
      <w:hyperlink r:id="rId138" w:history="1">
        <w:r w:rsidRPr="00FF30D8">
          <w:rPr>
            <w:rStyle w:val="Hyperlink"/>
            <w:rFonts w:ascii="Times New Roman" w:hAnsi="Times New Roman" w:cs="Times New Roman"/>
            <w:sz w:val="24"/>
            <w:szCs w:val="24"/>
          </w:rPr>
          <w:t>https://doi.org/10.1098/rsta.2008.0118</w:t>
        </w:r>
      </w:hyperlink>
    </w:p>
    <w:p w:rsidR="006C2660" w:rsidRDefault="006C2660" w:rsidP="006C2660">
      <w:pPr>
        <w:spacing w:line="240" w:lineRule="auto"/>
        <w:ind w:left="426" w:hanging="426"/>
        <w:jc w:val="both"/>
        <w:rPr>
          <w:sz w:val="23"/>
          <w:szCs w:val="23"/>
        </w:rPr>
      </w:pPr>
      <w:r w:rsidRPr="00D5002B">
        <w:rPr>
          <w:lang w:bidi="ar-EG"/>
        </w:rPr>
        <w:t>World</w:t>
      </w:r>
      <w:r w:rsidRPr="002F21AF">
        <w:rPr>
          <w:sz w:val="23"/>
          <w:szCs w:val="23"/>
        </w:rPr>
        <w:t xml:space="preserve"> Health Organization</w:t>
      </w:r>
      <w:r>
        <w:rPr>
          <w:sz w:val="23"/>
          <w:szCs w:val="23"/>
        </w:rPr>
        <w:t xml:space="preserve"> (2021)</w:t>
      </w:r>
      <w:r w:rsidRPr="002F21AF">
        <w:rPr>
          <w:sz w:val="23"/>
          <w:szCs w:val="23"/>
        </w:rPr>
        <w:t xml:space="preserve">. Mental Health of Adolescents. 2021. Available online: </w:t>
      </w:r>
      <w:hyperlink r:id="rId139" w:history="1">
        <w:r w:rsidRPr="004D11EC">
          <w:rPr>
            <w:rStyle w:val="Hyperlink"/>
            <w:sz w:val="23"/>
            <w:szCs w:val="23"/>
          </w:rPr>
          <w:t>https://www.who.int/news-room/factsheets/detail/adolescent-mental-health</w:t>
        </w:r>
      </w:hyperlink>
      <w:r w:rsidRPr="002F21AF">
        <w:rPr>
          <w:sz w:val="23"/>
          <w:szCs w:val="23"/>
        </w:rPr>
        <w:t xml:space="preserve"> </w:t>
      </w:r>
    </w:p>
    <w:p w:rsidR="006C2660" w:rsidRDefault="006C2660" w:rsidP="006C2660">
      <w:pPr>
        <w:spacing w:line="240" w:lineRule="auto"/>
        <w:ind w:left="426" w:hanging="426"/>
        <w:jc w:val="both"/>
        <w:rPr>
          <w:sz w:val="23"/>
          <w:szCs w:val="23"/>
        </w:rPr>
      </w:pPr>
      <w:r w:rsidRPr="00024ED3">
        <w:rPr>
          <w:sz w:val="23"/>
          <w:szCs w:val="23"/>
        </w:rPr>
        <w:t xml:space="preserve">Wu, H., Li, S., </w:t>
      </w:r>
      <w:proofErr w:type="spellStart"/>
      <w:r w:rsidRPr="00024ED3">
        <w:rPr>
          <w:sz w:val="23"/>
          <w:szCs w:val="23"/>
        </w:rPr>
        <w:t>Zheng</w:t>
      </w:r>
      <w:proofErr w:type="spellEnd"/>
      <w:r w:rsidRPr="00024ED3">
        <w:rPr>
          <w:sz w:val="23"/>
          <w:szCs w:val="23"/>
        </w:rPr>
        <w:t xml:space="preserve">, J., &amp; </w:t>
      </w:r>
      <w:proofErr w:type="spellStart"/>
      <w:r w:rsidRPr="00024ED3">
        <w:rPr>
          <w:sz w:val="23"/>
          <w:szCs w:val="23"/>
        </w:rPr>
        <w:t>Guo</w:t>
      </w:r>
      <w:proofErr w:type="spellEnd"/>
      <w:r w:rsidRPr="00024ED3">
        <w:rPr>
          <w:sz w:val="23"/>
          <w:szCs w:val="23"/>
        </w:rPr>
        <w:t xml:space="preserve">, J. (2020). Medical students’ motivation and academic performance: the mediating roles of self-efficacy and learning engagement. </w:t>
      </w:r>
      <w:r w:rsidRPr="00024ED3">
        <w:rPr>
          <w:i/>
          <w:iCs/>
          <w:sz w:val="23"/>
          <w:szCs w:val="23"/>
        </w:rPr>
        <w:t>Medical Education Online, 25</w:t>
      </w:r>
      <w:r>
        <w:rPr>
          <w:i/>
          <w:iCs/>
          <w:sz w:val="23"/>
          <w:szCs w:val="23"/>
        </w:rPr>
        <w:t xml:space="preserve"> </w:t>
      </w:r>
      <w:r w:rsidRPr="00024ED3">
        <w:rPr>
          <w:sz w:val="23"/>
          <w:szCs w:val="23"/>
        </w:rPr>
        <w:t xml:space="preserve">(1). </w:t>
      </w:r>
      <w:hyperlink r:id="rId140" w:history="1">
        <w:r w:rsidRPr="004D11EC">
          <w:rPr>
            <w:rStyle w:val="Hyperlink"/>
            <w:sz w:val="23"/>
            <w:szCs w:val="23"/>
          </w:rPr>
          <w:t>https://doi.org/10.1080/10872981.2020.1742964</w:t>
        </w:r>
      </w:hyperlink>
    </w:p>
    <w:p w:rsidR="006C2660" w:rsidRDefault="006C2660" w:rsidP="006C2660">
      <w:pPr>
        <w:spacing w:line="240" w:lineRule="auto"/>
        <w:ind w:left="426" w:hanging="426"/>
        <w:jc w:val="both"/>
        <w:rPr>
          <w:rFonts w:cs="Minion Pro"/>
          <w:color w:val="000000"/>
          <w:sz w:val="24"/>
          <w:szCs w:val="24"/>
        </w:rPr>
      </w:pPr>
      <w:proofErr w:type="spellStart"/>
      <w:r w:rsidRPr="005D568A">
        <w:rPr>
          <w:rFonts w:ascii="Times New Roman" w:eastAsia="Calibri" w:hAnsi="Times New Roman" w:cs="Traditional Arabic"/>
          <w:sz w:val="24"/>
          <w:szCs w:val="24"/>
        </w:rPr>
        <w:t>Yadav</w:t>
      </w:r>
      <w:proofErr w:type="spellEnd"/>
      <w:r w:rsidRPr="005D568A">
        <w:rPr>
          <w:rFonts w:cs="Minion Pro"/>
          <w:sz w:val="24"/>
          <w:szCs w:val="24"/>
        </w:rPr>
        <w:t xml:space="preserve">, A., </w:t>
      </w:r>
      <w:proofErr w:type="spellStart"/>
      <w:r w:rsidRPr="005D568A">
        <w:rPr>
          <w:rFonts w:cs="Minion Pro"/>
          <w:sz w:val="24"/>
          <w:szCs w:val="24"/>
        </w:rPr>
        <w:t>Gretter</w:t>
      </w:r>
      <w:proofErr w:type="spellEnd"/>
      <w:r w:rsidRPr="005D568A">
        <w:rPr>
          <w:rFonts w:cs="Minion Pro"/>
          <w:sz w:val="24"/>
          <w:szCs w:val="24"/>
        </w:rPr>
        <w:t xml:space="preserve">, S., Good, J., &amp; McLean, T. (2017). Computational thinking in teacher </w:t>
      </w:r>
      <w:r w:rsidRPr="00474CFE">
        <w:rPr>
          <w:rFonts w:cs="Minion Pro"/>
          <w:color w:val="000000"/>
          <w:sz w:val="24"/>
          <w:szCs w:val="24"/>
        </w:rPr>
        <w:t xml:space="preserve">education. In </w:t>
      </w:r>
      <w:r w:rsidRPr="00474CFE">
        <w:rPr>
          <w:rFonts w:cs="Minion Pro"/>
          <w:i/>
          <w:iCs/>
          <w:color w:val="000000"/>
          <w:sz w:val="24"/>
          <w:szCs w:val="24"/>
        </w:rPr>
        <w:t>Emerging research, practice, and policy on computational thinking</w:t>
      </w:r>
      <w:r>
        <w:rPr>
          <w:rFonts w:cs="Minion Pro"/>
          <w:color w:val="000000"/>
          <w:sz w:val="24"/>
          <w:szCs w:val="24"/>
        </w:rPr>
        <w:t xml:space="preserve">. 205-220. </w:t>
      </w:r>
      <w:hyperlink r:id="rId141" w:history="1">
        <w:r w:rsidRPr="00E96447">
          <w:rPr>
            <w:rStyle w:val="Hyperlink"/>
            <w:rFonts w:cs="Minion Pro"/>
            <w:sz w:val="24"/>
            <w:szCs w:val="24"/>
          </w:rPr>
          <w:t>https://doi.org/10.1007/978-3-319-52691-1_13</w:t>
        </w:r>
      </w:hyperlink>
    </w:p>
    <w:p w:rsidR="006C2660" w:rsidRDefault="006C2660" w:rsidP="006C2660">
      <w:pPr>
        <w:spacing w:line="240" w:lineRule="auto"/>
        <w:ind w:left="426" w:hanging="426"/>
        <w:jc w:val="both"/>
        <w:rPr>
          <w:rFonts w:cs="Minion Pro"/>
          <w:color w:val="000000"/>
          <w:sz w:val="24"/>
          <w:szCs w:val="24"/>
        </w:rPr>
      </w:pPr>
      <w:proofErr w:type="spellStart"/>
      <w:r w:rsidRPr="00A145F3">
        <w:rPr>
          <w:rFonts w:cs="Minion Pro"/>
          <w:color w:val="000000"/>
          <w:sz w:val="24"/>
          <w:szCs w:val="24"/>
        </w:rPr>
        <w:t>Yadav</w:t>
      </w:r>
      <w:proofErr w:type="spellEnd"/>
      <w:r w:rsidRPr="00A145F3">
        <w:rPr>
          <w:rFonts w:cs="Minion Pro"/>
          <w:color w:val="000000"/>
          <w:sz w:val="24"/>
          <w:szCs w:val="24"/>
        </w:rPr>
        <w:t>, A.,</w:t>
      </w:r>
      <w:r>
        <w:rPr>
          <w:rFonts w:cs="Minion Pro"/>
          <w:color w:val="000000"/>
          <w:sz w:val="24"/>
          <w:szCs w:val="24"/>
        </w:rPr>
        <w:t xml:space="preserve"> </w:t>
      </w:r>
      <w:r w:rsidRPr="00A145F3">
        <w:rPr>
          <w:rFonts w:cs="Minion Pro"/>
          <w:color w:val="000000"/>
          <w:sz w:val="24"/>
          <w:szCs w:val="24"/>
        </w:rPr>
        <w:t xml:space="preserve">Mayfield, C., Zhou, N., </w:t>
      </w:r>
      <w:proofErr w:type="spellStart"/>
      <w:r w:rsidRPr="00A145F3">
        <w:rPr>
          <w:rFonts w:cs="Minion Pro"/>
          <w:color w:val="000000"/>
          <w:sz w:val="24"/>
          <w:szCs w:val="24"/>
        </w:rPr>
        <w:t>Hambrusch</w:t>
      </w:r>
      <w:proofErr w:type="spellEnd"/>
      <w:r w:rsidRPr="00A145F3">
        <w:rPr>
          <w:rFonts w:cs="Minion Pro"/>
          <w:color w:val="000000"/>
          <w:sz w:val="24"/>
          <w:szCs w:val="24"/>
        </w:rPr>
        <w:t xml:space="preserve">, S., </w:t>
      </w:r>
      <w:r>
        <w:rPr>
          <w:rFonts w:cs="Minion Pro"/>
          <w:color w:val="000000"/>
          <w:sz w:val="24"/>
          <w:szCs w:val="24"/>
        </w:rPr>
        <w:t>&amp;</w:t>
      </w:r>
      <w:r w:rsidRPr="00A145F3">
        <w:rPr>
          <w:rFonts w:cs="Minion Pro"/>
          <w:color w:val="000000"/>
          <w:sz w:val="24"/>
          <w:szCs w:val="24"/>
        </w:rPr>
        <w:t xml:space="preserve"> </w:t>
      </w:r>
      <w:proofErr w:type="spellStart"/>
      <w:r w:rsidRPr="00A145F3">
        <w:rPr>
          <w:rFonts w:cs="Minion Pro"/>
          <w:color w:val="000000"/>
          <w:sz w:val="24"/>
          <w:szCs w:val="24"/>
        </w:rPr>
        <w:t>Korb</w:t>
      </w:r>
      <w:proofErr w:type="spellEnd"/>
      <w:r w:rsidRPr="00A145F3">
        <w:rPr>
          <w:rFonts w:cs="Minion Pro"/>
          <w:color w:val="000000"/>
          <w:sz w:val="24"/>
          <w:szCs w:val="24"/>
        </w:rPr>
        <w:t xml:space="preserve">, J. T. </w:t>
      </w:r>
      <w:r>
        <w:rPr>
          <w:rFonts w:cs="Minion Pro"/>
          <w:color w:val="000000"/>
          <w:sz w:val="24"/>
          <w:szCs w:val="24"/>
        </w:rPr>
        <w:t>(</w:t>
      </w:r>
      <w:r w:rsidRPr="00A145F3">
        <w:rPr>
          <w:rFonts w:cs="Minion Pro"/>
          <w:color w:val="000000"/>
          <w:sz w:val="24"/>
          <w:szCs w:val="24"/>
        </w:rPr>
        <w:t>2014</w:t>
      </w:r>
      <w:r>
        <w:rPr>
          <w:rFonts w:cs="Minion Pro"/>
          <w:color w:val="000000"/>
          <w:sz w:val="24"/>
          <w:szCs w:val="24"/>
        </w:rPr>
        <w:t>)</w:t>
      </w:r>
      <w:r w:rsidRPr="00A145F3">
        <w:rPr>
          <w:rFonts w:cs="Minion Pro"/>
          <w:color w:val="000000"/>
          <w:sz w:val="24"/>
          <w:szCs w:val="24"/>
        </w:rPr>
        <w:t xml:space="preserve">. Computational thinking in elementary and secondary teacher education. </w:t>
      </w:r>
      <w:r w:rsidRPr="00A145F3">
        <w:rPr>
          <w:rFonts w:cs="Minion Pro"/>
          <w:i/>
          <w:iCs/>
          <w:color w:val="000000"/>
          <w:sz w:val="24"/>
          <w:szCs w:val="24"/>
        </w:rPr>
        <w:t xml:space="preserve">ACM Trans. </w:t>
      </w:r>
      <w:proofErr w:type="spellStart"/>
      <w:r w:rsidRPr="00A145F3">
        <w:rPr>
          <w:rFonts w:cs="Minion Pro"/>
          <w:i/>
          <w:iCs/>
          <w:color w:val="000000"/>
          <w:sz w:val="24"/>
          <w:szCs w:val="24"/>
        </w:rPr>
        <w:t>Comput</w:t>
      </w:r>
      <w:proofErr w:type="spellEnd"/>
      <w:r w:rsidRPr="00A145F3">
        <w:rPr>
          <w:rFonts w:cs="Minion Pro"/>
          <w:i/>
          <w:iCs/>
          <w:color w:val="000000"/>
          <w:sz w:val="24"/>
          <w:szCs w:val="24"/>
        </w:rPr>
        <w:t xml:space="preserve">. Educ. </w:t>
      </w:r>
      <w:r w:rsidRPr="00A145F3">
        <w:rPr>
          <w:rFonts w:cs="Minion Pro"/>
          <w:color w:val="000000"/>
          <w:sz w:val="24"/>
          <w:szCs w:val="24"/>
        </w:rPr>
        <w:t xml:space="preserve">14, 1, Article 5 (March 2014), 16 pages. </w:t>
      </w:r>
      <w:hyperlink r:id="rId142" w:history="1">
        <w:r w:rsidRPr="004403D1">
          <w:rPr>
            <w:rStyle w:val="Hyperlink"/>
            <w:rFonts w:cs="Minion Pro"/>
            <w:sz w:val="24"/>
            <w:szCs w:val="24"/>
          </w:rPr>
          <w:t>http://dx.doi.org/10.1145/2576872</w:t>
        </w:r>
      </w:hyperlink>
    </w:p>
    <w:p w:rsidR="006C2660" w:rsidRDefault="006C2660" w:rsidP="006C2660">
      <w:pPr>
        <w:spacing w:line="240" w:lineRule="auto"/>
        <w:ind w:left="426" w:hanging="426"/>
        <w:jc w:val="both"/>
        <w:rPr>
          <w:rStyle w:val="Hyperlink"/>
          <w:rFonts w:ascii="Times New Roman" w:hAnsi="Times New Roman" w:cs="Traditional Arabic"/>
          <w:sz w:val="24"/>
          <w:szCs w:val="24"/>
          <w:lang w:bidi="ar-EG"/>
        </w:rPr>
      </w:pPr>
      <w:proofErr w:type="spellStart"/>
      <w:r w:rsidRPr="00B27BDC">
        <w:rPr>
          <w:rFonts w:ascii="NewCenturySchlbk-Roman" w:hAnsi="NewCenturySchlbk-Roman" w:cs="NewCenturySchlbk-Roman"/>
          <w:sz w:val="24"/>
          <w:szCs w:val="24"/>
        </w:rPr>
        <w:t>Yadav</w:t>
      </w:r>
      <w:proofErr w:type="spellEnd"/>
      <w:r w:rsidRPr="00B27BDC">
        <w:rPr>
          <w:rFonts w:ascii="NewCenturySchlbk-Roman" w:hAnsi="NewCenturySchlbk-Roman" w:cs="NewCenturySchlbk-Roman"/>
          <w:sz w:val="24"/>
          <w:szCs w:val="24"/>
        </w:rPr>
        <w:t>, A.,</w:t>
      </w:r>
      <w:r>
        <w:rPr>
          <w:rFonts w:ascii="NewCenturySchlbk-Roman" w:hAnsi="NewCenturySchlbk-Roman" w:cs="NewCenturySchlbk-Roman"/>
          <w:sz w:val="24"/>
          <w:szCs w:val="24"/>
        </w:rPr>
        <w:t xml:space="preserve"> </w:t>
      </w:r>
      <w:r w:rsidRPr="00B27BDC">
        <w:rPr>
          <w:rFonts w:ascii="NewCenturySchlbk-Roman" w:hAnsi="NewCenturySchlbk-Roman" w:cs="NewCenturySchlbk-Roman"/>
          <w:sz w:val="24"/>
          <w:szCs w:val="24"/>
        </w:rPr>
        <w:t xml:space="preserve">Mayfield, C., Zhou, N., </w:t>
      </w:r>
      <w:proofErr w:type="spellStart"/>
      <w:r w:rsidRPr="00B27BDC">
        <w:rPr>
          <w:rFonts w:ascii="NewCenturySchlbk-Roman" w:hAnsi="NewCenturySchlbk-Roman" w:cs="NewCenturySchlbk-Roman"/>
          <w:sz w:val="24"/>
          <w:szCs w:val="24"/>
        </w:rPr>
        <w:t>Hambrusch</w:t>
      </w:r>
      <w:proofErr w:type="spellEnd"/>
      <w:r w:rsidRPr="00B27BDC">
        <w:rPr>
          <w:rFonts w:ascii="NewCenturySchlbk-Roman" w:hAnsi="NewCenturySchlbk-Roman" w:cs="NewCenturySchlbk-Roman"/>
          <w:sz w:val="24"/>
          <w:szCs w:val="24"/>
        </w:rPr>
        <w:t xml:space="preserve">, S., &amp; </w:t>
      </w:r>
      <w:proofErr w:type="spellStart"/>
      <w:r w:rsidRPr="00B27BDC">
        <w:rPr>
          <w:rFonts w:ascii="NewCenturySchlbk-Roman" w:hAnsi="NewCenturySchlbk-Roman" w:cs="NewCenturySchlbk-Roman"/>
          <w:sz w:val="24"/>
          <w:szCs w:val="24"/>
        </w:rPr>
        <w:t>Korb</w:t>
      </w:r>
      <w:proofErr w:type="spellEnd"/>
      <w:r w:rsidRPr="00B27BDC">
        <w:rPr>
          <w:rFonts w:ascii="NewCenturySchlbk-Roman" w:hAnsi="NewCenturySchlbk-Roman" w:cs="NewCenturySchlbk-Roman"/>
          <w:sz w:val="24"/>
          <w:szCs w:val="24"/>
        </w:rPr>
        <w:t xml:space="preserve">, J. T. </w:t>
      </w:r>
      <w:r>
        <w:rPr>
          <w:rFonts w:ascii="NewCenturySchlbk-Roman" w:hAnsi="NewCenturySchlbk-Roman" w:cs="NewCenturySchlbk-Roman"/>
          <w:sz w:val="24"/>
          <w:szCs w:val="24"/>
        </w:rPr>
        <w:t>(</w:t>
      </w:r>
      <w:r w:rsidRPr="00B27BDC">
        <w:rPr>
          <w:rFonts w:ascii="NewCenturySchlbk-Roman" w:hAnsi="NewCenturySchlbk-Roman" w:cs="NewCenturySchlbk-Roman"/>
          <w:sz w:val="24"/>
          <w:szCs w:val="24"/>
        </w:rPr>
        <w:t>2014</w:t>
      </w:r>
      <w:r>
        <w:rPr>
          <w:rFonts w:ascii="NewCenturySchlbk-Roman" w:hAnsi="NewCenturySchlbk-Roman" w:cs="NewCenturySchlbk-Roman"/>
          <w:sz w:val="24"/>
          <w:szCs w:val="24"/>
        </w:rPr>
        <w:t>)</w:t>
      </w:r>
      <w:r w:rsidRPr="00B27BDC">
        <w:rPr>
          <w:rFonts w:ascii="NewCenturySchlbk-Roman" w:hAnsi="NewCenturySchlbk-Roman" w:cs="NewCenturySchlbk-Roman"/>
          <w:sz w:val="24"/>
          <w:szCs w:val="24"/>
        </w:rPr>
        <w:t xml:space="preserve">. Computational thinking in elementary and secondary teacher education. </w:t>
      </w:r>
      <w:r w:rsidRPr="00B27BDC">
        <w:rPr>
          <w:rFonts w:ascii="NewCenturySchlbk-Italic" w:hAnsi="NewCenturySchlbk-Italic" w:cs="NewCenturySchlbk-Italic"/>
          <w:i/>
          <w:iCs/>
          <w:sz w:val="24"/>
          <w:szCs w:val="24"/>
        </w:rPr>
        <w:t xml:space="preserve">ACM </w:t>
      </w:r>
      <w:r w:rsidRPr="00B27BDC">
        <w:rPr>
          <w:rFonts w:ascii="Times New Roman" w:eastAsia="Calibri" w:hAnsi="Times New Roman" w:cs="Traditional Arabic"/>
          <w:sz w:val="24"/>
          <w:szCs w:val="24"/>
        </w:rPr>
        <w:t>Trans</w:t>
      </w:r>
      <w:r w:rsidRPr="00B27BDC">
        <w:rPr>
          <w:rFonts w:ascii="NewCenturySchlbk-Italic" w:hAnsi="NewCenturySchlbk-Italic" w:cs="NewCenturySchlbk-Italic"/>
          <w:i/>
          <w:iCs/>
          <w:sz w:val="24"/>
          <w:szCs w:val="24"/>
        </w:rPr>
        <w:t xml:space="preserve">. </w:t>
      </w:r>
      <w:proofErr w:type="spellStart"/>
      <w:r w:rsidRPr="00B27BDC">
        <w:rPr>
          <w:rFonts w:ascii="NewCenturySchlbk-Italic" w:hAnsi="NewCenturySchlbk-Italic" w:cs="NewCenturySchlbk-Italic"/>
          <w:i/>
          <w:iCs/>
          <w:sz w:val="24"/>
          <w:szCs w:val="24"/>
        </w:rPr>
        <w:t>Comput</w:t>
      </w:r>
      <w:proofErr w:type="spellEnd"/>
      <w:r w:rsidRPr="00B27BDC">
        <w:rPr>
          <w:rFonts w:ascii="NewCenturySchlbk-Italic" w:hAnsi="NewCenturySchlbk-Italic" w:cs="NewCenturySchlbk-Italic"/>
          <w:i/>
          <w:iCs/>
          <w:sz w:val="24"/>
          <w:szCs w:val="24"/>
        </w:rPr>
        <w:t xml:space="preserve">. Educ. </w:t>
      </w:r>
      <w:r w:rsidRPr="00B27BDC">
        <w:rPr>
          <w:rFonts w:ascii="NewCenturySchlbk-Roman" w:hAnsi="NewCenturySchlbk-Roman" w:cs="NewCenturySchlbk-Roman"/>
          <w:sz w:val="24"/>
          <w:szCs w:val="24"/>
        </w:rPr>
        <w:t xml:space="preserve">14, 1, Article 5 (March 2014), 16 pages. </w:t>
      </w:r>
      <w:hyperlink r:id="rId143" w:history="1">
        <w:r w:rsidRPr="00CE3299">
          <w:rPr>
            <w:rStyle w:val="Hyperlink"/>
            <w:rFonts w:ascii="Times New Roman" w:hAnsi="Times New Roman" w:cs="Traditional Arabic"/>
            <w:sz w:val="24"/>
            <w:szCs w:val="24"/>
            <w:lang w:bidi="ar-EG"/>
          </w:rPr>
          <w:t>https://doi.org/10.1145/2576872</w:t>
        </w:r>
      </w:hyperlink>
    </w:p>
    <w:p w:rsidR="006C2660" w:rsidRDefault="006C2660" w:rsidP="006C2660">
      <w:pPr>
        <w:spacing w:line="240" w:lineRule="auto"/>
        <w:ind w:left="426" w:hanging="426"/>
        <w:jc w:val="both"/>
      </w:pPr>
      <w:proofErr w:type="spellStart"/>
      <w:r>
        <w:t>Yagci</w:t>
      </w:r>
      <w:proofErr w:type="spellEnd"/>
      <w:r>
        <w:t xml:space="preserve">, M. (2016). Effect of attitudes of information technologies (IT) </w:t>
      </w:r>
      <w:proofErr w:type="spellStart"/>
      <w:r>
        <w:t>preservice</w:t>
      </w:r>
      <w:proofErr w:type="spellEnd"/>
      <w:r>
        <w:t xml:space="preserve"> teachers and computer </w:t>
      </w:r>
      <w:r>
        <w:rPr>
          <w:lang w:bidi="ar-EG"/>
        </w:rPr>
        <w:t>programming</w:t>
      </w:r>
      <w:r>
        <w:t xml:space="preserve"> (CP) students toward programming on their perception regarding their self-sufficiency for programming. </w:t>
      </w:r>
      <w:r>
        <w:rPr>
          <w:i/>
          <w:iCs/>
        </w:rPr>
        <w:t>International Journal of Human Sciences</w:t>
      </w:r>
      <w:r>
        <w:t xml:space="preserve">, </w:t>
      </w:r>
      <w:r>
        <w:rPr>
          <w:i/>
          <w:iCs/>
        </w:rPr>
        <w:t>13</w:t>
      </w:r>
      <w:r>
        <w:t xml:space="preserve">(1), </w:t>
      </w:r>
      <w:r w:rsidRPr="005D1139">
        <w:t xml:space="preserve">1418–1432. </w:t>
      </w:r>
      <w:hyperlink r:id="rId144" w:history="1">
        <w:r w:rsidRPr="00FF30D8">
          <w:rPr>
            <w:rStyle w:val="Hyperlink"/>
          </w:rPr>
          <w:t>https://www.j-humansciences.com/ojs/index.php/IJHS/article/view/3502</w:t>
        </w:r>
      </w:hyperlink>
    </w:p>
    <w:p w:rsidR="006C2660" w:rsidRPr="00225843" w:rsidRDefault="006C2660" w:rsidP="006C2660">
      <w:pPr>
        <w:spacing w:line="240" w:lineRule="auto"/>
        <w:ind w:left="426" w:hanging="426"/>
        <w:jc w:val="both"/>
        <w:rPr>
          <w:sz w:val="23"/>
          <w:szCs w:val="23"/>
        </w:rPr>
      </w:pPr>
      <w:proofErr w:type="spellStart"/>
      <w:r w:rsidRPr="00225843">
        <w:rPr>
          <w:sz w:val="23"/>
          <w:szCs w:val="23"/>
        </w:rPr>
        <w:t>Yahyanezhad</w:t>
      </w:r>
      <w:proofErr w:type="spellEnd"/>
      <w:r w:rsidRPr="00225843">
        <w:rPr>
          <w:sz w:val="23"/>
          <w:szCs w:val="23"/>
        </w:rPr>
        <w:t xml:space="preserve">,  F., &amp; </w:t>
      </w:r>
      <w:proofErr w:type="spellStart"/>
      <w:r w:rsidRPr="00225843">
        <w:rPr>
          <w:sz w:val="23"/>
          <w:szCs w:val="23"/>
        </w:rPr>
        <w:t>Moharer</w:t>
      </w:r>
      <w:proofErr w:type="spellEnd"/>
      <w:r w:rsidRPr="00225843">
        <w:rPr>
          <w:sz w:val="23"/>
          <w:szCs w:val="23"/>
        </w:rPr>
        <w:t xml:space="preserve">, A. (2020). Self –efficacy, academic achievement and happiness. </w:t>
      </w:r>
      <w:r w:rsidRPr="00225843">
        <w:rPr>
          <w:i/>
          <w:iCs/>
          <w:sz w:val="23"/>
          <w:szCs w:val="23"/>
        </w:rPr>
        <w:t>International Journal of Education and Cognitive Sciences, 1</w:t>
      </w:r>
      <w:r w:rsidRPr="00225843">
        <w:rPr>
          <w:sz w:val="23"/>
          <w:szCs w:val="23"/>
        </w:rPr>
        <w:t xml:space="preserve"> (3), 16-23.  </w:t>
      </w:r>
      <w:hyperlink r:id="rId145" w:history="1">
        <w:r w:rsidRPr="00225843">
          <w:rPr>
            <w:rStyle w:val="Hyperlink"/>
            <w:sz w:val="23"/>
            <w:szCs w:val="23"/>
          </w:rPr>
          <w:t>https://iase-ijeas.com</w:t>
        </w:r>
      </w:hyperlink>
    </w:p>
    <w:p w:rsidR="006C2660" w:rsidRPr="00474CFE" w:rsidRDefault="006C2660" w:rsidP="006C2660">
      <w:pPr>
        <w:spacing w:line="240" w:lineRule="auto"/>
        <w:ind w:left="426" w:hanging="426"/>
        <w:jc w:val="both"/>
        <w:rPr>
          <w:sz w:val="24"/>
          <w:szCs w:val="24"/>
          <w:rtl/>
        </w:rPr>
      </w:pPr>
      <w:r w:rsidRPr="003B595A">
        <w:rPr>
          <w:sz w:val="24"/>
          <w:szCs w:val="24"/>
        </w:rPr>
        <w:t>Yang, H.-L., &amp; Cheng, H.-H. (2009). Creative self-efficacy and its factors: An empirical study of information system analysts and programmers. </w:t>
      </w:r>
      <w:r w:rsidRPr="003B595A">
        <w:rPr>
          <w:i/>
          <w:iCs/>
          <w:sz w:val="24"/>
          <w:szCs w:val="24"/>
        </w:rPr>
        <w:t>Computers in Human Behavior, 25</w:t>
      </w:r>
      <w:r w:rsidRPr="003B595A">
        <w:rPr>
          <w:sz w:val="24"/>
          <w:szCs w:val="24"/>
        </w:rPr>
        <w:t>(2), 429–438. </w:t>
      </w:r>
      <w:hyperlink r:id="rId146" w:tgtFrame="_blank" w:history="1">
        <w:r w:rsidRPr="003B595A">
          <w:rPr>
            <w:rStyle w:val="Hyperlink"/>
            <w:sz w:val="24"/>
            <w:szCs w:val="24"/>
          </w:rPr>
          <w:t>https://doi.org/10.1016/j.chb.2008.10.005</w:t>
        </w:r>
      </w:hyperlink>
    </w:p>
    <w:p w:rsidR="006C2660" w:rsidRDefault="006C2660" w:rsidP="006C2660">
      <w:pPr>
        <w:spacing w:line="240" w:lineRule="auto"/>
        <w:ind w:left="426" w:hanging="426"/>
        <w:jc w:val="both"/>
        <w:rPr>
          <w:sz w:val="23"/>
          <w:szCs w:val="23"/>
          <w:lang w:val="en-GB"/>
        </w:rPr>
      </w:pPr>
      <w:r w:rsidRPr="00C4125A">
        <w:rPr>
          <w:sz w:val="23"/>
          <w:szCs w:val="23"/>
          <w:lang w:val="en-GB"/>
        </w:rPr>
        <w:lastRenderedPageBreak/>
        <w:t>Ye, Y., Mei, W., Liu, Y., &amp; Li, X. (2012). Effect of academic comparisons on the subjective well-being of Chinese secondary school students. </w:t>
      </w:r>
      <w:r w:rsidRPr="00C4125A">
        <w:rPr>
          <w:i/>
          <w:iCs/>
          <w:sz w:val="23"/>
          <w:szCs w:val="23"/>
          <w:lang w:val="en-GB"/>
        </w:rPr>
        <w:t>Social Behaviour and Personality: an international journal, 40</w:t>
      </w:r>
      <w:r w:rsidRPr="00C4125A">
        <w:rPr>
          <w:sz w:val="23"/>
          <w:szCs w:val="23"/>
          <w:lang w:val="en-GB"/>
        </w:rPr>
        <w:t>(8), 1233-1238</w:t>
      </w:r>
      <w:r>
        <w:rPr>
          <w:sz w:val="23"/>
          <w:szCs w:val="23"/>
          <w:lang w:val="en-GB"/>
        </w:rPr>
        <w:t>.</w:t>
      </w:r>
      <w:r w:rsidRPr="00761B18">
        <w:rPr>
          <w:sz w:val="23"/>
          <w:szCs w:val="23"/>
          <w:lang w:val="en-GB"/>
        </w:rPr>
        <w:t xml:space="preserve"> </w:t>
      </w:r>
      <w:hyperlink r:id="rId147" w:history="1">
        <w:r w:rsidRPr="004D11EC">
          <w:rPr>
            <w:rStyle w:val="Hyperlink"/>
            <w:sz w:val="23"/>
            <w:szCs w:val="23"/>
            <w:lang w:val="en-GB"/>
          </w:rPr>
          <w:t>https://doi.org/10.2224/sbp.2012.40.8.1233</w:t>
        </w:r>
      </w:hyperlink>
    </w:p>
    <w:p w:rsidR="006C2660" w:rsidRDefault="006C2660" w:rsidP="006C2660">
      <w:pPr>
        <w:spacing w:line="240" w:lineRule="auto"/>
        <w:ind w:left="426" w:hanging="426"/>
        <w:jc w:val="both"/>
        <w:rPr>
          <w:sz w:val="24"/>
          <w:szCs w:val="24"/>
        </w:rPr>
      </w:pPr>
      <w:r w:rsidRPr="005D568A">
        <w:rPr>
          <w:sz w:val="24"/>
          <w:szCs w:val="24"/>
        </w:rPr>
        <w:t xml:space="preserve">Yen, CZ., Wu, PH., </w:t>
      </w:r>
      <w:r>
        <w:rPr>
          <w:sz w:val="24"/>
          <w:szCs w:val="24"/>
        </w:rPr>
        <w:t xml:space="preserve">&amp; </w:t>
      </w:r>
      <w:r w:rsidRPr="005D568A">
        <w:rPr>
          <w:sz w:val="24"/>
          <w:szCs w:val="24"/>
        </w:rPr>
        <w:t>Lin, CF. (2012). Analysis of Experts’ and Novices’ Thinking Process in Program Debugging. In: Li, K.C., Wang, F.L., Yuen, K.S., Cheung, S.K.S., Kwan, R. (</w:t>
      </w:r>
      <w:proofErr w:type="spellStart"/>
      <w:r w:rsidRPr="005D568A">
        <w:rPr>
          <w:sz w:val="24"/>
          <w:szCs w:val="24"/>
        </w:rPr>
        <w:t>eds</w:t>
      </w:r>
      <w:proofErr w:type="spellEnd"/>
      <w:r w:rsidRPr="005D568A">
        <w:rPr>
          <w:sz w:val="24"/>
          <w:szCs w:val="24"/>
        </w:rPr>
        <w:t xml:space="preserve">) Engaging Learners Through Emerging Technologies. ICT 2012. </w:t>
      </w:r>
      <w:r w:rsidRPr="005D568A">
        <w:rPr>
          <w:i/>
          <w:iCs/>
          <w:sz w:val="24"/>
          <w:szCs w:val="24"/>
        </w:rPr>
        <w:t>Communications in Computer and Information Science, vol</w:t>
      </w:r>
      <w:r>
        <w:rPr>
          <w:i/>
          <w:iCs/>
          <w:sz w:val="24"/>
          <w:szCs w:val="24"/>
        </w:rPr>
        <w:t>.</w:t>
      </w:r>
      <w:r w:rsidRPr="005D568A">
        <w:rPr>
          <w:i/>
          <w:iCs/>
          <w:sz w:val="24"/>
          <w:szCs w:val="24"/>
        </w:rPr>
        <w:t xml:space="preserve"> 302</w:t>
      </w:r>
      <w:r>
        <w:rPr>
          <w:sz w:val="24"/>
          <w:szCs w:val="24"/>
        </w:rPr>
        <w:t>, 122-134</w:t>
      </w:r>
      <w:r w:rsidRPr="005D568A">
        <w:rPr>
          <w:sz w:val="24"/>
          <w:szCs w:val="24"/>
        </w:rPr>
        <w:t xml:space="preserve">. Springer, Berlin, Heidelberg. </w:t>
      </w:r>
      <w:hyperlink r:id="rId148" w:history="1">
        <w:r w:rsidRPr="00FF30D8">
          <w:rPr>
            <w:rStyle w:val="Hyperlink"/>
            <w:sz w:val="24"/>
            <w:szCs w:val="24"/>
          </w:rPr>
          <w:t>https://doi.org/10.1007/978-3-642-31398-1_12</w:t>
        </w:r>
      </w:hyperlink>
    </w:p>
    <w:p w:rsidR="006C2660" w:rsidRDefault="006C2660" w:rsidP="006C2660">
      <w:pPr>
        <w:spacing w:line="240" w:lineRule="auto"/>
        <w:ind w:left="426" w:hanging="426"/>
        <w:jc w:val="both"/>
        <w:rPr>
          <w:sz w:val="24"/>
          <w:szCs w:val="24"/>
        </w:rPr>
      </w:pPr>
      <w:proofErr w:type="spellStart"/>
      <w:r w:rsidRPr="003F3D86">
        <w:rPr>
          <w:sz w:val="24"/>
          <w:szCs w:val="24"/>
        </w:rPr>
        <w:t>Yildiz-Durak</w:t>
      </w:r>
      <w:proofErr w:type="spellEnd"/>
      <w:r w:rsidRPr="003F3D86">
        <w:rPr>
          <w:sz w:val="24"/>
          <w:szCs w:val="24"/>
        </w:rPr>
        <w:t xml:space="preserve">, H. Y., </w:t>
      </w:r>
      <w:proofErr w:type="spellStart"/>
      <w:r w:rsidRPr="003F3D86">
        <w:rPr>
          <w:sz w:val="24"/>
          <w:szCs w:val="24"/>
        </w:rPr>
        <w:t>Yilmaz</w:t>
      </w:r>
      <w:proofErr w:type="spellEnd"/>
      <w:r w:rsidRPr="003F3D86">
        <w:rPr>
          <w:sz w:val="24"/>
          <w:szCs w:val="24"/>
        </w:rPr>
        <w:t xml:space="preserve">, F. G. K., &amp; </w:t>
      </w:r>
      <w:proofErr w:type="spellStart"/>
      <w:r w:rsidRPr="003F3D86">
        <w:rPr>
          <w:sz w:val="24"/>
          <w:szCs w:val="24"/>
        </w:rPr>
        <w:t>Yilmaz</w:t>
      </w:r>
      <w:proofErr w:type="spellEnd"/>
      <w:r w:rsidRPr="003F3D86">
        <w:rPr>
          <w:sz w:val="24"/>
          <w:szCs w:val="24"/>
        </w:rPr>
        <w:t xml:space="preserve">, R. (2019). Computational Thinking, Programming Self-Efficacy, Problem Solving and Experiences in the Programming Process Conducted with Robotic Activities. Contemporary Educational Technology, 10(2), 173-197. </w:t>
      </w:r>
      <w:hyperlink r:id="rId149" w:history="1">
        <w:r w:rsidRPr="00FF30D8">
          <w:rPr>
            <w:rStyle w:val="Hyperlink"/>
            <w:sz w:val="24"/>
            <w:szCs w:val="24"/>
          </w:rPr>
          <w:t>https://doi.org/10.30935/cet.554493</w:t>
        </w:r>
      </w:hyperlink>
      <w:r w:rsidRPr="003F3D86">
        <w:rPr>
          <w:sz w:val="24"/>
          <w:szCs w:val="24"/>
        </w:rPr>
        <w:t xml:space="preserve"> </w:t>
      </w:r>
    </w:p>
    <w:p w:rsidR="006C2660" w:rsidRDefault="006C2660" w:rsidP="006C2660">
      <w:pPr>
        <w:spacing w:line="240" w:lineRule="auto"/>
        <w:ind w:left="426" w:hanging="426"/>
        <w:jc w:val="both"/>
        <w:rPr>
          <w:sz w:val="24"/>
          <w:szCs w:val="24"/>
        </w:rPr>
      </w:pPr>
      <w:proofErr w:type="spellStart"/>
      <w:r w:rsidRPr="003B595A">
        <w:rPr>
          <w:rFonts w:ascii="Times New Roman" w:eastAsia="Calibri" w:hAnsi="Times New Roman" w:cs="Traditional Arabic"/>
          <w:sz w:val="24"/>
          <w:szCs w:val="24"/>
        </w:rPr>
        <w:t>Yildiz</w:t>
      </w:r>
      <w:r w:rsidRPr="003B595A">
        <w:rPr>
          <w:sz w:val="24"/>
          <w:szCs w:val="24"/>
        </w:rPr>
        <w:t>-Durak</w:t>
      </w:r>
      <w:proofErr w:type="spellEnd"/>
      <w:r w:rsidRPr="003B595A">
        <w:rPr>
          <w:sz w:val="24"/>
          <w:szCs w:val="24"/>
        </w:rPr>
        <w:t xml:space="preserve">, H., &amp; </w:t>
      </w:r>
      <w:proofErr w:type="spellStart"/>
      <w:r w:rsidRPr="003B595A">
        <w:rPr>
          <w:sz w:val="24"/>
          <w:szCs w:val="24"/>
        </w:rPr>
        <w:t>Saritepeci</w:t>
      </w:r>
      <w:proofErr w:type="spellEnd"/>
      <w:r w:rsidRPr="003B595A">
        <w:rPr>
          <w:sz w:val="24"/>
          <w:szCs w:val="24"/>
        </w:rPr>
        <w:t xml:space="preserve">, M. (2018). Analysis of the relation between computational thinking skills and various variables with the structural equation model. </w:t>
      </w:r>
      <w:r w:rsidRPr="003B595A">
        <w:rPr>
          <w:i/>
          <w:iCs/>
          <w:sz w:val="24"/>
          <w:szCs w:val="24"/>
        </w:rPr>
        <w:t>Computers &amp; Education, 116</w:t>
      </w:r>
      <w:r w:rsidRPr="003B595A">
        <w:rPr>
          <w:sz w:val="24"/>
          <w:szCs w:val="24"/>
        </w:rPr>
        <w:t>(1), 191-202</w:t>
      </w:r>
      <w:r w:rsidRPr="00474CFE">
        <w:rPr>
          <w:sz w:val="24"/>
          <w:szCs w:val="24"/>
        </w:rPr>
        <w:t>.</w:t>
      </w:r>
      <w:r w:rsidRPr="00D306EF">
        <w:t xml:space="preserve"> </w:t>
      </w:r>
      <w:hyperlink r:id="rId150" w:history="1">
        <w:r w:rsidRPr="00FF30D8">
          <w:rPr>
            <w:rStyle w:val="Hyperlink"/>
            <w:sz w:val="24"/>
            <w:szCs w:val="24"/>
          </w:rPr>
          <w:t>https://doi.org/10.1016/j.compedu.2017.09.004</w:t>
        </w:r>
      </w:hyperlink>
    </w:p>
    <w:p w:rsidR="006C2660" w:rsidRDefault="006C2660" w:rsidP="006C2660">
      <w:pPr>
        <w:spacing w:line="240" w:lineRule="auto"/>
        <w:ind w:left="426" w:hanging="426"/>
        <w:jc w:val="both"/>
        <w:rPr>
          <w:sz w:val="23"/>
          <w:szCs w:val="23"/>
        </w:rPr>
      </w:pPr>
      <w:r w:rsidRPr="00D5002B">
        <w:rPr>
          <w:lang w:bidi="ar-EG"/>
        </w:rPr>
        <w:t>Youssef</w:t>
      </w:r>
      <w:r w:rsidRPr="00703E6E">
        <w:rPr>
          <w:rFonts w:hint="eastAsia"/>
          <w:sz w:val="23"/>
          <w:szCs w:val="23"/>
        </w:rPr>
        <w:t>‐</w:t>
      </w:r>
      <w:r w:rsidRPr="00703E6E">
        <w:rPr>
          <w:sz w:val="23"/>
          <w:szCs w:val="23"/>
        </w:rPr>
        <w:t xml:space="preserve">Morgan, C. M., &amp; </w:t>
      </w:r>
      <w:proofErr w:type="spellStart"/>
      <w:r w:rsidRPr="00703E6E">
        <w:rPr>
          <w:sz w:val="23"/>
          <w:szCs w:val="23"/>
        </w:rPr>
        <w:t>Luthans</w:t>
      </w:r>
      <w:proofErr w:type="spellEnd"/>
      <w:r w:rsidRPr="00703E6E">
        <w:rPr>
          <w:sz w:val="23"/>
          <w:szCs w:val="23"/>
        </w:rPr>
        <w:t>, F. (2015). Psychological capital and well</w:t>
      </w:r>
      <w:r w:rsidRPr="00703E6E">
        <w:rPr>
          <w:rFonts w:hint="eastAsia"/>
          <w:sz w:val="23"/>
          <w:szCs w:val="23"/>
        </w:rPr>
        <w:t>‐</w:t>
      </w:r>
      <w:r w:rsidRPr="00703E6E">
        <w:rPr>
          <w:sz w:val="23"/>
          <w:szCs w:val="23"/>
        </w:rPr>
        <w:t xml:space="preserve">being. </w:t>
      </w:r>
      <w:r w:rsidRPr="006A07EE">
        <w:rPr>
          <w:i/>
          <w:iCs/>
          <w:sz w:val="23"/>
          <w:szCs w:val="23"/>
        </w:rPr>
        <w:t>Stress health, 31</w:t>
      </w:r>
      <w:r w:rsidRPr="00703E6E">
        <w:rPr>
          <w:sz w:val="23"/>
          <w:szCs w:val="23"/>
        </w:rPr>
        <w:t>(3), 180</w:t>
      </w:r>
      <w:r w:rsidRPr="00703E6E">
        <w:rPr>
          <w:rFonts w:hint="eastAsia"/>
          <w:sz w:val="23"/>
          <w:szCs w:val="23"/>
        </w:rPr>
        <w:t>–</w:t>
      </w:r>
      <w:r w:rsidRPr="00703E6E">
        <w:rPr>
          <w:sz w:val="23"/>
          <w:szCs w:val="23"/>
        </w:rPr>
        <w:t>188.</w:t>
      </w:r>
      <w:r w:rsidRPr="00024ED3">
        <w:t xml:space="preserve"> </w:t>
      </w:r>
      <w:hyperlink r:id="rId151" w:history="1">
        <w:r w:rsidRPr="004D11EC">
          <w:rPr>
            <w:rStyle w:val="Hyperlink"/>
            <w:sz w:val="23"/>
            <w:szCs w:val="23"/>
          </w:rPr>
          <w:t>https://doi.org/10.1002/smi.2623</w:t>
        </w:r>
      </w:hyperlink>
      <w:r w:rsidRPr="00024ED3">
        <w:rPr>
          <w:sz w:val="23"/>
          <w:szCs w:val="23"/>
        </w:rPr>
        <w:t xml:space="preserve"> </w:t>
      </w:r>
      <w:r>
        <w:rPr>
          <w:sz w:val="23"/>
          <w:szCs w:val="23"/>
        </w:rPr>
        <w:t xml:space="preserve">. </w:t>
      </w:r>
      <w:r w:rsidRPr="00024ED3">
        <w:rPr>
          <w:sz w:val="23"/>
          <w:szCs w:val="23"/>
        </w:rPr>
        <w:t>PMID: 26250352</w:t>
      </w:r>
      <w:r>
        <w:rPr>
          <w:sz w:val="23"/>
          <w:szCs w:val="23"/>
        </w:rPr>
        <w:t>.</w:t>
      </w:r>
    </w:p>
    <w:p w:rsidR="006C2660" w:rsidRDefault="006C2660" w:rsidP="006C2660">
      <w:pPr>
        <w:spacing w:line="240" w:lineRule="auto"/>
        <w:ind w:left="426" w:hanging="426"/>
        <w:jc w:val="both"/>
      </w:pPr>
      <w:r w:rsidRPr="005D1139">
        <w:t xml:space="preserve">Zee, M., &amp; </w:t>
      </w:r>
      <w:proofErr w:type="spellStart"/>
      <w:r w:rsidRPr="005D1139">
        <w:t>Koomen</w:t>
      </w:r>
      <w:proofErr w:type="spellEnd"/>
      <w:r w:rsidRPr="005D1139">
        <w:t xml:space="preserve">, H. M. Y. (2016). Teacher Self-Efficacy and Its Effects on Classroom Processes, Student Academic Adjustment, and Teacher Well-Being: A Synthesis of 40 Years of Research. </w:t>
      </w:r>
      <w:r w:rsidRPr="005D1139">
        <w:rPr>
          <w:i/>
          <w:iCs/>
        </w:rPr>
        <w:t>Review of Educational Research, 86</w:t>
      </w:r>
      <w:r>
        <w:t xml:space="preserve"> </w:t>
      </w:r>
      <w:r w:rsidRPr="005D1139">
        <w:t xml:space="preserve">(4), 981-1015. </w:t>
      </w:r>
      <w:hyperlink r:id="rId152" w:history="1">
        <w:r w:rsidRPr="00FF30D8">
          <w:rPr>
            <w:rStyle w:val="Hyperlink"/>
          </w:rPr>
          <w:t>https://doi.org/10.3102/0034654315626801</w:t>
        </w:r>
      </w:hyperlink>
    </w:p>
    <w:p w:rsidR="006C2660" w:rsidRDefault="006C2660" w:rsidP="006C2660">
      <w:pPr>
        <w:spacing w:line="240" w:lineRule="auto"/>
        <w:ind w:left="426" w:hanging="426"/>
        <w:jc w:val="both"/>
        <w:rPr>
          <w:rFonts w:asciiTheme="majorBidi" w:hAnsiTheme="majorBidi" w:cstheme="majorBidi"/>
          <w:color w:val="000000"/>
        </w:rPr>
      </w:pPr>
      <w:r w:rsidRPr="00D5002B">
        <w:rPr>
          <w:lang w:bidi="ar-EG"/>
        </w:rPr>
        <w:t>Zimmerman</w:t>
      </w:r>
      <w:r w:rsidRPr="00FA5C3F">
        <w:rPr>
          <w:rFonts w:asciiTheme="majorBidi" w:hAnsiTheme="majorBidi" w:cstheme="majorBidi"/>
          <w:color w:val="000000"/>
        </w:rPr>
        <w:t xml:space="preserve">, B. J. (2000). Self-efficacy: An essential motive to learn. </w:t>
      </w:r>
      <w:r w:rsidRPr="00FA5C3F">
        <w:rPr>
          <w:rFonts w:asciiTheme="majorBidi" w:hAnsiTheme="majorBidi" w:cstheme="majorBidi"/>
          <w:i/>
          <w:iCs/>
          <w:color w:val="000000"/>
        </w:rPr>
        <w:t>Contemporary educational</w:t>
      </w:r>
      <w:r>
        <w:rPr>
          <w:rFonts w:asciiTheme="majorBidi" w:hAnsiTheme="majorBidi" w:cstheme="majorBidi"/>
          <w:i/>
          <w:iCs/>
          <w:color w:val="000000"/>
        </w:rPr>
        <w:t xml:space="preserve"> </w:t>
      </w:r>
      <w:r w:rsidRPr="00FA5C3F">
        <w:rPr>
          <w:rFonts w:asciiTheme="majorBidi" w:hAnsiTheme="majorBidi" w:cstheme="majorBidi"/>
          <w:i/>
          <w:iCs/>
          <w:color w:val="000000"/>
        </w:rPr>
        <w:t>psychology</w:t>
      </w:r>
      <w:r w:rsidRPr="00FA5C3F">
        <w:rPr>
          <w:rFonts w:asciiTheme="majorBidi" w:hAnsiTheme="majorBidi" w:cstheme="majorBidi"/>
          <w:color w:val="000000"/>
        </w:rPr>
        <w:t xml:space="preserve">, </w:t>
      </w:r>
      <w:r w:rsidRPr="00FA5C3F">
        <w:rPr>
          <w:rFonts w:asciiTheme="majorBidi" w:hAnsiTheme="majorBidi" w:cstheme="majorBidi"/>
          <w:i/>
          <w:iCs/>
          <w:color w:val="000000"/>
        </w:rPr>
        <w:t>25</w:t>
      </w:r>
      <w:r w:rsidRPr="00FA5C3F">
        <w:rPr>
          <w:rFonts w:asciiTheme="majorBidi" w:hAnsiTheme="majorBidi" w:cstheme="majorBidi"/>
          <w:color w:val="000000"/>
        </w:rPr>
        <w:t>(1), 82-91.</w:t>
      </w:r>
      <w:r w:rsidRPr="00CD4A6B">
        <w:t xml:space="preserve"> </w:t>
      </w:r>
      <w:hyperlink r:id="rId153" w:history="1">
        <w:r w:rsidRPr="00FF30D8">
          <w:rPr>
            <w:rStyle w:val="Hyperlink"/>
            <w:rFonts w:asciiTheme="majorBidi" w:hAnsiTheme="majorBidi" w:cstheme="majorBidi"/>
          </w:rPr>
          <w:t>https://doi.org/10.1006/ceps.1999.1016</w:t>
        </w:r>
      </w:hyperlink>
    </w:p>
    <w:p w:rsidR="006C2660" w:rsidRPr="004471EF" w:rsidRDefault="006C2660" w:rsidP="006C2660">
      <w:pPr>
        <w:ind w:left="360"/>
        <w:jc w:val="both"/>
        <w:rPr>
          <w:rtl/>
        </w:rPr>
      </w:pPr>
    </w:p>
    <w:p w:rsidR="00F86B23" w:rsidRPr="00597DAB" w:rsidRDefault="00F86B23" w:rsidP="00CB58A5">
      <w:pPr>
        <w:bidi/>
        <w:spacing w:after="0"/>
        <w:jc w:val="both"/>
        <w:rPr>
          <w:rFonts w:cs="Traditional Arabic"/>
          <w:sz w:val="28"/>
          <w:szCs w:val="28"/>
          <w:rtl/>
          <w:lang w:bidi="ar-EG"/>
        </w:rPr>
      </w:pPr>
    </w:p>
    <w:sectPr w:rsidR="00F86B23" w:rsidRPr="00597DAB">
      <w:footerReference w:type="default" r:id="rId15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6AE039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2B" w:rsidRDefault="000A4A2B">
      <w:pPr>
        <w:spacing w:after="0" w:line="240" w:lineRule="auto"/>
      </w:pPr>
      <w:r>
        <w:separator/>
      </w:r>
    </w:p>
  </w:endnote>
  <w:endnote w:type="continuationSeparator" w:id="0">
    <w:p w:rsidR="000A4A2B" w:rsidRDefault="000A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parral Pro">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nion Pro">
    <w:altName w:val="Minion Pro"/>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927088"/>
      <w:docPartObj>
        <w:docPartGallery w:val="Page Numbers (Bottom of Page)"/>
        <w:docPartUnique/>
      </w:docPartObj>
    </w:sdtPr>
    <w:sdtEndPr/>
    <w:sdtContent>
      <w:p w:rsidR="006C2660" w:rsidRDefault="006C2660">
        <w:pPr>
          <w:pStyle w:val="a8"/>
          <w:jc w:val="center"/>
        </w:pPr>
        <w:r>
          <w:fldChar w:fldCharType="begin"/>
        </w:r>
        <w:r>
          <w:instrText>PAGE   \* MERGEFORMAT</w:instrText>
        </w:r>
        <w:r>
          <w:fldChar w:fldCharType="separate"/>
        </w:r>
        <w:r w:rsidR="00E5149F" w:rsidRPr="00E5149F">
          <w:rPr>
            <w:rFonts w:cs="Calibri"/>
            <w:noProof/>
          </w:rPr>
          <w:t>1</w:t>
        </w:r>
        <w:r>
          <w:fldChar w:fldCharType="end"/>
        </w:r>
      </w:p>
    </w:sdtContent>
  </w:sdt>
  <w:p w:rsidR="006C2660" w:rsidRDefault="006C26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2B" w:rsidRDefault="000A4A2B">
      <w:pPr>
        <w:spacing w:after="0" w:line="240" w:lineRule="auto"/>
      </w:pPr>
      <w:r>
        <w:separator/>
      </w:r>
    </w:p>
  </w:footnote>
  <w:footnote w:type="continuationSeparator" w:id="0">
    <w:p w:rsidR="000A4A2B" w:rsidRDefault="000A4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2D9"/>
    <w:multiLevelType w:val="hybridMultilevel"/>
    <w:tmpl w:val="49D24A32"/>
    <w:lvl w:ilvl="0" w:tplc="E026D590">
      <w:start w:val="1"/>
      <w:numFmt w:val="decimal"/>
      <w:lvlText w:val="%1."/>
      <w:lvlJc w:val="left"/>
      <w:pPr>
        <w:ind w:left="804" w:hanging="360"/>
      </w:pPr>
    </w:lvl>
    <w:lvl w:ilvl="1" w:tplc="A9BAEFA0" w:tentative="1">
      <w:start w:val="1"/>
      <w:numFmt w:val="lowerLetter"/>
      <w:lvlText w:val="%2."/>
      <w:lvlJc w:val="left"/>
      <w:pPr>
        <w:ind w:left="1524" w:hanging="360"/>
      </w:pPr>
    </w:lvl>
    <w:lvl w:ilvl="2" w:tplc="56D6D8DA" w:tentative="1">
      <w:start w:val="1"/>
      <w:numFmt w:val="lowerRoman"/>
      <w:lvlText w:val="%3."/>
      <w:lvlJc w:val="right"/>
      <w:pPr>
        <w:ind w:left="2244" w:hanging="180"/>
      </w:pPr>
    </w:lvl>
    <w:lvl w:ilvl="3" w:tplc="BAA87944" w:tentative="1">
      <w:start w:val="1"/>
      <w:numFmt w:val="decimal"/>
      <w:lvlText w:val="%4."/>
      <w:lvlJc w:val="left"/>
      <w:pPr>
        <w:ind w:left="2964" w:hanging="360"/>
      </w:pPr>
    </w:lvl>
    <w:lvl w:ilvl="4" w:tplc="A1CC8102" w:tentative="1">
      <w:start w:val="1"/>
      <w:numFmt w:val="lowerLetter"/>
      <w:lvlText w:val="%5."/>
      <w:lvlJc w:val="left"/>
      <w:pPr>
        <w:ind w:left="3684" w:hanging="360"/>
      </w:pPr>
    </w:lvl>
    <w:lvl w:ilvl="5" w:tplc="BBEE1E06" w:tentative="1">
      <w:start w:val="1"/>
      <w:numFmt w:val="lowerRoman"/>
      <w:lvlText w:val="%6."/>
      <w:lvlJc w:val="right"/>
      <w:pPr>
        <w:ind w:left="4404" w:hanging="180"/>
      </w:pPr>
    </w:lvl>
    <w:lvl w:ilvl="6" w:tplc="4C3C0B9A" w:tentative="1">
      <w:start w:val="1"/>
      <w:numFmt w:val="decimal"/>
      <w:lvlText w:val="%7."/>
      <w:lvlJc w:val="left"/>
      <w:pPr>
        <w:ind w:left="5124" w:hanging="360"/>
      </w:pPr>
    </w:lvl>
    <w:lvl w:ilvl="7" w:tplc="78D88B08" w:tentative="1">
      <w:start w:val="1"/>
      <w:numFmt w:val="lowerLetter"/>
      <w:lvlText w:val="%8."/>
      <w:lvlJc w:val="left"/>
      <w:pPr>
        <w:ind w:left="5844" w:hanging="360"/>
      </w:pPr>
    </w:lvl>
    <w:lvl w:ilvl="8" w:tplc="45DED7DA" w:tentative="1">
      <w:start w:val="1"/>
      <w:numFmt w:val="lowerRoman"/>
      <w:lvlText w:val="%9."/>
      <w:lvlJc w:val="right"/>
      <w:pPr>
        <w:ind w:left="6564" w:hanging="180"/>
      </w:pPr>
    </w:lvl>
  </w:abstractNum>
  <w:abstractNum w:abstractNumId="1">
    <w:nsid w:val="0B18592B"/>
    <w:multiLevelType w:val="hybridMultilevel"/>
    <w:tmpl w:val="3C527A7C"/>
    <w:lvl w:ilvl="0" w:tplc="7FC07D0E">
      <w:start w:val="1"/>
      <w:numFmt w:val="decimal"/>
      <w:lvlText w:val="%1."/>
      <w:lvlJc w:val="left"/>
      <w:pPr>
        <w:ind w:left="720" w:hanging="360"/>
      </w:pPr>
    </w:lvl>
    <w:lvl w:ilvl="1" w:tplc="141E0BAA" w:tentative="1">
      <w:start w:val="1"/>
      <w:numFmt w:val="lowerLetter"/>
      <w:lvlText w:val="%2."/>
      <w:lvlJc w:val="left"/>
      <w:pPr>
        <w:ind w:left="1440" w:hanging="360"/>
      </w:pPr>
    </w:lvl>
    <w:lvl w:ilvl="2" w:tplc="EAC64C88" w:tentative="1">
      <w:start w:val="1"/>
      <w:numFmt w:val="lowerRoman"/>
      <w:lvlText w:val="%3."/>
      <w:lvlJc w:val="right"/>
      <w:pPr>
        <w:ind w:left="2160" w:hanging="180"/>
      </w:pPr>
    </w:lvl>
    <w:lvl w:ilvl="3" w:tplc="6B6EC620" w:tentative="1">
      <w:start w:val="1"/>
      <w:numFmt w:val="decimal"/>
      <w:lvlText w:val="%4."/>
      <w:lvlJc w:val="left"/>
      <w:pPr>
        <w:ind w:left="2880" w:hanging="360"/>
      </w:pPr>
    </w:lvl>
    <w:lvl w:ilvl="4" w:tplc="6264EECE" w:tentative="1">
      <w:start w:val="1"/>
      <w:numFmt w:val="lowerLetter"/>
      <w:lvlText w:val="%5."/>
      <w:lvlJc w:val="left"/>
      <w:pPr>
        <w:ind w:left="3600" w:hanging="360"/>
      </w:pPr>
    </w:lvl>
    <w:lvl w:ilvl="5" w:tplc="1D2CA914" w:tentative="1">
      <w:start w:val="1"/>
      <w:numFmt w:val="lowerRoman"/>
      <w:lvlText w:val="%6."/>
      <w:lvlJc w:val="right"/>
      <w:pPr>
        <w:ind w:left="4320" w:hanging="180"/>
      </w:pPr>
    </w:lvl>
    <w:lvl w:ilvl="6" w:tplc="DAACA8F8" w:tentative="1">
      <w:start w:val="1"/>
      <w:numFmt w:val="decimal"/>
      <w:lvlText w:val="%7."/>
      <w:lvlJc w:val="left"/>
      <w:pPr>
        <w:ind w:left="5040" w:hanging="360"/>
      </w:pPr>
    </w:lvl>
    <w:lvl w:ilvl="7" w:tplc="E06C4722" w:tentative="1">
      <w:start w:val="1"/>
      <w:numFmt w:val="lowerLetter"/>
      <w:lvlText w:val="%8."/>
      <w:lvlJc w:val="left"/>
      <w:pPr>
        <w:ind w:left="5760" w:hanging="360"/>
      </w:pPr>
    </w:lvl>
    <w:lvl w:ilvl="8" w:tplc="3462124E" w:tentative="1">
      <w:start w:val="1"/>
      <w:numFmt w:val="lowerRoman"/>
      <w:lvlText w:val="%9."/>
      <w:lvlJc w:val="right"/>
      <w:pPr>
        <w:ind w:left="6480" w:hanging="180"/>
      </w:pPr>
    </w:lvl>
  </w:abstractNum>
  <w:abstractNum w:abstractNumId="2">
    <w:nsid w:val="0C873F1C"/>
    <w:multiLevelType w:val="multilevel"/>
    <w:tmpl w:val="CB10B82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5D95265"/>
    <w:multiLevelType w:val="hybridMultilevel"/>
    <w:tmpl w:val="8C9475D4"/>
    <w:lvl w:ilvl="0" w:tplc="03264378">
      <w:start w:val="1"/>
      <w:numFmt w:val="decimal"/>
      <w:lvlText w:val="%1."/>
      <w:lvlJc w:val="left"/>
      <w:pPr>
        <w:ind w:left="720" w:hanging="360"/>
      </w:pPr>
    </w:lvl>
    <w:lvl w:ilvl="1" w:tplc="E0107D5E" w:tentative="1">
      <w:start w:val="1"/>
      <w:numFmt w:val="lowerLetter"/>
      <w:lvlText w:val="%2."/>
      <w:lvlJc w:val="left"/>
      <w:pPr>
        <w:ind w:left="1440" w:hanging="360"/>
      </w:pPr>
    </w:lvl>
    <w:lvl w:ilvl="2" w:tplc="23B8BF14" w:tentative="1">
      <w:start w:val="1"/>
      <w:numFmt w:val="lowerRoman"/>
      <w:lvlText w:val="%3."/>
      <w:lvlJc w:val="right"/>
      <w:pPr>
        <w:ind w:left="2160" w:hanging="180"/>
      </w:pPr>
    </w:lvl>
    <w:lvl w:ilvl="3" w:tplc="016037C2" w:tentative="1">
      <w:start w:val="1"/>
      <w:numFmt w:val="decimal"/>
      <w:lvlText w:val="%4."/>
      <w:lvlJc w:val="left"/>
      <w:pPr>
        <w:ind w:left="2880" w:hanging="360"/>
      </w:pPr>
    </w:lvl>
    <w:lvl w:ilvl="4" w:tplc="6C3CB836" w:tentative="1">
      <w:start w:val="1"/>
      <w:numFmt w:val="lowerLetter"/>
      <w:lvlText w:val="%5."/>
      <w:lvlJc w:val="left"/>
      <w:pPr>
        <w:ind w:left="3600" w:hanging="360"/>
      </w:pPr>
    </w:lvl>
    <w:lvl w:ilvl="5" w:tplc="81E23756" w:tentative="1">
      <w:start w:val="1"/>
      <w:numFmt w:val="lowerRoman"/>
      <w:lvlText w:val="%6."/>
      <w:lvlJc w:val="right"/>
      <w:pPr>
        <w:ind w:left="4320" w:hanging="180"/>
      </w:pPr>
    </w:lvl>
    <w:lvl w:ilvl="6" w:tplc="6838BFBA" w:tentative="1">
      <w:start w:val="1"/>
      <w:numFmt w:val="decimal"/>
      <w:lvlText w:val="%7."/>
      <w:lvlJc w:val="left"/>
      <w:pPr>
        <w:ind w:left="5040" w:hanging="360"/>
      </w:pPr>
    </w:lvl>
    <w:lvl w:ilvl="7" w:tplc="F3B27382" w:tentative="1">
      <w:start w:val="1"/>
      <w:numFmt w:val="lowerLetter"/>
      <w:lvlText w:val="%8."/>
      <w:lvlJc w:val="left"/>
      <w:pPr>
        <w:ind w:left="5760" w:hanging="360"/>
      </w:pPr>
    </w:lvl>
    <w:lvl w:ilvl="8" w:tplc="B80E6178" w:tentative="1">
      <w:start w:val="1"/>
      <w:numFmt w:val="lowerRoman"/>
      <w:lvlText w:val="%9."/>
      <w:lvlJc w:val="right"/>
      <w:pPr>
        <w:ind w:left="6480" w:hanging="180"/>
      </w:pPr>
    </w:lvl>
  </w:abstractNum>
  <w:abstractNum w:abstractNumId="4">
    <w:nsid w:val="18413E3F"/>
    <w:multiLevelType w:val="hybridMultilevel"/>
    <w:tmpl w:val="BE72BE7E"/>
    <w:lvl w:ilvl="0" w:tplc="5F6E92F4">
      <w:start w:val="1"/>
      <w:numFmt w:val="decimal"/>
      <w:lvlText w:val="%1."/>
      <w:lvlJc w:val="left"/>
      <w:pPr>
        <w:ind w:left="720" w:hanging="360"/>
      </w:pPr>
      <w:rPr>
        <w:rFonts w:hint="default"/>
      </w:rPr>
    </w:lvl>
    <w:lvl w:ilvl="1" w:tplc="35FC9698" w:tentative="1">
      <w:start w:val="1"/>
      <w:numFmt w:val="bullet"/>
      <w:lvlText w:val="o"/>
      <w:lvlJc w:val="left"/>
      <w:pPr>
        <w:ind w:left="1440" w:hanging="360"/>
      </w:pPr>
      <w:rPr>
        <w:rFonts w:ascii="Courier New" w:hAnsi="Courier New" w:cs="Courier New" w:hint="default"/>
      </w:rPr>
    </w:lvl>
    <w:lvl w:ilvl="2" w:tplc="E480B5DC" w:tentative="1">
      <w:start w:val="1"/>
      <w:numFmt w:val="bullet"/>
      <w:lvlText w:val=""/>
      <w:lvlJc w:val="left"/>
      <w:pPr>
        <w:ind w:left="2160" w:hanging="360"/>
      </w:pPr>
      <w:rPr>
        <w:rFonts w:ascii="Wingdings" w:hAnsi="Wingdings" w:hint="default"/>
      </w:rPr>
    </w:lvl>
    <w:lvl w:ilvl="3" w:tplc="5FCEC37E" w:tentative="1">
      <w:start w:val="1"/>
      <w:numFmt w:val="bullet"/>
      <w:lvlText w:val=""/>
      <w:lvlJc w:val="left"/>
      <w:pPr>
        <w:ind w:left="2880" w:hanging="360"/>
      </w:pPr>
      <w:rPr>
        <w:rFonts w:ascii="Symbol" w:hAnsi="Symbol" w:hint="default"/>
      </w:rPr>
    </w:lvl>
    <w:lvl w:ilvl="4" w:tplc="6E947BB6" w:tentative="1">
      <w:start w:val="1"/>
      <w:numFmt w:val="bullet"/>
      <w:lvlText w:val="o"/>
      <w:lvlJc w:val="left"/>
      <w:pPr>
        <w:ind w:left="3600" w:hanging="360"/>
      </w:pPr>
      <w:rPr>
        <w:rFonts w:ascii="Courier New" w:hAnsi="Courier New" w:cs="Courier New" w:hint="default"/>
      </w:rPr>
    </w:lvl>
    <w:lvl w:ilvl="5" w:tplc="768E97A0" w:tentative="1">
      <w:start w:val="1"/>
      <w:numFmt w:val="bullet"/>
      <w:lvlText w:val=""/>
      <w:lvlJc w:val="left"/>
      <w:pPr>
        <w:ind w:left="4320" w:hanging="360"/>
      </w:pPr>
      <w:rPr>
        <w:rFonts w:ascii="Wingdings" w:hAnsi="Wingdings" w:hint="default"/>
      </w:rPr>
    </w:lvl>
    <w:lvl w:ilvl="6" w:tplc="7DA80BA0" w:tentative="1">
      <w:start w:val="1"/>
      <w:numFmt w:val="bullet"/>
      <w:lvlText w:val=""/>
      <w:lvlJc w:val="left"/>
      <w:pPr>
        <w:ind w:left="5040" w:hanging="360"/>
      </w:pPr>
      <w:rPr>
        <w:rFonts w:ascii="Symbol" w:hAnsi="Symbol" w:hint="default"/>
      </w:rPr>
    </w:lvl>
    <w:lvl w:ilvl="7" w:tplc="44CC9630" w:tentative="1">
      <w:start w:val="1"/>
      <w:numFmt w:val="bullet"/>
      <w:lvlText w:val="o"/>
      <w:lvlJc w:val="left"/>
      <w:pPr>
        <w:ind w:left="5760" w:hanging="360"/>
      </w:pPr>
      <w:rPr>
        <w:rFonts w:ascii="Courier New" w:hAnsi="Courier New" w:cs="Courier New" w:hint="default"/>
      </w:rPr>
    </w:lvl>
    <w:lvl w:ilvl="8" w:tplc="36804DF2" w:tentative="1">
      <w:start w:val="1"/>
      <w:numFmt w:val="bullet"/>
      <w:lvlText w:val=""/>
      <w:lvlJc w:val="left"/>
      <w:pPr>
        <w:ind w:left="6480" w:hanging="360"/>
      </w:pPr>
      <w:rPr>
        <w:rFonts w:ascii="Wingdings" w:hAnsi="Wingdings" w:hint="default"/>
      </w:rPr>
    </w:lvl>
  </w:abstractNum>
  <w:abstractNum w:abstractNumId="5">
    <w:nsid w:val="258E0485"/>
    <w:multiLevelType w:val="hybridMultilevel"/>
    <w:tmpl w:val="85520B3C"/>
    <w:lvl w:ilvl="0" w:tplc="C9E04132">
      <w:start w:val="1"/>
      <w:numFmt w:val="decimal"/>
      <w:lvlText w:val="%1."/>
      <w:lvlJc w:val="left"/>
      <w:pPr>
        <w:ind w:left="720" w:hanging="360"/>
      </w:pPr>
    </w:lvl>
    <w:lvl w:ilvl="1" w:tplc="949815F4" w:tentative="1">
      <w:start w:val="1"/>
      <w:numFmt w:val="lowerLetter"/>
      <w:lvlText w:val="%2."/>
      <w:lvlJc w:val="left"/>
      <w:pPr>
        <w:ind w:left="1440" w:hanging="360"/>
      </w:pPr>
    </w:lvl>
    <w:lvl w:ilvl="2" w:tplc="94562C28" w:tentative="1">
      <w:start w:val="1"/>
      <w:numFmt w:val="lowerRoman"/>
      <w:lvlText w:val="%3."/>
      <w:lvlJc w:val="right"/>
      <w:pPr>
        <w:ind w:left="2160" w:hanging="180"/>
      </w:pPr>
    </w:lvl>
    <w:lvl w:ilvl="3" w:tplc="85AED29C" w:tentative="1">
      <w:start w:val="1"/>
      <w:numFmt w:val="decimal"/>
      <w:lvlText w:val="%4."/>
      <w:lvlJc w:val="left"/>
      <w:pPr>
        <w:ind w:left="2880" w:hanging="360"/>
      </w:pPr>
    </w:lvl>
    <w:lvl w:ilvl="4" w:tplc="39DE6652" w:tentative="1">
      <w:start w:val="1"/>
      <w:numFmt w:val="lowerLetter"/>
      <w:lvlText w:val="%5."/>
      <w:lvlJc w:val="left"/>
      <w:pPr>
        <w:ind w:left="3600" w:hanging="360"/>
      </w:pPr>
    </w:lvl>
    <w:lvl w:ilvl="5" w:tplc="D1C05306" w:tentative="1">
      <w:start w:val="1"/>
      <w:numFmt w:val="lowerRoman"/>
      <w:lvlText w:val="%6."/>
      <w:lvlJc w:val="right"/>
      <w:pPr>
        <w:ind w:left="4320" w:hanging="180"/>
      </w:pPr>
    </w:lvl>
    <w:lvl w:ilvl="6" w:tplc="7B365908" w:tentative="1">
      <w:start w:val="1"/>
      <w:numFmt w:val="decimal"/>
      <w:lvlText w:val="%7."/>
      <w:lvlJc w:val="left"/>
      <w:pPr>
        <w:ind w:left="5040" w:hanging="360"/>
      </w:pPr>
    </w:lvl>
    <w:lvl w:ilvl="7" w:tplc="DB98FC70" w:tentative="1">
      <w:start w:val="1"/>
      <w:numFmt w:val="lowerLetter"/>
      <w:lvlText w:val="%8."/>
      <w:lvlJc w:val="left"/>
      <w:pPr>
        <w:ind w:left="5760" w:hanging="360"/>
      </w:pPr>
    </w:lvl>
    <w:lvl w:ilvl="8" w:tplc="10C48908" w:tentative="1">
      <w:start w:val="1"/>
      <w:numFmt w:val="lowerRoman"/>
      <w:lvlText w:val="%9."/>
      <w:lvlJc w:val="right"/>
      <w:pPr>
        <w:ind w:left="6480" w:hanging="180"/>
      </w:pPr>
    </w:lvl>
  </w:abstractNum>
  <w:abstractNum w:abstractNumId="6">
    <w:nsid w:val="2C016AD4"/>
    <w:multiLevelType w:val="hybridMultilevel"/>
    <w:tmpl w:val="218C77FA"/>
    <w:lvl w:ilvl="0" w:tplc="DA4C57E4">
      <w:start w:val="1"/>
      <w:numFmt w:val="decimal"/>
      <w:lvlText w:val="%1."/>
      <w:lvlJc w:val="left"/>
      <w:pPr>
        <w:ind w:left="720" w:hanging="360"/>
      </w:pPr>
    </w:lvl>
    <w:lvl w:ilvl="1" w:tplc="2DEE5C6C" w:tentative="1">
      <w:start w:val="1"/>
      <w:numFmt w:val="lowerLetter"/>
      <w:lvlText w:val="%2."/>
      <w:lvlJc w:val="left"/>
      <w:pPr>
        <w:ind w:left="1440" w:hanging="360"/>
      </w:pPr>
    </w:lvl>
    <w:lvl w:ilvl="2" w:tplc="F484F302" w:tentative="1">
      <w:start w:val="1"/>
      <w:numFmt w:val="lowerRoman"/>
      <w:lvlText w:val="%3."/>
      <w:lvlJc w:val="right"/>
      <w:pPr>
        <w:ind w:left="2160" w:hanging="180"/>
      </w:pPr>
    </w:lvl>
    <w:lvl w:ilvl="3" w:tplc="3410BFEE" w:tentative="1">
      <w:start w:val="1"/>
      <w:numFmt w:val="decimal"/>
      <w:lvlText w:val="%4."/>
      <w:lvlJc w:val="left"/>
      <w:pPr>
        <w:ind w:left="2880" w:hanging="360"/>
      </w:pPr>
    </w:lvl>
    <w:lvl w:ilvl="4" w:tplc="BD70F986" w:tentative="1">
      <w:start w:val="1"/>
      <w:numFmt w:val="lowerLetter"/>
      <w:lvlText w:val="%5."/>
      <w:lvlJc w:val="left"/>
      <w:pPr>
        <w:ind w:left="3600" w:hanging="360"/>
      </w:pPr>
    </w:lvl>
    <w:lvl w:ilvl="5" w:tplc="4F68B9DE" w:tentative="1">
      <w:start w:val="1"/>
      <w:numFmt w:val="lowerRoman"/>
      <w:lvlText w:val="%6."/>
      <w:lvlJc w:val="right"/>
      <w:pPr>
        <w:ind w:left="4320" w:hanging="180"/>
      </w:pPr>
    </w:lvl>
    <w:lvl w:ilvl="6" w:tplc="F9A0003C" w:tentative="1">
      <w:start w:val="1"/>
      <w:numFmt w:val="decimal"/>
      <w:lvlText w:val="%7."/>
      <w:lvlJc w:val="left"/>
      <w:pPr>
        <w:ind w:left="5040" w:hanging="360"/>
      </w:pPr>
    </w:lvl>
    <w:lvl w:ilvl="7" w:tplc="67FA43D0" w:tentative="1">
      <w:start w:val="1"/>
      <w:numFmt w:val="lowerLetter"/>
      <w:lvlText w:val="%8."/>
      <w:lvlJc w:val="left"/>
      <w:pPr>
        <w:ind w:left="5760" w:hanging="360"/>
      </w:pPr>
    </w:lvl>
    <w:lvl w:ilvl="8" w:tplc="FCFC14C0" w:tentative="1">
      <w:start w:val="1"/>
      <w:numFmt w:val="lowerRoman"/>
      <w:lvlText w:val="%9."/>
      <w:lvlJc w:val="right"/>
      <w:pPr>
        <w:ind w:left="6480" w:hanging="180"/>
      </w:pPr>
    </w:lvl>
  </w:abstractNum>
  <w:abstractNum w:abstractNumId="7">
    <w:nsid w:val="2F7D0090"/>
    <w:multiLevelType w:val="hybridMultilevel"/>
    <w:tmpl w:val="AB485736"/>
    <w:lvl w:ilvl="0" w:tplc="D00AC202">
      <w:start w:val="1"/>
      <w:numFmt w:val="decimal"/>
      <w:lvlText w:val="%1."/>
      <w:lvlJc w:val="left"/>
      <w:pPr>
        <w:ind w:left="720" w:hanging="360"/>
      </w:pPr>
    </w:lvl>
    <w:lvl w:ilvl="1" w:tplc="7A160E98" w:tentative="1">
      <w:start w:val="1"/>
      <w:numFmt w:val="lowerLetter"/>
      <w:lvlText w:val="%2."/>
      <w:lvlJc w:val="left"/>
      <w:pPr>
        <w:ind w:left="1440" w:hanging="360"/>
      </w:pPr>
    </w:lvl>
    <w:lvl w:ilvl="2" w:tplc="596E4CB2" w:tentative="1">
      <w:start w:val="1"/>
      <w:numFmt w:val="lowerRoman"/>
      <w:lvlText w:val="%3."/>
      <w:lvlJc w:val="right"/>
      <w:pPr>
        <w:ind w:left="2160" w:hanging="180"/>
      </w:pPr>
    </w:lvl>
    <w:lvl w:ilvl="3" w:tplc="DBEC9D44" w:tentative="1">
      <w:start w:val="1"/>
      <w:numFmt w:val="decimal"/>
      <w:lvlText w:val="%4."/>
      <w:lvlJc w:val="left"/>
      <w:pPr>
        <w:ind w:left="2880" w:hanging="360"/>
      </w:pPr>
    </w:lvl>
    <w:lvl w:ilvl="4" w:tplc="C3761E76" w:tentative="1">
      <w:start w:val="1"/>
      <w:numFmt w:val="lowerLetter"/>
      <w:lvlText w:val="%5."/>
      <w:lvlJc w:val="left"/>
      <w:pPr>
        <w:ind w:left="3600" w:hanging="360"/>
      </w:pPr>
    </w:lvl>
    <w:lvl w:ilvl="5" w:tplc="130875E2" w:tentative="1">
      <w:start w:val="1"/>
      <w:numFmt w:val="lowerRoman"/>
      <w:lvlText w:val="%6."/>
      <w:lvlJc w:val="right"/>
      <w:pPr>
        <w:ind w:left="4320" w:hanging="180"/>
      </w:pPr>
    </w:lvl>
    <w:lvl w:ilvl="6" w:tplc="02E8D2A8" w:tentative="1">
      <w:start w:val="1"/>
      <w:numFmt w:val="decimal"/>
      <w:lvlText w:val="%7."/>
      <w:lvlJc w:val="left"/>
      <w:pPr>
        <w:ind w:left="5040" w:hanging="360"/>
      </w:pPr>
    </w:lvl>
    <w:lvl w:ilvl="7" w:tplc="20A23C3C" w:tentative="1">
      <w:start w:val="1"/>
      <w:numFmt w:val="lowerLetter"/>
      <w:lvlText w:val="%8."/>
      <w:lvlJc w:val="left"/>
      <w:pPr>
        <w:ind w:left="5760" w:hanging="360"/>
      </w:pPr>
    </w:lvl>
    <w:lvl w:ilvl="8" w:tplc="2D187188" w:tentative="1">
      <w:start w:val="1"/>
      <w:numFmt w:val="lowerRoman"/>
      <w:lvlText w:val="%9."/>
      <w:lvlJc w:val="right"/>
      <w:pPr>
        <w:ind w:left="6480" w:hanging="180"/>
      </w:pPr>
    </w:lvl>
  </w:abstractNum>
  <w:abstractNum w:abstractNumId="8">
    <w:nsid w:val="2FE472C8"/>
    <w:multiLevelType w:val="hybridMultilevel"/>
    <w:tmpl w:val="4932628C"/>
    <w:lvl w:ilvl="0" w:tplc="E1DE9F76">
      <w:start w:val="1"/>
      <w:numFmt w:val="bullet"/>
      <w:lvlText w:val=""/>
      <w:lvlJc w:val="left"/>
      <w:pPr>
        <w:ind w:left="1080" w:hanging="360"/>
      </w:pPr>
      <w:rPr>
        <w:rFonts w:ascii="Symbol" w:hAnsi="Symbol" w:hint="default"/>
      </w:rPr>
    </w:lvl>
    <w:lvl w:ilvl="1" w:tplc="E00E2CDE" w:tentative="1">
      <w:start w:val="1"/>
      <w:numFmt w:val="bullet"/>
      <w:lvlText w:val="o"/>
      <w:lvlJc w:val="left"/>
      <w:pPr>
        <w:ind w:left="1800" w:hanging="360"/>
      </w:pPr>
      <w:rPr>
        <w:rFonts w:ascii="Courier New" w:hAnsi="Courier New" w:cs="Courier New" w:hint="default"/>
      </w:rPr>
    </w:lvl>
    <w:lvl w:ilvl="2" w:tplc="B91E6940" w:tentative="1">
      <w:start w:val="1"/>
      <w:numFmt w:val="bullet"/>
      <w:lvlText w:val=""/>
      <w:lvlJc w:val="left"/>
      <w:pPr>
        <w:ind w:left="2520" w:hanging="360"/>
      </w:pPr>
      <w:rPr>
        <w:rFonts w:ascii="Wingdings" w:hAnsi="Wingdings" w:hint="default"/>
      </w:rPr>
    </w:lvl>
    <w:lvl w:ilvl="3" w:tplc="38EE8FE4" w:tentative="1">
      <w:start w:val="1"/>
      <w:numFmt w:val="bullet"/>
      <w:lvlText w:val=""/>
      <w:lvlJc w:val="left"/>
      <w:pPr>
        <w:ind w:left="3240" w:hanging="360"/>
      </w:pPr>
      <w:rPr>
        <w:rFonts w:ascii="Symbol" w:hAnsi="Symbol" w:hint="default"/>
      </w:rPr>
    </w:lvl>
    <w:lvl w:ilvl="4" w:tplc="B454885A" w:tentative="1">
      <w:start w:val="1"/>
      <w:numFmt w:val="bullet"/>
      <w:lvlText w:val="o"/>
      <w:lvlJc w:val="left"/>
      <w:pPr>
        <w:ind w:left="3960" w:hanging="360"/>
      </w:pPr>
      <w:rPr>
        <w:rFonts w:ascii="Courier New" w:hAnsi="Courier New" w:cs="Courier New" w:hint="default"/>
      </w:rPr>
    </w:lvl>
    <w:lvl w:ilvl="5" w:tplc="47862D20" w:tentative="1">
      <w:start w:val="1"/>
      <w:numFmt w:val="bullet"/>
      <w:lvlText w:val=""/>
      <w:lvlJc w:val="left"/>
      <w:pPr>
        <w:ind w:left="4680" w:hanging="360"/>
      </w:pPr>
      <w:rPr>
        <w:rFonts w:ascii="Wingdings" w:hAnsi="Wingdings" w:hint="default"/>
      </w:rPr>
    </w:lvl>
    <w:lvl w:ilvl="6" w:tplc="82322DA0" w:tentative="1">
      <w:start w:val="1"/>
      <w:numFmt w:val="bullet"/>
      <w:lvlText w:val=""/>
      <w:lvlJc w:val="left"/>
      <w:pPr>
        <w:ind w:left="5400" w:hanging="360"/>
      </w:pPr>
      <w:rPr>
        <w:rFonts w:ascii="Symbol" w:hAnsi="Symbol" w:hint="default"/>
      </w:rPr>
    </w:lvl>
    <w:lvl w:ilvl="7" w:tplc="D2CEBFA4" w:tentative="1">
      <w:start w:val="1"/>
      <w:numFmt w:val="bullet"/>
      <w:lvlText w:val="o"/>
      <w:lvlJc w:val="left"/>
      <w:pPr>
        <w:ind w:left="6120" w:hanging="360"/>
      </w:pPr>
      <w:rPr>
        <w:rFonts w:ascii="Courier New" w:hAnsi="Courier New" w:cs="Courier New" w:hint="default"/>
      </w:rPr>
    </w:lvl>
    <w:lvl w:ilvl="8" w:tplc="8D9C17AE" w:tentative="1">
      <w:start w:val="1"/>
      <w:numFmt w:val="bullet"/>
      <w:lvlText w:val=""/>
      <w:lvlJc w:val="left"/>
      <w:pPr>
        <w:ind w:left="6840" w:hanging="360"/>
      </w:pPr>
      <w:rPr>
        <w:rFonts w:ascii="Wingdings" w:hAnsi="Wingdings" w:hint="default"/>
      </w:rPr>
    </w:lvl>
  </w:abstractNum>
  <w:abstractNum w:abstractNumId="9">
    <w:nsid w:val="30B84BB9"/>
    <w:multiLevelType w:val="hybridMultilevel"/>
    <w:tmpl w:val="925A2AE0"/>
    <w:lvl w:ilvl="0" w:tplc="034E2FB0">
      <w:start w:val="1"/>
      <w:numFmt w:val="decimal"/>
      <w:lvlText w:val="%1."/>
      <w:lvlJc w:val="left"/>
      <w:pPr>
        <w:ind w:left="720" w:hanging="360"/>
      </w:pPr>
      <w:rPr>
        <w:rFonts w:hint="default"/>
      </w:rPr>
    </w:lvl>
    <w:lvl w:ilvl="1" w:tplc="DB12C528" w:tentative="1">
      <w:start w:val="1"/>
      <w:numFmt w:val="bullet"/>
      <w:lvlText w:val="o"/>
      <w:lvlJc w:val="left"/>
      <w:pPr>
        <w:ind w:left="1440" w:hanging="360"/>
      </w:pPr>
      <w:rPr>
        <w:rFonts w:ascii="Courier New" w:hAnsi="Courier New" w:cs="Courier New" w:hint="default"/>
      </w:rPr>
    </w:lvl>
    <w:lvl w:ilvl="2" w:tplc="09E8876C" w:tentative="1">
      <w:start w:val="1"/>
      <w:numFmt w:val="bullet"/>
      <w:lvlText w:val=""/>
      <w:lvlJc w:val="left"/>
      <w:pPr>
        <w:ind w:left="2160" w:hanging="360"/>
      </w:pPr>
      <w:rPr>
        <w:rFonts w:ascii="Wingdings" w:hAnsi="Wingdings" w:hint="default"/>
      </w:rPr>
    </w:lvl>
    <w:lvl w:ilvl="3" w:tplc="BE847CFA" w:tentative="1">
      <w:start w:val="1"/>
      <w:numFmt w:val="bullet"/>
      <w:lvlText w:val=""/>
      <w:lvlJc w:val="left"/>
      <w:pPr>
        <w:ind w:left="2880" w:hanging="360"/>
      </w:pPr>
      <w:rPr>
        <w:rFonts w:ascii="Symbol" w:hAnsi="Symbol" w:hint="default"/>
      </w:rPr>
    </w:lvl>
    <w:lvl w:ilvl="4" w:tplc="0DE2FCD8" w:tentative="1">
      <w:start w:val="1"/>
      <w:numFmt w:val="bullet"/>
      <w:lvlText w:val="o"/>
      <w:lvlJc w:val="left"/>
      <w:pPr>
        <w:ind w:left="3600" w:hanging="360"/>
      </w:pPr>
      <w:rPr>
        <w:rFonts w:ascii="Courier New" w:hAnsi="Courier New" w:cs="Courier New" w:hint="default"/>
      </w:rPr>
    </w:lvl>
    <w:lvl w:ilvl="5" w:tplc="87869356" w:tentative="1">
      <w:start w:val="1"/>
      <w:numFmt w:val="bullet"/>
      <w:lvlText w:val=""/>
      <w:lvlJc w:val="left"/>
      <w:pPr>
        <w:ind w:left="4320" w:hanging="360"/>
      </w:pPr>
      <w:rPr>
        <w:rFonts w:ascii="Wingdings" w:hAnsi="Wingdings" w:hint="default"/>
      </w:rPr>
    </w:lvl>
    <w:lvl w:ilvl="6" w:tplc="BEA436CE" w:tentative="1">
      <w:start w:val="1"/>
      <w:numFmt w:val="bullet"/>
      <w:lvlText w:val=""/>
      <w:lvlJc w:val="left"/>
      <w:pPr>
        <w:ind w:left="5040" w:hanging="360"/>
      </w:pPr>
      <w:rPr>
        <w:rFonts w:ascii="Symbol" w:hAnsi="Symbol" w:hint="default"/>
      </w:rPr>
    </w:lvl>
    <w:lvl w:ilvl="7" w:tplc="05E4609E" w:tentative="1">
      <w:start w:val="1"/>
      <w:numFmt w:val="bullet"/>
      <w:lvlText w:val="o"/>
      <w:lvlJc w:val="left"/>
      <w:pPr>
        <w:ind w:left="5760" w:hanging="360"/>
      </w:pPr>
      <w:rPr>
        <w:rFonts w:ascii="Courier New" w:hAnsi="Courier New" w:cs="Courier New" w:hint="default"/>
      </w:rPr>
    </w:lvl>
    <w:lvl w:ilvl="8" w:tplc="EF2AE0F0" w:tentative="1">
      <w:start w:val="1"/>
      <w:numFmt w:val="bullet"/>
      <w:lvlText w:val=""/>
      <w:lvlJc w:val="left"/>
      <w:pPr>
        <w:ind w:left="6480" w:hanging="360"/>
      </w:pPr>
      <w:rPr>
        <w:rFonts w:ascii="Wingdings" w:hAnsi="Wingdings" w:hint="default"/>
      </w:rPr>
    </w:lvl>
  </w:abstractNum>
  <w:abstractNum w:abstractNumId="10">
    <w:nsid w:val="381C5AEC"/>
    <w:multiLevelType w:val="hybridMultilevel"/>
    <w:tmpl w:val="B778F1F6"/>
    <w:lvl w:ilvl="0" w:tplc="5C00D1DE">
      <w:start w:val="1"/>
      <w:numFmt w:val="decimal"/>
      <w:lvlText w:val="%1."/>
      <w:lvlJc w:val="left"/>
      <w:pPr>
        <w:ind w:left="720" w:hanging="360"/>
      </w:pPr>
    </w:lvl>
    <w:lvl w:ilvl="1" w:tplc="BAE6BCDA" w:tentative="1">
      <w:start w:val="1"/>
      <w:numFmt w:val="lowerLetter"/>
      <w:lvlText w:val="%2."/>
      <w:lvlJc w:val="left"/>
      <w:pPr>
        <w:ind w:left="1440" w:hanging="360"/>
      </w:pPr>
    </w:lvl>
    <w:lvl w:ilvl="2" w:tplc="6902D386" w:tentative="1">
      <w:start w:val="1"/>
      <w:numFmt w:val="lowerRoman"/>
      <w:lvlText w:val="%3."/>
      <w:lvlJc w:val="right"/>
      <w:pPr>
        <w:ind w:left="2160" w:hanging="180"/>
      </w:pPr>
    </w:lvl>
    <w:lvl w:ilvl="3" w:tplc="592A1CF8" w:tentative="1">
      <w:start w:val="1"/>
      <w:numFmt w:val="decimal"/>
      <w:lvlText w:val="%4."/>
      <w:lvlJc w:val="left"/>
      <w:pPr>
        <w:ind w:left="2880" w:hanging="360"/>
      </w:pPr>
    </w:lvl>
    <w:lvl w:ilvl="4" w:tplc="99E2D9DA" w:tentative="1">
      <w:start w:val="1"/>
      <w:numFmt w:val="lowerLetter"/>
      <w:lvlText w:val="%5."/>
      <w:lvlJc w:val="left"/>
      <w:pPr>
        <w:ind w:left="3600" w:hanging="360"/>
      </w:pPr>
    </w:lvl>
    <w:lvl w:ilvl="5" w:tplc="2F181B2C" w:tentative="1">
      <w:start w:val="1"/>
      <w:numFmt w:val="lowerRoman"/>
      <w:lvlText w:val="%6."/>
      <w:lvlJc w:val="right"/>
      <w:pPr>
        <w:ind w:left="4320" w:hanging="180"/>
      </w:pPr>
    </w:lvl>
    <w:lvl w:ilvl="6" w:tplc="D55818D2" w:tentative="1">
      <w:start w:val="1"/>
      <w:numFmt w:val="decimal"/>
      <w:lvlText w:val="%7."/>
      <w:lvlJc w:val="left"/>
      <w:pPr>
        <w:ind w:left="5040" w:hanging="360"/>
      </w:pPr>
    </w:lvl>
    <w:lvl w:ilvl="7" w:tplc="A06CF7D2" w:tentative="1">
      <w:start w:val="1"/>
      <w:numFmt w:val="lowerLetter"/>
      <w:lvlText w:val="%8."/>
      <w:lvlJc w:val="left"/>
      <w:pPr>
        <w:ind w:left="5760" w:hanging="360"/>
      </w:pPr>
    </w:lvl>
    <w:lvl w:ilvl="8" w:tplc="B3BEFF60" w:tentative="1">
      <w:start w:val="1"/>
      <w:numFmt w:val="lowerRoman"/>
      <w:lvlText w:val="%9."/>
      <w:lvlJc w:val="right"/>
      <w:pPr>
        <w:ind w:left="6480" w:hanging="180"/>
      </w:pPr>
    </w:lvl>
  </w:abstractNum>
  <w:abstractNum w:abstractNumId="11">
    <w:nsid w:val="455479AA"/>
    <w:multiLevelType w:val="hybridMultilevel"/>
    <w:tmpl w:val="8F0C6292"/>
    <w:lvl w:ilvl="0" w:tplc="0F7C607A">
      <w:start w:val="1"/>
      <w:numFmt w:val="decimal"/>
      <w:lvlText w:val="%1."/>
      <w:lvlJc w:val="left"/>
      <w:pPr>
        <w:ind w:left="720" w:hanging="360"/>
      </w:pPr>
    </w:lvl>
    <w:lvl w:ilvl="1" w:tplc="C74E7C9E" w:tentative="1">
      <w:start w:val="1"/>
      <w:numFmt w:val="lowerLetter"/>
      <w:lvlText w:val="%2."/>
      <w:lvlJc w:val="left"/>
      <w:pPr>
        <w:ind w:left="1440" w:hanging="360"/>
      </w:pPr>
    </w:lvl>
    <w:lvl w:ilvl="2" w:tplc="2D9AC68E" w:tentative="1">
      <w:start w:val="1"/>
      <w:numFmt w:val="lowerRoman"/>
      <w:lvlText w:val="%3."/>
      <w:lvlJc w:val="right"/>
      <w:pPr>
        <w:ind w:left="2160" w:hanging="180"/>
      </w:pPr>
    </w:lvl>
    <w:lvl w:ilvl="3" w:tplc="B8926108" w:tentative="1">
      <w:start w:val="1"/>
      <w:numFmt w:val="decimal"/>
      <w:lvlText w:val="%4."/>
      <w:lvlJc w:val="left"/>
      <w:pPr>
        <w:ind w:left="2880" w:hanging="360"/>
      </w:pPr>
    </w:lvl>
    <w:lvl w:ilvl="4" w:tplc="C52493F4" w:tentative="1">
      <w:start w:val="1"/>
      <w:numFmt w:val="lowerLetter"/>
      <w:lvlText w:val="%5."/>
      <w:lvlJc w:val="left"/>
      <w:pPr>
        <w:ind w:left="3600" w:hanging="360"/>
      </w:pPr>
    </w:lvl>
    <w:lvl w:ilvl="5" w:tplc="6C0A1D20" w:tentative="1">
      <w:start w:val="1"/>
      <w:numFmt w:val="lowerRoman"/>
      <w:lvlText w:val="%6."/>
      <w:lvlJc w:val="right"/>
      <w:pPr>
        <w:ind w:left="4320" w:hanging="180"/>
      </w:pPr>
    </w:lvl>
    <w:lvl w:ilvl="6" w:tplc="D1B0E9B8" w:tentative="1">
      <w:start w:val="1"/>
      <w:numFmt w:val="decimal"/>
      <w:lvlText w:val="%7."/>
      <w:lvlJc w:val="left"/>
      <w:pPr>
        <w:ind w:left="5040" w:hanging="360"/>
      </w:pPr>
    </w:lvl>
    <w:lvl w:ilvl="7" w:tplc="CAF6C340" w:tentative="1">
      <w:start w:val="1"/>
      <w:numFmt w:val="lowerLetter"/>
      <w:lvlText w:val="%8."/>
      <w:lvlJc w:val="left"/>
      <w:pPr>
        <w:ind w:left="5760" w:hanging="360"/>
      </w:pPr>
    </w:lvl>
    <w:lvl w:ilvl="8" w:tplc="F3F6E584" w:tentative="1">
      <w:start w:val="1"/>
      <w:numFmt w:val="lowerRoman"/>
      <w:lvlText w:val="%9."/>
      <w:lvlJc w:val="right"/>
      <w:pPr>
        <w:ind w:left="6480" w:hanging="180"/>
      </w:pPr>
    </w:lvl>
  </w:abstractNum>
  <w:abstractNum w:abstractNumId="12">
    <w:nsid w:val="488E27A0"/>
    <w:multiLevelType w:val="hybridMultilevel"/>
    <w:tmpl w:val="D160D77E"/>
    <w:lvl w:ilvl="0" w:tplc="42529C10">
      <w:start w:val="1"/>
      <w:numFmt w:val="decimal"/>
      <w:lvlText w:val="%1."/>
      <w:lvlJc w:val="left"/>
      <w:pPr>
        <w:ind w:left="1068" w:hanging="360"/>
      </w:pPr>
      <w:rPr>
        <w:b w:val="0"/>
        <w:bCs w:val="0"/>
        <w:color w:val="auto"/>
      </w:rPr>
    </w:lvl>
    <w:lvl w:ilvl="1" w:tplc="B794330C" w:tentative="1">
      <w:start w:val="1"/>
      <w:numFmt w:val="lowerLetter"/>
      <w:lvlText w:val="%2."/>
      <w:lvlJc w:val="left"/>
      <w:pPr>
        <w:ind w:left="1788" w:hanging="360"/>
      </w:pPr>
    </w:lvl>
    <w:lvl w:ilvl="2" w:tplc="E4FC2A0C" w:tentative="1">
      <w:start w:val="1"/>
      <w:numFmt w:val="lowerRoman"/>
      <w:lvlText w:val="%3."/>
      <w:lvlJc w:val="right"/>
      <w:pPr>
        <w:ind w:left="2508" w:hanging="180"/>
      </w:pPr>
    </w:lvl>
    <w:lvl w:ilvl="3" w:tplc="612AEDFA" w:tentative="1">
      <w:start w:val="1"/>
      <w:numFmt w:val="decimal"/>
      <w:lvlText w:val="%4."/>
      <w:lvlJc w:val="left"/>
      <w:pPr>
        <w:ind w:left="3228" w:hanging="360"/>
      </w:pPr>
    </w:lvl>
    <w:lvl w:ilvl="4" w:tplc="4B02FF64" w:tentative="1">
      <w:start w:val="1"/>
      <w:numFmt w:val="lowerLetter"/>
      <w:lvlText w:val="%5."/>
      <w:lvlJc w:val="left"/>
      <w:pPr>
        <w:ind w:left="3948" w:hanging="360"/>
      </w:pPr>
    </w:lvl>
    <w:lvl w:ilvl="5" w:tplc="2D80E6EA" w:tentative="1">
      <w:start w:val="1"/>
      <w:numFmt w:val="lowerRoman"/>
      <w:lvlText w:val="%6."/>
      <w:lvlJc w:val="right"/>
      <w:pPr>
        <w:ind w:left="4668" w:hanging="180"/>
      </w:pPr>
    </w:lvl>
    <w:lvl w:ilvl="6" w:tplc="1B2CC168" w:tentative="1">
      <w:start w:val="1"/>
      <w:numFmt w:val="decimal"/>
      <w:lvlText w:val="%7."/>
      <w:lvlJc w:val="left"/>
      <w:pPr>
        <w:ind w:left="5388" w:hanging="360"/>
      </w:pPr>
    </w:lvl>
    <w:lvl w:ilvl="7" w:tplc="4496831A" w:tentative="1">
      <w:start w:val="1"/>
      <w:numFmt w:val="lowerLetter"/>
      <w:lvlText w:val="%8."/>
      <w:lvlJc w:val="left"/>
      <w:pPr>
        <w:ind w:left="6108" w:hanging="360"/>
      </w:pPr>
    </w:lvl>
    <w:lvl w:ilvl="8" w:tplc="F154EE58" w:tentative="1">
      <w:start w:val="1"/>
      <w:numFmt w:val="lowerRoman"/>
      <w:lvlText w:val="%9."/>
      <w:lvlJc w:val="right"/>
      <w:pPr>
        <w:ind w:left="6828" w:hanging="180"/>
      </w:pPr>
    </w:lvl>
  </w:abstractNum>
  <w:abstractNum w:abstractNumId="13">
    <w:nsid w:val="592654DE"/>
    <w:multiLevelType w:val="multilevel"/>
    <w:tmpl w:val="FC2EF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D0DC7"/>
    <w:multiLevelType w:val="hybridMultilevel"/>
    <w:tmpl w:val="747C4380"/>
    <w:lvl w:ilvl="0" w:tplc="ACE0BE86">
      <w:start w:val="1"/>
      <w:numFmt w:val="decimal"/>
      <w:lvlText w:val="[%1]"/>
      <w:lvlJc w:val="left"/>
      <w:pPr>
        <w:ind w:left="720" w:hanging="360"/>
      </w:pPr>
      <w:rPr>
        <w:rFonts w:hint="default"/>
      </w:rPr>
    </w:lvl>
    <w:lvl w:ilvl="1" w:tplc="BF26CD9C" w:tentative="1">
      <w:start w:val="1"/>
      <w:numFmt w:val="lowerLetter"/>
      <w:lvlText w:val="%2."/>
      <w:lvlJc w:val="left"/>
      <w:pPr>
        <w:ind w:left="1440" w:hanging="360"/>
      </w:pPr>
    </w:lvl>
    <w:lvl w:ilvl="2" w:tplc="68E698A8" w:tentative="1">
      <w:start w:val="1"/>
      <w:numFmt w:val="lowerRoman"/>
      <w:lvlText w:val="%3."/>
      <w:lvlJc w:val="right"/>
      <w:pPr>
        <w:ind w:left="2160" w:hanging="180"/>
      </w:pPr>
    </w:lvl>
    <w:lvl w:ilvl="3" w:tplc="EB5CEC5E" w:tentative="1">
      <w:start w:val="1"/>
      <w:numFmt w:val="decimal"/>
      <w:lvlText w:val="%4."/>
      <w:lvlJc w:val="left"/>
      <w:pPr>
        <w:ind w:left="2880" w:hanging="360"/>
      </w:pPr>
    </w:lvl>
    <w:lvl w:ilvl="4" w:tplc="6C10FA30" w:tentative="1">
      <w:start w:val="1"/>
      <w:numFmt w:val="lowerLetter"/>
      <w:lvlText w:val="%5."/>
      <w:lvlJc w:val="left"/>
      <w:pPr>
        <w:ind w:left="3600" w:hanging="360"/>
      </w:pPr>
    </w:lvl>
    <w:lvl w:ilvl="5" w:tplc="9B6CEB86" w:tentative="1">
      <w:start w:val="1"/>
      <w:numFmt w:val="lowerRoman"/>
      <w:lvlText w:val="%6."/>
      <w:lvlJc w:val="right"/>
      <w:pPr>
        <w:ind w:left="4320" w:hanging="180"/>
      </w:pPr>
    </w:lvl>
    <w:lvl w:ilvl="6" w:tplc="09C08F54" w:tentative="1">
      <w:start w:val="1"/>
      <w:numFmt w:val="decimal"/>
      <w:lvlText w:val="%7."/>
      <w:lvlJc w:val="left"/>
      <w:pPr>
        <w:ind w:left="5040" w:hanging="360"/>
      </w:pPr>
    </w:lvl>
    <w:lvl w:ilvl="7" w:tplc="26EC6E92" w:tentative="1">
      <w:start w:val="1"/>
      <w:numFmt w:val="lowerLetter"/>
      <w:lvlText w:val="%8."/>
      <w:lvlJc w:val="left"/>
      <w:pPr>
        <w:ind w:left="5760" w:hanging="360"/>
      </w:pPr>
    </w:lvl>
    <w:lvl w:ilvl="8" w:tplc="3C5852F2" w:tentative="1">
      <w:start w:val="1"/>
      <w:numFmt w:val="lowerRoman"/>
      <w:lvlText w:val="%9."/>
      <w:lvlJc w:val="right"/>
      <w:pPr>
        <w:ind w:left="6480" w:hanging="180"/>
      </w:pPr>
    </w:lvl>
  </w:abstractNum>
  <w:abstractNum w:abstractNumId="15">
    <w:nsid w:val="6F235DCF"/>
    <w:multiLevelType w:val="hybridMultilevel"/>
    <w:tmpl w:val="01CC263C"/>
    <w:lvl w:ilvl="0" w:tplc="04090001">
      <w:start w:val="1"/>
      <w:numFmt w:val="bullet"/>
      <w:lvlText w:val=""/>
      <w:lvlJc w:val="left"/>
      <w:pPr>
        <w:ind w:left="630" w:hanging="360"/>
      </w:pPr>
      <w:rPr>
        <w:rFonts w:ascii="Symbol" w:hAnsi="Symbol" w:hint="default"/>
      </w:rPr>
    </w:lvl>
    <w:lvl w:ilvl="1" w:tplc="22B61BCE" w:tentative="1">
      <w:start w:val="1"/>
      <w:numFmt w:val="lowerLetter"/>
      <w:lvlText w:val="%2."/>
      <w:lvlJc w:val="left"/>
      <w:pPr>
        <w:ind w:left="1350" w:hanging="360"/>
      </w:pPr>
    </w:lvl>
    <w:lvl w:ilvl="2" w:tplc="FC1ED11C" w:tentative="1">
      <w:start w:val="1"/>
      <w:numFmt w:val="lowerRoman"/>
      <w:lvlText w:val="%3."/>
      <w:lvlJc w:val="right"/>
      <w:pPr>
        <w:ind w:left="2070" w:hanging="180"/>
      </w:pPr>
    </w:lvl>
    <w:lvl w:ilvl="3" w:tplc="B844BF6C" w:tentative="1">
      <w:start w:val="1"/>
      <w:numFmt w:val="decimal"/>
      <w:lvlText w:val="%4."/>
      <w:lvlJc w:val="left"/>
      <w:pPr>
        <w:ind w:left="2790" w:hanging="360"/>
      </w:pPr>
    </w:lvl>
    <w:lvl w:ilvl="4" w:tplc="1F3EFB00" w:tentative="1">
      <w:start w:val="1"/>
      <w:numFmt w:val="lowerLetter"/>
      <w:lvlText w:val="%5."/>
      <w:lvlJc w:val="left"/>
      <w:pPr>
        <w:ind w:left="3510" w:hanging="360"/>
      </w:pPr>
    </w:lvl>
    <w:lvl w:ilvl="5" w:tplc="E34EE70E" w:tentative="1">
      <w:start w:val="1"/>
      <w:numFmt w:val="lowerRoman"/>
      <w:lvlText w:val="%6."/>
      <w:lvlJc w:val="right"/>
      <w:pPr>
        <w:ind w:left="4230" w:hanging="180"/>
      </w:pPr>
    </w:lvl>
    <w:lvl w:ilvl="6" w:tplc="C36CB87E" w:tentative="1">
      <w:start w:val="1"/>
      <w:numFmt w:val="decimal"/>
      <w:lvlText w:val="%7."/>
      <w:lvlJc w:val="left"/>
      <w:pPr>
        <w:ind w:left="4950" w:hanging="360"/>
      </w:pPr>
    </w:lvl>
    <w:lvl w:ilvl="7" w:tplc="3B8CE476" w:tentative="1">
      <w:start w:val="1"/>
      <w:numFmt w:val="lowerLetter"/>
      <w:lvlText w:val="%8."/>
      <w:lvlJc w:val="left"/>
      <w:pPr>
        <w:ind w:left="5670" w:hanging="360"/>
      </w:pPr>
    </w:lvl>
    <w:lvl w:ilvl="8" w:tplc="158265D4" w:tentative="1">
      <w:start w:val="1"/>
      <w:numFmt w:val="lowerRoman"/>
      <w:lvlText w:val="%9."/>
      <w:lvlJc w:val="right"/>
      <w:pPr>
        <w:ind w:left="6390" w:hanging="180"/>
      </w:pPr>
    </w:lvl>
  </w:abstractNum>
  <w:abstractNum w:abstractNumId="16">
    <w:nsid w:val="70D97F09"/>
    <w:multiLevelType w:val="hybridMultilevel"/>
    <w:tmpl w:val="AB324246"/>
    <w:lvl w:ilvl="0" w:tplc="7B806830">
      <w:start w:val="1"/>
      <w:numFmt w:val="decimal"/>
      <w:lvlText w:val="%1."/>
      <w:lvlJc w:val="left"/>
      <w:pPr>
        <w:ind w:left="720" w:hanging="360"/>
      </w:pPr>
    </w:lvl>
    <w:lvl w:ilvl="1" w:tplc="56824FFA" w:tentative="1">
      <w:start w:val="1"/>
      <w:numFmt w:val="lowerLetter"/>
      <w:lvlText w:val="%2."/>
      <w:lvlJc w:val="left"/>
      <w:pPr>
        <w:ind w:left="1440" w:hanging="360"/>
      </w:pPr>
    </w:lvl>
    <w:lvl w:ilvl="2" w:tplc="B9FC7584" w:tentative="1">
      <w:start w:val="1"/>
      <w:numFmt w:val="lowerRoman"/>
      <w:lvlText w:val="%3."/>
      <w:lvlJc w:val="right"/>
      <w:pPr>
        <w:ind w:left="2160" w:hanging="180"/>
      </w:pPr>
    </w:lvl>
    <w:lvl w:ilvl="3" w:tplc="A4FE577C" w:tentative="1">
      <w:start w:val="1"/>
      <w:numFmt w:val="decimal"/>
      <w:lvlText w:val="%4."/>
      <w:lvlJc w:val="left"/>
      <w:pPr>
        <w:ind w:left="2880" w:hanging="360"/>
      </w:pPr>
    </w:lvl>
    <w:lvl w:ilvl="4" w:tplc="A8845EBA" w:tentative="1">
      <w:start w:val="1"/>
      <w:numFmt w:val="lowerLetter"/>
      <w:lvlText w:val="%5."/>
      <w:lvlJc w:val="left"/>
      <w:pPr>
        <w:ind w:left="3600" w:hanging="360"/>
      </w:pPr>
    </w:lvl>
    <w:lvl w:ilvl="5" w:tplc="64F0A89E" w:tentative="1">
      <w:start w:val="1"/>
      <w:numFmt w:val="lowerRoman"/>
      <w:lvlText w:val="%6."/>
      <w:lvlJc w:val="right"/>
      <w:pPr>
        <w:ind w:left="4320" w:hanging="180"/>
      </w:pPr>
    </w:lvl>
    <w:lvl w:ilvl="6" w:tplc="39D0553E" w:tentative="1">
      <w:start w:val="1"/>
      <w:numFmt w:val="decimal"/>
      <w:lvlText w:val="%7."/>
      <w:lvlJc w:val="left"/>
      <w:pPr>
        <w:ind w:left="5040" w:hanging="360"/>
      </w:pPr>
    </w:lvl>
    <w:lvl w:ilvl="7" w:tplc="8DF8D418" w:tentative="1">
      <w:start w:val="1"/>
      <w:numFmt w:val="lowerLetter"/>
      <w:lvlText w:val="%8."/>
      <w:lvlJc w:val="left"/>
      <w:pPr>
        <w:ind w:left="5760" w:hanging="360"/>
      </w:pPr>
    </w:lvl>
    <w:lvl w:ilvl="8" w:tplc="227C5852" w:tentative="1">
      <w:start w:val="1"/>
      <w:numFmt w:val="lowerRoman"/>
      <w:lvlText w:val="%9."/>
      <w:lvlJc w:val="right"/>
      <w:pPr>
        <w:ind w:left="6480" w:hanging="180"/>
      </w:pPr>
    </w:lvl>
  </w:abstractNum>
  <w:abstractNum w:abstractNumId="17">
    <w:nsid w:val="7188462E"/>
    <w:multiLevelType w:val="hybridMultilevel"/>
    <w:tmpl w:val="2F7874D6"/>
    <w:lvl w:ilvl="0" w:tplc="70EEFABE">
      <w:start w:val="1"/>
      <w:numFmt w:val="decimal"/>
      <w:lvlText w:val="%1."/>
      <w:lvlJc w:val="left"/>
      <w:pPr>
        <w:ind w:left="720" w:hanging="360"/>
      </w:pPr>
    </w:lvl>
    <w:lvl w:ilvl="1" w:tplc="FA368080" w:tentative="1">
      <w:start w:val="1"/>
      <w:numFmt w:val="lowerLetter"/>
      <w:lvlText w:val="%2."/>
      <w:lvlJc w:val="left"/>
      <w:pPr>
        <w:ind w:left="1440" w:hanging="360"/>
      </w:pPr>
    </w:lvl>
    <w:lvl w:ilvl="2" w:tplc="1CF429A2" w:tentative="1">
      <w:start w:val="1"/>
      <w:numFmt w:val="lowerRoman"/>
      <w:lvlText w:val="%3."/>
      <w:lvlJc w:val="right"/>
      <w:pPr>
        <w:ind w:left="2160" w:hanging="180"/>
      </w:pPr>
    </w:lvl>
    <w:lvl w:ilvl="3" w:tplc="76F411DA" w:tentative="1">
      <w:start w:val="1"/>
      <w:numFmt w:val="decimal"/>
      <w:lvlText w:val="%4."/>
      <w:lvlJc w:val="left"/>
      <w:pPr>
        <w:ind w:left="2880" w:hanging="360"/>
      </w:pPr>
    </w:lvl>
    <w:lvl w:ilvl="4" w:tplc="55DE8BDE" w:tentative="1">
      <w:start w:val="1"/>
      <w:numFmt w:val="lowerLetter"/>
      <w:lvlText w:val="%5."/>
      <w:lvlJc w:val="left"/>
      <w:pPr>
        <w:ind w:left="3600" w:hanging="360"/>
      </w:pPr>
    </w:lvl>
    <w:lvl w:ilvl="5" w:tplc="2E7A6606" w:tentative="1">
      <w:start w:val="1"/>
      <w:numFmt w:val="lowerRoman"/>
      <w:lvlText w:val="%6."/>
      <w:lvlJc w:val="right"/>
      <w:pPr>
        <w:ind w:left="4320" w:hanging="180"/>
      </w:pPr>
    </w:lvl>
    <w:lvl w:ilvl="6" w:tplc="50FE91A6" w:tentative="1">
      <w:start w:val="1"/>
      <w:numFmt w:val="decimal"/>
      <w:lvlText w:val="%7."/>
      <w:lvlJc w:val="left"/>
      <w:pPr>
        <w:ind w:left="5040" w:hanging="360"/>
      </w:pPr>
    </w:lvl>
    <w:lvl w:ilvl="7" w:tplc="3460CF10" w:tentative="1">
      <w:start w:val="1"/>
      <w:numFmt w:val="lowerLetter"/>
      <w:lvlText w:val="%8."/>
      <w:lvlJc w:val="left"/>
      <w:pPr>
        <w:ind w:left="5760" w:hanging="360"/>
      </w:pPr>
    </w:lvl>
    <w:lvl w:ilvl="8" w:tplc="252433B6"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5"/>
  </w:num>
  <w:num w:numId="5">
    <w:abstractNumId w:val="17"/>
  </w:num>
  <w:num w:numId="6">
    <w:abstractNumId w:val="12"/>
  </w:num>
  <w:num w:numId="7">
    <w:abstractNumId w:val="10"/>
  </w:num>
  <w:num w:numId="8">
    <w:abstractNumId w:val="13"/>
  </w:num>
  <w:num w:numId="9">
    <w:abstractNumId w:val="8"/>
  </w:num>
  <w:num w:numId="10">
    <w:abstractNumId w:val="1"/>
  </w:num>
  <w:num w:numId="11">
    <w:abstractNumId w:val="3"/>
  </w:num>
  <w:num w:numId="12">
    <w:abstractNumId w:val="7"/>
  </w:num>
  <w:num w:numId="13">
    <w:abstractNumId w:val="4"/>
  </w:num>
  <w:num w:numId="14">
    <w:abstractNumId w:val="9"/>
  </w:num>
  <w:num w:numId="15">
    <w:abstractNumId w:val="2"/>
  </w:num>
  <w:num w:numId="16">
    <w:abstractNumId w:val="6"/>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E"/>
    <w:rsid w:val="00000B61"/>
    <w:rsid w:val="00001C72"/>
    <w:rsid w:val="00003647"/>
    <w:rsid w:val="00005A35"/>
    <w:rsid w:val="00011037"/>
    <w:rsid w:val="00013AFE"/>
    <w:rsid w:val="0002077D"/>
    <w:rsid w:val="00025B03"/>
    <w:rsid w:val="00026507"/>
    <w:rsid w:val="0003164B"/>
    <w:rsid w:val="00034B63"/>
    <w:rsid w:val="00037371"/>
    <w:rsid w:val="000374C4"/>
    <w:rsid w:val="00040DD5"/>
    <w:rsid w:val="000476F8"/>
    <w:rsid w:val="000503E6"/>
    <w:rsid w:val="00050593"/>
    <w:rsid w:val="00050949"/>
    <w:rsid w:val="00053B8A"/>
    <w:rsid w:val="00061A06"/>
    <w:rsid w:val="00063DFD"/>
    <w:rsid w:val="000704FC"/>
    <w:rsid w:val="00075018"/>
    <w:rsid w:val="00076546"/>
    <w:rsid w:val="0007676D"/>
    <w:rsid w:val="000807FE"/>
    <w:rsid w:val="0008557D"/>
    <w:rsid w:val="00091380"/>
    <w:rsid w:val="000A3F7A"/>
    <w:rsid w:val="000A4A2B"/>
    <w:rsid w:val="000A6D2E"/>
    <w:rsid w:val="000B2932"/>
    <w:rsid w:val="000B7259"/>
    <w:rsid w:val="000B78B7"/>
    <w:rsid w:val="000C06C1"/>
    <w:rsid w:val="000C19AA"/>
    <w:rsid w:val="000C1E9D"/>
    <w:rsid w:val="000C21DD"/>
    <w:rsid w:val="000C2C97"/>
    <w:rsid w:val="000C75FE"/>
    <w:rsid w:val="000D0533"/>
    <w:rsid w:val="000D3DDC"/>
    <w:rsid w:val="000D6426"/>
    <w:rsid w:val="000E06EA"/>
    <w:rsid w:val="000E75CB"/>
    <w:rsid w:val="000F07C7"/>
    <w:rsid w:val="000F3E9D"/>
    <w:rsid w:val="0010068B"/>
    <w:rsid w:val="001043DB"/>
    <w:rsid w:val="0010771D"/>
    <w:rsid w:val="001113E3"/>
    <w:rsid w:val="0011182F"/>
    <w:rsid w:val="00112CB5"/>
    <w:rsid w:val="001138C8"/>
    <w:rsid w:val="00115CED"/>
    <w:rsid w:val="001200E3"/>
    <w:rsid w:val="00121F0B"/>
    <w:rsid w:val="00130A71"/>
    <w:rsid w:val="00130F45"/>
    <w:rsid w:val="00133B9F"/>
    <w:rsid w:val="00137B33"/>
    <w:rsid w:val="00137D53"/>
    <w:rsid w:val="00140709"/>
    <w:rsid w:val="00140988"/>
    <w:rsid w:val="00141B44"/>
    <w:rsid w:val="00142035"/>
    <w:rsid w:val="00142CA3"/>
    <w:rsid w:val="0014420C"/>
    <w:rsid w:val="00144D40"/>
    <w:rsid w:val="00146561"/>
    <w:rsid w:val="00146C93"/>
    <w:rsid w:val="00150CB2"/>
    <w:rsid w:val="001574A1"/>
    <w:rsid w:val="00165510"/>
    <w:rsid w:val="00166DD1"/>
    <w:rsid w:val="0017027D"/>
    <w:rsid w:val="001708B2"/>
    <w:rsid w:val="00174484"/>
    <w:rsid w:val="001764D7"/>
    <w:rsid w:val="00181E61"/>
    <w:rsid w:val="00181F94"/>
    <w:rsid w:val="00183E52"/>
    <w:rsid w:val="001865EE"/>
    <w:rsid w:val="00187EDA"/>
    <w:rsid w:val="001901BC"/>
    <w:rsid w:val="00191EF2"/>
    <w:rsid w:val="00193656"/>
    <w:rsid w:val="00194B20"/>
    <w:rsid w:val="00196B81"/>
    <w:rsid w:val="001A2F0E"/>
    <w:rsid w:val="001A3CDA"/>
    <w:rsid w:val="001A4C35"/>
    <w:rsid w:val="001B1983"/>
    <w:rsid w:val="001B3067"/>
    <w:rsid w:val="001B5187"/>
    <w:rsid w:val="001B5B71"/>
    <w:rsid w:val="001B6432"/>
    <w:rsid w:val="001B681B"/>
    <w:rsid w:val="001B7662"/>
    <w:rsid w:val="001C3270"/>
    <w:rsid w:val="001C33AB"/>
    <w:rsid w:val="001C7198"/>
    <w:rsid w:val="001C7D47"/>
    <w:rsid w:val="001D17CF"/>
    <w:rsid w:val="001D2661"/>
    <w:rsid w:val="001D2E20"/>
    <w:rsid w:val="001D3827"/>
    <w:rsid w:val="001D4155"/>
    <w:rsid w:val="001D46A6"/>
    <w:rsid w:val="001E1E3C"/>
    <w:rsid w:val="001E2574"/>
    <w:rsid w:val="001F0AF4"/>
    <w:rsid w:val="001F0F84"/>
    <w:rsid w:val="001F11DB"/>
    <w:rsid w:val="001F22D5"/>
    <w:rsid w:val="001F3C0C"/>
    <w:rsid w:val="001F5396"/>
    <w:rsid w:val="001F6A93"/>
    <w:rsid w:val="002005D0"/>
    <w:rsid w:val="002066FD"/>
    <w:rsid w:val="00210F4A"/>
    <w:rsid w:val="0021155D"/>
    <w:rsid w:val="00216F0C"/>
    <w:rsid w:val="00222BDB"/>
    <w:rsid w:val="00223205"/>
    <w:rsid w:val="00225843"/>
    <w:rsid w:val="00227CCF"/>
    <w:rsid w:val="00230DFA"/>
    <w:rsid w:val="002353E2"/>
    <w:rsid w:val="00237F4B"/>
    <w:rsid w:val="0024472F"/>
    <w:rsid w:val="00244DDB"/>
    <w:rsid w:val="00247C89"/>
    <w:rsid w:val="00251113"/>
    <w:rsid w:val="0025310A"/>
    <w:rsid w:val="002532DA"/>
    <w:rsid w:val="002578E2"/>
    <w:rsid w:val="00263C22"/>
    <w:rsid w:val="002644BE"/>
    <w:rsid w:val="002650E0"/>
    <w:rsid w:val="00266576"/>
    <w:rsid w:val="002670B4"/>
    <w:rsid w:val="00271F24"/>
    <w:rsid w:val="00273882"/>
    <w:rsid w:val="00276C98"/>
    <w:rsid w:val="002802C5"/>
    <w:rsid w:val="00281701"/>
    <w:rsid w:val="00284174"/>
    <w:rsid w:val="00286DB9"/>
    <w:rsid w:val="00290EBE"/>
    <w:rsid w:val="00293866"/>
    <w:rsid w:val="002973AB"/>
    <w:rsid w:val="002A58EE"/>
    <w:rsid w:val="002A6261"/>
    <w:rsid w:val="002B16E6"/>
    <w:rsid w:val="002B4566"/>
    <w:rsid w:val="002B4B1D"/>
    <w:rsid w:val="002B62FB"/>
    <w:rsid w:val="002B66EF"/>
    <w:rsid w:val="002C3B81"/>
    <w:rsid w:val="002C40C1"/>
    <w:rsid w:val="002D36D5"/>
    <w:rsid w:val="002D3BFD"/>
    <w:rsid w:val="002E3F64"/>
    <w:rsid w:val="002E6B06"/>
    <w:rsid w:val="002F0634"/>
    <w:rsid w:val="002F0B48"/>
    <w:rsid w:val="002F21AF"/>
    <w:rsid w:val="003001B6"/>
    <w:rsid w:val="003028AE"/>
    <w:rsid w:val="00306011"/>
    <w:rsid w:val="003066B0"/>
    <w:rsid w:val="00311D83"/>
    <w:rsid w:val="00312693"/>
    <w:rsid w:val="00332DA0"/>
    <w:rsid w:val="00336C6D"/>
    <w:rsid w:val="00337A94"/>
    <w:rsid w:val="00341C3F"/>
    <w:rsid w:val="003429B9"/>
    <w:rsid w:val="00345484"/>
    <w:rsid w:val="00346AB8"/>
    <w:rsid w:val="003511D6"/>
    <w:rsid w:val="00352359"/>
    <w:rsid w:val="003571B1"/>
    <w:rsid w:val="00357967"/>
    <w:rsid w:val="0036031C"/>
    <w:rsid w:val="003618AA"/>
    <w:rsid w:val="00361E60"/>
    <w:rsid w:val="0036270A"/>
    <w:rsid w:val="00363057"/>
    <w:rsid w:val="00367489"/>
    <w:rsid w:val="0037194B"/>
    <w:rsid w:val="00372344"/>
    <w:rsid w:val="003725CA"/>
    <w:rsid w:val="00373191"/>
    <w:rsid w:val="003746CC"/>
    <w:rsid w:val="003772B0"/>
    <w:rsid w:val="00377534"/>
    <w:rsid w:val="00377DBC"/>
    <w:rsid w:val="00381259"/>
    <w:rsid w:val="0038161A"/>
    <w:rsid w:val="0038214B"/>
    <w:rsid w:val="00382EE3"/>
    <w:rsid w:val="00386AF7"/>
    <w:rsid w:val="0039291C"/>
    <w:rsid w:val="0039389D"/>
    <w:rsid w:val="003A1F92"/>
    <w:rsid w:val="003A2A57"/>
    <w:rsid w:val="003B5DE8"/>
    <w:rsid w:val="003B7BAD"/>
    <w:rsid w:val="003C14D1"/>
    <w:rsid w:val="003C1D84"/>
    <w:rsid w:val="003C5A10"/>
    <w:rsid w:val="003D47CE"/>
    <w:rsid w:val="003D4B04"/>
    <w:rsid w:val="003E006E"/>
    <w:rsid w:val="003E1399"/>
    <w:rsid w:val="003E2719"/>
    <w:rsid w:val="003E7703"/>
    <w:rsid w:val="003F087F"/>
    <w:rsid w:val="003F3D86"/>
    <w:rsid w:val="003F3F64"/>
    <w:rsid w:val="003F6179"/>
    <w:rsid w:val="003F6245"/>
    <w:rsid w:val="004012B4"/>
    <w:rsid w:val="004047EF"/>
    <w:rsid w:val="00405936"/>
    <w:rsid w:val="00406B36"/>
    <w:rsid w:val="00407040"/>
    <w:rsid w:val="004151BD"/>
    <w:rsid w:val="00415BEE"/>
    <w:rsid w:val="00417D02"/>
    <w:rsid w:val="00426C97"/>
    <w:rsid w:val="00432600"/>
    <w:rsid w:val="00434B41"/>
    <w:rsid w:val="00435510"/>
    <w:rsid w:val="00436276"/>
    <w:rsid w:val="004373DB"/>
    <w:rsid w:val="0044166B"/>
    <w:rsid w:val="004469C0"/>
    <w:rsid w:val="004471EF"/>
    <w:rsid w:val="00447937"/>
    <w:rsid w:val="00450469"/>
    <w:rsid w:val="0045762B"/>
    <w:rsid w:val="0046015A"/>
    <w:rsid w:val="00462A68"/>
    <w:rsid w:val="004716FE"/>
    <w:rsid w:val="00472A4C"/>
    <w:rsid w:val="004730F7"/>
    <w:rsid w:val="0047605E"/>
    <w:rsid w:val="0047637F"/>
    <w:rsid w:val="004767B8"/>
    <w:rsid w:val="004803F4"/>
    <w:rsid w:val="004805A8"/>
    <w:rsid w:val="00481A9A"/>
    <w:rsid w:val="0049024F"/>
    <w:rsid w:val="004907DC"/>
    <w:rsid w:val="0049565D"/>
    <w:rsid w:val="004A034E"/>
    <w:rsid w:val="004A03A8"/>
    <w:rsid w:val="004A08E1"/>
    <w:rsid w:val="004A24AF"/>
    <w:rsid w:val="004A2880"/>
    <w:rsid w:val="004A44AE"/>
    <w:rsid w:val="004A4590"/>
    <w:rsid w:val="004A551A"/>
    <w:rsid w:val="004B0A89"/>
    <w:rsid w:val="004B0BB8"/>
    <w:rsid w:val="004B3169"/>
    <w:rsid w:val="004B44BC"/>
    <w:rsid w:val="004C5C81"/>
    <w:rsid w:val="004D0E8C"/>
    <w:rsid w:val="004D2F6D"/>
    <w:rsid w:val="004D366B"/>
    <w:rsid w:val="004D4065"/>
    <w:rsid w:val="004D65A3"/>
    <w:rsid w:val="004E42E4"/>
    <w:rsid w:val="004F1CA4"/>
    <w:rsid w:val="004F3818"/>
    <w:rsid w:val="004F60F1"/>
    <w:rsid w:val="00500B26"/>
    <w:rsid w:val="00500E25"/>
    <w:rsid w:val="00501565"/>
    <w:rsid w:val="00507CF4"/>
    <w:rsid w:val="0051059E"/>
    <w:rsid w:val="00516920"/>
    <w:rsid w:val="00522735"/>
    <w:rsid w:val="005231AE"/>
    <w:rsid w:val="00531DC9"/>
    <w:rsid w:val="00540474"/>
    <w:rsid w:val="00542EAC"/>
    <w:rsid w:val="0054539C"/>
    <w:rsid w:val="0054588C"/>
    <w:rsid w:val="0054665F"/>
    <w:rsid w:val="00547BA4"/>
    <w:rsid w:val="00550381"/>
    <w:rsid w:val="00551D17"/>
    <w:rsid w:val="00552134"/>
    <w:rsid w:val="00556C4C"/>
    <w:rsid w:val="0056789E"/>
    <w:rsid w:val="00567AB2"/>
    <w:rsid w:val="00567C99"/>
    <w:rsid w:val="0057587B"/>
    <w:rsid w:val="005828E2"/>
    <w:rsid w:val="00582E6C"/>
    <w:rsid w:val="00584A22"/>
    <w:rsid w:val="005860D9"/>
    <w:rsid w:val="00590851"/>
    <w:rsid w:val="005928A1"/>
    <w:rsid w:val="00593116"/>
    <w:rsid w:val="0059424E"/>
    <w:rsid w:val="00597DAB"/>
    <w:rsid w:val="005A2DAF"/>
    <w:rsid w:val="005A4029"/>
    <w:rsid w:val="005B46DC"/>
    <w:rsid w:val="005C69F2"/>
    <w:rsid w:val="005C6A8E"/>
    <w:rsid w:val="005D424E"/>
    <w:rsid w:val="005E0901"/>
    <w:rsid w:val="005E3845"/>
    <w:rsid w:val="005E6E2F"/>
    <w:rsid w:val="005F0071"/>
    <w:rsid w:val="005F1C08"/>
    <w:rsid w:val="005F1CA4"/>
    <w:rsid w:val="005F3F12"/>
    <w:rsid w:val="005F419F"/>
    <w:rsid w:val="005F6B06"/>
    <w:rsid w:val="006026C9"/>
    <w:rsid w:val="00602790"/>
    <w:rsid w:val="00602B1B"/>
    <w:rsid w:val="0060612F"/>
    <w:rsid w:val="00611362"/>
    <w:rsid w:val="00612CB2"/>
    <w:rsid w:val="00615678"/>
    <w:rsid w:val="00617BE2"/>
    <w:rsid w:val="00617BFF"/>
    <w:rsid w:val="006236D6"/>
    <w:rsid w:val="00624AD3"/>
    <w:rsid w:val="00626812"/>
    <w:rsid w:val="00636DFD"/>
    <w:rsid w:val="006379A6"/>
    <w:rsid w:val="00637FBB"/>
    <w:rsid w:val="00640D6F"/>
    <w:rsid w:val="00647CEB"/>
    <w:rsid w:val="00654906"/>
    <w:rsid w:val="00654D46"/>
    <w:rsid w:val="00655CC8"/>
    <w:rsid w:val="006567F9"/>
    <w:rsid w:val="0066617C"/>
    <w:rsid w:val="00666FC5"/>
    <w:rsid w:val="006679D3"/>
    <w:rsid w:val="0067037B"/>
    <w:rsid w:val="00673A8F"/>
    <w:rsid w:val="00673B91"/>
    <w:rsid w:val="006773DD"/>
    <w:rsid w:val="00682165"/>
    <w:rsid w:val="006837F0"/>
    <w:rsid w:val="00686380"/>
    <w:rsid w:val="006877E1"/>
    <w:rsid w:val="00691AFB"/>
    <w:rsid w:val="00694A3A"/>
    <w:rsid w:val="006963C1"/>
    <w:rsid w:val="0069742B"/>
    <w:rsid w:val="006A1FC1"/>
    <w:rsid w:val="006A437F"/>
    <w:rsid w:val="006B201D"/>
    <w:rsid w:val="006C25C9"/>
    <w:rsid w:val="006C2660"/>
    <w:rsid w:val="006C31B5"/>
    <w:rsid w:val="006C33F8"/>
    <w:rsid w:val="006C4803"/>
    <w:rsid w:val="006D0838"/>
    <w:rsid w:val="006D13E4"/>
    <w:rsid w:val="006D271A"/>
    <w:rsid w:val="006D2E2C"/>
    <w:rsid w:val="006D7D53"/>
    <w:rsid w:val="006E0979"/>
    <w:rsid w:val="006E5772"/>
    <w:rsid w:val="006E7A18"/>
    <w:rsid w:val="006F6B1C"/>
    <w:rsid w:val="00703E6E"/>
    <w:rsid w:val="00703FB6"/>
    <w:rsid w:val="007062A7"/>
    <w:rsid w:val="007125F6"/>
    <w:rsid w:val="00715273"/>
    <w:rsid w:val="00716B91"/>
    <w:rsid w:val="007211A3"/>
    <w:rsid w:val="00724F8A"/>
    <w:rsid w:val="007353DB"/>
    <w:rsid w:val="00735CCB"/>
    <w:rsid w:val="0074167D"/>
    <w:rsid w:val="007420F7"/>
    <w:rsid w:val="007432B2"/>
    <w:rsid w:val="00743982"/>
    <w:rsid w:val="00743FAE"/>
    <w:rsid w:val="00747014"/>
    <w:rsid w:val="00752AD7"/>
    <w:rsid w:val="00752C75"/>
    <w:rsid w:val="007544E4"/>
    <w:rsid w:val="0076018C"/>
    <w:rsid w:val="007614E3"/>
    <w:rsid w:val="00767AA9"/>
    <w:rsid w:val="00770CBB"/>
    <w:rsid w:val="00771AC2"/>
    <w:rsid w:val="00772D5C"/>
    <w:rsid w:val="00774BE8"/>
    <w:rsid w:val="007756A0"/>
    <w:rsid w:val="0078001A"/>
    <w:rsid w:val="007854EA"/>
    <w:rsid w:val="0078587A"/>
    <w:rsid w:val="007868C0"/>
    <w:rsid w:val="0079034A"/>
    <w:rsid w:val="00794100"/>
    <w:rsid w:val="00794D80"/>
    <w:rsid w:val="00795A94"/>
    <w:rsid w:val="007A1AD6"/>
    <w:rsid w:val="007A6C71"/>
    <w:rsid w:val="007A6FA1"/>
    <w:rsid w:val="007B10AC"/>
    <w:rsid w:val="007C187C"/>
    <w:rsid w:val="007C3C82"/>
    <w:rsid w:val="007C4889"/>
    <w:rsid w:val="007C5912"/>
    <w:rsid w:val="007C69C0"/>
    <w:rsid w:val="007C6CDB"/>
    <w:rsid w:val="007D235B"/>
    <w:rsid w:val="007D27D3"/>
    <w:rsid w:val="007D376A"/>
    <w:rsid w:val="007D3AF6"/>
    <w:rsid w:val="007D5867"/>
    <w:rsid w:val="007D5942"/>
    <w:rsid w:val="007E4BC5"/>
    <w:rsid w:val="007E7CB9"/>
    <w:rsid w:val="007F1BE6"/>
    <w:rsid w:val="00802F2E"/>
    <w:rsid w:val="008046C2"/>
    <w:rsid w:val="008048BD"/>
    <w:rsid w:val="008125B6"/>
    <w:rsid w:val="0081480F"/>
    <w:rsid w:val="00821195"/>
    <w:rsid w:val="00831C2F"/>
    <w:rsid w:val="0083334F"/>
    <w:rsid w:val="008337F8"/>
    <w:rsid w:val="00834D39"/>
    <w:rsid w:val="00836B56"/>
    <w:rsid w:val="00837096"/>
    <w:rsid w:val="008375CA"/>
    <w:rsid w:val="008438AC"/>
    <w:rsid w:val="00847720"/>
    <w:rsid w:val="00850A63"/>
    <w:rsid w:val="0085650C"/>
    <w:rsid w:val="00857C65"/>
    <w:rsid w:val="00861EA5"/>
    <w:rsid w:val="00863A12"/>
    <w:rsid w:val="00864A47"/>
    <w:rsid w:val="00865CC5"/>
    <w:rsid w:val="008709B4"/>
    <w:rsid w:val="00873C2B"/>
    <w:rsid w:val="00874319"/>
    <w:rsid w:val="0087478A"/>
    <w:rsid w:val="008757D0"/>
    <w:rsid w:val="008759BB"/>
    <w:rsid w:val="0088252D"/>
    <w:rsid w:val="00883196"/>
    <w:rsid w:val="008866D4"/>
    <w:rsid w:val="0089006F"/>
    <w:rsid w:val="0089064F"/>
    <w:rsid w:val="00890C20"/>
    <w:rsid w:val="00894027"/>
    <w:rsid w:val="008A098F"/>
    <w:rsid w:val="008A5DCC"/>
    <w:rsid w:val="008B3CB8"/>
    <w:rsid w:val="008B5F6B"/>
    <w:rsid w:val="008C0D49"/>
    <w:rsid w:val="008C5862"/>
    <w:rsid w:val="008C6329"/>
    <w:rsid w:val="008C74F3"/>
    <w:rsid w:val="008C7CFB"/>
    <w:rsid w:val="008E051B"/>
    <w:rsid w:val="008E0DE1"/>
    <w:rsid w:val="008E2F1C"/>
    <w:rsid w:val="008E3993"/>
    <w:rsid w:val="008E3DFB"/>
    <w:rsid w:val="008E4911"/>
    <w:rsid w:val="008E49B2"/>
    <w:rsid w:val="008E634F"/>
    <w:rsid w:val="008F367E"/>
    <w:rsid w:val="00900024"/>
    <w:rsid w:val="00902AE4"/>
    <w:rsid w:val="00902D12"/>
    <w:rsid w:val="00905812"/>
    <w:rsid w:val="00906238"/>
    <w:rsid w:val="00907616"/>
    <w:rsid w:val="00914426"/>
    <w:rsid w:val="00914B10"/>
    <w:rsid w:val="00915250"/>
    <w:rsid w:val="00915C4B"/>
    <w:rsid w:val="00925F68"/>
    <w:rsid w:val="0092663B"/>
    <w:rsid w:val="0093007E"/>
    <w:rsid w:val="00952005"/>
    <w:rsid w:val="009522E8"/>
    <w:rsid w:val="009548BD"/>
    <w:rsid w:val="00960FE8"/>
    <w:rsid w:val="0096174D"/>
    <w:rsid w:val="009627FC"/>
    <w:rsid w:val="00967060"/>
    <w:rsid w:val="009758DB"/>
    <w:rsid w:val="00983EF3"/>
    <w:rsid w:val="00992B03"/>
    <w:rsid w:val="00993052"/>
    <w:rsid w:val="00995806"/>
    <w:rsid w:val="009A2375"/>
    <w:rsid w:val="009A28DC"/>
    <w:rsid w:val="009A7EFD"/>
    <w:rsid w:val="009B236D"/>
    <w:rsid w:val="009B2D28"/>
    <w:rsid w:val="009B34AB"/>
    <w:rsid w:val="009C0F3E"/>
    <w:rsid w:val="009C3BF0"/>
    <w:rsid w:val="009C3FC1"/>
    <w:rsid w:val="009C5B7F"/>
    <w:rsid w:val="009D04D7"/>
    <w:rsid w:val="009D0838"/>
    <w:rsid w:val="009D20CA"/>
    <w:rsid w:val="009D3858"/>
    <w:rsid w:val="009D4D0C"/>
    <w:rsid w:val="009E0B7E"/>
    <w:rsid w:val="009E0C20"/>
    <w:rsid w:val="009E14A3"/>
    <w:rsid w:val="009E1E5A"/>
    <w:rsid w:val="009E5D38"/>
    <w:rsid w:val="009F0220"/>
    <w:rsid w:val="009F1ECF"/>
    <w:rsid w:val="009F3766"/>
    <w:rsid w:val="009F4040"/>
    <w:rsid w:val="009F49CA"/>
    <w:rsid w:val="009F5AEE"/>
    <w:rsid w:val="009F7AF9"/>
    <w:rsid w:val="00A03682"/>
    <w:rsid w:val="00A05142"/>
    <w:rsid w:val="00A11CF5"/>
    <w:rsid w:val="00A12F11"/>
    <w:rsid w:val="00A145F3"/>
    <w:rsid w:val="00A2042B"/>
    <w:rsid w:val="00A209E6"/>
    <w:rsid w:val="00A2298B"/>
    <w:rsid w:val="00A2587F"/>
    <w:rsid w:val="00A30D15"/>
    <w:rsid w:val="00A31ACC"/>
    <w:rsid w:val="00A34770"/>
    <w:rsid w:val="00A35611"/>
    <w:rsid w:val="00A3566A"/>
    <w:rsid w:val="00A40D12"/>
    <w:rsid w:val="00A424EB"/>
    <w:rsid w:val="00A4271B"/>
    <w:rsid w:val="00A476B4"/>
    <w:rsid w:val="00A509E9"/>
    <w:rsid w:val="00A50C19"/>
    <w:rsid w:val="00A52785"/>
    <w:rsid w:val="00A527EA"/>
    <w:rsid w:val="00A561B8"/>
    <w:rsid w:val="00A61E21"/>
    <w:rsid w:val="00A63366"/>
    <w:rsid w:val="00A7008D"/>
    <w:rsid w:val="00A772A9"/>
    <w:rsid w:val="00A844D1"/>
    <w:rsid w:val="00A90B4A"/>
    <w:rsid w:val="00A910AF"/>
    <w:rsid w:val="00A924DF"/>
    <w:rsid w:val="00A93A69"/>
    <w:rsid w:val="00A97D5B"/>
    <w:rsid w:val="00AA1846"/>
    <w:rsid w:val="00AA483E"/>
    <w:rsid w:val="00AA4D4B"/>
    <w:rsid w:val="00AA621B"/>
    <w:rsid w:val="00AA6506"/>
    <w:rsid w:val="00AB4EBC"/>
    <w:rsid w:val="00AB540E"/>
    <w:rsid w:val="00AC0A26"/>
    <w:rsid w:val="00AC2C15"/>
    <w:rsid w:val="00AC35F0"/>
    <w:rsid w:val="00AC5A19"/>
    <w:rsid w:val="00AC6962"/>
    <w:rsid w:val="00AD088F"/>
    <w:rsid w:val="00AD1DA8"/>
    <w:rsid w:val="00AD279A"/>
    <w:rsid w:val="00AD3127"/>
    <w:rsid w:val="00AD76F9"/>
    <w:rsid w:val="00AD7E4C"/>
    <w:rsid w:val="00AE0B0B"/>
    <w:rsid w:val="00AF1902"/>
    <w:rsid w:val="00AF190A"/>
    <w:rsid w:val="00AF39BF"/>
    <w:rsid w:val="00AF3C19"/>
    <w:rsid w:val="00AF4B86"/>
    <w:rsid w:val="00B02042"/>
    <w:rsid w:val="00B068DF"/>
    <w:rsid w:val="00B10170"/>
    <w:rsid w:val="00B10793"/>
    <w:rsid w:val="00B14383"/>
    <w:rsid w:val="00B17A04"/>
    <w:rsid w:val="00B2109B"/>
    <w:rsid w:val="00B2481E"/>
    <w:rsid w:val="00B27BDC"/>
    <w:rsid w:val="00B30B76"/>
    <w:rsid w:val="00B34183"/>
    <w:rsid w:val="00B34641"/>
    <w:rsid w:val="00B375C7"/>
    <w:rsid w:val="00B42D00"/>
    <w:rsid w:val="00B4302D"/>
    <w:rsid w:val="00B44B0F"/>
    <w:rsid w:val="00B504B8"/>
    <w:rsid w:val="00B510CE"/>
    <w:rsid w:val="00B521E2"/>
    <w:rsid w:val="00B52507"/>
    <w:rsid w:val="00B53F93"/>
    <w:rsid w:val="00B600D4"/>
    <w:rsid w:val="00B61D34"/>
    <w:rsid w:val="00B716C4"/>
    <w:rsid w:val="00B74197"/>
    <w:rsid w:val="00B74A51"/>
    <w:rsid w:val="00B75F38"/>
    <w:rsid w:val="00B8074D"/>
    <w:rsid w:val="00B83C1E"/>
    <w:rsid w:val="00B9331C"/>
    <w:rsid w:val="00B95EA9"/>
    <w:rsid w:val="00BA00E4"/>
    <w:rsid w:val="00BA3E86"/>
    <w:rsid w:val="00BA4932"/>
    <w:rsid w:val="00BA5184"/>
    <w:rsid w:val="00BA681F"/>
    <w:rsid w:val="00BA76F0"/>
    <w:rsid w:val="00BB0DC7"/>
    <w:rsid w:val="00BB2742"/>
    <w:rsid w:val="00BB3351"/>
    <w:rsid w:val="00BB3372"/>
    <w:rsid w:val="00BC0F7F"/>
    <w:rsid w:val="00BC14A9"/>
    <w:rsid w:val="00BC2797"/>
    <w:rsid w:val="00BD1F61"/>
    <w:rsid w:val="00BD2808"/>
    <w:rsid w:val="00BD2BD0"/>
    <w:rsid w:val="00BD46B2"/>
    <w:rsid w:val="00BE09F1"/>
    <w:rsid w:val="00BE2F99"/>
    <w:rsid w:val="00BE4239"/>
    <w:rsid w:val="00BE55B2"/>
    <w:rsid w:val="00BE5C5D"/>
    <w:rsid w:val="00BE6589"/>
    <w:rsid w:val="00BF1D5A"/>
    <w:rsid w:val="00BF5459"/>
    <w:rsid w:val="00C01509"/>
    <w:rsid w:val="00C04683"/>
    <w:rsid w:val="00C055E3"/>
    <w:rsid w:val="00C07701"/>
    <w:rsid w:val="00C07EF0"/>
    <w:rsid w:val="00C1013D"/>
    <w:rsid w:val="00C1256E"/>
    <w:rsid w:val="00C134B0"/>
    <w:rsid w:val="00C13C80"/>
    <w:rsid w:val="00C14B76"/>
    <w:rsid w:val="00C15911"/>
    <w:rsid w:val="00C22040"/>
    <w:rsid w:val="00C2546C"/>
    <w:rsid w:val="00C2706A"/>
    <w:rsid w:val="00C306BE"/>
    <w:rsid w:val="00C30B9F"/>
    <w:rsid w:val="00C31A8C"/>
    <w:rsid w:val="00C31AEF"/>
    <w:rsid w:val="00C320BA"/>
    <w:rsid w:val="00C33B43"/>
    <w:rsid w:val="00C36BF4"/>
    <w:rsid w:val="00C4125A"/>
    <w:rsid w:val="00C4140B"/>
    <w:rsid w:val="00C46B0E"/>
    <w:rsid w:val="00C47517"/>
    <w:rsid w:val="00C51566"/>
    <w:rsid w:val="00C56A7F"/>
    <w:rsid w:val="00C60F41"/>
    <w:rsid w:val="00C61447"/>
    <w:rsid w:val="00C64166"/>
    <w:rsid w:val="00C673C6"/>
    <w:rsid w:val="00C748F6"/>
    <w:rsid w:val="00C7582A"/>
    <w:rsid w:val="00C76F24"/>
    <w:rsid w:val="00C810BE"/>
    <w:rsid w:val="00C82E65"/>
    <w:rsid w:val="00C833CD"/>
    <w:rsid w:val="00C92F4E"/>
    <w:rsid w:val="00CA04EE"/>
    <w:rsid w:val="00CA2238"/>
    <w:rsid w:val="00CA232F"/>
    <w:rsid w:val="00CA2A73"/>
    <w:rsid w:val="00CA4644"/>
    <w:rsid w:val="00CA5613"/>
    <w:rsid w:val="00CA63EF"/>
    <w:rsid w:val="00CA762B"/>
    <w:rsid w:val="00CB0559"/>
    <w:rsid w:val="00CB1A51"/>
    <w:rsid w:val="00CB58A5"/>
    <w:rsid w:val="00CC4924"/>
    <w:rsid w:val="00CD26A3"/>
    <w:rsid w:val="00CD2F1C"/>
    <w:rsid w:val="00CD614B"/>
    <w:rsid w:val="00CD70CB"/>
    <w:rsid w:val="00CE26A2"/>
    <w:rsid w:val="00CE2CEA"/>
    <w:rsid w:val="00CE3299"/>
    <w:rsid w:val="00CE5E2C"/>
    <w:rsid w:val="00CE7D3A"/>
    <w:rsid w:val="00CF384D"/>
    <w:rsid w:val="00CF3CA8"/>
    <w:rsid w:val="00CF51BC"/>
    <w:rsid w:val="00D04E40"/>
    <w:rsid w:val="00D05C75"/>
    <w:rsid w:val="00D11CEE"/>
    <w:rsid w:val="00D12852"/>
    <w:rsid w:val="00D12BA7"/>
    <w:rsid w:val="00D142DE"/>
    <w:rsid w:val="00D14891"/>
    <w:rsid w:val="00D16577"/>
    <w:rsid w:val="00D2176C"/>
    <w:rsid w:val="00D21E65"/>
    <w:rsid w:val="00D238EF"/>
    <w:rsid w:val="00D2401D"/>
    <w:rsid w:val="00D306EF"/>
    <w:rsid w:val="00D35F96"/>
    <w:rsid w:val="00D37E87"/>
    <w:rsid w:val="00D40DB5"/>
    <w:rsid w:val="00D44E7B"/>
    <w:rsid w:val="00D46800"/>
    <w:rsid w:val="00D46818"/>
    <w:rsid w:val="00D504D0"/>
    <w:rsid w:val="00D50E48"/>
    <w:rsid w:val="00D51E68"/>
    <w:rsid w:val="00D56417"/>
    <w:rsid w:val="00D64AF4"/>
    <w:rsid w:val="00D822B8"/>
    <w:rsid w:val="00D82D44"/>
    <w:rsid w:val="00D859C9"/>
    <w:rsid w:val="00D86290"/>
    <w:rsid w:val="00D911C3"/>
    <w:rsid w:val="00D943D3"/>
    <w:rsid w:val="00D977DB"/>
    <w:rsid w:val="00DA253C"/>
    <w:rsid w:val="00DA273A"/>
    <w:rsid w:val="00DA590D"/>
    <w:rsid w:val="00DA65AD"/>
    <w:rsid w:val="00DA6B28"/>
    <w:rsid w:val="00DA6EC6"/>
    <w:rsid w:val="00DA73BD"/>
    <w:rsid w:val="00DB1523"/>
    <w:rsid w:val="00DB4416"/>
    <w:rsid w:val="00DC6933"/>
    <w:rsid w:val="00DD1A3F"/>
    <w:rsid w:val="00DD2F75"/>
    <w:rsid w:val="00DD6117"/>
    <w:rsid w:val="00DD65B3"/>
    <w:rsid w:val="00DE41BB"/>
    <w:rsid w:val="00DE448B"/>
    <w:rsid w:val="00DE4722"/>
    <w:rsid w:val="00DE4B89"/>
    <w:rsid w:val="00DF14C8"/>
    <w:rsid w:val="00DF2920"/>
    <w:rsid w:val="00DF2FAF"/>
    <w:rsid w:val="00DF5834"/>
    <w:rsid w:val="00E007C9"/>
    <w:rsid w:val="00E01940"/>
    <w:rsid w:val="00E04F0C"/>
    <w:rsid w:val="00E204E2"/>
    <w:rsid w:val="00E25786"/>
    <w:rsid w:val="00E27223"/>
    <w:rsid w:val="00E3086E"/>
    <w:rsid w:val="00E345FF"/>
    <w:rsid w:val="00E3621F"/>
    <w:rsid w:val="00E436B0"/>
    <w:rsid w:val="00E438F6"/>
    <w:rsid w:val="00E47329"/>
    <w:rsid w:val="00E5149F"/>
    <w:rsid w:val="00E52A25"/>
    <w:rsid w:val="00E535C9"/>
    <w:rsid w:val="00E54416"/>
    <w:rsid w:val="00E5492E"/>
    <w:rsid w:val="00E55288"/>
    <w:rsid w:val="00E65D03"/>
    <w:rsid w:val="00E673E9"/>
    <w:rsid w:val="00E71A88"/>
    <w:rsid w:val="00E758A6"/>
    <w:rsid w:val="00E760F0"/>
    <w:rsid w:val="00E81A3A"/>
    <w:rsid w:val="00E8325B"/>
    <w:rsid w:val="00E844AB"/>
    <w:rsid w:val="00E85629"/>
    <w:rsid w:val="00E902ED"/>
    <w:rsid w:val="00E92F38"/>
    <w:rsid w:val="00E949DB"/>
    <w:rsid w:val="00E9558B"/>
    <w:rsid w:val="00E96852"/>
    <w:rsid w:val="00EA2712"/>
    <w:rsid w:val="00EB0CE2"/>
    <w:rsid w:val="00EB3115"/>
    <w:rsid w:val="00EB4277"/>
    <w:rsid w:val="00EB5531"/>
    <w:rsid w:val="00EB6DFA"/>
    <w:rsid w:val="00EC0A66"/>
    <w:rsid w:val="00EC2D01"/>
    <w:rsid w:val="00EC6818"/>
    <w:rsid w:val="00EC6EB9"/>
    <w:rsid w:val="00EC760C"/>
    <w:rsid w:val="00ED06BA"/>
    <w:rsid w:val="00ED0E69"/>
    <w:rsid w:val="00ED3B3A"/>
    <w:rsid w:val="00ED4D7F"/>
    <w:rsid w:val="00ED5CEE"/>
    <w:rsid w:val="00ED7556"/>
    <w:rsid w:val="00EE5722"/>
    <w:rsid w:val="00EE681D"/>
    <w:rsid w:val="00EE7281"/>
    <w:rsid w:val="00EE7DE9"/>
    <w:rsid w:val="00EF41D5"/>
    <w:rsid w:val="00EF51CC"/>
    <w:rsid w:val="00EF5472"/>
    <w:rsid w:val="00F022FD"/>
    <w:rsid w:val="00F03083"/>
    <w:rsid w:val="00F043B1"/>
    <w:rsid w:val="00F04CDE"/>
    <w:rsid w:val="00F0538A"/>
    <w:rsid w:val="00F05F8B"/>
    <w:rsid w:val="00F063F8"/>
    <w:rsid w:val="00F07E70"/>
    <w:rsid w:val="00F140ED"/>
    <w:rsid w:val="00F204E8"/>
    <w:rsid w:val="00F20CB3"/>
    <w:rsid w:val="00F20CF8"/>
    <w:rsid w:val="00F23B6D"/>
    <w:rsid w:val="00F2658F"/>
    <w:rsid w:val="00F323B8"/>
    <w:rsid w:val="00F345A6"/>
    <w:rsid w:val="00F37E95"/>
    <w:rsid w:val="00F41650"/>
    <w:rsid w:val="00F42785"/>
    <w:rsid w:val="00F42A72"/>
    <w:rsid w:val="00F43299"/>
    <w:rsid w:val="00F43A19"/>
    <w:rsid w:val="00F46414"/>
    <w:rsid w:val="00F50D50"/>
    <w:rsid w:val="00F51863"/>
    <w:rsid w:val="00F53333"/>
    <w:rsid w:val="00F610E2"/>
    <w:rsid w:val="00F61817"/>
    <w:rsid w:val="00F66ED9"/>
    <w:rsid w:val="00F6736A"/>
    <w:rsid w:val="00F704E1"/>
    <w:rsid w:val="00F708BB"/>
    <w:rsid w:val="00F737BC"/>
    <w:rsid w:val="00F77CEB"/>
    <w:rsid w:val="00F829B9"/>
    <w:rsid w:val="00F849B0"/>
    <w:rsid w:val="00F86B23"/>
    <w:rsid w:val="00F91574"/>
    <w:rsid w:val="00F92533"/>
    <w:rsid w:val="00F950A3"/>
    <w:rsid w:val="00FA0C5C"/>
    <w:rsid w:val="00FA21A9"/>
    <w:rsid w:val="00FA34FE"/>
    <w:rsid w:val="00FA5C3F"/>
    <w:rsid w:val="00FA5E0D"/>
    <w:rsid w:val="00FB1221"/>
    <w:rsid w:val="00FB404B"/>
    <w:rsid w:val="00FC0BB3"/>
    <w:rsid w:val="00FC3F9E"/>
    <w:rsid w:val="00FC4137"/>
    <w:rsid w:val="00FC4455"/>
    <w:rsid w:val="00FC4737"/>
    <w:rsid w:val="00FC6147"/>
    <w:rsid w:val="00FD64A3"/>
    <w:rsid w:val="00FE241B"/>
    <w:rsid w:val="00FE263A"/>
    <w:rsid w:val="00FE27DF"/>
    <w:rsid w:val="00FE4145"/>
    <w:rsid w:val="00FF2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066FD"/>
    <w:pPr>
      <w:spacing w:after="0" w:line="240" w:lineRule="auto"/>
    </w:pPr>
    <w:rPr>
      <w:sz w:val="20"/>
      <w:szCs w:val="20"/>
    </w:rPr>
  </w:style>
  <w:style w:type="character" w:customStyle="1" w:styleId="Char">
    <w:name w:val="نص حاشية سفلية Char"/>
    <w:basedOn w:val="a0"/>
    <w:link w:val="a3"/>
    <w:uiPriority w:val="99"/>
    <w:semiHidden/>
    <w:rsid w:val="002066FD"/>
    <w:rPr>
      <w:sz w:val="20"/>
      <w:szCs w:val="20"/>
    </w:rPr>
  </w:style>
  <w:style w:type="character" w:styleId="a4">
    <w:name w:val="footnote reference"/>
    <w:basedOn w:val="a0"/>
    <w:unhideWhenUsed/>
    <w:rsid w:val="002066FD"/>
    <w:rPr>
      <w:vertAlign w:val="superscript"/>
    </w:rPr>
  </w:style>
  <w:style w:type="paragraph" w:styleId="a5">
    <w:name w:val="List Paragraph"/>
    <w:aliases w:val="NumberedList,سرد الفقراتCxSpLast,عنوان رئيسي"/>
    <w:basedOn w:val="a"/>
    <w:link w:val="Char0"/>
    <w:uiPriority w:val="34"/>
    <w:qFormat/>
    <w:rsid w:val="002066FD"/>
    <w:pPr>
      <w:ind w:left="720"/>
      <w:contextualSpacing/>
    </w:pPr>
  </w:style>
  <w:style w:type="character" w:styleId="Hyperlink">
    <w:name w:val="Hyperlink"/>
    <w:basedOn w:val="a0"/>
    <w:uiPriority w:val="99"/>
    <w:unhideWhenUsed/>
    <w:rsid w:val="00C13C80"/>
    <w:rPr>
      <w:color w:val="0000FF" w:themeColor="hyperlink"/>
      <w:u w:val="single"/>
    </w:rPr>
  </w:style>
  <w:style w:type="character" w:customStyle="1" w:styleId="Char0">
    <w:name w:val=" سرد الفقرات Char"/>
    <w:aliases w:val="NumberedList Char,سرد الفقراتCxSpLast Char,عنوان رئيسي Char"/>
    <w:link w:val="a5"/>
    <w:uiPriority w:val="34"/>
    <w:rsid w:val="00B95EA9"/>
  </w:style>
  <w:style w:type="character" w:styleId="a6">
    <w:name w:val="Emphasis"/>
    <w:basedOn w:val="a0"/>
    <w:uiPriority w:val="20"/>
    <w:qFormat/>
    <w:rsid w:val="00A2042B"/>
    <w:rPr>
      <w:i/>
      <w:iCs/>
    </w:rPr>
  </w:style>
  <w:style w:type="paragraph" w:styleId="a7">
    <w:name w:val="header"/>
    <w:basedOn w:val="a"/>
    <w:link w:val="Char1"/>
    <w:uiPriority w:val="99"/>
    <w:unhideWhenUsed/>
    <w:rsid w:val="006C4803"/>
    <w:pPr>
      <w:tabs>
        <w:tab w:val="center" w:pos="4680"/>
        <w:tab w:val="right" w:pos="9360"/>
      </w:tabs>
      <w:spacing w:after="0" w:line="240" w:lineRule="auto"/>
    </w:pPr>
  </w:style>
  <w:style w:type="character" w:customStyle="1" w:styleId="Char1">
    <w:name w:val="رأس الصفحة Char"/>
    <w:basedOn w:val="a0"/>
    <w:link w:val="a7"/>
    <w:uiPriority w:val="99"/>
    <w:rsid w:val="006C4803"/>
  </w:style>
  <w:style w:type="paragraph" w:styleId="a8">
    <w:name w:val="footer"/>
    <w:basedOn w:val="a"/>
    <w:link w:val="Char2"/>
    <w:uiPriority w:val="99"/>
    <w:unhideWhenUsed/>
    <w:rsid w:val="006C4803"/>
    <w:pPr>
      <w:tabs>
        <w:tab w:val="center" w:pos="4680"/>
        <w:tab w:val="right" w:pos="9360"/>
      </w:tabs>
      <w:spacing w:after="0" w:line="240" w:lineRule="auto"/>
    </w:pPr>
  </w:style>
  <w:style w:type="character" w:customStyle="1" w:styleId="Char2">
    <w:name w:val="تذييل الصفحة Char"/>
    <w:basedOn w:val="a0"/>
    <w:link w:val="a8"/>
    <w:uiPriority w:val="99"/>
    <w:rsid w:val="006C4803"/>
  </w:style>
  <w:style w:type="paragraph" w:styleId="a9">
    <w:name w:val="No Spacing"/>
    <w:uiPriority w:val="1"/>
    <w:qFormat/>
    <w:rsid w:val="006C4803"/>
    <w:pPr>
      <w:bidi/>
      <w:spacing w:after="0" w:line="240" w:lineRule="auto"/>
    </w:pPr>
  </w:style>
  <w:style w:type="character" w:customStyle="1" w:styleId="A00">
    <w:name w:val="A0"/>
    <w:uiPriority w:val="99"/>
    <w:rsid w:val="001F22D5"/>
    <w:rPr>
      <w:rFonts w:cs="Chaparral Pro"/>
      <w:b/>
      <w:bCs/>
      <w:color w:val="000000"/>
      <w:sz w:val="18"/>
      <w:szCs w:val="18"/>
    </w:rPr>
  </w:style>
  <w:style w:type="paragraph" w:customStyle="1" w:styleId="Default">
    <w:name w:val="Default"/>
    <w:rsid w:val="003454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ton-link-text">
    <w:name w:val="button-link-text"/>
    <w:basedOn w:val="a0"/>
    <w:rsid w:val="00191EF2"/>
  </w:style>
  <w:style w:type="character" w:customStyle="1" w:styleId="react-xocs-alternative-link">
    <w:name w:val="react-xocs-alternative-link"/>
    <w:basedOn w:val="a0"/>
    <w:rsid w:val="00191EF2"/>
  </w:style>
  <w:style w:type="character" w:customStyle="1" w:styleId="given-name">
    <w:name w:val="given-name"/>
    <w:basedOn w:val="a0"/>
    <w:rsid w:val="00191EF2"/>
  </w:style>
  <w:style w:type="character" w:customStyle="1" w:styleId="text">
    <w:name w:val="text"/>
    <w:basedOn w:val="a0"/>
    <w:rsid w:val="00191EF2"/>
  </w:style>
  <w:style w:type="character" w:customStyle="1" w:styleId="author-ref">
    <w:name w:val="author-ref"/>
    <w:basedOn w:val="a0"/>
    <w:rsid w:val="00191EF2"/>
  </w:style>
  <w:style w:type="character" w:customStyle="1" w:styleId="puwcif">
    <w:name w:val="puwcif"/>
    <w:basedOn w:val="a0"/>
    <w:rsid w:val="001901BC"/>
  </w:style>
  <w:style w:type="paragraph" w:customStyle="1" w:styleId="zfr3q">
    <w:name w:val="zfr3q"/>
    <w:basedOn w:val="a"/>
    <w:rsid w:val="00CE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a0"/>
    <w:rsid w:val="00CE5E2C"/>
  </w:style>
  <w:style w:type="table" w:styleId="aa">
    <w:name w:val="Table Grid"/>
    <w:basedOn w:val="a1"/>
    <w:uiPriority w:val="59"/>
    <w:unhideWhenUsed/>
    <w:rsid w:val="00F95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a"/>
    <w:uiPriority w:val="39"/>
    <w:rsid w:val="00ED06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Default"/>
    <w:next w:val="Default"/>
    <w:uiPriority w:val="99"/>
    <w:rsid w:val="00BF5459"/>
    <w:pPr>
      <w:spacing w:line="201" w:lineRule="atLeast"/>
    </w:pPr>
    <w:rPr>
      <w:color w:val="auto"/>
    </w:rPr>
  </w:style>
  <w:style w:type="paragraph" w:customStyle="1" w:styleId="Pa19">
    <w:name w:val="Pa19"/>
    <w:basedOn w:val="Default"/>
    <w:next w:val="Default"/>
    <w:uiPriority w:val="99"/>
    <w:rsid w:val="00BF5459"/>
    <w:pPr>
      <w:spacing w:line="161" w:lineRule="atLeast"/>
    </w:pPr>
    <w:rPr>
      <w:color w:val="auto"/>
    </w:rPr>
  </w:style>
  <w:style w:type="paragraph" w:customStyle="1" w:styleId="Pa11">
    <w:name w:val="Pa11"/>
    <w:basedOn w:val="Default"/>
    <w:next w:val="Default"/>
    <w:uiPriority w:val="99"/>
    <w:rsid w:val="00B17A04"/>
    <w:pPr>
      <w:spacing w:line="241" w:lineRule="atLeast"/>
    </w:pPr>
    <w:rPr>
      <w:color w:val="auto"/>
    </w:rPr>
  </w:style>
  <w:style w:type="table" w:customStyle="1" w:styleId="1">
    <w:name w:val="شبكة جدول1"/>
    <w:basedOn w:val="a1"/>
    <w:next w:val="aa"/>
    <w:rsid w:val="0083334F"/>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a"/>
    <w:rsid w:val="00B2481E"/>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bibliographic-informationcitation">
    <w:name w:val="c-bibliographic-information__citation"/>
    <w:basedOn w:val="a"/>
    <w:rsid w:val="00875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1">
    <w:name w:val="Pa31"/>
    <w:basedOn w:val="Default"/>
    <w:next w:val="Default"/>
    <w:uiPriority w:val="99"/>
    <w:rsid w:val="001B7662"/>
    <w:pPr>
      <w:spacing w:line="161" w:lineRule="atLeast"/>
    </w:pPr>
    <w:rPr>
      <w:color w:val="auto"/>
    </w:rPr>
  </w:style>
  <w:style w:type="character" w:styleId="ab">
    <w:name w:val="annotation reference"/>
    <w:basedOn w:val="a0"/>
    <w:rsid w:val="00805BCE"/>
    <w:rPr>
      <w:sz w:val="16"/>
      <w:szCs w:val="16"/>
    </w:rPr>
  </w:style>
  <w:style w:type="paragraph" w:styleId="ac">
    <w:name w:val="annotation text"/>
    <w:basedOn w:val="a"/>
    <w:link w:val="Char3"/>
    <w:uiPriority w:val="99"/>
    <w:semiHidden/>
    <w:unhideWhenUsed/>
    <w:pPr>
      <w:spacing w:line="240" w:lineRule="auto"/>
    </w:pPr>
    <w:rPr>
      <w:sz w:val="20"/>
      <w:szCs w:val="20"/>
    </w:rPr>
  </w:style>
  <w:style w:type="character" w:customStyle="1" w:styleId="Char3">
    <w:name w:val="نص تعليق Char"/>
    <w:basedOn w:val="a0"/>
    <w:link w:val="ac"/>
    <w:uiPriority w:val="99"/>
    <w:semiHidden/>
    <w:rPr>
      <w:sz w:val="20"/>
      <w:szCs w:val="20"/>
    </w:rPr>
  </w:style>
  <w:style w:type="paragraph" w:styleId="ad">
    <w:name w:val="Balloon Text"/>
    <w:basedOn w:val="a"/>
    <w:link w:val="Char4"/>
    <w:uiPriority w:val="99"/>
    <w:semiHidden/>
    <w:unhideWhenUsed/>
    <w:rsid w:val="00743FAE"/>
    <w:pPr>
      <w:spacing w:after="0" w:line="240" w:lineRule="auto"/>
    </w:pPr>
    <w:rPr>
      <w:rFonts w:ascii="Tahoma" w:hAnsi="Tahoma" w:cs="Tahoma"/>
      <w:sz w:val="16"/>
      <w:szCs w:val="16"/>
    </w:rPr>
  </w:style>
  <w:style w:type="character" w:customStyle="1" w:styleId="Char4">
    <w:name w:val="نص في بالون Char"/>
    <w:basedOn w:val="a0"/>
    <w:link w:val="ad"/>
    <w:uiPriority w:val="99"/>
    <w:semiHidden/>
    <w:rsid w:val="00743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066FD"/>
    <w:pPr>
      <w:spacing w:after="0" w:line="240" w:lineRule="auto"/>
    </w:pPr>
    <w:rPr>
      <w:sz w:val="20"/>
      <w:szCs w:val="20"/>
    </w:rPr>
  </w:style>
  <w:style w:type="character" w:customStyle="1" w:styleId="Char">
    <w:name w:val="نص حاشية سفلية Char"/>
    <w:basedOn w:val="a0"/>
    <w:link w:val="a3"/>
    <w:uiPriority w:val="99"/>
    <w:semiHidden/>
    <w:rsid w:val="002066FD"/>
    <w:rPr>
      <w:sz w:val="20"/>
      <w:szCs w:val="20"/>
    </w:rPr>
  </w:style>
  <w:style w:type="character" w:styleId="a4">
    <w:name w:val="footnote reference"/>
    <w:basedOn w:val="a0"/>
    <w:unhideWhenUsed/>
    <w:rsid w:val="002066FD"/>
    <w:rPr>
      <w:vertAlign w:val="superscript"/>
    </w:rPr>
  </w:style>
  <w:style w:type="paragraph" w:styleId="a5">
    <w:name w:val="List Paragraph"/>
    <w:aliases w:val="NumberedList,سرد الفقراتCxSpLast,عنوان رئيسي"/>
    <w:basedOn w:val="a"/>
    <w:link w:val="Char0"/>
    <w:uiPriority w:val="34"/>
    <w:qFormat/>
    <w:rsid w:val="002066FD"/>
    <w:pPr>
      <w:ind w:left="720"/>
      <w:contextualSpacing/>
    </w:pPr>
  </w:style>
  <w:style w:type="character" w:styleId="Hyperlink">
    <w:name w:val="Hyperlink"/>
    <w:basedOn w:val="a0"/>
    <w:uiPriority w:val="99"/>
    <w:unhideWhenUsed/>
    <w:rsid w:val="00C13C80"/>
    <w:rPr>
      <w:color w:val="0000FF" w:themeColor="hyperlink"/>
      <w:u w:val="single"/>
    </w:rPr>
  </w:style>
  <w:style w:type="character" w:customStyle="1" w:styleId="Char0">
    <w:name w:val=" سرد الفقرات Char"/>
    <w:aliases w:val="NumberedList Char,سرد الفقراتCxSpLast Char,عنوان رئيسي Char"/>
    <w:link w:val="a5"/>
    <w:uiPriority w:val="34"/>
    <w:rsid w:val="00B95EA9"/>
  </w:style>
  <w:style w:type="character" w:styleId="a6">
    <w:name w:val="Emphasis"/>
    <w:basedOn w:val="a0"/>
    <w:uiPriority w:val="20"/>
    <w:qFormat/>
    <w:rsid w:val="00A2042B"/>
    <w:rPr>
      <w:i/>
      <w:iCs/>
    </w:rPr>
  </w:style>
  <w:style w:type="paragraph" w:styleId="a7">
    <w:name w:val="header"/>
    <w:basedOn w:val="a"/>
    <w:link w:val="Char1"/>
    <w:uiPriority w:val="99"/>
    <w:unhideWhenUsed/>
    <w:rsid w:val="006C4803"/>
    <w:pPr>
      <w:tabs>
        <w:tab w:val="center" w:pos="4680"/>
        <w:tab w:val="right" w:pos="9360"/>
      </w:tabs>
      <w:spacing w:after="0" w:line="240" w:lineRule="auto"/>
    </w:pPr>
  </w:style>
  <w:style w:type="character" w:customStyle="1" w:styleId="Char1">
    <w:name w:val="رأس الصفحة Char"/>
    <w:basedOn w:val="a0"/>
    <w:link w:val="a7"/>
    <w:uiPriority w:val="99"/>
    <w:rsid w:val="006C4803"/>
  </w:style>
  <w:style w:type="paragraph" w:styleId="a8">
    <w:name w:val="footer"/>
    <w:basedOn w:val="a"/>
    <w:link w:val="Char2"/>
    <w:uiPriority w:val="99"/>
    <w:unhideWhenUsed/>
    <w:rsid w:val="006C4803"/>
    <w:pPr>
      <w:tabs>
        <w:tab w:val="center" w:pos="4680"/>
        <w:tab w:val="right" w:pos="9360"/>
      </w:tabs>
      <w:spacing w:after="0" w:line="240" w:lineRule="auto"/>
    </w:pPr>
  </w:style>
  <w:style w:type="character" w:customStyle="1" w:styleId="Char2">
    <w:name w:val="تذييل الصفحة Char"/>
    <w:basedOn w:val="a0"/>
    <w:link w:val="a8"/>
    <w:uiPriority w:val="99"/>
    <w:rsid w:val="006C4803"/>
  </w:style>
  <w:style w:type="paragraph" w:styleId="a9">
    <w:name w:val="No Spacing"/>
    <w:uiPriority w:val="1"/>
    <w:qFormat/>
    <w:rsid w:val="006C4803"/>
    <w:pPr>
      <w:bidi/>
      <w:spacing w:after="0" w:line="240" w:lineRule="auto"/>
    </w:pPr>
  </w:style>
  <w:style w:type="character" w:customStyle="1" w:styleId="A00">
    <w:name w:val="A0"/>
    <w:uiPriority w:val="99"/>
    <w:rsid w:val="001F22D5"/>
    <w:rPr>
      <w:rFonts w:cs="Chaparral Pro"/>
      <w:b/>
      <w:bCs/>
      <w:color w:val="000000"/>
      <w:sz w:val="18"/>
      <w:szCs w:val="18"/>
    </w:rPr>
  </w:style>
  <w:style w:type="paragraph" w:customStyle="1" w:styleId="Default">
    <w:name w:val="Default"/>
    <w:rsid w:val="003454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ton-link-text">
    <w:name w:val="button-link-text"/>
    <w:basedOn w:val="a0"/>
    <w:rsid w:val="00191EF2"/>
  </w:style>
  <w:style w:type="character" w:customStyle="1" w:styleId="react-xocs-alternative-link">
    <w:name w:val="react-xocs-alternative-link"/>
    <w:basedOn w:val="a0"/>
    <w:rsid w:val="00191EF2"/>
  </w:style>
  <w:style w:type="character" w:customStyle="1" w:styleId="given-name">
    <w:name w:val="given-name"/>
    <w:basedOn w:val="a0"/>
    <w:rsid w:val="00191EF2"/>
  </w:style>
  <w:style w:type="character" w:customStyle="1" w:styleId="text">
    <w:name w:val="text"/>
    <w:basedOn w:val="a0"/>
    <w:rsid w:val="00191EF2"/>
  </w:style>
  <w:style w:type="character" w:customStyle="1" w:styleId="author-ref">
    <w:name w:val="author-ref"/>
    <w:basedOn w:val="a0"/>
    <w:rsid w:val="00191EF2"/>
  </w:style>
  <w:style w:type="character" w:customStyle="1" w:styleId="puwcif">
    <w:name w:val="puwcif"/>
    <w:basedOn w:val="a0"/>
    <w:rsid w:val="001901BC"/>
  </w:style>
  <w:style w:type="paragraph" w:customStyle="1" w:styleId="zfr3q">
    <w:name w:val="zfr3q"/>
    <w:basedOn w:val="a"/>
    <w:rsid w:val="00CE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a0"/>
    <w:rsid w:val="00CE5E2C"/>
  </w:style>
  <w:style w:type="table" w:styleId="aa">
    <w:name w:val="Table Grid"/>
    <w:basedOn w:val="a1"/>
    <w:uiPriority w:val="59"/>
    <w:unhideWhenUsed/>
    <w:rsid w:val="00F95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a"/>
    <w:uiPriority w:val="39"/>
    <w:rsid w:val="00ED06B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Default"/>
    <w:next w:val="Default"/>
    <w:uiPriority w:val="99"/>
    <w:rsid w:val="00BF5459"/>
    <w:pPr>
      <w:spacing w:line="201" w:lineRule="atLeast"/>
    </w:pPr>
    <w:rPr>
      <w:color w:val="auto"/>
    </w:rPr>
  </w:style>
  <w:style w:type="paragraph" w:customStyle="1" w:styleId="Pa19">
    <w:name w:val="Pa19"/>
    <w:basedOn w:val="Default"/>
    <w:next w:val="Default"/>
    <w:uiPriority w:val="99"/>
    <w:rsid w:val="00BF5459"/>
    <w:pPr>
      <w:spacing w:line="161" w:lineRule="atLeast"/>
    </w:pPr>
    <w:rPr>
      <w:color w:val="auto"/>
    </w:rPr>
  </w:style>
  <w:style w:type="paragraph" w:customStyle="1" w:styleId="Pa11">
    <w:name w:val="Pa11"/>
    <w:basedOn w:val="Default"/>
    <w:next w:val="Default"/>
    <w:uiPriority w:val="99"/>
    <w:rsid w:val="00B17A04"/>
    <w:pPr>
      <w:spacing w:line="241" w:lineRule="atLeast"/>
    </w:pPr>
    <w:rPr>
      <w:color w:val="auto"/>
    </w:rPr>
  </w:style>
  <w:style w:type="table" w:customStyle="1" w:styleId="1">
    <w:name w:val="شبكة جدول1"/>
    <w:basedOn w:val="a1"/>
    <w:next w:val="aa"/>
    <w:rsid w:val="0083334F"/>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a"/>
    <w:rsid w:val="00B2481E"/>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bibliographic-informationcitation">
    <w:name w:val="c-bibliographic-information__citation"/>
    <w:basedOn w:val="a"/>
    <w:rsid w:val="00875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1">
    <w:name w:val="Pa31"/>
    <w:basedOn w:val="Default"/>
    <w:next w:val="Default"/>
    <w:uiPriority w:val="99"/>
    <w:rsid w:val="001B7662"/>
    <w:pPr>
      <w:spacing w:line="161" w:lineRule="atLeast"/>
    </w:pPr>
    <w:rPr>
      <w:color w:val="auto"/>
    </w:rPr>
  </w:style>
  <w:style w:type="character" w:styleId="ab">
    <w:name w:val="annotation reference"/>
    <w:basedOn w:val="a0"/>
    <w:rsid w:val="00805BCE"/>
    <w:rPr>
      <w:sz w:val="16"/>
      <w:szCs w:val="16"/>
    </w:rPr>
  </w:style>
  <w:style w:type="paragraph" w:styleId="ac">
    <w:name w:val="annotation text"/>
    <w:basedOn w:val="a"/>
    <w:link w:val="Char3"/>
    <w:uiPriority w:val="99"/>
    <w:semiHidden/>
    <w:unhideWhenUsed/>
    <w:pPr>
      <w:spacing w:line="240" w:lineRule="auto"/>
    </w:pPr>
    <w:rPr>
      <w:sz w:val="20"/>
      <w:szCs w:val="20"/>
    </w:rPr>
  </w:style>
  <w:style w:type="character" w:customStyle="1" w:styleId="Char3">
    <w:name w:val="نص تعليق Char"/>
    <w:basedOn w:val="a0"/>
    <w:link w:val="ac"/>
    <w:uiPriority w:val="99"/>
    <w:semiHidden/>
    <w:rPr>
      <w:sz w:val="20"/>
      <w:szCs w:val="20"/>
    </w:rPr>
  </w:style>
  <w:style w:type="paragraph" w:styleId="ad">
    <w:name w:val="Balloon Text"/>
    <w:basedOn w:val="a"/>
    <w:link w:val="Char4"/>
    <w:uiPriority w:val="99"/>
    <w:semiHidden/>
    <w:unhideWhenUsed/>
    <w:rsid w:val="00743FAE"/>
    <w:pPr>
      <w:spacing w:after="0" w:line="240" w:lineRule="auto"/>
    </w:pPr>
    <w:rPr>
      <w:rFonts w:ascii="Tahoma" w:hAnsi="Tahoma" w:cs="Tahoma"/>
      <w:sz w:val="16"/>
      <w:szCs w:val="16"/>
    </w:rPr>
  </w:style>
  <w:style w:type="character" w:customStyle="1" w:styleId="Char4">
    <w:name w:val="نص في بالون Char"/>
    <w:basedOn w:val="a0"/>
    <w:link w:val="ad"/>
    <w:uiPriority w:val="99"/>
    <w:semiHidden/>
    <w:rsid w:val="00743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2528-013-9066-6" TargetMode="External"/><Relationship Id="rId117" Type="http://schemas.openxmlformats.org/officeDocument/2006/relationships/hyperlink" Target="https://doi.org/10.1027/1015-5759/a000091" TargetMode="External"/><Relationship Id="rId21" Type="http://schemas.openxmlformats.org/officeDocument/2006/relationships/hyperlink" Target="https://doi.org/10.1017/CBO9780511527692" TargetMode="External"/><Relationship Id="rId42" Type="http://schemas.openxmlformats.org/officeDocument/2006/relationships/hyperlink" Target="https://psycnet.apa.org/doi/10.3928/00485713-20131206-05" TargetMode="External"/><Relationship Id="rId47" Type="http://schemas.openxmlformats.org/officeDocument/2006/relationships/hyperlink" Target="https://doi.org/10.1111/cts.12197" TargetMode="External"/><Relationship Id="rId63" Type="http://schemas.openxmlformats.org/officeDocument/2006/relationships/hyperlink" Target="http://dx.doi.org/10.1007/s10902-012-9403-x" TargetMode="External"/><Relationship Id="rId68" Type="http://schemas.openxmlformats.org/officeDocument/2006/relationships/hyperlink" Target="http://dx.doi.org/10.1007/s11205-011-9966-7" TargetMode="External"/><Relationship Id="rId84" Type="http://schemas.openxmlformats.org/officeDocument/2006/relationships/hyperlink" Target="https://doi.org/10.1145/2839509.2844596" TargetMode="External"/><Relationship Id="rId89" Type="http://schemas.openxmlformats.org/officeDocument/2006/relationships/hyperlink" Target="https://doi.org/10.1016/j.lindif.2014.03.022" TargetMode="External"/><Relationship Id="rId112" Type="http://schemas.openxmlformats.org/officeDocument/2006/relationships/hyperlink" Target="https://doi.org/10.1016/j.chb.2016.08.047" TargetMode="External"/><Relationship Id="rId133" Type="http://schemas.openxmlformats.org/officeDocument/2006/relationships/hyperlink" Target="https://doi.org/10.21585/ijcses.v3i3.69" TargetMode="External"/><Relationship Id="rId138" Type="http://schemas.openxmlformats.org/officeDocument/2006/relationships/hyperlink" Target="https://doi.org/10.1098/rsta.2008.0118" TargetMode="External"/><Relationship Id="rId154" Type="http://schemas.openxmlformats.org/officeDocument/2006/relationships/footer" Target="footer1.xml"/><Relationship Id="rId16" Type="http://schemas.openxmlformats.org/officeDocument/2006/relationships/hyperlink" Target="https://doi.org/10.3390/ijerph8051308" TargetMode="External"/><Relationship Id="rId107" Type="http://schemas.openxmlformats.org/officeDocument/2006/relationships/hyperlink" Target="http://dx.doi.org/10.5093/in2011v20n2a10" TargetMode="External"/><Relationship Id="rId11" Type="http://schemas.openxmlformats.org/officeDocument/2006/relationships/hyperlink" Target="http://dx.doi.org/10.26555/humanitas.v18i2.19040" TargetMode="External"/><Relationship Id="rId32" Type="http://schemas.openxmlformats.org/officeDocument/2006/relationships/hyperlink" Target="https://doi.org/10.1371/jour%20nal.pone.0262562" TargetMode="External"/><Relationship Id="rId37" Type="http://schemas.openxmlformats.org/officeDocument/2006/relationships/hyperlink" Target="https://doi.org/10.29299/kefad.2018.19.009" TargetMode="External"/><Relationship Id="rId53" Type="http://schemas.openxmlformats.org/officeDocument/2006/relationships/hyperlink" Target="https://doi.org/10.1016/j.ijer.2017.04.001" TargetMode="External"/><Relationship Id="rId58" Type="http://schemas.openxmlformats.org/officeDocument/2006/relationships/hyperlink" Target="https://doi.org/10.9734/BJESBS/2015/18316" TargetMode="External"/><Relationship Id="rId74" Type="http://schemas.openxmlformats.org/officeDocument/2006/relationships/hyperlink" Target="http://dx.doi.org/10.3389/fpsyg.2018.00297" TargetMode="External"/><Relationship Id="rId79" Type="http://schemas.openxmlformats.org/officeDocument/2006/relationships/hyperlink" Target="https://doi.org/10.15388/infedu.2019.07" TargetMode="External"/><Relationship Id="rId102" Type="http://schemas.openxmlformats.org/officeDocument/2006/relationships/hyperlink" Target="http://dx.doi.org/10.1007/s10902-008-9110-9" TargetMode="External"/><Relationship Id="rId123" Type="http://schemas.openxmlformats.org/officeDocument/2006/relationships/hyperlink" Target="http://dx.doi.org/10.3389/fpsyg.2020.02126" TargetMode="External"/><Relationship Id="rId128" Type="http://schemas.openxmlformats.org/officeDocument/2006/relationships/hyperlink" Target="https://psycnet.apa.org/doi/10.1016/j.lindif.2017.11.015" TargetMode="External"/><Relationship Id="rId144" Type="http://schemas.openxmlformats.org/officeDocument/2006/relationships/hyperlink" Target="https://www.j-humansciences.com/ojs/index.php/IJHS/article/view/3502" TargetMode="External"/><Relationship Id="rId149" Type="http://schemas.openxmlformats.org/officeDocument/2006/relationships/hyperlink" Target="https://doi.org/10.30935/cet.554493" TargetMode="External"/><Relationship Id="rId5" Type="http://schemas.openxmlformats.org/officeDocument/2006/relationships/settings" Target="settings.xml"/><Relationship Id="rId90" Type="http://schemas.openxmlformats.org/officeDocument/2006/relationships/hyperlink" Target="https://doi.org/10.1109/FIE.2013.6685067" TargetMode="External"/><Relationship Id="rId95" Type="http://schemas.openxmlformats.org/officeDocument/2006/relationships/hyperlink" Target="https://doi.org/10.1002/job.2374" TargetMode="External"/><Relationship Id="rId22" Type="http://schemas.openxmlformats.org/officeDocument/2006/relationships/hyperlink" Target="https://doi.org/10.1145/1929887.1929905" TargetMode="External"/><Relationship Id="rId27" Type="http://schemas.openxmlformats.org/officeDocument/2006/relationships/hyperlink" Target="http://www.spclab.com/publisher/journals/Vol1No2/N1.pdf" TargetMode="External"/><Relationship Id="rId43" Type="http://schemas.openxmlformats.org/officeDocument/2006/relationships/hyperlink" Target="https://digitalcommons.memphis.edu/etd/2515" TargetMode="External"/><Relationship Id="rId48" Type="http://schemas.openxmlformats.org/officeDocument/2006/relationships/hyperlink" Target="https://doi.org/10.1111/j.1467-8624.2010.01564.x" TargetMode="External"/><Relationship Id="rId64" Type="http://schemas.openxmlformats.org/officeDocument/2006/relationships/hyperlink" Target="https://doi.org/10.26803/ijlter.23.1.17" TargetMode="External"/><Relationship Id="rId69" Type="http://schemas.openxmlformats.org/officeDocument/2006/relationships/hyperlink" Target="https://www.iste.org/standards/for-students" TargetMode="External"/><Relationship Id="rId113" Type="http://schemas.openxmlformats.org/officeDocument/2006/relationships/hyperlink" Target="https://doi.org/10.1016/j.chb.2017.09.030" TargetMode="External"/><Relationship Id="rId118" Type="http://schemas.openxmlformats.org/officeDocument/2006/relationships/hyperlink" Target="https://doi.org/10.5897/JMCS2016.0495" TargetMode="External"/><Relationship Id="rId134" Type="http://schemas.openxmlformats.org/officeDocument/2006/relationships/hyperlink" Target="http://dx.doi.org/10.4236/psych.2016.714170" TargetMode="External"/><Relationship Id="rId139" Type="http://schemas.openxmlformats.org/officeDocument/2006/relationships/hyperlink" Target="https://www.who.int/news-room/factsheets/detail/adolescent-mental-health" TargetMode="External"/><Relationship Id="rId80" Type="http://schemas.openxmlformats.org/officeDocument/2006/relationships/hyperlink" Target="https://psycnet.apa.org/doi/10.1037/cap0000033" TargetMode="External"/><Relationship Id="rId85" Type="http://schemas.openxmlformats.org/officeDocument/2006/relationships/hyperlink" Target="https://doi.org/10.1177/1948550612440105" TargetMode="External"/><Relationship Id="rId150" Type="http://schemas.openxmlformats.org/officeDocument/2006/relationships/hyperlink" Target="https://doi.org/10.1016/j.compedu.2017.09.004" TargetMode="External"/><Relationship Id="rId155" Type="http://schemas.openxmlformats.org/officeDocument/2006/relationships/fontTable" Target="fontTable.xml"/><Relationship Id="rId12" Type="http://schemas.openxmlformats.org/officeDocument/2006/relationships/hyperlink" Target="https://doi.org/10.1007/s11606-022-07497-2" TargetMode="External"/><Relationship Id="rId17" Type="http://schemas.openxmlformats.org/officeDocument/2006/relationships/hyperlink" Target="https://doi.org/10.3390/ijerph192316284" TargetMode="External"/><Relationship Id="rId33" Type="http://schemas.openxmlformats.org/officeDocument/2006/relationships/hyperlink" Target="http://dx.doi.org/10.1016/j.paid.2016.12.009" TargetMode="External"/><Relationship Id="rId38" Type="http://schemas.openxmlformats.org/officeDocument/2006/relationships/hyperlink" Target="https://doi.org/10.2307/249688" TargetMode="External"/><Relationship Id="rId59" Type="http://schemas.openxmlformats.org/officeDocument/2006/relationships/hyperlink" Target="https://doi.org/10.1109/ISECon.2015.7119929" TargetMode="External"/><Relationship Id="rId103" Type="http://schemas.openxmlformats.org/officeDocument/2006/relationships/hyperlink" Target="https://doi.org/10.2190/C670-Y3C8-LTJ1-CT3P" TargetMode="External"/><Relationship Id="rId108" Type="http://schemas.openxmlformats.org/officeDocument/2006/relationships/hyperlink" Target="https://doi.org/10.6017/lse.tpisc.tr2103.kb1236" TargetMode="External"/><Relationship Id="rId124" Type="http://schemas.openxmlformats.org/officeDocument/2006/relationships/hyperlink" Target="https://doi.org/10.4236/ce.2018.914154" TargetMode="External"/><Relationship Id="rId129" Type="http://schemas.openxmlformats.org/officeDocument/2006/relationships/hyperlink" Target="https://doi.org/10.1080/03055698.2010.507008" TargetMode="External"/><Relationship Id="rId20" Type="http://schemas.openxmlformats.org/officeDocument/2006/relationships/hyperlink" Target="https://doi.org/10.1207/s15326985ep2802_3" TargetMode="External"/><Relationship Id="rId41" Type="http://schemas.openxmlformats.org/officeDocument/2006/relationships/hyperlink" Target="https://doi.org/10.15388/infedu.2022.14" TargetMode="External"/><Relationship Id="rId54" Type="http://schemas.openxmlformats.org/officeDocument/2006/relationships/hyperlink" Target="https://doi.org/10.3389/fpsyg.2020.00431" TargetMode="External"/><Relationship Id="rId62" Type="http://schemas.openxmlformats.org/officeDocument/2006/relationships/hyperlink" Target="https://doi.org/10.1016/j.tsc.2020.100720" TargetMode="External"/><Relationship Id="rId70" Type="http://schemas.openxmlformats.org/officeDocument/2006/relationships/hyperlink" Target="https://doi.org/10.1111/aphw.12068" TargetMode="External"/><Relationship Id="rId75" Type="http://schemas.openxmlformats.org/officeDocument/2006/relationships/hyperlink" Target="https://doi.org/10.1016/j.lindif.2013.12.011" TargetMode="External"/><Relationship Id="rId83" Type="http://schemas.openxmlformats.org/officeDocument/2006/relationships/hyperlink" Target="https://doi.org/10.3389/fpsyg.2022.772653" TargetMode="External"/><Relationship Id="rId88" Type="http://schemas.openxmlformats.org/officeDocument/2006/relationships/hyperlink" Target="https://doi.org/10.1287/isre.9.2.126" TargetMode="External"/><Relationship Id="rId91" Type="http://schemas.openxmlformats.org/officeDocument/2006/relationships/hyperlink" Target="https://doi.org/10.21585/ijcses.v0i0.45" TargetMode="External"/><Relationship Id="rId96" Type="http://schemas.openxmlformats.org/officeDocument/2006/relationships/hyperlink" Target="https://20.1001.1.23452188.1396.15.1.18.2" TargetMode="External"/><Relationship Id="rId111" Type="http://schemas.openxmlformats.org/officeDocument/2006/relationships/hyperlink" Target="https://doi.org/10.1177/0743558499142002" TargetMode="External"/><Relationship Id="rId132" Type="http://schemas.openxmlformats.org/officeDocument/2006/relationships/hyperlink" Target="http://dx.doi.org/10.17718/tojde.81990" TargetMode="External"/><Relationship Id="rId140" Type="http://schemas.openxmlformats.org/officeDocument/2006/relationships/hyperlink" Target="https://doi.org/10.1080/10872981.2020.1742964" TargetMode="External"/><Relationship Id="rId145" Type="http://schemas.openxmlformats.org/officeDocument/2006/relationships/hyperlink" Target="https://iase-ijeas.com" TargetMode="External"/><Relationship Id="rId153" Type="http://schemas.openxmlformats.org/officeDocument/2006/relationships/hyperlink" Target="https://doi.org/10.1006/ceps.1999.10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007/978-1-4684-2253-5" TargetMode="External"/><Relationship Id="rId23" Type="http://schemas.openxmlformats.org/officeDocument/2006/relationships/hyperlink" Target="https://psycnet.apa.org/doi/10.1016/j.compedu.2013.10.020" TargetMode="External"/><Relationship Id="rId28" Type="http://schemas.openxmlformats.org/officeDocument/2006/relationships/hyperlink" Target="https://doi.org/10.18848/1447-9494/CGP/v27i01/17-35" TargetMode="External"/><Relationship Id="rId36" Type="http://schemas.openxmlformats.org/officeDocument/2006/relationships/hyperlink" Target="https://doi.org/10.33828/sei.v31.i2.4" TargetMode="External"/><Relationship Id="rId49" Type="http://schemas.openxmlformats.org/officeDocument/2006/relationships/hyperlink" Target="https://doi.org/10.1016/S0747-5632(02)00006-7" TargetMode="External"/><Relationship Id="rId57" Type="http://schemas.openxmlformats.org/officeDocument/2006/relationships/hyperlink" Target="https://turcomat.org/index.php/turkbilmat/article/view/194" TargetMode="External"/><Relationship Id="rId106" Type="http://schemas.openxmlformats.org/officeDocument/2006/relationships/hyperlink" Target="https://doi.org/10.1007/s10902-014-9606-4" TargetMode="External"/><Relationship Id="rId114" Type="http://schemas.openxmlformats.org/officeDocument/2006/relationships/hyperlink" Target="https://doi.org/10.30998/formatif.v11i2.9905" TargetMode="External"/><Relationship Id="rId119" Type="http://schemas.openxmlformats.org/officeDocument/2006/relationships/hyperlink" Target="https://doi.org/10.1207/s15326985ep2603&amp;4_2" TargetMode="External"/><Relationship Id="rId127" Type="http://schemas.openxmlformats.org/officeDocument/2006/relationships/hyperlink" Target="https://doi.org/10.1186/s12889-024-20287-1" TargetMode="External"/><Relationship Id="rId10" Type="http://schemas.openxmlformats.org/officeDocument/2006/relationships/hyperlink" Target="https://doi.org/10.1145/3013499.3013503" TargetMode="External"/><Relationship Id="rId31" Type="http://schemas.openxmlformats.org/officeDocument/2006/relationships/hyperlink" Target="https://doi.org/10.3390/educsci" TargetMode="External"/><Relationship Id="rId44" Type="http://schemas.openxmlformats.org/officeDocument/2006/relationships/hyperlink" Target="https://doi.org/10.1207/s15327752jpa4901_13" TargetMode="External"/><Relationship Id="rId52" Type="http://schemas.openxmlformats.org/officeDocument/2006/relationships/hyperlink" Target="https://doi.org/10.62400/jbs.v6i1.7775" TargetMode="External"/><Relationship Id="rId60" Type="http://schemas.openxmlformats.org/officeDocument/2006/relationships/hyperlink" Target="https://doi.org/10.1016/j.compedu.2017.11.011" TargetMode="External"/><Relationship Id="rId65" Type="http://schemas.openxmlformats.org/officeDocument/2006/relationships/hyperlink" Target="https://doi.org/10.1037/h0088805" TargetMode="External"/><Relationship Id="rId73" Type="http://schemas.openxmlformats.org/officeDocument/2006/relationships/hyperlink" Target="https://doi.org/10.1016/j.compedu.2018.08.026" TargetMode="External"/><Relationship Id="rId78" Type="http://schemas.openxmlformats.org/officeDocument/2006/relationships/hyperlink" Target="https://doi.org/10.7160/eriesj.2019.120403" TargetMode="External"/><Relationship Id="rId81" Type="http://schemas.openxmlformats.org/officeDocument/2006/relationships/hyperlink" Target="https://doi.org/10.1016/j.childyouth.2020.105439" TargetMode="External"/><Relationship Id="rId86" Type="http://schemas.openxmlformats.org/officeDocument/2006/relationships/hyperlink" Target="https://doi.org/10.3389/fpsyg.2016.00948" TargetMode="External"/><Relationship Id="rId94" Type="http://schemas.openxmlformats.org/officeDocument/2006/relationships/hyperlink" Target="https://doi.org/10.1007/s10956-020-09812-0" TargetMode="External"/><Relationship Id="rId99" Type="http://schemas.openxmlformats.org/officeDocument/2006/relationships/hyperlink" Target="https://doi.org/10.1007/s11280-013-0266-9" TargetMode="External"/><Relationship Id="rId101" Type="http://schemas.openxmlformats.org/officeDocument/2006/relationships/hyperlink" Target="https://doi.org/10.2991/978-2-38476-283-5_9" TargetMode="External"/><Relationship Id="rId122" Type="http://schemas.openxmlformats.org/officeDocument/2006/relationships/hyperlink" Target="https://doi.org/10.1145/2325296.232530" TargetMode="External"/><Relationship Id="rId130" Type="http://schemas.openxmlformats.org/officeDocument/2006/relationships/hyperlink" Target="https://doi.org/10.5172/jmo.2011.17.1.2" TargetMode="External"/><Relationship Id="rId135" Type="http://schemas.openxmlformats.org/officeDocument/2006/relationships/hyperlink" Target="https://doi.org/10.21831/elinvo.v6i2.47251" TargetMode="External"/><Relationship Id="rId143" Type="http://schemas.openxmlformats.org/officeDocument/2006/relationships/hyperlink" Target="https://doi.org/10.1145/2576872" TargetMode="External"/><Relationship Id="rId148" Type="http://schemas.openxmlformats.org/officeDocument/2006/relationships/hyperlink" Target="https://doi.org/10.1007/978-3-642-31398-1_12" TargetMode="External"/><Relationship Id="rId151" Type="http://schemas.openxmlformats.org/officeDocument/2006/relationships/hyperlink" Target="https://doi.org/10.1002/smi.2623"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1007/s10639-023-11679-8" TargetMode="External"/><Relationship Id="rId13" Type="http://schemas.openxmlformats.org/officeDocument/2006/relationships/hyperlink" Target="https://doi.org/10.1007/s12187-020-09725-9" TargetMode="External"/><Relationship Id="rId18" Type="http://schemas.openxmlformats.org/officeDocument/2006/relationships/hyperlink" Target="https://doi.org/10.12973/ijem.6.2.259" TargetMode="External"/><Relationship Id="rId39" Type="http://schemas.openxmlformats.org/officeDocument/2006/relationships/hyperlink" Target="https://psycnet.apa.org/doi/10.1016/j.childyouth.2020.105649" TargetMode="External"/><Relationship Id="rId109" Type="http://schemas.openxmlformats.org/officeDocument/2006/relationships/hyperlink" Target="https://doi.org/10.1016/j.compedu.2021.104196" TargetMode="External"/><Relationship Id="rId34" Type="http://schemas.openxmlformats.org/officeDocument/2006/relationships/hyperlink" Target="https://doi.org/10.1006/jado.2002.0475" TargetMode="External"/><Relationship Id="rId50" Type="http://schemas.openxmlformats.org/officeDocument/2006/relationships/hyperlink" Target="https://doi.org/10.1002/9780470479193.adlpsy001013" TargetMode="External"/><Relationship Id="rId55" Type="http://schemas.openxmlformats.org/officeDocument/2006/relationships/hyperlink" Target="https://doi.org/10.3102/0013189X12463051" TargetMode="External"/><Relationship Id="rId76" Type="http://schemas.openxmlformats.org/officeDocument/2006/relationships/hyperlink" Target="https://doi.org/10.1016/j.learninstruc.2016.08.006" TargetMode="External"/><Relationship Id="rId97" Type="http://schemas.openxmlformats.org/officeDocument/2006/relationships/hyperlink" Target="https://doi.org/10.1109/FIE.2017.8190673" TargetMode="External"/><Relationship Id="rId104" Type="http://schemas.openxmlformats.org/officeDocument/2006/relationships/hyperlink" Target="https://doi.org/10.1177/0829573516678704" TargetMode="External"/><Relationship Id="rId120" Type="http://schemas.openxmlformats.org/officeDocument/2006/relationships/hyperlink" Target="https://doi.org/10.26716/jcsi.2021.10.8.34" TargetMode="External"/><Relationship Id="rId125" Type="http://schemas.openxmlformats.org/officeDocument/2006/relationships/hyperlink" Target="https://doi.org/10.1145/2839509.2850515" TargetMode="External"/><Relationship Id="rId141" Type="http://schemas.openxmlformats.org/officeDocument/2006/relationships/hyperlink" Target="https://doi.org/10.1007/978-3-319-52691-1_13" TargetMode="External"/><Relationship Id="rId146" Type="http://schemas.openxmlformats.org/officeDocument/2006/relationships/hyperlink" Target="https://psycnet.apa.org/doi/10.1016/j.chb.2008.10.005" TargetMode="External"/><Relationship Id="rId7" Type="http://schemas.openxmlformats.org/officeDocument/2006/relationships/footnotes" Target="footnotes.xml"/><Relationship Id="rId71" Type="http://schemas.openxmlformats.org/officeDocument/2006/relationships/hyperlink" Target="http://intjmi.com/" TargetMode="External"/><Relationship Id="rId92" Type="http://schemas.openxmlformats.org/officeDocument/2006/relationships/hyperlink" Target="https://doi.org/10.30477/cjm.2024.418330.1065" TargetMode="External"/><Relationship Id="rId2" Type="http://schemas.openxmlformats.org/officeDocument/2006/relationships/numbering" Target="numbering.xml"/><Relationship Id="rId29" Type="http://schemas.openxmlformats.org/officeDocument/2006/relationships/hyperlink" Target="https://doi.org/10.22381/EMFM13420181" TargetMode="External"/><Relationship Id="rId24" Type="http://schemas.openxmlformats.org/officeDocument/2006/relationships/hyperlink" Target="https://doi.org/10.2791/792158" TargetMode="External"/><Relationship Id="rId40" Type="http://schemas.openxmlformats.org/officeDocument/2006/relationships/hyperlink" Target="https://www.it.uu.se/edu/course/homepage/datadidaktik/ht10/reports/Self-Efficacy.pdf" TargetMode="External"/><Relationship Id="rId45" Type="http://schemas.openxmlformats.org/officeDocument/2006/relationships/hyperlink" Target="https://doi.org/10.1007/s40692-017-0090-9" TargetMode="External"/><Relationship Id="rId66" Type="http://schemas.openxmlformats.org/officeDocument/2006/relationships/hyperlink" Target="http://dx.doi.org/10.1002/pits.10140" TargetMode="External"/><Relationship Id="rId87" Type="http://schemas.openxmlformats.org/officeDocument/2006/relationships/hyperlink" Target="https://doi.org/10.4324/9781003163244" TargetMode="External"/><Relationship Id="rId110" Type="http://schemas.openxmlformats.org/officeDocument/2006/relationships/hyperlink" Target="https://doi.org/10.47750/pegegog.13.02.38" TargetMode="External"/><Relationship Id="rId115" Type="http://schemas.openxmlformats.org/officeDocument/2006/relationships/hyperlink" Target="http://www.jstor.org/stable/1002205" TargetMode="External"/><Relationship Id="rId131" Type="http://schemas.openxmlformats.org/officeDocument/2006/relationships/hyperlink" Target="https://doi.org/10.1177/0735633117746747" TargetMode="External"/><Relationship Id="rId136" Type="http://schemas.openxmlformats.org/officeDocument/2006/relationships/hyperlink" Target="https://doi.org/10.1111/j.1467-8624.2004.00757.x" TargetMode="External"/><Relationship Id="rId157" Type="http://schemas.microsoft.com/office/2011/relationships/commentsExtended" Target="commentsExtended.xml"/><Relationship Id="rId61" Type="http://schemas.openxmlformats.org/officeDocument/2006/relationships/hyperlink" Target="https://doi.org/10.1016/j.econedurev.2017.10.005" TargetMode="External"/><Relationship Id="rId82" Type="http://schemas.openxmlformats.org/officeDocument/2006/relationships/hyperlink" Target="https://doi.org/10.1007/s11205-014-0639-1" TargetMode="External"/><Relationship Id="rId152" Type="http://schemas.openxmlformats.org/officeDocument/2006/relationships/hyperlink" Target="https://doi.org/10.3102/0034654315626801" TargetMode="External"/><Relationship Id="rId19" Type="http://schemas.openxmlformats.org/officeDocument/2006/relationships/hyperlink" Target="http://dx.doi.org/10.1037/0033-295X.84.2.191" TargetMode="External"/><Relationship Id="rId14" Type="http://schemas.openxmlformats.org/officeDocument/2006/relationships/hyperlink" Target="https://doi.org/10.18848/1832-3669/CGP/v07i01/56170" TargetMode="External"/><Relationship Id="rId30" Type="http://schemas.openxmlformats.org/officeDocument/2006/relationships/hyperlink" Target="https://psycnet.apa.org/doi/10.2190/JGJR-0KVL-HRF7-GCNV" TargetMode="External"/><Relationship Id="rId35" Type="http://schemas.openxmlformats.org/officeDocument/2006/relationships/hyperlink" Target="https://doi.org/10.1007/s11528-018-0292-7" TargetMode="External"/><Relationship Id="rId56" Type="http://schemas.openxmlformats.org/officeDocument/2006/relationships/hyperlink" Target="https://doi.org/10.12973/eu-jer.8.3.683" TargetMode="External"/><Relationship Id="rId77" Type="http://schemas.openxmlformats.org/officeDocument/2006/relationships/hyperlink" Target="https://doi.org/10.7822/omuefd.215276" TargetMode="External"/><Relationship Id="rId100" Type="http://schemas.openxmlformats.org/officeDocument/2006/relationships/hyperlink" Target="https://doi.org/10.15388/infedu.2022.09" TargetMode="External"/><Relationship Id="rId105" Type="http://schemas.openxmlformats.org/officeDocument/2006/relationships/hyperlink" Target="https://doi.org/10.1177/0829573516634644" TargetMode="External"/><Relationship Id="rId126" Type="http://schemas.openxmlformats.org/officeDocument/2006/relationships/hyperlink" Target="https://doi.org/10.1016/j.compedu.2022.104457" TargetMode="External"/><Relationship Id="rId147" Type="http://schemas.openxmlformats.org/officeDocument/2006/relationships/hyperlink" Target="https://doi.org/10.2224/sbp.2012.40.8.1233" TargetMode="External"/><Relationship Id="rId8" Type="http://schemas.openxmlformats.org/officeDocument/2006/relationships/endnotes" Target="endnotes.xml"/><Relationship Id="rId51" Type="http://schemas.openxmlformats.org/officeDocument/2006/relationships/hyperlink" Target="http://dx.doi.org/10.7160/eriesj.2021.140205" TargetMode="External"/><Relationship Id="rId72" Type="http://schemas.openxmlformats.org/officeDocument/2006/relationships/hyperlink" Target="https://doi.org/10.1007/s10212-023-00690-9" TargetMode="External"/><Relationship Id="rId93" Type="http://schemas.openxmlformats.org/officeDocument/2006/relationships/hyperlink" Target="https://doi.org/10.3389/feduc.2021.800248" TargetMode="External"/><Relationship Id="rId98" Type="http://schemas.openxmlformats.org/officeDocument/2006/relationships/hyperlink" Target="https://doi.org/10.17569/tojqi.20328" TargetMode="External"/><Relationship Id="rId121" Type="http://schemas.openxmlformats.org/officeDocument/2006/relationships/hyperlink" Target="https://doi.org/10.1080/03069885.2023.2285326" TargetMode="External"/><Relationship Id="rId142" Type="http://schemas.openxmlformats.org/officeDocument/2006/relationships/hyperlink" Target="http://dx.doi.org/10.1145/2576872" TargetMode="External"/><Relationship Id="rId3" Type="http://schemas.openxmlformats.org/officeDocument/2006/relationships/styles" Target="styles.xml"/><Relationship Id="rId25" Type="http://schemas.openxmlformats.org/officeDocument/2006/relationships/hyperlink" Target="http://scratched.gse.harvard.edu/ct/files/AERA2012.pdf" TargetMode="External"/><Relationship Id="rId46" Type="http://schemas.openxmlformats.org/officeDocument/2006/relationships/hyperlink" Target="https://doi.org/10.1080/2331186X.2023.2190697" TargetMode="External"/><Relationship Id="rId67" Type="http://schemas.openxmlformats.org/officeDocument/2006/relationships/hyperlink" Target="https://doi.org/10.1007/s11482-006-9001-3" TargetMode="External"/><Relationship Id="rId116" Type="http://schemas.openxmlformats.org/officeDocument/2006/relationships/hyperlink" Target="https://doi.org/10.7160/eriesj.2020.130103" TargetMode="External"/><Relationship Id="rId137" Type="http://schemas.openxmlformats.org/officeDocument/2006/relationships/hyperlink" Target="https://doi.org/10.1016/j.learninstruc.2019.10129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9B21-5B13-4231-A296-E9C5BAC7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8539</TotalTime>
  <Pages>29</Pages>
  <Words>13537</Words>
  <Characters>77161</Characters>
  <Application>Microsoft Office Word</Application>
  <DocSecurity>0</DocSecurity>
  <Lines>643</Lines>
  <Paragraphs>181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284</cp:revision>
  <dcterms:created xsi:type="dcterms:W3CDTF">2022-11-26T21:55:00Z</dcterms:created>
  <dcterms:modified xsi:type="dcterms:W3CDTF">2025-05-07T07:37:00Z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2025-02-20T07:35:02Z</vt:filetime>
  </property>
</Properties>
</file>