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65" w:rsidRPr="005154A7" w:rsidRDefault="00793D65" w:rsidP="0087714A">
      <w:pPr>
        <w:pStyle w:val="NormalWeb"/>
        <w:spacing w:beforeAutospacing="0" w:after="240" w:afterAutospacing="0" w:line="360" w:lineRule="auto"/>
        <w:ind w:right="-64"/>
        <w:jc w:val="center"/>
        <w:rPr>
          <w:rFonts w:eastAsiaTheme="minorHAnsi"/>
          <w:b/>
          <w:bCs/>
          <w:sz w:val="28"/>
          <w:szCs w:val="28"/>
          <w:lang w:eastAsia="en-US"/>
        </w:rPr>
      </w:pPr>
      <w:r w:rsidRPr="005154A7">
        <w:rPr>
          <w:rFonts w:eastAsiaTheme="minorHAnsi"/>
          <w:b/>
          <w:bCs/>
          <w:sz w:val="28"/>
          <w:szCs w:val="28"/>
          <w:lang w:eastAsia="en-US"/>
        </w:rPr>
        <w:t>Integrated Poverty Reduction in Practice: A Comparative Study of ENRICH and Non-Programme House</w:t>
      </w:r>
      <w:bookmarkStart w:id="0" w:name="_GoBack"/>
      <w:bookmarkEnd w:id="0"/>
      <w:r w:rsidRPr="005154A7">
        <w:rPr>
          <w:rFonts w:eastAsiaTheme="minorHAnsi"/>
          <w:b/>
          <w:bCs/>
          <w:sz w:val="28"/>
          <w:szCs w:val="28"/>
          <w:lang w:eastAsia="en-US"/>
        </w:rPr>
        <w:t>holds</w:t>
      </w:r>
    </w:p>
    <w:p w:rsidR="006466F8" w:rsidRPr="005154A7" w:rsidRDefault="006466F8" w:rsidP="0087714A">
      <w:pPr>
        <w:pStyle w:val="NormalWeb"/>
        <w:spacing w:beforeAutospacing="0" w:after="240" w:afterAutospacing="0" w:line="360" w:lineRule="auto"/>
        <w:ind w:right="-64"/>
        <w:jc w:val="center"/>
        <w:rPr>
          <w:rStyle w:val="Strong"/>
          <w:sz w:val="22"/>
          <w:szCs w:val="22"/>
        </w:rPr>
      </w:pPr>
      <w:r w:rsidRPr="005154A7">
        <w:rPr>
          <w:rStyle w:val="Strong"/>
          <w:sz w:val="22"/>
          <w:szCs w:val="22"/>
        </w:rPr>
        <w:t>Prof. Dr. Md. Shahidul Islam</w:t>
      </w:r>
      <w:r w:rsidRPr="005154A7">
        <w:rPr>
          <w:rStyle w:val="Strong"/>
          <w:sz w:val="22"/>
          <w:szCs w:val="22"/>
          <w:vertAlign w:val="superscript"/>
        </w:rPr>
        <w:t>1</w:t>
      </w:r>
      <w:r w:rsidRPr="005154A7">
        <w:rPr>
          <w:rStyle w:val="Strong"/>
          <w:sz w:val="22"/>
          <w:szCs w:val="22"/>
        </w:rPr>
        <w:t>, Saba Tabassum</w:t>
      </w:r>
      <w:r w:rsidRPr="005154A7">
        <w:rPr>
          <w:rStyle w:val="Strong"/>
          <w:sz w:val="22"/>
          <w:szCs w:val="22"/>
          <w:vertAlign w:val="superscript"/>
        </w:rPr>
        <w:t>2</w:t>
      </w:r>
      <w:r w:rsidRPr="005154A7">
        <w:rPr>
          <w:rStyle w:val="Strong"/>
          <w:sz w:val="22"/>
          <w:szCs w:val="22"/>
        </w:rPr>
        <w:t>, and Md. Bokhtiar Rahman</w:t>
      </w:r>
      <w:r w:rsidRPr="005154A7">
        <w:rPr>
          <w:rStyle w:val="Strong"/>
          <w:sz w:val="22"/>
          <w:szCs w:val="22"/>
          <w:vertAlign w:val="superscript"/>
        </w:rPr>
        <w:t>2</w:t>
      </w:r>
    </w:p>
    <w:p w:rsidR="006466F8" w:rsidRPr="005154A7" w:rsidRDefault="006466F8" w:rsidP="00283FD5">
      <w:pPr>
        <w:pStyle w:val="NormalWeb"/>
        <w:spacing w:beforeAutospacing="0" w:afterAutospacing="0"/>
        <w:ind w:right="-64"/>
        <w:jc w:val="center"/>
        <w:rPr>
          <w:rStyle w:val="Strong"/>
          <w:b w:val="0"/>
          <w:sz w:val="22"/>
          <w:szCs w:val="22"/>
        </w:rPr>
      </w:pPr>
      <w:r w:rsidRPr="005154A7">
        <w:rPr>
          <w:rStyle w:val="Strong"/>
          <w:b w:val="0"/>
          <w:sz w:val="22"/>
          <w:szCs w:val="22"/>
          <w:vertAlign w:val="superscript"/>
        </w:rPr>
        <w:t>1</w:t>
      </w:r>
      <w:r w:rsidRPr="005154A7">
        <w:rPr>
          <w:rStyle w:val="Strong"/>
          <w:b w:val="0"/>
          <w:sz w:val="22"/>
          <w:szCs w:val="22"/>
        </w:rPr>
        <w:t>Head, Research and Knowledge Management, Dushtha Shasthya Kendra (DSK), Dhaka, Bangladesh</w:t>
      </w:r>
    </w:p>
    <w:p w:rsidR="006466F8" w:rsidRPr="005154A7" w:rsidRDefault="006466F8" w:rsidP="00283FD5">
      <w:pPr>
        <w:pStyle w:val="NormalWeb"/>
        <w:spacing w:beforeAutospacing="0" w:afterAutospacing="0"/>
        <w:ind w:right="-64"/>
        <w:jc w:val="center"/>
        <w:rPr>
          <w:rStyle w:val="Strong"/>
          <w:b w:val="0"/>
          <w:sz w:val="22"/>
          <w:szCs w:val="22"/>
        </w:rPr>
      </w:pPr>
      <w:r w:rsidRPr="005154A7">
        <w:rPr>
          <w:rStyle w:val="Strong"/>
          <w:b w:val="0"/>
          <w:sz w:val="22"/>
          <w:szCs w:val="22"/>
          <w:vertAlign w:val="superscript"/>
        </w:rPr>
        <w:t>2</w:t>
      </w:r>
      <w:r w:rsidRPr="005154A7">
        <w:rPr>
          <w:rStyle w:val="Strong"/>
          <w:b w:val="0"/>
          <w:sz w:val="22"/>
          <w:szCs w:val="22"/>
        </w:rPr>
        <w:t>RA, Research and Knowledge Management, Dushtha Shasthya Kendra (DSK), Dhaka, Bangladesh</w:t>
      </w:r>
    </w:p>
    <w:p w:rsidR="006466F8" w:rsidRPr="005154A7" w:rsidRDefault="006466F8" w:rsidP="0087714A">
      <w:pPr>
        <w:spacing w:after="0" w:line="360" w:lineRule="auto"/>
        <w:ind w:right="-64"/>
        <w:rPr>
          <w:rFonts w:ascii="Times New Roman" w:hAnsi="Times New Roman" w:cs="Times New Roman"/>
          <w:b/>
        </w:rPr>
      </w:pPr>
    </w:p>
    <w:p w:rsidR="006466F8" w:rsidRPr="005154A7" w:rsidRDefault="006466F8" w:rsidP="0087714A">
      <w:pPr>
        <w:spacing w:after="0" w:line="360" w:lineRule="auto"/>
        <w:ind w:right="-64"/>
        <w:rPr>
          <w:rFonts w:ascii="Times New Roman" w:hAnsi="Times New Roman" w:cs="Times New Roman"/>
          <w:b/>
        </w:rPr>
      </w:pPr>
      <w:r w:rsidRPr="005154A7">
        <w:rPr>
          <w:rFonts w:ascii="Times New Roman" w:hAnsi="Times New Roman" w:cs="Times New Roman"/>
          <w:b/>
        </w:rPr>
        <w:t>Abstract</w:t>
      </w:r>
    </w:p>
    <w:p w:rsidR="00405E66" w:rsidRPr="005154A7" w:rsidRDefault="00405E66" w:rsidP="00405E66">
      <w:pPr>
        <w:spacing w:line="360" w:lineRule="auto"/>
        <w:ind w:right="-64"/>
        <w:jc w:val="both"/>
        <w:rPr>
          <w:rFonts w:ascii="Times New Roman" w:hAnsi="Times New Roman" w:cs="Times New Roman"/>
          <w:color w:val="000000" w:themeColor="text1"/>
        </w:rPr>
      </w:pPr>
      <w:r w:rsidRPr="005154A7">
        <w:rPr>
          <w:rFonts w:ascii="Times New Roman" w:hAnsi="Times New Roman" w:cs="Times New Roman"/>
          <w:color w:val="000000" w:themeColor="text1"/>
        </w:rPr>
        <w:t>This study evaluates the impact of the ENRICH programme, an integrated poverty alleviation initiative implemented by PKSF, on the economic well-being of rural households in Bangladesh. A quantitative cross-sectional research design was employed, using primary data collected from 811 households across Durgapur Union (programme area) and Chandigar Union (control area) in Netrokona District. Multi-stage random sampling and structured household surveys were used to gather data on income, expenditure, asset creation, financial involvement, and household facilities. Descriptive and inferential statistics, including t-tests at a 5% significance level, were applied to assess differences between programme and non-programme households. The findings reveal that programme households experienced substantially higher income growth (30.25%) compared to control households (17.46%), with statistically significant differences. Income sources were more diversified in programme areas, and the average number of income earners was slightly higher. Programme households also demonstrated markedly greater asset creation (48.29% vs. 15.71%) and better access to modern facilities such as solar energy and biogas. Financial involvement was more stable among ENRICH participants, with fewer households reporting difficulty repaying loans. Overall, the study concludes that the ENRICH programme significantly improves household economic resilience and contributes meaningfully to SDG 1 (No Poverty), SDG 5 (Gender Equality), SDG 8 (Decent Work), SDG 10 (Reduced Inequalities), and SDG 11 (Sustainable Communities).</w:t>
      </w:r>
    </w:p>
    <w:p w:rsidR="006466F8" w:rsidRPr="005154A7" w:rsidRDefault="006466F8" w:rsidP="0087714A">
      <w:pPr>
        <w:spacing w:line="360" w:lineRule="auto"/>
        <w:ind w:right="-64"/>
        <w:rPr>
          <w:rFonts w:ascii="Times New Roman" w:hAnsi="Times New Roman" w:cs="Times New Roman"/>
          <w:color w:val="000000" w:themeColor="text1"/>
        </w:rPr>
      </w:pPr>
      <w:r w:rsidRPr="005154A7">
        <w:rPr>
          <w:rFonts w:ascii="Times New Roman" w:hAnsi="Times New Roman" w:cs="Times New Roman"/>
          <w:b/>
          <w:color w:val="000000" w:themeColor="text1"/>
        </w:rPr>
        <w:t>Keywords:</w:t>
      </w:r>
      <w:r w:rsidR="00EA3CC0" w:rsidRPr="005154A7">
        <w:rPr>
          <w:rFonts w:ascii="Times New Roman" w:hAnsi="Times New Roman" w:cs="Times New Roman"/>
          <w:color w:val="000000" w:themeColor="text1"/>
        </w:rPr>
        <w:t xml:space="preserve"> </w:t>
      </w:r>
      <w:r w:rsidRPr="005154A7">
        <w:rPr>
          <w:rFonts w:ascii="Times New Roman" w:hAnsi="Times New Roman" w:cs="Times New Roman"/>
          <w:color w:val="000000" w:themeColor="text1"/>
        </w:rPr>
        <w:t xml:space="preserve">ENRICH, DSK, </w:t>
      </w:r>
      <w:r w:rsidR="00405E66" w:rsidRPr="005154A7">
        <w:rPr>
          <w:rFonts w:ascii="Times New Roman" w:hAnsi="Times New Roman" w:cs="Times New Roman"/>
          <w:color w:val="000000" w:themeColor="text1"/>
        </w:rPr>
        <w:t xml:space="preserve">PKSF, </w:t>
      </w:r>
      <w:r w:rsidR="009E0CC1" w:rsidRPr="005154A7">
        <w:rPr>
          <w:rFonts w:ascii="Times New Roman" w:hAnsi="Times New Roman" w:cs="Times New Roman"/>
          <w:color w:val="000000" w:themeColor="text1"/>
        </w:rPr>
        <w:t>Poverty reduction</w:t>
      </w:r>
      <w:r w:rsidR="00405E66" w:rsidRPr="005154A7">
        <w:rPr>
          <w:rFonts w:ascii="Times New Roman" w:hAnsi="Times New Roman" w:cs="Times New Roman"/>
          <w:color w:val="000000" w:themeColor="text1"/>
        </w:rPr>
        <w:t xml:space="preserve">, and </w:t>
      </w:r>
      <w:r w:rsidR="00C53C86" w:rsidRPr="005154A7">
        <w:rPr>
          <w:rFonts w:ascii="Times New Roman" w:hAnsi="Times New Roman" w:cs="Times New Roman"/>
          <w:color w:val="000000" w:themeColor="text1"/>
        </w:rPr>
        <w:t>sustainable</w:t>
      </w:r>
      <w:r w:rsidRPr="005154A7">
        <w:rPr>
          <w:rFonts w:ascii="Times New Roman" w:hAnsi="Times New Roman" w:cs="Times New Roman"/>
          <w:color w:val="000000" w:themeColor="text1"/>
        </w:rPr>
        <w:t xml:space="preserve"> development.</w:t>
      </w:r>
    </w:p>
    <w:p w:rsidR="006466F8" w:rsidRPr="005154A7" w:rsidRDefault="006466F8" w:rsidP="0087714A">
      <w:pPr>
        <w:spacing w:after="0" w:line="360" w:lineRule="auto"/>
        <w:ind w:right="-64"/>
        <w:jc w:val="both"/>
        <w:rPr>
          <w:rFonts w:ascii="Times New Roman" w:eastAsia="SimSun" w:hAnsi="Times New Roman" w:cs="Times New Roman"/>
          <w:b/>
          <w:bCs/>
          <w:color w:val="FF0000"/>
        </w:rPr>
      </w:pPr>
    </w:p>
    <w:p w:rsidR="006A08FD" w:rsidRPr="005154A7" w:rsidRDefault="006A08FD" w:rsidP="0087714A">
      <w:pPr>
        <w:spacing w:after="0" w:line="360" w:lineRule="auto"/>
        <w:ind w:right="-64"/>
        <w:jc w:val="both"/>
        <w:rPr>
          <w:rFonts w:ascii="Times New Roman" w:eastAsia="SimSun" w:hAnsi="Times New Roman" w:cs="Times New Roman"/>
          <w:b/>
          <w:bCs/>
          <w:color w:val="FF0000"/>
        </w:rPr>
      </w:pPr>
    </w:p>
    <w:p w:rsidR="006A08FD" w:rsidRPr="005154A7" w:rsidRDefault="006A08FD" w:rsidP="0087714A">
      <w:pPr>
        <w:spacing w:after="0" w:line="360" w:lineRule="auto"/>
        <w:ind w:right="-64"/>
        <w:jc w:val="both"/>
        <w:rPr>
          <w:rFonts w:ascii="Times New Roman" w:eastAsia="SimSun" w:hAnsi="Times New Roman" w:cs="Times New Roman"/>
          <w:b/>
          <w:bCs/>
          <w:color w:val="FF0000"/>
        </w:rPr>
      </w:pPr>
    </w:p>
    <w:p w:rsidR="006A08FD" w:rsidRPr="005154A7" w:rsidRDefault="006A08FD" w:rsidP="0087714A">
      <w:pPr>
        <w:spacing w:after="0" w:line="360" w:lineRule="auto"/>
        <w:ind w:right="-64"/>
        <w:jc w:val="both"/>
        <w:rPr>
          <w:rFonts w:ascii="Times New Roman" w:eastAsia="SimSun" w:hAnsi="Times New Roman" w:cs="Times New Roman"/>
          <w:b/>
          <w:bCs/>
          <w:color w:val="FF0000"/>
        </w:rPr>
      </w:pPr>
    </w:p>
    <w:p w:rsidR="00815D0F" w:rsidRPr="005154A7" w:rsidRDefault="006466F8" w:rsidP="00815D0F">
      <w:pPr>
        <w:spacing w:after="0" w:line="360" w:lineRule="auto"/>
        <w:ind w:right="-64"/>
        <w:jc w:val="both"/>
        <w:rPr>
          <w:rFonts w:ascii="Times New Roman" w:eastAsia="SimSun" w:hAnsi="Times New Roman" w:cs="Times New Roman"/>
          <w:b/>
          <w:bCs/>
        </w:rPr>
      </w:pPr>
      <w:r w:rsidRPr="005154A7">
        <w:rPr>
          <w:rFonts w:ascii="Times New Roman" w:eastAsia="SimSun" w:hAnsi="Times New Roman" w:cs="Times New Roman"/>
          <w:b/>
          <w:bCs/>
        </w:rPr>
        <w:t>Introduction</w:t>
      </w:r>
    </w:p>
    <w:p w:rsidR="00815D0F" w:rsidRPr="005154A7" w:rsidRDefault="00815D0F" w:rsidP="00815D0F">
      <w:pPr>
        <w:spacing w:after="0" w:line="360" w:lineRule="auto"/>
        <w:ind w:right="-64"/>
        <w:jc w:val="both"/>
        <w:rPr>
          <w:rFonts w:ascii="Times New Roman" w:eastAsia="SimSun" w:hAnsi="Times New Roman" w:cs="Times New Roman"/>
          <w:bCs/>
        </w:rPr>
      </w:pPr>
      <w:r w:rsidRPr="005154A7">
        <w:rPr>
          <w:rFonts w:ascii="Times New Roman" w:eastAsia="SimSun" w:hAnsi="Times New Roman" w:cs="Times New Roman"/>
          <w:bCs/>
        </w:rPr>
        <w:t xml:space="preserve">Poverty remains one of the most persistent development challenges in rural Bangladesh, where households commonly face limited access to income-generating opportunities, inadequate financial services, and low asset accumulation. National and international development agencies have introduced various poverty-alleviation programmes to address these issues, among which integrated community </w:t>
      </w:r>
      <w:r w:rsidRPr="005154A7">
        <w:rPr>
          <w:rFonts w:ascii="Times New Roman" w:eastAsia="SimSun" w:hAnsi="Times New Roman" w:cs="Times New Roman"/>
          <w:bCs/>
        </w:rPr>
        <w:lastRenderedPageBreak/>
        <w:t>development models have gained particular attention for their holistic</w:t>
      </w:r>
      <w:r w:rsidR="00C747BA" w:rsidRPr="005154A7">
        <w:rPr>
          <w:rFonts w:ascii="Times New Roman" w:eastAsia="SimSun" w:hAnsi="Times New Roman" w:cs="Times New Roman"/>
          <w:bCs/>
        </w:rPr>
        <w:t xml:space="preserve"> approach. The ENRICH programme (</w:t>
      </w:r>
      <w:r w:rsidRPr="005154A7">
        <w:rPr>
          <w:rFonts w:ascii="Times New Roman" w:eastAsia="SimSun" w:hAnsi="Times New Roman" w:cs="Times New Roman"/>
          <w:bCs/>
        </w:rPr>
        <w:t>Enhancing Resources and Increasing Capacities of Poor Households towar</w:t>
      </w:r>
      <w:r w:rsidR="00C747BA" w:rsidRPr="005154A7">
        <w:rPr>
          <w:rFonts w:ascii="Times New Roman" w:eastAsia="SimSun" w:hAnsi="Times New Roman" w:cs="Times New Roman"/>
          <w:bCs/>
        </w:rPr>
        <w:t xml:space="preserve">ds Elimination of their Poverty) </w:t>
      </w:r>
      <w:r w:rsidRPr="005154A7">
        <w:rPr>
          <w:rFonts w:ascii="Times New Roman" w:eastAsia="SimSun" w:hAnsi="Times New Roman" w:cs="Times New Roman"/>
          <w:bCs/>
        </w:rPr>
        <w:t>was designed</w:t>
      </w:r>
      <w:r w:rsidR="00C747BA" w:rsidRPr="005154A7">
        <w:rPr>
          <w:rFonts w:ascii="Times New Roman" w:eastAsia="SimSun" w:hAnsi="Times New Roman" w:cs="Times New Roman"/>
          <w:bCs/>
        </w:rPr>
        <w:t xml:space="preserve"> by PKSF (Palli Karma-Sahayak Foundation) </w:t>
      </w:r>
      <w:r w:rsidRPr="005154A7">
        <w:rPr>
          <w:rFonts w:ascii="Times New Roman" w:eastAsia="SimSun" w:hAnsi="Times New Roman" w:cs="Times New Roman"/>
          <w:bCs/>
        </w:rPr>
        <w:t xml:space="preserve">to break the intergenerational cycle of deprivation by improving income, assets, health, and financial resilience of rural families. Understanding the effectiveness of such interventions is crucial, especially in regions where structural poverty and vulnerability persist </w:t>
      </w:r>
      <w:r w:rsidR="00D92755" w:rsidRPr="005154A7">
        <w:rPr>
          <w:rFonts w:ascii="Times New Roman" w:eastAsia="SimSun" w:hAnsi="Times New Roman" w:cs="Times New Roman"/>
          <w:bCs/>
        </w:rPr>
        <w:t xml:space="preserve">(PKSF 2019; </w:t>
      </w:r>
      <w:r w:rsidRPr="005154A7">
        <w:rPr>
          <w:rFonts w:ascii="Times New Roman" w:eastAsia="SimSun" w:hAnsi="Times New Roman" w:cs="Times New Roman"/>
          <w:bCs/>
        </w:rPr>
        <w:t>Haq &amp; Rahman, 2019; World Bank, 2015).</w:t>
      </w:r>
    </w:p>
    <w:p w:rsidR="00815D0F" w:rsidRPr="005154A7" w:rsidRDefault="00815D0F" w:rsidP="00815D0F">
      <w:pPr>
        <w:spacing w:after="0" w:line="360" w:lineRule="auto"/>
        <w:ind w:right="-64"/>
        <w:jc w:val="both"/>
        <w:rPr>
          <w:rFonts w:ascii="Times New Roman" w:eastAsia="SimSun" w:hAnsi="Times New Roman" w:cs="Times New Roman"/>
          <w:bCs/>
        </w:rPr>
      </w:pPr>
    </w:p>
    <w:p w:rsidR="00815D0F" w:rsidRPr="005154A7" w:rsidRDefault="00815D0F" w:rsidP="00815D0F">
      <w:pPr>
        <w:spacing w:after="0" w:line="360" w:lineRule="auto"/>
        <w:ind w:right="-64"/>
        <w:jc w:val="both"/>
        <w:rPr>
          <w:rFonts w:ascii="Times New Roman" w:eastAsia="SimSun" w:hAnsi="Times New Roman" w:cs="Times New Roman"/>
          <w:bCs/>
        </w:rPr>
      </w:pPr>
      <w:r w:rsidRPr="005154A7">
        <w:rPr>
          <w:rFonts w:ascii="Times New Roman" w:eastAsia="SimSun" w:hAnsi="Times New Roman" w:cs="Times New Roman"/>
          <w:bCs/>
        </w:rPr>
        <w:t>Poverty alleviation strategies in Bangladesh have historically emphasized microfinance, agricultural development, and social safety-net programmes. Microfinance</w:t>
      </w:r>
      <w:r w:rsidR="00C747BA" w:rsidRPr="005154A7">
        <w:rPr>
          <w:rFonts w:ascii="Times New Roman" w:eastAsia="SimSun" w:hAnsi="Times New Roman" w:cs="Times New Roman"/>
          <w:bCs/>
        </w:rPr>
        <w:t xml:space="preserve"> </w:t>
      </w:r>
      <w:r w:rsidRPr="005154A7">
        <w:rPr>
          <w:rFonts w:ascii="Times New Roman" w:eastAsia="SimSun" w:hAnsi="Times New Roman" w:cs="Times New Roman"/>
          <w:bCs/>
        </w:rPr>
        <w:t>has demonstrated significant contributions to income generation, women’s empowerment, and financial inclusion (Rahman, 2004; Ahmed, 2015). However, studies reveal that microfinance alone often fails to create sustainable poverty reduction without complementary interventions such as capacity building, health support, and asset creation (Sen, 1999). Integrated programmes like ENRICH attempt to fill this gap by combining credit with livelihood development, health services, insurance, and savings products.</w:t>
      </w:r>
    </w:p>
    <w:p w:rsidR="00815D0F" w:rsidRPr="005154A7" w:rsidRDefault="00815D0F" w:rsidP="00815D0F">
      <w:pPr>
        <w:spacing w:after="0" w:line="360" w:lineRule="auto"/>
        <w:ind w:right="-64"/>
        <w:jc w:val="both"/>
        <w:rPr>
          <w:rFonts w:ascii="Times New Roman" w:eastAsia="SimSun" w:hAnsi="Times New Roman" w:cs="Times New Roman"/>
          <w:bCs/>
        </w:rPr>
      </w:pPr>
    </w:p>
    <w:p w:rsidR="00815D0F" w:rsidRPr="005154A7" w:rsidRDefault="00815D0F" w:rsidP="00815D0F">
      <w:pPr>
        <w:spacing w:after="0" w:line="360" w:lineRule="auto"/>
        <w:ind w:right="-64"/>
        <w:jc w:val="both"/>
        <w:rPr>
          <w:rFonts w:ascii="Times New Roman" w:eastAsia="SimSun" w:hAnsi="Times New Roman" w:cs="Times New Roman"/>
          <w:bCs/>
        </w:rPr>
      </w:pPr>
      <w:r w:rsidRPr="005154A7">
        <w:rPr>
          <w:rFonts w:ascii="Times New Roman" w:eastAsia="SimSun" w:hAnsi="Times New Roman" w:cs="Times New Roman"/>
          <w:bCs/>
        </w:rPr>
        <w:t xml:space="preserve">Existing literature further highlights that household economic well-being depends not only on income but also on expenditure </w:t>
      </w:r>
      <w:r w:rsidR="00C747BA" w:rsidRPr="005154A7">
        <w:rPr>
          <w:rFonts w:ascii="Times New Roman" w:eastAsia="SimSun" w:hAnsi="Times New Roman" w:cs="Times New Roman"/>
          <w:bCs/>
        </w:rPr>
        <w:t>behaviour</w:t>
      </w:r>
      <w:r w:rsidRPr="005154A7">
        <w:rPr>
          <w:rFonts w:ascii="Times New Roman" w:eastAsia="SimSun" w:hAnsi="Times New Roman" w:cs="Times New Roman"/>
          <w:bCs/>
        </w:rPr>
        <w:t>, employment diversification, and accumulation of productive assets (Field, 2013; Bryman</w:t>
      </w:r>
      <w:r w:rsidR="00C747BA" w:rsidRPr="005154A7">
        <w:rPr>
          <w:rFonts w:ascii="Times New Roman" w:eastAsia="SimSun" w:hAnsi="Times New Roman" w:cs="Times New Roman"/>
          <w:bCs/>
        </w:rPr>
        <w:t xml:space="preserve">, 2016). Income diversification </w:t>
      </w:r>
      <w:r w:rsidRPr="005154A7">
        <w:rPr>
          <w:rFonts w:ascii="Times New Roman" w:eastAsia="SimSun" w:hAnsi="Times New Roman" w:cs="Times New Roman"/>
          <w:bCs/>
        </w:rPr>
        <w:t>especia</w:t>
      </w:r>
      <w:r w:rsidR="00C747BA" w:rsidRPr="005154A7">
        <w:rPr>
          <w:rFonts w:ascii="Times New Roman" w:eastAsia="SimSun" w:hAnsi="Times New Roman" w:cs="Times New Roman"/>
          <w:bCs/>
        </w:rPr>
        <w:t xml:space="preserve">lly through non-farm activities </w:t>
      </w:r>
      <w:r w:rsidRPr="005154A7">
        <w:rPr>
          <w:rFonts w:ascii="Times New Roman" w:eastAsia="SimSun" w:hAnsi="Times New Roman" w:cs="Times New Roman"/>
          <w:bCs/>
        </w:rPr>
        <w:t>plays a pivotal role in rural resilience, enabling families to mitigate risks associated with agricultural dependency (Creswell &amp; Poth, 2017). Likewise, increases in household assets such as livestock, land improvements, and savings directly contribute to long-term financial security and protect households from shocks (Sen, 1999).</w:t>
      </w:r>
    </w:p>
    <w:p w:rsidR="00815D0F" w:rsidRPr="005154A7" w:rsidRDefault="00815D0F" w:rsidP="00815D0F">
      <w:pPr>
        <w:spacing w:after="0" w:line="360" w:lineRule="auto"/>
        <w:ind w:right="-64"/>
        <w:jc w:val="both"/>
        <w:rPr>
          <w:rFonts w:ascii="Times New Roman" w:eastAsia="SimSun" w:hAnsi="Times New Roman" w:cs="Times New Roman"/>
          <w:bCs/>
        </w:rPr>
      </w:pPr>
    </w:p>
    <w:p w:rsidR="00FF71E9" w:rsidRPr="005154A7" w:rsidRDefault="00FF71E9" w:rsidP="00815D0F">
      <w:pPr>
        <w:spacing w:after="0" w:line="360" w:lineRule="auto"/>
        <w:ind w:right="-64"/>
        <w:jc w:val="both"/>
        <w:rPr>
          <w:rFonts w:ascii="Times New Roman" w:eastAsia="SimSun" w:hAnsi="Times New Roman" w:cs="Times New Roman"/>
          <w:bCs/>
        </w:rPr>
      </w:pPr>
      <w:r w:rsidRPr="005154A7">
        <w:rPr>
          <w:rFonts w:ascii="Times New Roman" w:eastAsia="SimSun" w:hAnsi="Times New Roman" w:cs="Times New Roman"/>
          <w:bCs/>
        </w:rPr>
        <w:t>The ENRICH programme aligns closely with the global development agenda, particularly the United Nations Sustainable Development Goals (SDGs). By focusing on income generation, asset formation, and financial inclusion, ENRICH directly contributes to SDG 1 (No Poverty) (United Nations, 2015; PKSF, 2020). Its emphasis on productive employment and economic empowerment resonates with SDG 8 (Decent Work and Economic Growth) (ILO, 2017). Improved access to services such as health, renewable energy (solar/biogas), and financial tools further supports SDG 10 (Reduced Inequalities) and SDG 11 (Sustainable Communities) (UNDP, 2018; World Bank, 2015). Additionally, ENRICH’s inclusive financial interventions, especially those enabling women’s participation in income-earning activities, promote SDG 5 (Gender Equality) (OECD, 2019; UN Women, 2018).</w:t>
      </w:r>
    </w:p>
    <w:p w:rsidR="00815D0F" w:rsidRPr="005154A7" w:rsidRDefault="00815D0F" w:rsidP="00815D0F">
      <w:pPr>
        <w:spacing w:after="0" w:line="360" w:lineRule="auto"/>
        <w:ind w:right="-64"/>
        <w:jc w:val="both"/>
        <w:rPr>
          <w:rFonts w:ascii="Times New Roman" w:eastAsia="SimSun" w:hAnsi="Times New Roman" w:cs="Times New Roman"/>
          <w:bCs/>
        </w:rPr>
      </w:pPr>
    </w:p>
    <w:p w:rsidR="00815D0F" w:rsidRPr="005154A7" w:rsidRDefault="00815D0F" w:rsidP="00815D0F">
      <w:pPr>
        <w:spacing w:after="0" w:line="360" w:lineRule="auto"/>
        <w:ind w:right="-64"/>
        <w:jc w:val="both"/>
        <w:rPr>
          <w:rFonts w:ascii="Times New Roman" w:eastAsia="SimSun" w:hAnsi="Times New Roman" w:cs="Times New Roman"/>
          <w:bCs/>
        </w:rPr>
      </w:pPr>
      <w:r w:rsidRPr="005154A7">
        <w:rPr>
          <w:rFonts w:ascii="Times New Roman" w:eastAsia="SimSun" w:hAnsi="Times New Roman" w:cs="Times New Roman"/>
          <w:bCs/>
        </w:rPr>
        <w:t xml:space="preserve">Despite the relevance of such integrated programmes, empirical evaluations that compare programme and non-programme areas remain limited. There is a need for rigorous quantitative assessments that examine how interventions like ENRICH influence income dynamics, expenditure patterns, asset </w:t>
      </w:r>
      <w:r w:rsidRPr="005154A7">
        <w:rPr>
          <w:rFonts w:ascii="Times New Roman" w:eastAsia="SimSun" w:hAnsi="Times New Roman" w:cs="Times New Roman"/>
          <w:bCs/>
        </w:rPr>
        <w:lastRenderedPageBreak/>
        <w:t>creation, and financial behavior. By comparing Durgapur Union (programme area) and Chandigar Union (control area), this study fills a significant research gap by providing evidence on the programme’s effectiveness in promoting economic well-being in rural Bangladesh. The findings of such assessments not only contribute to academic discourse but also inform policymakers and development practitioners seeking scalable and sustainable poverty reduction models.</w:t>
      </w:r>
    </w:p>
    <w:p w:rsidR="00C747BA" w:rsidRPr="005154A7" w:rsidRDefault="00C747BA" w:rsidP="00815D0F">
      <w:pPr>
        <w:spacing w:after="0" w:line="360" w:lineRule="auto"/>
        <w:ind w:right="-64"/>
        <w:jc w:val="both"/>
        <w:rPr>
          <w:rFonts w:ascii="Times New Roman" w:eastAsia="SimSun" w:hAnsi="Times New Roman" w:cs="Times New Roman"/>
          <w:bCs/>
        </w:rPr>
      </w:pPr>
    </w:p>
    <w:p w:rsidR="008A3FE2" w:rsidRPr="005154A7" w:rsidRDefault="00617644" w:rsidP="00617644">
      <w:pPr>
        <w:pStyle w:val="NormalWeb"/>
        <w:spacing w:before="0" w:beforeAutospacing="0" w:after="0" w:afterAutospacing="0" w:line="360" w:lineRule="auto"/>
        <w:ind w:right="-64"/>
        <w:jc w:val="both"/>
        <w:rPr>
          <w:b/>
          <w:bCs/>
          <w:sz w:val="22"/>
          <w:szCs w:val="22"/>
        </w:rPr>
      </w:pPr>
      <w:r w:rsidRPr="005154A7">
        <w:rPr>
          <w:b/>
          <w:bCs/>
          <w:sz w:val="22"/>
          <w:szCs w:val="22"/>
        </w:rPr>
        <w:t xml:space="preserve">Methods and </w:t>
      </w:r>
      <w:r w:rsidR="0071564F" w:rsidRPr="005154A7">
        <w:rPr>
          <w:b/>
          <w:bCs/>
          <w:sz w:val="22"/>
          <w:szCs w:val="22"/>
        </w:rPr>
        <w:t>m</w:t>
      </w:r>
      <w:r w:rsidRPr="005154A7">
        <w:rPr>
          <w:b/>
          <w:bCs/>
          <w:sz w:val="22"/>
          <w:szCs w:val="22"/>
        </w:rPr>
        <w:t>aterials</w:t>
      </w:r>
    </w:p>
    <w:p w:rsidR="008A3FE2" w:rsidRPr="005154A7" w:rsidRDefault="0071564F" w:rsidP="00E02782">
      <w:pPr>
        <w:pStyle w:val="NormalWeb"/>
        <w:spacing w:before="0" w:beforeAutospacing="0" w:after="0" w:afterAutospacing="0" w:line="360" w:lineRule="auto"/>
        <w:ind w:right="-64"/>
        <w:jc w:val="both"/>
        <w:rPr>
          <w:b/>
          <w:sz w:val="22"/>
          <w:szCs w:val="22"/>
        </w:rPr>
      </w:pPr>
      <w:r w:rsidRPr="005154A7">
        <w:rPr>
          <w:b/>
          <w:sz w:val="22"/>
          <w:szCs w:val="22"/>
        </w:rPr>
        <w:t>Research d</w:t>
      </w:r>
      <w:r w:rsidR="008A3FE2" w:rsidRPr="005154A7">
        <w:rPr>
          <w:b/>
          <w:sz w:val="22"/>
          <w:szCs w:val="22"/>
        </w:rPr>
        <w:t>esign</w:t>
      </w:r>
    </w:p>
    <w:p w:rsidR="008A3FE2" w:rsidRPr="005154A7" w:rsidRDefault="008A3FE2" w:rsidP="00E02782">
      <w:pPr>
        <w:pStyle w:val="NormalWeb"/>
        <w:spacing w:before="0" w:beforeAutospacing="0" w:after="0" w:afterAutospacing="0" w:line="360" w:lineRule="auto"/>
        <w:ind w:right="-64"/>
        <w:jc w:val="both"/>
        <w:rPr>
          <w:sz w:val="22"/>
          <w:szCs w:val="22"/>
        </w:rPr>
      </w:pPr>
      <w:r w:rsidRPr="005154A7">
        <w:rPr>
          <w:sz w:val="22"/>
          <w:szCs w:val="22"/>
        </w:rPr>
        <w:t>This study employs a quantitative research design, utilizing primary data collected through structured household surveys to ensure the reliability and validity of the findings. A cross-sectional survey approach was used, collecting data from both programme and non-programme areas to facilitate a comparative analysis of the impact of the ENRICH programme on poverty alleviation. The quantitative approach allows for objective measurement and statistical analysis of the variables under study, ensuring the robustness of the conclusions drawn (Creswell, 2014; Creswell &amp; Poth, 2017).</w:t>
      </w:r>
    </w:p>
    <w:p w:rsidR="008A3FE2" w:rsidRPr="005154A7" w:rsidRDefault="0071564F" w:rsidP="00E02782">
      <w:pPr>
        <w:pStyle w:val="NormalWeb"/>
        <w:spacing w:after="0" w:afterAutospacing="0" w:line="360" w:lineRule="auto"/>
        <w:ind w:right="-64"/>
        <w:jc w:val="both"/>
        <w:rPr>
          <w:b/>
          <w:sz w:val="22"/>
          <w:szCs w:val="22"/>
        </w:rPr>
      </w:pPr>
      <w:r w:rsidRPr="005154A7">
        <w:rPr>
          <w:b/>
          <w:sz w:val="22"/>
          <w:szCs w:val="22"/>
        </w:rPr>
        <w:t>Study a</w:t>
      </w:r>
      <w:r w:rsidR="008A3FE2" w:rsidRPr="005154A7">
        <w:rPr>
          <w:b/>
          <w:sz w:val="22"/>
          <w:szCs w:val="22"/>
        </w:rPr>
        <w:t>rea</w:t>
      </w:r>
    </w:p>
    <w:p w:rsidR="008A3FE2" w:rsidRPr="005154A7" w:rsidRDefault="008A3FE2" w:rsidP="00E02782">
      <w:pPr>
        <w:pStyle w:val="NormalWeb"/>
        <w:spacing w:before="0" w:beforeAutospacing="0" w:line="360" w:lineRule="auto"/>
        <w:ind w:right="-64"/>
        <w:jc w:val="both"/>
        <w:rPr>
          <w:sz w:val="22"/>
          <w:szCs w:val="22"/>
        </w:rPr>
      </w:pPr>
      <w:r w:rsidRPr="005154A7">
        <w:rPr>
          <w:sz w:val="22"/>
          <w:szCs w:val="22"/>
        </w:rPr>
        <w:t>The research was conducted in Durgapur Union (the programme area) and Chandigar Union (the control area) located within the Durgapur Upazila of Netrokona District. The two unions were selected to</w:t>
      </w:r>
      <w:r w:rsidR="0071564F" w:rsidRPr="005154A7">
        <w:rPr>
          <w:sz w:val="22"/>
          <w:szCs w:val="22"/>
        </w:rPr>
        <w:t xml:space="preserve"> represent different conditions </w:t>
      </w:r>
      <w:r w:rsidRPr="005154A7">
        <w:rPr>
          <w:sz w:val="22"/>
          <w:szCs w:val="22"/>
        </w:rPr>
        <w:t>one with the ENRICH programme’s interventions and the other without them. This allows for an evaluation of the programme’s impact on various socio-economic variables (Haq &amp; Rahman, 2019). These unions are located in rural Bangladesh, where poverty is prevalent, making them ideal for assessing the effectiveness of poverty alleviation programs like ENRICH (World Bank, 2015).</w:t>
      </w:r>
    </w:p>
    <w:p w:rsidR="008A3FE2" w:rsidRPr="005154A7" w:rsidRDefault="0071564F" w:rsidP="008A3FE2">
      <w:pPr>
        <w:pStyle w:val="NormalWeb"/>
        <w:spacing w:line="360" w:lineRule="auto"/>
        <w:ind w:right="-64"/>
        <w:jc w:val="both"/>
        <w:rPr>
          <w:b/>
          <w:sz w:val="22"/>
          <w:szCs w:val="22"/>
        </w:rPr>
      </w:pPr>
      <w:r w:rsidRPr="005154A7">
        <w:rPr>
          <w:b/>
          <w:sz w:val="22"/>
          <w:szCs w:val="22"/>
        </w:rPr>
        <w:t>Sampling p</w:t>
      </w:r>
      <w:r w:rsidR="008A3FE2" w:rsidRPr="005154A7">
        <w:rPr>
          <w:b/>
          <w:sz w:val="22"/>
          <w:szCs w:val="22"/>
        </w:rPr>
        <w:t>rocedure</w:t>
      </w:r>
    </w:p>
    <w:p w:rsidR="008A3FE2" w:rsidRPr="005154A7" w:rsidRDefault="008A3FE2" w:rsidP="008A3FE2">
      <w:pPr>
        <w:pStyle w:val="NormalWeb"/>
        <w:spacing w:line="360" w:lineRule="auto"/>
        <w:ind w:right="-64"/>
        <w:jc w:val="both"/>
        <w:rPr>
          <w:sz w:val="22"/>
          <w:szCs w:val="22"/>
        </w:rPr>
      </w:pPr>
      <w:r w:rsidRPr="005154A7">
        <w:rPr>
          <w:sz w:val="22"/>
          <w:szCs w:val="22"/>
        </w:rPr>
        <w:t>A multi-stage sampling technique was used to ensure the sample was representative and unbiased:</w:t>
      </w:r>
    </w:p>
    <w:p w:rsidR="008A3FE2" w:rsidRPr="005154A7" w:rsidRDefault="008A3FE2" w:rsidP="008A3FE2">
      <w:pPr>
        <w:pStyle w:val="NormalWeb"/>
        <w:spacing w:line="360" w:lineRule="auto"/>
        <w:ind w:right="-64"/>
        <w:jc w:val="both"/>
        <w:rPr>
          <w:sz w:val="22"/>
          <w:szCs w:val="22"/>
        </w:rPr>
      </w:pPr>
      <w:r w:rsidRPr="005154A7">
        <w:rPr>
          <w:sz w:val="22"/>
          <w:szCs w:val="22"/>
        </w:rPr>
        <w:t>Stage 1: Two unions were selected: Durgapur Union (programme area) and Chandigar Union (control area).</w:t>
      </w:r>
    </w:p>
    <w:p w:rsidR="008A3FE2" w:rsidRPr="005154A7" w:rsidRDefault="008A3FE2" w:rsidP="008A3FE2">
      <w:pPr>
        <w:pStyle w:val="NormalWeb"/>
        <w:spacing w:line="360" w:lineRule="auto"/>
        <w:ind w:right="-64"/>
        <w:jc w:val="both"/>
        <w:rPr>
          <w:sz w:val="22"/>
          <w:szCs w:val="22"/>
        </w:rPr>
      </w:pPr>
      <w:r w:rsidRPr="005154A7">
        <w:rPr>
          <w:sz w:val="22"/>
          <w:szCs w:val="22"/>
        </w:rPr>
        <w:t>Stage 2: From Durgapur Union, 16 villages were randomly selected, while 15 villages were randomly selected from Chandigar Union.</w:t>
      </w:r>
    </w:p>
    <w:p w:rsidR="008A3FE2" w:rsidRPr="005154A7" w:rsidRDefault="008A3FE2" w:rsidP="008A3FE2">
      <w:pPr>
        <w:pStyle w:val="NormalWeb"/>
        <w:spacing w:line="360" w:lineRule="auto"/>
        <w:ind w:right="-64"/>
        <w:jc w:val="both"/>
        <w:rPr>
          <w:sz w:val="22"/>
          <w:szCs w:val="22"/>
        </w:rPr>
      </w:pPr>
      <w:r w:rsidRPr="005154A7">
        <w:rPr>
          <w:sz w:val="22"/>
          <w:szCs w:val="22"/>
        </w:rPr>
        <w:t>Stage 3: A total of 811 households were surveyed. Of these, 410 households were from the programme area (Durgapur Union), and 401 households were from the control area (Chandigar Union). Simple random sampling was employed at the village level to ensure representativeness and to minimize sampling bias (Kothari, 2004).</w:t>
      </w:r>
    </w:p>
    <w:p w:rsidR="008A3FE2" w:rsidRPr="005154A7" w:rsidRDefault="0071564F" w:rsidP="00E02782">
      <w:pPr>
        <w:pStyle w:val="NormalWeb"/>
        <w:spacing w:after="0" w:afterAutospacing="0" w:line="360" w:lineRule="auto"/>
        <w:ind w:right="-64"/>
        <w:jc w:val="both"/>
        <w:rPr>
          <w:b/>
          <w:sz w:val="22"/>
          <w:szCs w:val="22"/>
        </w:rPr>
      </w:pPr>
      <w:r w:rsidRPr="005154A7">
        <w:rPr>
          <w:b/>
          <w:sz w:val="22"/>
          <w:szCs w:val="22"/>
        </w:rPr>
        <w:lastRenderedPageBreak/>
        <w:t>Data c</w:t>
      </w:r>
      <w:r w:rsidR="008A3FE2" w:rsidRPr="005154A7">
        <w:rPr>
          <w:b/>
          <w:sz w:val="22"/>
          <w:szCs w:val="22"/>
        </w:rPr>
        <w:t>ollection</w:t>
      </w:r>
    </w:p>
    <w:p w:rsidR="008A3FE2" w:rsidRPr="005154A7" w:rsidRDefault="008A3FE2" w:rsidP="00E02782">
      <w:pPr>
        <w:pStyle w:val="NormalWeb"/>
        <w:spacing w:before="0" w:beforeAutospacing="0" w:line="360" w:lineRule="auto"/>
        <w:ind w:right="-64"/>
        <w:jc w:val="both"/>
        <w:rPr>
          <w:sz w:val="22"/>
          <w:szCs w:val="22"/>
        </w:rPr>
      </w:pPr>
      <w:r w:rsidRPr="005154A7">
        <w:rPr>
          <w:sz w:val="22"/>
          <w:szCs w:val="22"/>
        </w:rPr>
        <w:t>Primary data were collected using a structured household survey administered in-person by trained enumerators. The survey included questions related to household income, expenditures, assets, and participation in the ENRICH programme. Surveys were designed to capture detailed information on both quantitative and qualitative aspects of household economic well-being (Bryman, 2016). The enumerators were trained on ethical guidelines, data consistency, and how to minimize bias during data collection.</w:t>
      </w:r>
    </w:p>
    <w:p w:rsidR="008A3FE2" w:rsidRPr="005154A7" w:rsidRDefault="0071564F" w:rsidP="00E02782">
      <w:pPr>
        <w:pStyle w:val="NormalWeb"/>
        <w:spacing w:before="0" w:beforeAutospacing="0" w:after="0" w:afterAutospacing="0" w:line="360" w:lineRule="auto"/>
        <w:ind w:right="-64"/>
        <w:jc w:val="both"/>
        <w:rPr>
          <w:b/>
          <w:sz w:val="22"/>
          <w:szCs w:val="22"/>
        </w:rPr>
      </w:pPr>
      <w:r w:rsidRPr="005154A7">
        <w:rPr>
          <w:b/>
          <w:sz w:val="22"/>
          <w:szCs w:val="22"/>
        </w:rPr>
        <w:t>Data a</w:t>
      </w:r>
      <w:r w:rsidR="008A3FE2" w:rsidRPr="005154A7">
        <w:rPr>
          <w:b/>
          <w:sz w:val="22"/>
          <w:szCs w:val="22"/>
        </w:rPr>
        <w:t>nalysis</w:t>
      </w:r>
      <w:r w:rsidR="001E6939" w:rsidRPr="005154A7">
        <w:rPr>
          <w:b/>
          <w:sz w:val="22"/>
          <w:szCs w:val="22"/>
        </w:rPr>
        <w:t xml:space="preserve"> and statistical significance test</w:t>
      </w:r>
    </w:p>
    <w:p w:rsidR="008A3FE2" w:rsidRPr="005154A7" w:rsidRDefault="008A3FE2" w:rsidP="00B81C59">
      <w:pPr>
        <w:pStyle w:val="NormalWeb"/>
        <w:spacing w:before="0" w:beforeAutospacing="0" w:line="360" w:lineRule="auto"/>
        <w:ind w:right="-64"/>
        <w:jc w:val="both"/>
        <w:rPr>
          <w:sz w:val="22"/>
          <w:szCs w:val="22"/>
        </w:rPr>
      </w:pPr>
      <w:r w:rsidRPr="005154A7">
        <w:rPr>
          <w:sz w:val="22"/>
          <w:szCs w:val="22"/>
        </w:rPr>
        <w:t>Descriptive statistics were used to summarize the demographic characteristics of the sample and provide a general overview of the key economic indicators (mean, standar</w:t>
      </w:r>
      <w:r w:rsidR="00617644" w:rsidRPr="005154A7">
        <w:rPr>
          <w:sz w:val="22"/>
          <w:szCs w:val="22"/>
        </w:rPr>
        <w:t xml:space="preserve">d deviation, percentage, etc.). </w:t>
      </w:r>
      <w:r w:rsidRPr="005154A7">
        <w:rPr>
          <w:sz w:val="22"/>
          <w:szCs w:val="22"/>
        </w:rPr>
        <w:t>Inferential statistics were employed to assess the significance of differences between the programme and non-programme areas (Field, 2013).</w:t>
      </w:r>
      <w:r w:rsidR="00F41228" w:rsidRPr="005154A7">
        <w:rPr>
          <w:sz w:val="22"/>
          <w:szCs w:val="22"/>
        </w:rPr>
        <w:t xml:space="preserve"> </w:t>
      </w:r>
      <w:r w:rsidRPr="005154A7">
        <w:rPr>
          <w:sz w:val="22"/>
          <w:szCs w:val="22"/>
        </w:rPr>
        <w:t>T-tests were used to test the hypothesis that there is a significant difference in household income between the programme and non-programme areas</w:t>
      </w:r>
      <w:r w:rsidR="005E1010" w:rsidRPr="005154A7">
        <w:rPr>
          <w:sz w:val="22"/>
          <w:szCs w:val="22"/>
        </w:rPr>
        <w:t xml:space="preserve"> </w:t>
      </w:r>
      <w:r w:rsidRPr="005154A7">
        <w:rPr>
          <w:sz w:val="22"/>
          <w:szCs w:val="22"/>
        </w:rPr>
        <w:t>(Hair et al., 2010).</w:t>
      </w:r>
      <w:r w:rsidR="00B81C59" w:rsidRPr="005154A7">
        <w:rPr>
          <w:sz w:val="22"/>
          <w:szCs w:val="22"/>
        </w:rPr>
        <w:t xml:space="preserve"> The analysis of the data was performed at a 5% significance level (p &lt; 0.05). Results from t-tests and regression models were interpreted with a focus on identifying statistically significant differences between programme and control areas (Pallant, 2016).</w:t>
      </w:r>
    </w:p>
    <w:p w:rsidR="008A3FE2" w:rsidRPr="005154A7" w:rsidRDefault="0071564F" w:rsidP="008A3FE2">
      <w:pPr>
        <w:pStyle w:val="NormalWeb"/>
        <w:spacing w:line="360" w:lineRule="auto"/>
        <w:ind w:right="-64"/>
        <w:jc w:val="both"/>
        <w:rPr>
          <w:b/>
          <w:sz w:val="22"/>
          <w:szCs w:val="22"/>
        </w:rPr>
      </w:pPr>
      <w:r w:rsidRPr="005154A7">
        <w:rPr>
          <w:b/>
          <w:sz w:val="22"/>
          <w:szCs w:val="22"/>
        </w:rPr>
        <w:t>Indicators of economic w</w:t>
      </w:r>
      <w:r w:rsidR="008A3FE2" w:rsidRPr="005154A7">
        <w:rPr>
          <w:b/>
          <w:sz w:val="22"/>
          <w:szCs w:val="22"/>
        </w:rPr>
        <w:t>ell-being</w:t>
      </w:r>
    </w:p>
    <w:p w:rsidR="008A3FE2" w:rsidRPr="005154A7" w:rsidRDefault="008A3FE2" w:rsidP="008A3FE2">
      <w:pPr>
        <w:pStyle w:val="NormalWeb"/>
        <w:spacing w:line="360" w:lineRule="auto"/>
        <w:ind w:right="-64"/>
        <w:jc w:val="both"/>
        <w:rPr>
          <w:sz w:val="22"/>
          <w:szCs w:val="22"/>
        </w:rPr>
      </w:pPr>
      <w:r w:rsidRPr="005154A7">
        <w:rPr>
          <w:sz w:val="22"/>
          <w:szCs w:val="22"/>
        </w:rPr>
        <w:t>To evaluate the</w:t>
      </w:r>
      <w:r w:rsidR="006F29BA" w:rsidRPr="005154A7">
        <w:rPr>
          <w:sz w:val="22"/>
          <w:szCs w:val="22"/>
        </w:rPr>
        <w:t xml:space="preserve"> poverty reduction</w:t>
      </w:r>
      <w:r w:rsidRPr="005154A7">
        <w:rPr>
          <w:sz w:val="22"/>
          <w:szCs w:val="22"/>
        </w:rPr>
        <w:t xml:space="preserve"> impact of the ENRICH programme, several key indicators were used, including:</w:t>
      </w:r>
    </w:p>
    <w:p w:rsidR="008A3FE2" w:rsidRPr="005154A7" w:rsidRDefault="001A75FF" w:rsidP="008A3FE2">
      <w:pPr>
        <w:pStyle w:val="NormalWeb"/>
        <w:spacing w:line="360" w:lineRule="auto"/>
        <w:ind w:right="-64"/>
        <w:jc w:val="both"/>
        <w:rPr>
          <w:sz w:val="22"/>
          <w:szCs w:val="22"/>
        </w:rPr>
      </w:pPr>
      <w:r w:rsidRPr="005154A7">
        <w:rPr>
          <w:b/>
          <w:sz w:val="22"/>
          <w:szCs w:val="22"/>
        </w:rPr>
        <w:t>Household i</w:t>
      </w:r>
      <w:r w:rsidR="008A3FE2" w:rsidRPr="005154A7">
        <w:rPr>
          <w:b/>
          <w:sz w:val="22"/>
          <w:szCs w:val="22"/>
        </w:rPr>
        <w:t>ncome:</w:t>
      </w:r>
      <w:r w:rsidR="008A3FE2" w:rsidRPr="005154A7">
        <w:rPr>
          <w:sz w:val="22"/>
          <w:szCs w:val="22"/>
        </w:rPr>
        <w:t xml:space="preserve"> The primary source of income for each household was recorded, and the total annual income was calculated. Income sources were categorized into agriculture, livestock, non-farm activities, wages, and other forms of income.</w:t>
      </w:r>
    </w:p>
    <w:p w:rsidR="008A3FE2" w:rsidRPr="005154A7" w:rsidRDefault="001A75FF" w:rsidP="008A3FE2">
      <w:pPr>
        <w:pStyle w:val="NormalWeb"/>
        <w:spacing w:line="360" w:lineRule="auto"/>
        <w:ind w:right="-64"/>
        <w:jc w:val="both"/>
        <w:rPr>
          <w:sz w:val="22"/>
          <w:szCs w:val="22"/>
        </w:rPr>
      </w:pPr>
      <w:r w:rsidRPr="005154A7">
        <w:rPr>
          <w:b/>
          <w:sz w:val="22"/>
          <w:szCs w:val="22"/>
        </w:rPr>
        <w:t>Number of i</w:t>
      </w:r>
      <w:r w:rsidR="006F29BA" w:rsidRPr="005154A7">
        <w:rPr>
          <w:b/>
          <w:sz w:val="22"/>
          <w:szCs w:val="22"/>
        </w:rPr>
        <w:t>ncome e</w:t>
      </w:r>
      <w:r w:rsidR="008A3FE2" w:rsidRPr="005154A7">
        <w:rPr>
          <w:b/>
          <w:sz w:val="22"/>
          <w:szCs w:val="22"/>
        </w:rPr>
        <w:t>arners:</w:t>
      </w:r>
      <w:r w:rsidR="008A3FE2" w:rsidRPr="005154A7">
        <w:rPr>
          <w:sz w:val="22"/>
          <w:szCs w:val="22"/>
        </w:rPr>
        <w:t xml:space="preserve"> The average number of income earners per household in both the programme and control areas was assessed to evaluate the effect of the programme’s income-generating loans on household employment (Ahmed, 2015).</w:t>
      </w:r>
    </w:p>
    <w:p w:rsidR="008A3FE2" w:rsidRPr="005154A7" w:rsidRDefault="006F29BA" w:rsidP="008A3FE2">
      <w:pPr>
        <w:pStyle w:val="NormalWeb"/>
        <w:spacing w:line="360" w:lineRule="auto"/>
        <w:ind w:right="-64"/>
        <w:jc w:val="both"/>
        <w:rPr>
          <w:sz w:val="22"/>
          <w:szCs w:val="22"/>
        </w:rPr>
      </w:pPr>
      <w:r w:rsidRPr="005154A7">
        <w:rPr>
          <w:b/>
          <w:sz w:val="22"/>
          <w:szCs w:val="22"/>
        </w:rPr>
        <w:t>Expenditure p</w:t>
      </w:r>
      <w:r w:rsidR="008A3FE2" w:rsidRPr="005154A7">
        <w:rPr>
          <w:b/>
          <w:sz w:val="22"/>
          <w:szCs w:val="22"/>
        </w:rPr>
        <w:t>atterns:</w:t>
      </w:r>
      <w:r w:rsidR="008A3FE2" w:rsidRPr="005154A7">
        <w:rPr>
          <w:sz w:val="22"/>
          <w:szCs w:val="22"/>
        </w:rPr>
        <w:t xml:space="preserve"> Household expenditures were divided into food and non-food categories. This data helped to identify changes in living standards and resource allocation in programme versus non-programme households.</w:t>
      </w:r>
    </w:p>
    <w:p w:rsidR="008A3FE2" w:rsidRPr="005154A7" w:rsidRDefault="001A75FF" w:rsidP="008A3FE2">
      <w:pPr>
        <w:pStyle w:val="NormalWeb"/>
        <w:spacing w:line="360" w:lineRule="auto"/>
        <w:ind w:right="-64"/>
        <w:jc w:val="both"/>
        <w:rPr>
          <w:sz w:val="22"/>
          <w:szCs w:val="22"/>
        </w:rPr>
      </w:pPr>
      <w:r w:rsidRPr="005154A7">
        <w:rPr>
          <w:b/>
          <w:sz w:val="22"/>
          <w:szCs w:val="22"/>
        </w:rPr>
        <w:t>Asset c</w:t>
      </w:r>
      <w:r w:rsidR="008A3FE2" w:rsidRPr="005154A7">
        <w:rPr>
          <w:b/>
          <w:sz w:val="22"/>
          <w:szCs w:val="22"/>
        </w:rPr>
        <w:t>reation:</w:t>
      </w:r>
      <w:r w:rsidR="008A3FE2" w:rsidRPr="005154A7">
        <w:rPr>
          <w:sz w:val="22"/>
          <w:szCs w:val="22"/>
        </w:rPr>
        <w:t xml:space="preserve"> The creation of new assets by households, including physical assets (such as land and housing improvements) and financial assets (such as savings and insurance), was examined as an indicator of long-term economic improvement (Sen, 1999).</w:t>
      </w:r>
    </w:p>
    <w:p w:rsidR="008A3FE2" w:rsidRPr="005154A7" w:rsidRDefault="001A75FF" w:rsidP="008A3FE2">
      <w:pPr>
        <w:pStyle w:val="NormalWeb"/>
        <w:spacing w:line="360" w:lineRule="auto"/>
        <w:ind w:right="-64"/>
        <w:jc w:val="both"/>
        <w:rPr>
          <w:sz w:val="22"/>
          <w:szCs w:val="22"/>
        </w:rPr>
      </w:pPr>
      <w:r w:rsidRPr="005154A7">
        <w:rPr>
          <w:b/>
          <w:sz w:val="22"/>
          <w:szCs w:val="22"/>
        </w:rPr>
        <w:lastRenderedPageBreak/>
        <w:t>Access to financial s</w:t>
      </w:r>
      <w:r w:rsidR="008A3FE2" w:rsidRPr="005154A7">
        <w:rPr>
          <w:b/>
          <w:sz w:val="22"/>
          <w:szCs w:val="22"/>
        </w:rPr>
        <w:t>ervices:</w:t>
      </w:r>
      <w:r w:rsidR="008A3FE2" w:rsidRPr="005154A7">
        <w:rPr>
          <w:sz w:val="22"/>
          <w:szCs w:val="22"/>
        </w:rPr>
        <w:t xml:space="preserve"> The participation of households in activities, including loan acquisition and the use of savings accounts, was measured to understand the role of ENRICH’s financial services in fostering economic stability (Rahman, 2004).</w:t>
      </w:r>
    </w:p>
    <w:p w:rsidR="008A3FE2" w:rsidRPr="005154A7" w:rsidRDefault="0071564F" w:rsidP="00E02782">
      <w:pPr>
        <w:pStyle w:val="NormalWeb"/>
        <w:spacing w:before="0" w:beforeAutospacing="0" w:after="0" w:afterAutospacing="0" w:line="360" w:lineRule="auto"/>
        <w:ind w:right="-64"/>
        <w:jc w:val="both"/>
        <w:rPr>
          <w:b/>
          <w:sz w:val="22"/>
          <w:szCs w:val="22"/>
        </w:rPr>
      </w:pPr>
      <w:r w:rsidRPr="005154A7">
        <w:rPr>
          <w:b/>
          <w:sz w:val="22"/>
          <w:szCs w:val="22"/>
        </w:rPr>
        <w:t>Tools and s</w:t>
      </w:r>
      <w:r w:rsidR="008A3FE2" w:rsidRPr="005154A7">
        <w:rPr>
          <w:b/>
          <w:sz w:val="22"/>
          <w:szCs w:val="22"/>
        </w:rPr>
        <w:t>oftware</w:t>
      </w:r>
    </w:p>
    <w:p w:rsidR="008A3FE2" w:rsidRPr="005154A7" w:rsidRDefault="008A3FE2" w:rsidP="00E02782">
      <w:pPr>
        <w:pStyle w:val="NormalWeb"/>
        <w:spacing w:before="0" w:beforeAutospacing="0" w:line="360" w:lineRule="auto"/>
        <w:ind w:right="-64"/>
        <w:jc w:val="both"/>
        <w:rPr>
          <w:sz w:val="22"/>
          <w:szCs w:val="22"/>
        </w:rPr>
      </w:pPr>
      <w:r w:rsidRPr="005154A7">
        <w:rPr>
          <w:sz w:val="22"/>
          <w:szCs w:val="22"/>
        </w:rPr>
        <w:t xml:space="preserve">The data were collected using the KOBO tool, and the analysis was conducted using SPSS, STATA, and Microsoft Excel for statistical calculations and data visualization. These tools were instrumental in processing and </w:t>
      </w:r>
      <w:r w:rsidR="00832DC2" w:rsidRPr="005154A7">
        <w:rPr>
          <w:sz w:val="22"/>
          <w:szCs w:val="22"/>
        </w:rPr>
        <w:t>analysing</w:t>
      </w:r>
      <w:r w:rsidRPr="005154A7">
        <w:rPr>
          <w:sz w:val="22"/>
          <w:szCs w:val="22"/>
        </w:rPr>
        <w:t xml:space="preserve"> the large dataset efficiently and accurately.</w:t>
      </w:r>
    </w:p>
    <w:p w:rsidR="006466F8" w:rsidRPr="005154A7" w:rsidRDefault="006466F8" w:rsidP="0087714A">
      <w:pPr>
        <w:spacing w:after="0" w:line="360" w:lineRule="auto"/>
        <w:ind w:right="-64"/>
        <w:jc w:val="both"/>
        <w:rPr>
          <w:rFonts w:ascii="Times New Roman" w:eastAsia="SimSun" w:hAnsi="Times New Roman" w:cs="Times New Roman"/>
          <w:b/>
          <w:bCs/>
        </w:rPr>
      </w:pPr>
      <w:r w:rsidRPr="005154A7">
        <w:rPr>
          <w:rFonts w:ascii="Times New Roman" w:eastAsia="SimSun" w:hAnsi="Times New Roman" w:cs="Times New Roman"/>
          <w:b/>
          <w:bCs/>
        </w:rPr>
        <w:t xml:space="preserve">Result and </w:t>
      </w:r>
      <w:r w:rsidR="0071564F" w:rsidRPr="005154A7">
        <w:rPr>
          <w:rFonts w:ascii="Times New Roman" w:eastAsia="SimSun" w:hAnsi="Times New Roman" w:cs="Times New Roman"/>
          <w:b/>
          <w:bCs/>
        </w:rPr>
        <w:t>d</w:t>
      </w:r>
      <w:r w:rsidRPr="005154A7">
        <w:rPr>
          <w:rFonts w:ascii="Times New Roman" w:eastAsia="SimSun" w:hAnsi="Times New Roman" w:cs="Times New Roman"/>
          <w:b/>
          <w:bCs/>
        </w:rPr>
        <w:t>iscussion</w:t>
      </w:r>
    </w:p>
    <w:p w:rsidR="00857ABE" w:rsidRPr="005154A7" w:rsidRDefault="00CA546F" w:rsidP="006F29BA">
      <w:pPr>
        <w:pStyle w:val="BodyText"/>
        <w:spacing w:line="360" w:lineRule="auto"/>
        <w:ind w:right="-64"/>
        <w:jc w:val="both"/>
        <w:rPr>
          <w:rFonts w:ascii="Times New Roman" w:hAnsi="Times New Roman" w:cs="Times New Roman"/>
          <w:sz w:val="22"/>
          <w:szCs w:val="22"/>
        </w:rPr>
      </w:pPr>
      <w:r w:rsidRPr="005154A7">
        <w:rPr>
          <w:rFonts w:ascii="Times New Roman" w:eastAsia="SimSun" w:hAnsi="Times New Roman" w:cs="Times New Roman"/>
          <w:sz w:val="22"/>
          <w:szCs w:val="22"/>
        </w:rPr>
        <w:t xml:space="preserve">Economic </w:t>
      </w:r>
      <w:r w:rsidRPr="005154A7">
        <w:rPr>
          <w:rFonts w:ascii="Times New Roman" w:eastAsia="SimSun" w:hAnsi="Times New Roman" w:cs="Times New Roman"/>
          <w:sz w:val="22"/>
          <w:szCs w:val="22"/>
          <w:lang w:val="en-US"/>
        </w:rPr>
        <w:t>well being</w:t>
      </w:r>
      <w:r w:rsidRPr="005154A7">
        <w:rPr>
          <w:rFonts w:ascii="Times New Roman" w:eastAsia="SimSun" w:hAnsi="Times New Roman" w:cs="Times New Roman"/>
          <w:sz w:val="22"/>
          <w:szCs w:val="22"/>
        </w:rPr>
        <w:t xml:space="preserve"> is a crucial determinant of the standard of living. To evaluate the economic </w:t>
      </w:r>
      <w:r w:rsidRPr="005154A7">
        <w:rPr>
          <w:rFonts w:ascii="Times New Roman" w:eastAsia="SimSun" w:hAnsi="Times New Roman" w:cs="Times New Roman"/>
          <w:sz w:val="22"/>
          <w:szCs w:val="22"/>
          <w:lang w:val="en-US"/>
        </w:rPr>
        <w:t>well being</w:t>
      </w:r>
      <w:r w:rsidRPr="005154A7">
        <w:rPr>
          <w:rFonts w:ascii="Times New Roman" w:eastAsia="SimSun" w:hAnsi="Times New Roman" w:cs="Times New Roman"/>
          <w:sz w:val="22"/>
          <w:szCs w:val="22"/>
        </w:rPr>
        <w:t xml:space="preserve"> of ENRICH households, factors such as household income sources, the number of earning members, income inequality, expenditure patterns (both food and non-food), and asset value </w:t>
      </w:r>
      <w:r w:rsidR="006F29BA" w:rsidRPr="005154A7">
        <w:rPr>
          <w:rFonts w:ascii="Times New Roman" w:eastAsia="SimSun" w:hAnsi="Times New Roman" w:cs="Times New Roman"/>
          <w:sz w:val="22"/>
          <w:szCs w:val="22"/>
        </w:rPr>
        <w:t>had</w:t>
      </w:r>
      <w:r w:rsidRPr="005154A7">
        <w:rPr>
          <w:rFonts w:ascii="Times New Roman" w:eastAsia="SimSun" w:hAnsi="Times New Roman" w:cs="Times New Roman"/>
          <w:sz w:val="22"/>
          <w:szCs w:val="22"/>
        </w:rPr>
        <w:t xml:space="preserve"> been taken into account.</w:t>
      </w:r>
      <w:bookmarkStart w:id="1" w:name="_bookmark35"/>
      <w:bookmarkEnd w:id="1"/>
      <w:r w:rsidR="006F29BA" w:rsidRPr="005154A7">
        <w:rPr>
          <w:rFonts w:ascii="Times New Roman" w:eastAsia="SimSun" w:hAnsi="Times New Roman" w:cs="Times New Roman"/>
          <w:sz w:val="22"/>
          <w:szCs w:val="22"/>
        </w:rPr>
        <w:t xml:space="preserve"> </w:t>
      </w:r>
      <w:r w:rsidRPr="005154A7">
        <w:rPr>
          <w:rFonts w:ascii="Times New Roman" w:eastAsia="SimSun" w:hAnsi="Times New Roman" w:cs="Times New Roman"/>
          <w:sz w:val="22"/>
          <w:szCs w:val="22"/>
        </w:rPr>
        <w:t xml:space="preserve">Data on annual household income </w:t>
      </w:r>
      <w:r w:rsidR="002049A6" w:rsidRPr="005154A7">
        <w:rPr>
          <w:rFonts w:ascii="Times New Roman" w:eastAsia="SimSun" w:hAnsi="Times New Roman" w:cs="Times New Roman"/>
          <w:sz w:val="22"/>
          <w:szCs w:val="22"/>
        </w:rPr>
        <w:t>had</w:t>
      </w:r>
      <w:r w:rsidRPr="005154A7">
        <w:rPr>
          <w:rFonts w:ascii="Times New Roman" w:eastAsia="SimSun" w:hAnsi="Times New Roman" w:cs="Times New Roman"/>
          <w:sz w:val="22"/>
          <w:szCs w:val="22"/>
        </w:rPr>
        <w:t xml:space="preserve"> been gathered from all income sources across all households involved in the study. </w:t>
      </w:r>
      <w:r w:rsidR="00CC3ECA" w:rsidRPr="005154A7">
        <w:rPr>
          <w:rFonts w:ascii="Times New Roman" w:eastAsia="SimSun" w:hAnsi="Times New Roman" w:cs="Times New Roman"/>
          <w:sz w:val="22"/>
          <w:szCs w:val="22"/>
        </w:rPr>
        <w:t xml:space="preserve"> Results were presented in table 1. </w:t>
      </w:r>
      <w:bookmarkStart w:id="2" w:name="_bookmark37"/>
      <w:bookmarkEnd w:id="2"/>
      <w:r w:rsidRPr="005154A7">
        <w:rPr>
          <w:rFonts w:ascii="Times New Roman" w:hAnsi="Times New Roman" w:cs="Times New Roman"/>
          <w:sz w:val="22"/>
          <w:szCs w:val="22"/>
        </w:rPr>
        <w:t xml:space="preserve">In the programme union, </w:t>
      </w:r>
      <w:r w:rsidR="00B116CB" w:rsidRPr="005154A7">
        <w:rPr>
          <w:rFonts w:ascii="Times New Roman" w:hAnsi="Times New Roman" w:cs="Times New Roman"/>
          <w:sz w:val="22"/>
          <w:szCs w:val="22"/>
        </w:rPr>
        <w:t>agriculture made</w:t>
      </w:r>
      <w:r w:rsidRPr="005154A7">
        <w:rPr>
          <w:rFonts w:ascii="Times New Roman" w:hAnsi="Times New Roman" w:cs="Times New Roman"/>
          <w:sz w:val="22"/>
          <w:szCs w:val="22"/>
        </w:rPr>
        <w:t xml:space="preserve"> the largest contribution to household income, accounting for about 44.14% of the total annual income. In the non-programme union, in</w:t>
      </w:r>
      <w:r w:rsidR="00B116CB" w:rsidRPr="005154A7">
        <w:rPr>
          <w:rFonts w:ascii="Times New Roman" w:hAnsi="Times New Roman" w:cs="Times New Roman"/>
          <w:sz w:val="22"/>
          <w:szCs w:val="22"/>
        </w:rPr>
        <w:t>come from agriculture represented</w:t>
      </w:r>
      <w:r w:rsidRPr="005154A7">
        <w:rPr>
          <w:rFonts w:ascii="Times New Roman" w:hAnsi="Times New Roman" w:cs="Times New Roman"/>
          <w:sz w:val="22"/>
          <w:szCs w:val="22"/>
        </w:rPr>
        <w:t xml:space="preserve"> the largest share, making up 41.60% of the total household income. The second-largest source of income in the programme union </w:t>
      </w:r>
      <w:r w:rsidR="00B116CB" w:rsidRPr="005154A7">
        <w:rPr>
          <w:rFonts w:ascii="Times New Roman" w:hAnsi="Times New Roman" w:cs="Times New Roman"/>
          <w:sz w:val="22"/>
          <w:szCs w:val="22"/>
        </w:rPr>
        <w:t>was</w:t>
      </w:r>
      <w:r w:rsidRPr="005154A7">
        <w:rPr>
          <w:rFonts w:ascii="Times New Roman" w:hAnsi="Times New Roman" w:cs="Times New Roman"/>
          <w:sz w:val="22"/>
          <w:szCs w:val="22"/>
        </w:rPr>
        <w:t xml:space="preserve"> non-firm activities, contributing around 18%, while wages account for about 23% in the non-programme union. The third-largest income contributor </w:t>
      </w:r>
      <w:r w:rsidR="00B116CB" w:rsidRPr="005154A7">
        <w:rPr>
          <w:rFonts w:ascii="Times New Roman" w:hAnsi="Times New Roman" w:cs="Times New Roman"/>
          <w:sz w:val="22"/>
          <w:szCs w:val="22"/>
        </w:rPr>
        <w:t>was</w:t>
      </w:r>
      <w:r w:rsidRPr="005154A7">
        <w:rPr>
          <w:rFonts w:ascii="Times New Roman" w:hAnsi="Times New Roman" w:cs="Times New Roman"/>
          <w:sz w:val="22"/>
          <w:szCs w:val="22"/>
        </w:rPr>
        <w:t xml:space="preserve"> salaried jobs in the programme union (15.41%) and non-firm activities in the non-programme union. For the fourth-largest source, livestock/fisheries </w:t>
      </w:r>
      <w:r w:rsidR="00F4444A" w:rsidRPr="005154A7">
        <w:rPr>
          <w:rFonts w:ascii="Times New Roman" w:hAnsi="Times New Roman" w:cs="Times New Roman"/>
          <w:sz w:val="22"/>
          <w:szCs w:val="22"/>
        </w:rPr>
        <w:t>were</w:t>
      </w:r>
      <w:r w:rsidRPr="005154A7">
        <w:rPr>
          <w:rFonts w:ascii="Times New Roman" w:hAnsi="Times New Roman" w:cs="Times New Roman"/>
          <w:sz w:val="22"/>
          <w:szCs w:val="22"/>
        </w:rPr>
        <w:t xml:space="preserve"> most significant in the programme and non-programme union.</w:t>
      </w:r>
    </w:p>
    <w:p w:rsidR="00CC3ECA" w:rsidRPr="005154A7" w:rsidRDefault="00CC3ECA" w:rsidP="00CC3ECA">
      <w:pPr>
        <w:pStyle w:val="Heading4"/>
        <w:spacing w:before="0" w:line="360" w:lineRule="auto"/>
        <w:ind w:left="932" w:right="-64"/>
        <w:rPr>
          <w:rFonts w:ascii="Times New Roman" w:hAnsi="Times New Roman" w:cs="Times New Roman"/>
          <w:b w:val="0"/>
          <w:spacing w:val="-2"/>
          <w:sz w:val="22"/>
          <w:szCs w:val="22"/>
        </w:rPr>
      </w:pPr>
      <w:r w:rsidRPr="005154A7">
        <w:rPr>
          <w:rFonts w:ascii="Times New Roman" w:hAnsi="Times New Roman" w:cs="Times New Roman"/>
          <w:b w:val="0"/>
          <w:sz w:val="22"/>
          <w:szCs w:val="22"/>
        </w:rPr>
        <w:t>Table</w:t>
      </w:r>
      <w:r w:rsidRPr="005154A7">
        <w:rPr>
          <w:rFonts w:ascii="Times New Roman" w:hAnsi="Times New Roman" w:cs="Times New Roman"/>
          <w:b w:val="0"/>
          <w:spacing w:val="-3"/>
          <w:sz w:val="22"/>
          <w:szCs w:val="22"/>
        </w:rPr>
        <w:t xml:space="preserve"> </w:t>
      </w:r>
      <w:r w:rsidRPr="005154A7">
        <w:rPr>
          <w:rFonts w:ascii="Times New Roman" w:hAnsi="Times New Roman" w:cs="Times New Roman"/>
          <w:b w:val="0"/>
          <w:sz w:val="22"/>
          <w:szCs w:val="22"/>
        </w:rPr>
        <w:t>1.</w:t>
      </w:r>
      <w:r w:rsidRPr="005154A7">
        <w:rPr>
          <w:rFonts w:ascii="Times New Roman" w:hAnsi="Times New Roman" w:cs="Times New Roman"/>
          <w:b w:val="0"/>
          <w:spacing w:val="-1"/>
          <w:sz w:val="22"/>
          <w:szCs w:val="22"/>
        </w:rPr>
        <w:t xml:space="preserve"> </w:t>
      </w:r>
      <w:r w:rsidRPr="005154A7">
        <w:rPr>
          <w:rFonts w:ascii="Times New Roman" w:hAnsi="Times New Roman" w:cs="Times New Roman"/>
          <w:b w:val="0"/>
          <w:sz w:val="22"/>
          <w:szCs w:val="22"/>
        </w:rPr>
        <w:t>Percentage of</w:t>
      </w:r>
      <w:r w:rsidRPr="005154A7">
        <w:rPr>
          <w:rFonts w:ascii="Times New Roman" w:hAnsi="Times New Roman" w:cs="Times New Roman"/>
          <w:b w:val="0"/>
          <w:spacing w:val="-1"/>
          <w:sz w:val="22"/>
          <w:szCs w:val="22"/>
        </w:rPr>
        <w:t xml:space="preserve"> </w:t>
      </w:r>
      <w:r w:rsidRPr="005154A7">
        <w:rPr>
          <w:rFonts w:ascii="Times New Roman" w:hAnsi="Times New Roman" w:cs="Times New Roman"/>
          <w:b w:val="0"/>
          <w:sz w:val="22"/>
          <w:szCs w:val="22"/>
        </w:rPr>
        <w:t>household</w:t>
      </w:r>
      <w:r w:rsidRPr="005154A7">
        <w:rPr>
          <w:rFonts w:ascii="Times New Roman" w:hAnsi="Times New Roman" w:cs="Times New Roman"/>
          <w:b w:val="0"/>
          <w:spacing w:val="-2"/>
          <w:sz w:val="22"/>
          <w:szCs w:val="22"/>
        </w:rPr>
        <w:t xml:space="preserve"> </w:t>
      </w:r>
      <w:r w:rsidRPr="005154A7">
        <w:rPr>
          <w:rFonts w:ascii="Times New Roman" w:hAnsi="Times New Roman" w:cs="Times New Roman"/>
          <w:b w:val="0"/>
          <w:sz w:val="22"/>
          <w:szCs w:val="22"/>
        </w:rPr>
        <w:t>annual</w:t>
      </w:r>
      <w:r w:rsidRPr="005154A7">
        <w:rPr>
          <w:rFonts w:ascii="Times New Roman" w:hAnsi="Times New Roman" w:cs="Times New Roman"/>
          <w:b w:val="0"/>
          <w:spacing w:val="-4"/>
          <w:sz w:val="22"/>
          <w:szCs w:val="22"/>
        </w:rPr>
        <w:t xml:space="preserve"> </w:t>
      </w:r>
      <w:r w:rsidRPr="005154A7">
        <w:rPr>
          <w:rFonts w:ascii="Times New Roman" w:hAnsi="Times New Roman" w:cs="Times New Roman"/>
          <w:b w:val="0"/>
          <w:sz w:val="22"/>
          <w:szCs w:val="22"/>
        </w:rPr>
        <w:t>income</w:t>
      </w:r>
      <w:r w:rsidRPr="005154A7">
        <w:rPr>
          <w:rFonts w:ascii="Times New Roman" w:hAnsi="Times New Roman" w:cs="Times New Roman"/>
          <w:b w:val="0"/>
          <w:spacing w:val="-2"/>
          <w:sz w:val="22"/>
          <w:szCs w:val="22"/>
        </w:rPr>
        <w:t xml:space="preserve"> </w:t>
      </w:r>
      <w:r w:rsidRPr="005154A7">
        <w:rPr>
          <w:rFonts w:ascii="Times New Roman" w:hAnsi="Times New Roman" w:cs="Times New Roman"/>
          <w:b w:val="0"/>
          <w:sz w:val="22"/>
          <w:szCs w:val="22"/>
        </w:rPr>
        <w:t>by</w:t>
      </w:r>
      <w:r w:rsidRPr="005154A7">
        <w:rPr>
          <w:rFonts w:ascii="Times New Roman" w:hAnsi="Times New Roman" w:cs="Times New Roman"/>
          <w:b w:val="0"/>
          <w:spacing w:val="-1"/>
          <w:sz w:val="22"/>
          <w:szCs w:val="22"/>
        </w:rPr>
        <w:t xml:space="preserve"> </w:t>
      </w:r>
      <w:r w:rsidRPr="005154A7">
        <w:rPr>
          <w:rFonts w:ascii="Times New Roman" w:hAnsi="Times New Roman" w:cs="Times New Roman"/>
          <w:b w:val="0"/>
          <w:sz w:val="22"/>
          <w:szCs w:val="22"/>
        </w:rPr>
        <w:t>source</w:t>
      </w:r>
      <w:r w:rsidRPr="005154A7">
        <w:rPr>
          <w:rFonts w:ascii="Times New Roman" w:hAnsi="Times New Roman" w:cs="Times New Roman"/>
          <w:b w:val="0"/>
          <w:spacing w:val="-2"/>
          <w:sz w:val="22"/>
          <w:szCs w:val="22"/>
        </w:rPr>
        <w:t xml:space="preserve"> </w:t>
      </w:r>
    </w:p>
    <w:tbl>
      <w:tblPr>
        <w:tblW w:w="5023" w:type="pct"/>
        <w:tblInd w:w="-20" w:type="dxa"/>
        <w:tblLayout w:type="fixed"/>
        <w:tblLook w:val="04A0" w:firstRow="1" w:lastRow="0" w:firstColumn="1" w:lastColumn="0" w:noHBand="0" w:noVBand="1"/>
      </w:tblPr>
      <w:tblGrid>
        <w:gridCol w:w="537"/>
        <w:gridCol w:w="1993"/>
        <w:gridCol w:w="3796"/>
        <w:gridCol w:w="1075"/>
        <w:gridCol w:w="1667"/>
      </w:tblGrid>
      <w:tr w:rsidR="001E6CE4" w:rsidRPr="005154A7" w:rsidTr="00AF66E1">
        <w:trPr>
          <w:trHeight w:val="255"/>
        </w:trPr>
        <w:tc>
          <w:tcPr>
            <w:tcW w:w="296"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center"/>
              <w:rPr>
                <w:rFonts w:ascii="Times New Roman" w:hAnsi="Times New Roman" w:cs="Times New Roman"/>
                <w:color w:val="000000" w:themeColor="text1"/>
              </w:rPr>
            </w:pPr>
            <w:r w:rsidRPr="005154A7">
              <w:rPr>
                <w:rFonts w:ascii="Times New Roman" w:hAnsi="Times New Roman" w:cs="Times New Roman"/>
                <w:color w:val="000000" w:themeColor="text1"/>
              </w:rPr>
              <w:t>SL</w:t>
            </w:r>
          </w:p>
        </w:tc>
        <w:tc>
          <w:tcPr>
            <w:tcW w:w="1099"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center"/>
              <w:rPr>
                <w:rFonts w:ascii="Times New Roman" w:hAnsi="Times New Roman" w:cs="Times New Roman"/>
                <w:color w:val="000000" w:themeColor="text1"/>
              </w:rPr>
            </w:pPr>
            <w:r w:rsidRPr="005154A7">
              <w:rPr>
                <w:rFonts w:ascii="Times New Roman" w:hAnsi="Times New Roman" w:cs="Times New Roman"/>
                <w:color w:val="000000" w:themeColor="text1"/>
              </w:rPr>
              <w:t>Major indicator</w:t>
            </w:r>
          </w:p>
        </w:tc>
        <w:tc>
          <w:tcPr>
            <w:tcW w:w="2093"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hAnsi="Times New Roman" w:cs="Times New Roman"/>
                <w:color w:val="000000" w:themeColor="text1"/>
              </w:rPr>
            </w:pPr>
            <w:r w:rsidRPr="005154A7">
              <w:rPr>
                <w:rFonts w:ascii="Times New Roman" w:hAnsi="Times New Roman" w:cs="Times New Roman"/>
                <w:color w:val="000000" w:themeColor="text1"/>
              </w:rPr>
              <w:t>Minor indicator</w:t>
            </w:r>
            <w:r w:rsidR="00016BB7" w:rsidRPr="005154A7">
              <w:rPr>
                <w:rFonts w:ascii="Times New Roman" w:hAnsi="Times New Roman" w:cs="Times New Roman"/>
                <w:color w:val="000000" w:themeColor="text1"/>
              </w:rPr>
              <w:t>/factor</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Durgapur</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Chandigarh</w:t>
            </w:r>
          </w:p>
        </w:tc>
      </w:tr>
      <w:tr w:rsidR="001E6CE4" w:rsidRPr="005154A7" w:rsidTr="00AF66E1">
        <w:trPr>
          <w:trHeight w:val="242"/>
        </w:trPr>
        <w:tc>
          <w:tcPr>
            <w:tcW w:w="296" w:type="pct"/>
            <w:tcBorders>
              <w:top w:val="single" w:sz="4" w:space="0" w:color="000000"/>
              <w:left w:val="single" w:sz="4" w:space="0" w:color="000000"/>
              <w:right w:val="single" w:sz="4" w:space="0" w:color="000000"/>
            </w:tcBorders>
            <w:vAlign w:val="center"/>
          </w:tcPr>
          <w:p w:rsidR="00E557ED" w:rsidRPr="005154A7" w:rsidRDefault="00E557ED" w:rsidP="001E6CE4">
            <w:pPr>
              <w:spacing w:after="0" w:line="240" w:lineRule="auto"/>
              <w:rPr>
                <w:rFonts w:ascii="Times New Roman" w:hAnsi="Times New Roman" w:cs="Times New Roman"/>
                <w:color w:val="000000" w:themeColor="text1"/>
              </w:rPr>
            </w:pPr>
          </w:p>
        </w:tc>
        <w:tc>
          <w:tcPr>
            <w:tcW w:w="1099" w:type="pct"/>
            <w:vMerge w:val="restart"/>
            <w:tcBorders>
              <w:top w:val="single" w:sz="4" w:space="0" w:color="000000"/>
              <w:left w:val="single" w:sz="4" w:space="0" w:color="000000"/>
              <w:right w:val="single" w:sz="4" w:space="0" w:color="000000"/>
            </w:tcBorders>
            <w:vAlign w:val="center"/>
          </w:tcPr>
          <w:p w:rsidR="00E557ED" w:rsidRPr="005154A7" w:rsidRDefault="00E557ED" w:rsidP="001E6CE4">
            <w:pPr>
              <w:spacing w:after="0" w:line="240" w:lineRule="auto"/>
              <w:rPr>
                <w:rFonts w:ascii="Times New Roman" w:hAnsi="Times New Roman" w:cs="Times New Roman"/>
                <w:color w:val="000000" w:themeColor="text1"/>
              </w:rPr>
            </w:pPr>
            <w:r w:rsidRPr="005154A7">
              <w:rPr>
                <w:rFonts w:ascii="Times New Roman" w:hAnsi="Times New Roman" w:cs="Times New Roman"/>
                <w:color w:val="000000" w:themeColor="text1"/>
              </w:rPr>
              <w:t>Annual</w:t>
            </w:r>
            <w:r w:rsidRPr="005154A7">
              <w:rPr>
                <w:rFonts w:ascii="Times New Roman" w:hAnsi="Times New Roman" w:cs="Times New Roman"/>
                <w:color w:val="000000" w:themeColor="text1"/>
                <w:spacing w:val="-4"/>
              </w:rPr>
              <w:t xml:space="preserve"> </w:t>
            </w:r>
            <w:r w:rsidRPr="005154A7">
              <w:rPr>
                <w:rFonts w:ascii="Times New Roman" w:hAnsi="Times New Roman" w:cs="Times New Roman"/>
                <w:color w:val="000000" w:themeColor="text1"/>
              </w:rPr>
              <w:t>income</w:t>
            </w:r>
          </w:p>
          <w:p w:rsidR="00E557ED" w:rsidRPr="005154A7" w:rsidRDefault="00E557ED"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Agriculture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hAnsi="Times New Roman" w:cs="Times New Roman"/>
                <w:bCs/>
                <w:color w:val="000000" w:themeColor="text1"/>
              </w:rPr>
            </w:pPr>
            <w:r w:rsidRPr="005154A7">
              <w:rPr>
                <w:rFonts w:ascii="Times New Roman" w:eastAsia="SimSun" w:hAnsi="Times New Roman" w:cs="Times New Roman"/>
                <w:bCs/>
                <w:color w:val="000000" w:themeColor="text1"/>
                <w:lang w:bidi="ar"/>
              </w:rPr>
              <w:t>44.14</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hAnsi="Times New Roman" w:cs="Times New Roman"/>
                <w:bCs/>
                <w:color w:val="000000" w:themeColor="text1"/>
              </w:rPr>
            </w:pPr>
            <w:r w:rsidRPr="005154A7">
              <w:rPr>
                <w:rFonts w:ascii="Times New Roman" w:eastAsia="SimSun" w:hAnsi="Times New Roman" w:cs="Times New Roman"/>
                <w:bCs/>
                <w:color w:val="000000" w:themeColor="text1"/>
                <w:lang w:bidi="ar"/>
              </w:rPr>
              <w:t>41.60</w:t>
            </w:r>
          </w:p>
        </w:tc>
      </w:tr>
      <w:tr w:rsidR="001E6CE4" w:rsidRPr="005154A7" w:rsidTr="00AF66E1">
        <w:trPr>
          <w:trHeight w:val="70"/>
        </w:trPr>
        <w:tc>
          <w:tcPr>
            <w:tcW w:w="296" w:type="pct"/>
            <w:vMerge w:val="restart"/>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1</w:t>
            </w: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Livestock/fisheries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bCs/>
                <w:color w:val="000000" w:themeColor="text1"/>
              </w:rPr>
            </w:pPr>
            <w:r w:rsidRPr="005154A7">
              <w:rPr>
                <w:rFonts w:ascii="Times New Roman" w:eastAsia="SimSun" w:hAnsi="Times New Roman" w:cs="Times New Roman"/>
                <w:bCs/>
                <w:color w:val="000000" w:themeColor="text1"/>
                <w:lang w:bidi="ar"/>
              </w:rPr>
              <w:t>12.50</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bCs/>
                <w:color w:val="000000" w:themeColor="text1"/>
              </w:rPr>
            </w:pPr>
            <w:r w:rsidRPr="005154A7">
              <w:rPr>
                <w:rFonts w:ascii="Times New Roman" w:eastAsia="SimSun" w:hAnsi="Times New Roman" w:cs="Times New Roman"/>
                <w:bCs/>
                <w:color w:val="000000" w:themeColor="text1"/>
                <w:lang w:bidi="ar"/>
              </w:rPr>
              <w:t>7.30</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Forestry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1.51</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0.02</w:t>
            </w:r>
          </w:p>
        </w:tc>
      </w:tr>
      <w:tr w:rsidR="001E6CE4" w:rsidRPr="005154A7" w:rsidTr="00AF66E1">
        <w:trPr>
          <w:trHeight w:val="58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Non-farm activities (Business, industry, service, etc.)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bCs/>
                <w:color w:val="000000" w:themeColor="text1"/>
              </w:rPr>
            </w:pPr>
            <w:r w:rsidRPr="005154A7">
              <w:rPr>
                <w:rFonts w:ascii="Times New Roman" w:eastAsia="SimSun" w:hAnsi="Times New Roman" w:cs="Times New Roman"/>
                <w:bCs/>
                <w:color w:val="000000" w:themeColor="text1"/>
                <w:lang w:bidi="ar"/>
              </w:rPr>
              <w:t>17.87</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bCs/>
                <w:color w:val="000000" w:themeColor="text1"/>
              </w:rPr>
            </w:pPr>
            <w:r w:rsidRPr="005154A7">
              <w:rPr>
                <w:rFonts w:ascii="Times New Roman" w:eastAsia="SimSun" w:hAnsi="Times New Roman" w:cs="Times New Roman"/>
                <w:bCs/>
                <w:color w:val="000000" w:themeColor="text1"/>
                <w:lang w:bidi="ar"/>
              </w:rPr>
              <w:t>14.47</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Transportation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2.05</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1.82</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Wage/salaried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bCs/>
                <w:color w:val="000000" w:themeColor="text1"/>
              </w:rPr>
            </w:pPr>
            <w:r w:rsidRPr="005154A7">
              <w:rPr>
                <w:rFonts w:ascii="Times New Roman" w:eastAsia="SimSun" w:hAnsi="Times New Roman" w:cs="Times New Roman"/>
                <w:bCs/>
                <w:color w:val="000000" w:themeColor="text1"/>
                <w:lang w:bidi="ar"/>
              </w:rPr>
              <w:t>15.41</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bCs/>
                <w:color w:val="000000" w:themeColor="text1"/>
              </w:rPr>
            </w:pPr>
            <w:r w:rsidRPr="005154A7">
              <w:rPr>
                <w:rFonts w:ascii="Times New Roman" w:eastAsia="SimSun" w:hAnsi="Times New Roman" w:cs="Times New Roman"/>
                <w:bCs/>
                <w:color w:val="000000" w:themeColor="text1"/>
                <w:lang w:bidi="ar"/>
              </w:rPr>
              <w:t>23.17</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Remittance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0.59</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2.39</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Rent/lease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0.08</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0.00</w:t>
            </w:r>
          </w:p>
        </w:tc>
      </w:tr>
      <w:tr w:rsidR="001E6CE4" w:rsidRPr="005154A7" w:rsidTr="00AF66E1">
        <w:trPr>
          <w:trHeight w:val="7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Social safety net/ government relief or allowance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1.14</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0.21</w:t>
            </w:r>
          </w:p>
        </w:tc>
      </w:tr>
      <w:tr w:rsidR="001E6CE4" w:rsidRPr="005154A7" w:rsidTr="00AF66E1">
        <w:trPr>
          <w:trHeight w:val="300"/>
        </w:trPr>
        <w:tc>
          <w:tcPr>
            <w:tcW w:w="296" w:type="pct"/>
            <w:vMerge/>
            <w:tcBorders>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Others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4.71</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9.03</w:t>
            </w:r>
          </w:p>
        </w:tc>
      </w:tr>
      <w:tr w:rsidR="001E6CE4" w:rsidRPr="005154A7" w:rsidTr="00AF66E1">
        <w:trPr>
          <w:trHeight w:val="300"/>
        </w:trPr>
        <w:tc>
          <w:tcPr>
            <w:tcW w:w="296" w:type="pct"/>
            <w:vMerge w:val="restart"/>
            <w:tcBorders>
              <w:top w:val="single" w:sz="4" w:space="0" w:color="000000"/>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2</w:t>
            </w:r>
          </w:p>
        </w:tc>
        <w:tc>
          <w:tcPr>
            <w:tcW w:w="1099" w:type="pct"/>
            <w:vMerge w:val="restart"/>
            <w:tcBorders>
              <w:top w:val="single" w:sz="4" w:space="0" w:color="000000"/>
              <w:left w:val="single" w:sz="4" w:space="0" w:color="000000"/>
              <w:right w:val="single" w:sz="4" w:space="0" w:color="000000"/>
            </w:tcBorders>
            <w:vAlign w:val="center"/>
          </w:tcPr>
          <w:p w:rsidR="001E6CE4" w:rsidRPr="005154A7" w:rsidRDefault="006701AC"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Household annual e</w:t>
            </w:r>
            <w:r w:rsidR="001E6CE4" w:rsidRPr="005154A7">
              <w:rPr>
                <w:rFonts w:ascii="Times New Roman" w:eastAsia="SimSun" w:hAnsi="Times New Roman" w:cs="Times New Roman"/>
                <w:color w:val="000000" w:themeColor="text1"/>
                <w:lang w:bidi="ar"/>
              </w:rPr>
              <w:t>xpenditure</w:t>
            </w: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Food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45.40</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44.70</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Education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8.41</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11.60</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Health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14.84</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17.25</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Consumer goods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30.73</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19.46</w:t>
            </w:r>
          </w:p>
        </w:tc>
      </w:tr>
      <w:tr w:rsidR="001E6CE4" w:rsidRPr="005154A7" w:rsidTr="00AF66E1">
        <w:trPr>
          <w:trHeight w:val="300"/>
        </w:trPr>
        <w:tc>
          <w:tcPr>
            <w:tcW w:w="296" w:type="pct"/>
            <w:vMerge/>
            <w:tcBorders>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Others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0.63</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6.98</w:t>
            </w:r>
          </w:p>
        </w:tc>
      </w:tr>
      <w:tr w:rsidR="001E6CE4" w:rsidRPr="005154A7" w:rsidTr="00AF66E1">
        <w:trPr>
          <w:trHeight w:val="77"/>
        </w:trPr>
        <w:tc>
          <w:tcPr>
            <w:tcW w:w="296"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3</w:t>
            </w:r>
          </w:p>
        </w:tc>
        <w:tc>
          <w:tcPr>
            <w:tcW w:w="1099"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Average number of income earners</w:t>
            </w:r>
          </w:p>
        </w:tc>
        <w:tc>
          <w:tcPr>
            <w:tcW w:w="2093"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6701AC" w:rsidP="001E6CE4">
            <w:pPr>
              <w:spacing w:after="0" w:line="240" w:lineRule="auto"/>
              <w:ind w:right="-64"/>
              <w:rPr>
                <w:rFonts w:ascii="Times New Roman" w:hAnsi="Times New Roman" w:cs="Times New Roman"/>
                <w:color w:val="000000" w:themeColor="text1"/>
              </w:rPr>
            </w:pPr>
            <w:r w:rsidRPr="005154A7">
              <w:rPr>
                <w:rFonts w:ascii="Times New Roman" w:hAnsi="Times New Roman" w:cs="Times New Roman"/>
                <w:color w:val="000000" w:themeColor="text1"/>
              </w:rPr>
              <w:t>Aggregate m</w:t>
            </w:r>
            <w:r w:rsidR="00E557ED" w:rsidRPr="005154A7">
              <w:rPr>
                <w:rFonts w:ascii="Times New Roman" w:hAnsi="Times New Roman" w:cs="Times New Roman"/>
                <w:color w:val="000000" w:themeColor="text1"/>
              </w:rPr>
              <w:t>ean</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pStyle w:val="TableParagraph"/>
              <w:spacing w:after="0" w:line="240" w:lineRule="auto"/>
              <w:ind w:left="108" w:right="-64"/>
              <w:rPr>
                <w:rFonts w:ascii="Times New Roman" w:hAnsi="Times New Roman" w:cs="Times New Roman"/>
                <w:color w:val="000000" w:themeColor="text1"/>
              </w:rPr>
            </w:pPr>
            <w:r w:rsidRPr="005154A7">
              <w:rPr>
                <w:rFonts w:ascii="Times New Roman" w:hAnsi="Times New Roman" w:cs="Times New Roman"/>
                <w:color w:val="000000" w:themeColor="text1"/>
              </w:rPr>
              <w:t>2.94</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pStyle w:val="TableParagraph"/>
              <w:spacing w:after="0" w:line="240" w:lineRule="auto"/>
              <w:ind w:right="-64"/>
              <w:rPr>
                <w:rFonts w:ascii="Times New Roman" w:hAnsi="Times New Roman" w:cs="Times New Roman"/>
                <w:color w:val="000000" w:themeColor="text1"/>
              </w:rPr>
            </w:pPr>
            <w:r w:rsidRPr="005154A7">
              <w:rPr>
                <w:rFonts w:ascii="Times New Roman" w:hAnsi="Times New Roman" w:cs="Times New Roman"/>
                <w:color w:val="000000" w:themeColor="text1"/>
              </w:rPr>
              <w:t>2.85 (P=0.09**)</w:t>
            </w:r>
          </w:p>
        </w:tc>
      </w:tr>
      <w:tr w:rsidR="001E6CE4" w:rsidRPr="005154A7" w:rsidTr="00AF66E1">
        <w:trPr>
          <w:trHeight w:val="300"/>
        </w:trPr>
        <w:tc>
          <w:tcPr>
            <w:tcW w:w="296"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4</w:t>
            </w:r>
          </w:p>
        </w:tc>
        <w:tc>
          <w:tcPr>
            <w:tcW w:w="1099"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Changes in annual household income</w:t>
            </w:r>
          </w:p>
        </w:tc>
        <w:tc>
          <w:tcPr>
            <w:tcW w:w="2093"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6701AC" w:rsidP="001E6CE4">
            <w:pPr>
              <w:spacing w:after="0" w:line="240" w:lineRule="auto"/>
              <w:ind w:right="-64"/>
              <w:rPr>
                <w:rFonts w:ascii="Times New Roman" w:hAnsi="Times New Roman" w:cs="Times New Roman"/>
                <w:color w:val="000000" w:themeColor="text1"/>
              </w:rPr>
            </w:pPr>
            <w:r w:rsidRPr="005154A7">
              <w:rPr>
                <w:rFonts w:ascii="Times New Roman" w:hAnsi="Times New Roman" w:cs="Times New Roman"/>
                <w:color w:val="000000" w:themeColor="text1"/>
              </w:rPr>
              <w:t>Aggregate m</w:t>
            </w:r>
            <w:r w:rsidR="00E557ED" w:rsidRPr="005154A7">
              <w:rPr>
                <w:rFonts w:ascii="Times New Roman" w:hAnsi="Times New Roman" w:cs="Times New Roman"/>
                <w:color w:val="000000" w:themeColor="text1"/>
              </w:rPr>
              <w:t>ean</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30.25</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17.46 (</w:t>
            </w:r>
            <w:r w:rsidRPr="005154A7">
              <w:rPr>
                <w:rFonts w:ascii="Times New Roman" w:hAnsi="Times New Roman" w:cs="Times New Roman"/>
                <w:color w:val="000000" w:themeColor="text1"/>
              </w:rPr>
              <w:t>P=0.00**)</w:t>
            </w:r>
          </w:p>
        </w:tc>
      </w:tr>
      <w:tr w:rsidR="001E6CE4" w:rsidRPr="005154A7" w:rsidTr="00AF66E1">
        <w:trPr>
          <w:trHeight w:val="70"/>
        </w:trPr>
        <w:tc>
          <w:tcPr>
            <w:tcW w:w="296"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5</w:t>
            </w:r>
          </w:p>
        </w:tc>
        <w:tc>
          <w:tcPr>
            <w:tcW w:w="1099"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6701AC"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Household asset c</w:t>
            </w:r>
            <w:r w:rsidR="00E557ED" w:rsidRPr="005154A7">
              <w:rPr>
                <w:rFonts w:ascii="Times New Roman" w:eastAsia="SimSun" w:hAnsi="Times New Roman" w:cs="Times New Roman"/>
                <w:color w:val="000000" w:themeColor="text1"/>
                <w:lang w:bidi="ar"/>
              </w:rPr>
              <w:t>reation</w:t>
            </w:r>
          </w:p>
        </w:tc>
        <w:tc>
          <w:tcPr>
            <w:tcW w:w="2093" w:type="pct"/>
            <w:tcBorders>
              <w:top w:val="single" w:sz="4" w:space="0" w:color="000000"/>
              <w:left w:val="single" w:sz="4" w:space="0" w:color="000000"/>
              <w:bottom w:val="single" w:sz="4" w:space="0" w:color="000000"/>
              <w:right w:val="single" w:sz="4" w:space="0" w:color="000000"/>
            </w:tcBorders>
            <w:vAlign w:val="center"/>
          </w:tcPr>
          <w:p w:rsidR="00E557ED" w:rsidRPr="005154A7" w:rsidRDefault="00E557ED"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rPr>
              <w:t xml:space="preserve">Have any assets that did not have in 2018-19 (5 years back) </w:t>
            </w:r>
            <w:r w:rsidRPr="005154A7">
              <w:rPr>
                <w:rFonts w:ascii="Times New Roman" w:eastAsia="SimSun" w:hAnsi="Times New Roman" w:cs="Times New Roman"/>
                <w:color w:val="000000" w:themeColor="text1"/>
                <w:lang w:bidi="ar"/>
              </w:rPr>
              <w:t>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48.29</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E557ED" w:rsidRPr="005154A7" w:rsidRDefault="00E557ED"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15.71</w:t>
            </w:r>
          </w:p>
        </w:tc>
      </w:tr>
      <w:tr w:rsidR="001E6CE4" w:rsidRPr="005154A7" w:rsidTr="00AF66E1">
        <w:trPr>
          <w:trHeight w:val="300"/>
        </w:trPr>
        <w:tc>
          <w:tcPr>
            <w:tcW w:w="296" w:type="pct"/>
            <w:vMerge w:val="restart"/>
            <w:tcBorders>
              <w:top w:val="single" w:sz="4" w:space="0" w:color="000000"/>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6</w:t>
            </w:r>
          </w:p>
        </w:tc>
        <w:tc>
          <w:tcPr>
            <w:tcW w:w="1099" w:type="pct"/>
            <w:vMerge w:val="restart"/>
            <w:tcBorders>
              <w:top w:val="single" w:sz="4" w:space="0" w:color="000000"/>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Types of main dwelling house</w:t>
            </w: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hAnsi="Times New Roman" w:cs="Times New Roman"/>
                <w:color w:val="000000" w:themeColor="text1"/>
              </w:rPr>
              <w:t xml:space="preserve">Pacca house </w:t>
            </w:r>
            <w:r w:rsidRPr="005154A7">
              <w:rPr>
                <w:rFonts w:ascii="Times New Roman" w:eastAsia="SimSun" w:hAnsi="Times New Roman" w:cs="Times New Roman"/>
                <w:color w:val="000000" w:themeColor="text1"/>
                <w:lang w:bidi="ar"/>
              </w:rPr>
              <w:t>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17.32</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10.72</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hAnsi="Times New Roman" w:cs="Times New Roman"/>
                <w:color w:val="000000" w:themeColor="text1"/>
              </w:rPr>
              <w:t xml:space="preserve">Khacha house </w:t>
            </w:r>
            <w:r w:rsidRPr="005154A7">
              <w:rPr>
                <w:rFonts w:ascii="Times New Roman" w:eastAsia="SimSun" w:hAnsi="Times New Roman" w:cs="Times New Roman"/>
                <w:color w:val="000000" w:themeColor="text1"/>
                <w:lang w:bidi="ar"/>
              </w:rPr>
              <w:t>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50.00</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80.05</w:t>
            </w:r>
          </w:p>
        </w:tc>
      </w:tr>
      <w:tr w:rsidR="001E6CE4" w:rsidRPr="005154A7" w:rsidTr="00AF66E1">
        <w:trPr>
          <w:trHeight w:val="300"/>
        </w:trPr>
        <w:tc>
          <w:tcPr>
            <w:tcW w:w="296" w:type="pct"/>
            <w:vMerge/>
            <w:tcBorders>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hAnsi="Times New Roman" w:cs="Times New Roman"/>
                <w:color w:val="000000" w:themeColor="text1"/>
              </w:rPr>
              <w:t xml:space="preserve">Semi pacca house </w:t>
            </w:r>
            <w:r w:rsidRPr="005154A7">
              <w:rPr>
                <w:rFonts w:ascii="Times New Roman" w:eastAsia="SimSun" w:hAnsi="Times New Roman" w:cs="Times New Roman"/>
                <w:color w:val="000000" w:themeColor="text1"/>
                <w:lang w:bidi="ar"/>
              </w:rPr>
              <w:t>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32.68</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9.23</w:t>
            </w:r>
          </w:p>
        </w:tc>
      </w:tr>
      <w:tr w:rsidR="001E6CE4" w:rsidRPr="005154A7" w:rsidTr="00AF66E1">
        <w:trPr>
          <w:trHeight w:val="300"/>
        </w:trPr>
        <w:tc>
          <w:tcPr>
            <w:tcW w:w="296" w:type="pct"/>
            <w:vMerge w:val="restart"/>
            <w:tcBorders>
              <w:top w:val="single" w:sz="4" w:space="0" w:color="000000"/>
              <w:left w:val="single" w:sz="4" w:space="0" w:color="000000"/>
              <w:right w:val="single" w:sz="4" w:space="0" w:color="000000"/>
            </w:tcBorders>
            <w:vAlign w:val="center"/>
          </w:tcPr>
          <w:p w:rsidR="001E6CE4" w:rsidRPr="005154A7" w:rsidRDefault="00827AFD"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7</w:t>
            </w:r>
          </w:p>
        </w:tc>
        <w:tc>
          <w:tcPr>
            <w:tcW w:w="1099" w:type="pct"/>
            <w:vMerge w:val="restart"/>
            <w:tcBorders>
              <w:top w:val="single" w:sz="4" w:space="0" w:color="000000"/>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Household facilities</w:t>
            </w: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6701AC"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Having e</w:t>
            </w:r>
            <w:r w:rsidR="001E6CE4" w:rsidRPr="005154A7">
              <w:rPr>
                <w:rFonts w:ascii="Times New Roman" w:eastAsia="SimSun" w:hAnsi="Times New Roman" w:cs="Times New Roman"/>
                <w:color w:val="000000" w:themeColor="text1"/>
                <w:lang w:bidi="ar"/>
              </w:rPr>
              <w:t>lectricity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98.78</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97.01</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Having solar system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42.68</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26.18</w:t>
            </w:r>
          </w:p>
        </w:tc>
      </w:tr>
      <w:tr w:rsidR="001E6CE4" w:rsidRPr="005154A7" w:rsidTr="00AF66E1">
        <w:trPr>
          <w:trHeight w:val="300"/>
        </w:trPr>
        <w:tc>
          <w:tcPr>
            <w:tcW w:w="296" w:type="pct"/>
            <w:vMerge/>
            <w:tcBorders>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Having biogas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6.34</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0.00</w:t>
            </w:r>
          </w:p>
        </w:tc>
      </w:tr>
      <w:tr w:rsidR="001E6CE4" w:rsidRPr="005154A7" w:rsidTr="00AF66E1">
        <w:trPr>
          <w:trHeight w:val="300"/>
        </w:trPr>
        <w:tc>
          <w:tcPr>
            <w:tcW w:w="296" w:type="pct"/>
            <w:vMerge w:val="restart"/>
            <w:tcBorders>
              <w:top w:val="single" w:sz="4" w:space="0" w:color="000000"/>
              <w:left w:val="single" w:sz="4" w:space="0" w:color="000000"/>
              <w:right w:val="single" w:sz="4" w:space="0" w:color="000000"/>
            </w:tcBorders>
            <w:vAlign w:val="center"/>
          </w:tcPr>
          <w:p w:rsidR="001E6CE4" w:rsidRPr="005154A7" w:rsidRDefault="00827AFD" w:rsidP="001E6CE4">
            <w:pPr>
              <w:spacing w:after="0" w:line="240" w:lineRule="auto"/>
              <w:ind w:right="-64"/>
              <w:textAlignment w:val="bottom"/>
              <w:rPr>
                <w:rFonts w:ascii="Times New Roman" w:eastAsia="SimSun" w:hAnsi="Times New Roman" w:cs="Times New Roman"/>
                <w:color w:val="000000" w:themeColor="text1"/>
              </w:rPr>
            </w:pPr>
            <w:r w:rsidRPr="005154A7">
              <w:rPr>
                <w:rFonts w:ascii="Times New Roman" w:eastAsia="SimSun" w:hAnsi="Times New Roman" w:cs="Times New Roman"/>
                <w:color w:val="000000" w:themeColor="text1"/>
              </w:rPr>
              <w:t>8</w:t>
            </w:r>
          </w:p>
        </w:tc>
        <w:tc>
          <w:tcPr>
            <w:tcW w:w="1099" w:type="pct"/>
            <w:vMerge w:val="restart"/>
            <w:tcBorders>
              <w:top w:val="single" w:sz="4" w:space="0" w:color="000000"/>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rPr>
              <w:t>Financial involvement</w:t>
            </w: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Facing any trouble paying loan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29.90</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bottom"/>
              <w:rPr>
                <w:rFonts w:ascii="Times New Roman" w:hAnsi="Times New Roman" w:cs="Times New Roman"/>
                <w:color w:val="000000" w:themeColor="text1"/>
              </w:rPr>
            </w:pPr>
            <w:r w:rsidRPr="005154A7">
              <w:rPr>
                <w:rFonts w:ascii="Times New Roman" w:eastAsia="SimSun" w:hAnsi="Times New Roman" w:cs="Times New Roman"/>
                <w:color w:val="000000" w:themeColor="text1"/>
                <w:lang w:bidi="ar"/>
              </w:rPr>
              <w:t>53.64</w:t>
            </w:r>
          </w:p>
        </w:tc>
      </w:tr>
      <w:tr w:rsidR="001E6CE4" w:rsidRPr="005154A7" w:rsidTr="00AF66E1">
        <w:trPr>
          <w:trHeight w:val="300"/>
        </w:trPr>
        <w:tc>
          <w:tcPr>
            <w:tcW w:w="296"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vMerge/>
            <w:tcBorders>
              <w:left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000000"/>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Household members having risk mitigation savings in %</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22.20</w:t>
            </w:r>
          </w:p>
        </w:tc>
        <w:tc>
          <w:tcPr>
            <w:tcW w:w="918" w:type="pct"/>
            <w:tcBorders>
              <w:top w:val="single" w:sz="4" w:space="0" w:color="000000"/>
              <w:left w:val="single" w:sz="4" w:space="0" w:color="000000"/>
              <w:bottom w:val="single" w:sz="4" w:space="0" w:color="000000"/>
              <w:right w:val="single" w:sz="4" w:space="0" w:color="000000"/>
            </w:tcBorders>
            <w:noWrap/>
            <w:vAlign w:val="center"/>
          </w:tcPr>
          <w:p w:rsidR="001E6CE4" w:rsidRPr="005154A7" w:rsidRDefault="001E6CE4" w:rsidP="001E6CE4">
            <w:pPr>
              <w:spacing w:after="0" w:line="240" w:lineRule="auto"/>
              <w:ind w:right="-64"/>
              <w:textAlignment w:val="center"/>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4.74</w:t>
            </w:r>
          </w:p>
        </w:tc>
      </w:tr>
      <w:tr w:rsidR="001E6CE4" w:rsidRPr="005154A7" w:rsidTr="00AF66E1">
        <w:trPr>
          <w:trHeight w:val="300"/>
        </w:trPr>
        <w:tc>
          <w:tcPr>
            <w:tcW w:w="296" w:type="pct"/>
            <w:vMerge/>
            <w:tcBorders>
              <w:left w:val="single" w:sz="4" w:space="0" w:color="000000"/>
              <w:bottom w:val="single" w:sz="4" w:space="0" w:color="auto"/>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1099" w:type="pct"/>
            <w:tcBorders>
              <w:left w:val="single" w:sz="4" w:space="0" w:color="000000"/>
              <w:bottom w:val="single" w:sz="4" w:space="0" w:color="auto"/>
              <w:right w:val="single" w:sz="4" w:space="0" w:color="000000"/>
            </w:tcBorders>
            <w:vAlign w:val="center"/>
          </w:tcPr>
          <w:p w:rsidR="001E6CE4" w:rsidRPr="005154A7" w:rsidRDefault="001E6CE4" w:rsidP="001E6CE4">
            <w:pPr>
              <w:spacing w:after="0" w:line="240" w:lineRule="auto"/>
              <w:ind w:right="-64"/>
              <w:textAlignment w:val="bottom"/>
              <w:rPr>
                <w:rFonts w:ascii="Times New Roman" w:eastAsia="SimSun" w:hAnsi="Times New Roman" w:cs="Times New Roman"/>
                <w:color w:val="000000" w:themeColor="text1"/>
                <w:lang w:bidi="ar"/>
              </w:rPr>
            </w:pPr>
          </w:p>
        </w:tc>
        <w:tc>
          <w:tcPr>
            <w:tcW w:w="2093" w:type="pct"/>
            <w:tcBorders>
              <w:top w:val="single" w:sz="4" w:space="0" w:color="000000"/>
              <w:left w:val="single" w:sz="4" w:space="0" w:color="000000"/>
              <w:bottom w:val="single" w:sz="4" w:space="0" w:color="auto"/>
              <w:right w:val="single" w:sz="4" w:space="0" w:color="000000"/>
            </w:tcBorders>
            <w:vAlign w:val="center"/>
          </w:tcPr>
          <w:p w:rsidR="001E6CE4" w:rsidRPr="005154A7" w:rsidRDefault="009E5218" w:rsidP="009E5218">
            <w:pPr>
              <w:spacing w:after="0" w:line="240" w:lineRule="auto"/>
              <w:ind w:right="-64"/>
              <w:textAlignment w:val="bottom"/>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Insurance policy in %</w:t>
            </w:r>
          </w:p>
        </w:tc>
        <w:tc>
          <w:tcPr>
            <w:tcW w:w="593" w:type="pct"/>
            <w:tcBorders>
              <w:top w:val="single" w:sz="4" w:space="0" w:color="000000"/>
              <w:left w:val="single" w:sz="4" w:space="0" w:color="000000"/>
              <w:bottom w:val="single" w:sz="4" w:space="0" w:color="auto"/>
              <w:right w:val="single" w:sz="4" w:space="0" w:color="000000"/>
            </w:tcBorders>
            <w:noWrap/>
            <w:vAlign w:val="center"/>
          </w:tcPr>
          <w:p w:rsidR="001E6CE4" w:rsidRPr="005154A7" w:rsidRDefault="009E5218" w:rsidP="001E6CE4">
            <w:pPr>
              <w:spacing w:after="0" w:line="240" w:lineRule="auto"/>
              <w:ind w:right="-64"/>
              <w:textAlignment w:val="center"/>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22.20%</w:t>
            </w:r>
          </w:p>
        </w:tc>
        <w:tc>
          <w:tcPr>
            <w:tcW w:w="918" w:type="pct"/>
            <w:tcBorders>
              <w:top w:val="single" w:sz="4" w:space="0" w:color="000000"/>
              <w:left w:val="single" w:sz="4" w:space="0" w:color="000000"/>
              <w:bottom w:val="single" w:sz="4" w:space="0" w:color="auto"/>
              <w:right w:val="single" w:sz="4" w:space="0" w:color="000000"/>
            </w:tcBorders>
            <w:noWrap/>
            <w:vAlign w:val="center"/>
          </w:tcPr>
          <w:p w:rsidR="001E6CE4" w:rsidRPr="005154A7" w:rsidRDefault="009E5218" w:rsidP="001E6CE4">
            <w:pPr>
              <w:spacing w:after="0" w:line="240" w:lineRule="auto"/>
              <w:ind w:right="-64"/>
              <w:textAlignment w:val="center"/>
              <w:rPr>
                <w:rFonts w:ascii="Times New Roman" w:eastAsia="SimSun" w:hAnsi="Times New Roman" w:cs="Times New Roman"/>
                <w:color w:val="000000" w:themeColor="text1"/>
                <w:lang w:bidi="ar"/>
              </w:rPr>
            </w:pPr>
            <w:r w:rsidRPr="005154A7">
              <w:rPr>
                <w:rFonts w:ascii="Times New Roman" w:eastAsia="SimSun" w:hAnsi="Times New Roman" w:cs="Times New Roman"/>
                <w:color w:val="000000" w:themeColor="text1"/>
                <w:lang w:bidi="ar"/>
              </w:rPr>
              <w:t>4.74%</w:t>
            </w:r>
          </w:p>
        </w:tc>
      </w:tr>
      <w:tr w:rsidR="001E6CE4" w:rsidRPr="005154A7" w:rsidTr="00AF66E1">
        <w:trPr>
          <w:trHeight w:val="300"/>
        </w:trPr>
        <w:tc>
          <w:tcPr>
            <w:tcW w:w="5000" w:type="pct"/>
            <w:gridSpan w:val="5"/>
            <w:tcBorders>
              <w:top w:val="single" w:sz="4" w:space="0" w:color="auto"/>
            </w:tcBorders>
            <w:vAlign w:val="center"/>
          </w:tcPr>
          <w:p w:rsidR="001E6CE4" w:rsidRPr="005154A7" w:rsidRDefault="001E6CE4" w:rsidP="001E6CE4">
            <w:pPr>
              <w:spacing w:after="0" w:line="240" w:lineRule="auto"/>
              <w:ind w:right="-64"/>
              <w:textAlignment w:val="center"/>
              <w:rPr>
                <w:rFonts w:ascii="Times New Roman" w:eastAsia="SimSun" w:hAnsi="Times New Roman" w:cs="Times New Roman"/>
                <w:color w:val="000000" w:themeColor="text1"/>
                <w:lang w:bidi="ar"/>
              </w:rPr>
            </w:pPr>
            <w:r w:rsidRPr="005154A7">
              <w:rPr>
                <w:rFonts w:ascii="Times New Roman" w:hAnsi="Times New Roman" w:cs="Times New Roman"/>
                <w:color w:val="000000" w:themeColor="text1"/>
              </w:rPr>
              <w:t>**p&lt;0.05</w:t>
            </w:r>
          </w:p>
        </w:tc>
      </w:tr>
    </w:tbl>
    <w:p w:rsidR="00857ABE" w:rsidRPr="005154A7" w:rsidRDefault="00D94EF8" w:rsidP="0087714A">
      <w:pPr>
        <w:pStyle w:val="BodyText"/>
        <w:spacing w:line="360" w:lineRule="auto"/>
        <w:ind w:right="-64"/>
        <w:jc w:val="both"/>
        <w:rPr>
          <w:rFonts w:ascii="Times New Roman" w:eastAsia="SimSun" w:hAnsi="Times New Roman" w:cs="Times New Roman"/>
          <w:sz w:val="22"/>
          <w:szCs w:val="22"/>
        </w:rPr>
      </w:pPr>
      <w:bookmarkStart w:id="3" w:name="_bookmark38"/>
      <w:bookmarkEnd w:id="3"/>
      <w:r w:rsidRPr="005154A7">
        <w:rPr>
          <w:rFonts w:ascii="Times New Roman" w:hAnsi="Times New Roman" w:cs="Times New Roman"/>
          <w:sz w:val="22"/>
          <w:szCs w:val="22"/>
        </w:rPr>
        <w:t>The above table revealed</w:t>
      </w:r>
      <w:r w:rsidR="00CA546F" w:rsidRPr="005154A7">
        <w:rPr>
          <w:rFonts w:ascii="Times New Roman" w:hAnsi="Times New Roman" w:cs="Times New Roman"/>
          <w:sz w:val="22"/>
          <w:szCs w:val="22"/>
        </w:rPr>
        <w:t xml:space="preserve"> that the household annual income increased by about 30.25 percent in</w:t>
      </w:r>
      <w:r w:rsidR="00CA546F" w:rsidRPr="005154A7">
        <w:rPr>
          <w:rFonts w:ascii="Times New Roman" w:hAnsi="Times New Roman" w:cs="Times New Roman"/>
          <w:spacing w:val="1"/>
          <w:sz w:val="22"/>
          <w:szCs w:val="22"/>
        </w:rPr>
        <w:t xml:space="preserve"> </w:t>
      </w:r>
      <w:r w:rsidR="00CA546F" w:rsidRPr="005154A7">
        <w:rPr>
          <w:rFonts w:ascii="Times New Roman" w:hAnsi="Times New Roman" w:cs="Times New Roman"/>
          <w:sz w:val="22"/>
          <w:szCs w:val="22"/>
        </w:rPr>
        <w:t>programme union and only 17.46 percent in non-programme union in present (2024) compared to five years back (</w:t>
      </w:r>
      <w:r w:rsidR="00353480" w:rsidRPr="005154A7">
        <w:rPr>
          <w:rFonts w:ascii="Times New Roman" w:hAnsi="Times New Roman" w:cs="Times New Roman"/>
          <w:sz w:val="22"/>
          <w:szCs w:val="22"/>
        </w:rPr>
        <w:t>2019). It was</w:t>
      </w:r>
      <w:r w:rsidR="00CA546F" w:rsidRPr="005154A7">
        <w:rPr>
          <w:rFonts w:ascii="Times New Roman" w:hAnsi="Times New Roman" w:cs="Times New Roman"/>
          <w:sz w:val="22"/>
          <w:szCs w:val="22"/>
        </w:rPr>
        <w:t xml:space="preserve"> seen that </w:t>
      </w:r>
      <w:r w:rsidR="00CA546F" w:rsidRPr="005154A7">
        <w:rPr>
          <w:rFonts w:ascii="Times New Roman" w:eastAsia="SimSun" w:hAnsi="Times New Roman" w:cs="Times New Roman"/>
          <w:sz w:val="22"/>
          <w:szCs w:val="22"/>
        </w:rPr>
        <w:t xml:space="preserve">the t test </w:t>
      </w:r>
      <w:r w:rsidR="00353480" w:rsidRPr="005154A7">
        <w:rPr>
          <w:rFonts w:ascii="Times New Roman" w:eastAsia="SimSun" w:hAnsi="Times New Roman" w:cs="Times New Roman"/>
          <w:sz w:val="22"/>
          <w:szCs w:val="22"/>
        </w:rPr>
        <w:t>was</w:t>
      </w:r>
      <w:r w:rsidR="00CA546F" w:rsidRPr="005154A7">
        <w:rPr>
          <w:rFonts w:ascii="Times New Roman" w:eastAsia="SimSun" w:hAnsi="Times New Roman" w:cs="Times New Roman"/>
          <w:sz w:val="22"/>
          <w:szCs w:val="22"/>
        </w:rPr>
        <w:t xml:space="preserve"> significant (p value is 0). So, the annual income per household in the program union </w:t>
      </w:r>
      <w:r w:rsidR="00353480" w:rsidRPr="005154A7">
        <w:rPr>
          <w:rFonts w:ascii="Times New Roman" w:eastAsia="SimSun" w:hAnsi="Times New Roman" w:cs="Times New Roman"/>
          <w:sz w:val="22"/>
          <w:szCs w:val="22"/>
        </w:rPr>
        <w:t>was</w:t>
      </w:r>
      <w:r w:rsidR="00CA546F" w:rsidRPr="005154A7">
        <w:rPr>
          <w:rFonts w:ascii="Times New Roman" w:eastAsia="SimSun" w:hAnsi="Times New Roman" w:cs="Times New Roman"/>
          <w:sz w:val="22"/>
          <w:szCs w:val="22"/>
        </w:rPr>
        <w:t xml:space="preserve"> significantly higher than in the non-program union.</w:t>
      </w:r>
    </w:p>
    <w:p w:rsidR="00FA6D38" w:rsidRPr="005154A7" w:rsidRDefault="00CA546F" w:rsidP="0087714A">
      <w:pPr>
        <w:pStyle w:val="BodyText"/>
        <w:spacing w:line="360" w:lineRule="auto"/>
        <w:ind w:right="-64"/>
        <w:jc w:val="both"/>
        <w:rPr>
          <w:rFonts w:ascii="Times New Roman" w:eastAsia="SimSun" w:hAnsi="Times New Roman" w:cs="Times New Roman"/>
          <w:sz w:val="22"/>
          <w:szCs w:val="22"/>
        </w:rPr>
      </w:pPr>
      <w:bookmarkStart w:id="4" w:name="_bookmark42"/>
      <w:bookmarkStart w:id="5" w:name="_bookmark44"/>
      <w:bookmarkEnd w:id="4"/>
      <w:bookmarkEnd w:id="5"/>
      <w:r w:rsidRPr="005154A7">
        <w:rPr>
          <w:rFonts w:ascii="Times New Roman" w:eastAsia="SimSun" w:hAnsi="Times New Roman" w:cs="Times New Roman"/>
          <w:sz w:val="22"/>
          <w:szCs w:val="22"/>
        </w:rPr>
        <w:t>The</w:t>
      </w:r>
      <w:r w:rsidR="00E5783A" w:rsidRPr="005154A7">
        <w:rPr>
          <w:rFonts w:ascii="Times New Roman" w:eastAsia="SimSun" w:hAnsi="Times New Roman" w:cs="Times New Roman"/>
          <w:sz w:val="22"/>
          <w:szCs w:val="22"/>
        </w:rPr>
        <w:t xml:space="preserve"> previous analysis clearly showed</w:t>
      </w:r>
      <w:r w:rsidRPr="005154A7">
        <w:rPr>
          <w:rFonts w:ascii="Times New Roman" w:eastAsia="SimSun" w:hAnsi="Times New Roman" w:cs="Times New Roman"/>
          <w:sz w:val="22"/>
          <w:szCs w:val="22"/>
        </w:rPr>
        <w:t xml:space="preserve"> that the annual income per h</w:t>
      </w:r>
      <w:r w:rsidR="00E5783A" w:rsidRPr="005154A7">
        <w:rPr>
          <w:rFonts w:ascii="Times New Roman" w:eastAsia="SimSun" w:hAnsi="Times New Roman" w:cs="Times New Roman"/>
          <w:sz w:val="22"/>
          <w:szCs w:val="22"/>
        </w:rPr>
        <w:t>ousehold in the program union was</w:t>
      </w:r>
      <w:r w:rsidRPr="005154A7">
        <w:rPr>
          <w:rFonts w:ascii="Times New Roman" w:eastAsia="SimSun" w:hAnsi="Times New Roman" w:cs="Times New Roman"/>
          <w:sz w:val="22"/>
          <w:szCs w:val="22"/>
        </w:rPr>
        <w:t xml:space="preserve"> significantly higher than in the non-program </w:t>
      </w:r>
      <w:r w:rsidR="006F0AC4" w:rsidRPr="005154A7">
        <w:rPr>
          <w:rFonts w:ascii="Times New Roman" w:eastAsia="SimSun" w:hAnsi="Times New Roman" w:cs="Times New Roman"/>
          <w:sz w:val="22"/>
          <w:szCs w:val="22"/>
        </w:rPr>
        <w:t>union. It was</w:t>
      </w:r>
      <w:r w:rsidRPr="005154A7">
        <w:rPr>
          <w:rFonts w:ascii="Times New Roman" w:eastAsia="SimSun" w:hAnsi="Times New Roman" w:cs="Times New Roman"/>
          <w:sz w:val="22"/>
          <w:szCs w:val="22"/>
        </w:rPr>
        <w:t xml:space="preserve"> anticipated that the number of income earners in the program union greater than in the non-program union due to the income-generating activities of the ENRICH program, which </w:t>
      </w:r>
      <w:r w:rsidR="00FA6D38" w:rsidRPr="005154A7">
        <w:rPr>
          <w:rFonts w:ascii="Times New Roman" w:eastAsia="SimSun" w:hAnsi="Times New Roman" w:cs="Times New Roman"/>
          <w:sz w:val="22"/>
          <w:szCs w:val="22"/>
        </w:rPr>
        <w:t>were</w:t>
      </w:r>
      <w:r w:rsidRPr="005154A7">
        <w:rPr>
          <w:rFonts w:ascii="Times New Roman" w:eastAsia="SimSun" w:hAnsi="Times New Roman" w:cs="Times New Roman"/>
          <w:sz w:val="22"/>
          <w:szCs w:val="22"/>
        </w:rPr>
        <w:t xml:space="preserve"> expected to contribute to employment creation. </w:t>
      </w:r>
    </w:p>
    <w:p w:rsidR="00857ABE" w:rsidRPr="005154A7" w:rsidRDefault="00CA546F" w:rsidP="00D177FF">
      <w:pPr>
        <w:pStyle w:val="BodyText"/>
        <w:spacing w:before="240" w:line="360" w:lineRule="auto"/>
        <w:ind w:right="-64"/>
        <w:jc w:val="both"/>
        <w:rPr>
          <w:rFonts w:ascii="Times New Roman" w:hAnsi="Times New Roman" w:cs="Times New Roman"/>
          <w:sz w:val="22"/>
          <w:szCs w:val="22"/>
        </w:rPr>
      </w:pPr>
      <w:bookmarkStart w:id="6" w:name="_bookmark46"/>
      <w:bookmarkStart w:id="7" w:name="_bookmark49"/>
      <w:bookmarkEnd w:id="6"/>
      <w:bookmarkEnd w:id="7"/>
      <w:r w:rsidRPr="005154A7">
        <w:rPr>
          <w:rFonts w:ascii="Times New Roman" w:eastAsia="Segoe UI" w:hAnsi="Times New Roman" w:cs="Times New Roman"/>
          <w:sz w:val="22"/>
          <w:szCs w:val="22"/>
        </w:rPr>
        <w:t>Overall, households in program union allocate</w:t>
      </w:r>
      <w:r w:rsidR="00FA6D38" w:rsidRPr="005154A7">
        <w:rPr>
          <w:rFonts w:ascii="Times New Roman" w:eastAsia="Segoe UI" w:hAnsi="Times New Roman" w:cs="Times New Roman"/>
          <w:sz w:val="22"/>
          <w:szCs w:val="22"/>
        </w:rPr>
        <w:t>d</w:t>
      </w:r>
      <w:r w:rsidRPr="005154A7">
        <w:rPr>
          <w:rFonts w:ascii="Times New Roman" w:eastAsia="Segoe UI" w:hAnsi="Times New Roman" w:cs="Times New Roman"/>
          <w:sz w:val="22"/>
          <w:szCs w:val="22"/>
        </w:rPr>
        <w:t xml:space="preserve"> approximately 45.40% of their expenditures to food and 54.60% to non-food items. In contrast, house</w:t>
      </w:r>
      <w:r w:rsidR="00FA6D38" w:rsidRPr="005154A7">
        <w:rPr>
          <w:rFonts w:ascii="Times New Roman" w:eastAsia="Segoe UI" w:hAnsi="Times New Roman" w:cs="Times New Roman"/>
          <w:sz w:val="22"/>
          <w:szCs w:val="22"/>
        </w:rPr>
        <w:t>holds in non-program union spent</w:t>
      </w:r>
      <w:r w:rsidRPr="005154A7">
        <w:rPr>
          <w:rFonts w:ascii="Times New Roman" w:eastAsia="Segoe UI" w:hAnsi="Times New Roman" w:cs="Times New Roman"/>
          <w:sz w:val="22"/>
          <w:szCs w:val="22"/>
        </w:rPr>
        <w:t xml:space="preserve"> about 44.70% on food and</w:t>
      </w:r>
      <w:r w:rsidR="007A24FE" w:rsidRPr="005154A7">
        <w:rPr>
          <w:rFonts w:ascii="Times New Roman" w:eastAsia="Segoe UI" w:hAnsi="Times New Roman" w:cs="Times New Roman"/>
          <w:sz w:val="22"/>
          <w:szCs w:val="22"/>
        </w:rPr>
        <w:t xml:space="preserve"> </w:t>
      </w:r>
      <w:r w:rsidRPr="005154A7">
        <w:rPr>
          <w:rFonts w:ascii="Times New Roman" w:eastAsia="Segoe UI" w:hAnsi="Times New Roman" w:cs="Times New Roman"/>
          <w:sz w:val="22"/>
          <w:szCs w:val="22"/>
        </w:rPr>
        <w:t>55.30% on non-food items. This indicate</w:t>
      </w:r>
      <w:r w:rsidR="00535ECF" w:rsidRPr="005154A7">
        <w:rPr>
          <w:rFonts w:ascii="Times New Roman" w:eastAsia="Segoe UI" w:hAnsi="Times New Roman" w:cs="Times New Roman"/>
          <w:sz w:val="22"/>
          <w:szCs w:val="22"/>
        </w:rPr>
        <w:t>d</w:t>
      </w:r>
      <w:r w:rsidRPr="005154A7">
        <w:rPr>
          <w:rFonts w:ascii="Times New Roman" w:eastAsia="Segoe UI" w:hAnsi="Times New Roman" w:cs="Times New Roman"/>
          <w:sz w:val="22"/>
          <w:szCs w:val="22"/>
        </w:rPr>
        <w:t xml:space="preserve"> that the proportion of food expenditure relative to non-food expenditure </w:t>
      </w:r>
      <w:r w:rsidR="007A24FE" w:rsidRPr="005154A7">
        <w:rPr>
          <w:rFonts w:ascii="Times New Roman" w:eastAsia="Segoe UI" w:hAnsi="Times New Roman" w:cs="Times New Roman"/>
          <w:sz w:val="22"/>
          <w:szCs w:val="22"/>
        </w:rPr>
        <w:t>was</w:t>
      </w:r>
      <w:r w:rsidRPr="005154A7">
        <w:rPr>
          <w:rFonts w:ascii="Times New Roman" w:eastAsia="Segoe UI" w:hAnsi="Times New Roman" w:cs="Times New Roman"/>
          <w:sz w:val="22"/>
          <w:szCs w:val="22"/>
        </w:rPr>
        <w:t xml:space="preserve"> slightly higher in program union compared to non- program union. This difference attributed to the higher average household income in program areas than in non-program areas.  However, the differences in the percentages of food and non-food expenditures between program and non-program areas </w:t>
      </w:r>
      <w:r w:rsidR="007A24FE" w:rsidRPr="005154A7">
        <w:rPr>
          <w:rFonts w:ascii="Times New Roman" w:eastAsia="Segoe UI" w:hAnsi="Times New Roman" w:cs="Times New Roman"/>
          <w:sz w:val="22"/>
          <w:szCs w:val="22"/>
        </w:rPr>
        <w:t>were</w:t>
      </w:r>
      <w:r w:rsidRPr="005154A7">
        <w:rPr>
          <w:rFonts w:ascii="Times New Roman" w:eastAsia="Segoe UI" w:hAnsi="Times New Roman" w:cs="Times New Roman"/>
          <w:sz w:val="22"/>
          <w:szCs w:val="22"/>
        </w:rPr>
        <w:t xml:space="preserve"> not significant.</w:t>
      </w:r>
      <w:bookmarkStart w:id="8" w:name="_bookmark53"/>
      <w:bookmarkEnd w:id="8"/>
      <w:r w:rsidRPr="005154A7">
        <w:rPr>
          <w:rFonts w:ascii="Times New Roman" w:hAnsi="Times New Roman" w:cs="Times New Roman"/>
          <w:sz w:val="22"/>
          <w:szCs w:val="22"/>
        </w:rPr>
        <w:t xml:space="preserve"> </w:t>
      </w:r>
    </w:p>
    <w:p w:rsidR="00857ABE" w:rsidRPr="005154A7" w:rsidRDefault="00CA546F" w:rsidP="007C20C6">
      <w:pPr>
        <w:pStyle w:val="Heading4"/>
        <w:spacing w:before="0" w:line="360" w:lineRule="auto"/>
        <w:ind w:left="0" w:right="-64"/>
        <w:rPr>
          <w:rFonts w:ascii="Times New Roman" w:eastAsia="SimSun" w:hAnsi="Times New Roman" w:cs="Times New Roman"/>
          <w:b w:val="0"/>
          <w:bCs w:val="0"/>
          <w:sz w:val="22"/>
          <w:szCs w:val="22"/>
        </w:rPr>
      </w:pPr>
      <w:r w:rsidRPr="005154A7">
        <w:rPr>
          <w:rFonts w:ascii="Times New Roman" w:eastAsia="SimSun" w:hAnsi="Times New Roman" w:cs="Times New Roman"/>
          <w:b w:val="0"/>
          <w:bCs w:val="0"/>
          <w:sz w:val="22"/>
          <w:szCs w:val="22"/>
        </w:rPr>
        <w:t>The generation of assets is strongly connected to the creation of jobs and increased income, both of which contribute to poverty reduction. Assets also serve as a safeguard against risks and help with disaster recovery. Therefore, assets are essential in promoting long-term poverty alleviation.</w:t>
      </w:r>
      <w:r w:rsidR="00237F44" w:rsidRPr="005154A7">
        <w:rPr>
          <w:rFonts w:ascii="Times New Roman" w:eastAsia="SimSun" w:hAnsi="Times New Roman" w:cs="Times New Roman"/>
          <w:b w:val="0"/>
          <w:bCs w:val="0"/>
          <w:sz w:val="22"/>
          <w:szCs w:val="22"/>
        </w:rPr>
        <w:t xml:space="preserve"> </w:t>
      </w:r>
      <w:r w:rsidR="007C20C6" w:rsidRPr="005154A7">
        <w:rPr>
          <w:rFonts w:ascii="Times New Roman" w:eastAsia="SimSun" w:hAnsi="Times New Roman" w:cs="Times New Roman"/>
          <w:b w:val="0"/>
          <w:sz w:val="22"/>
          <w:szCs w:val="22"/>
        </w:rPr>
        <w:t>The</w:t>
      </w:r>
      <w:r w:rsidRPr="005154A7">
        <w:rPr>
          <w:rFonts w:ascii="Times New Roman" w:eastAsia="SimSun" w:hAnsi="Times New Roman" w:cs="Times New Roman"/>
          <w:b w:val="0"/>
          <w:sz w:val="22"/>
          <w:szCs w:val="22"/>
        </w:rPr>
        <w:t xml:space="preserve"> households answered to ‘Do you have any assets that you did not have in 2018-19’where in Durgapur 48.29 percent and in Chandigarh 15.71% said yes. I</w:t>
      </w:r>
      <w:r w:rsidR="00383638" w:rsidRPr="005154A7">
        <w:rPr>
          <w:rFonts w:ascii="Times New Roman" w:eastAsia="SimSun" w:hAnsi="Times New Roman" w:cs="Times New Roman"/>
          <w:b w:val="0"/>
          <w:sz w:val="22"/>
          <w:szCs w:val="22"/>
        </w:rPr>
        <w:t>t means that the households of D</w:t>
      </w:r>
      <w:r w:rsidRPr="005154A7">
        <w:rPr>
          <w:rFonts w:ascii="Times New Roman" w:eastAsia="SimSun" w:hAnsi="Times New Roman" w:cs="Times New Roman"/>
          <w:b w:val="0"/>
          <w:sz w:val="22"/>
          <w:szCs w:val="22"/>
        </w:rPr>
        <w:t>urgapur union create more assets than of Chandigarh.</w:t>
      </w:r>
    </w:p>
    <w:p w:rsidR="00857ABE" w:rsidRPr="005154A7" w:rsidRDefault="001374BA" w:rsidP="00D177FF">
      <w:pPr>
        <w:pStyle w:val="BodyText"/>
        <w:spacing w:line="360" w:lineRule="auto"/>
        <w:ind w:right="-64"/>
        <w:jc w:val="both"/>
        <w:rPr>
          <w:rFonts w:ascii="Times New Roman" w:eastAsia="SimSun" w:hAnsi="Times New Roman" w:cs="Times New Roman"/>
          <w:sz w:val="22"/>
          <w:szCs w:val="22"/>
        </w:rPr>
      </w:pPr>
      <w:r w:rsidRPr="005154A7">
        <w:rPr>
          <w:rFonts w:ascii="Times New Roman" w:eastAsia="SimSun" w:hAnsi="Times New Roman" w:cs="Times New Roman"/>
          <w:sz w:val="22"/>
          <w:szCs w:val="22"/>
        </w:rPr>
        <w:lastRenderedPageBreak/>
        <w:t>The table compared</w:t>
      </w:r>
      <w:r w:rsidR="00CA546F" w:rsidRPr="005154A7">
        <w:rPr>
          <w:rFonts w:ascii="Times New Roman" w:eastAsia="SimSun" w:hAnsi="Times New Roman" w:cs="Times New Roman"/>
          <w:sz w:val="22"/>
          <w:szCs w:val="22"/>
        </w:rPr>
        <w:t xml:space="preserve"> household facilities and the types of main dwelling houses in Durgapur Union and Chandigarh Union. In terms of dw</w:t>
      </w:r>
      <w:r w:rsidRPr="005154A7">
        <w:rPr>
          <w:rFonts w:ascii="Times New Roman" w:eastAsia="SimSun" w:hAnsi="Times New Roman" w:cs="Times New Roman"/>
          <w:sz w:val="22"/>
          <w:szCs w:val="22"/>
        </w:rPr>
        <w:t>elling types, Durgapur Union had</w:t>
      </w:r>
      <w:r w:rsidR="00CA546F" w:rsidRPr="005154A7">
        <w:rPr>
          <w:rFonts w:ascii="Times New Roman" w:eastAsia="SimSun" w:hAnsi="Times New Roman" w:cs="Times New Roman"/>
          <w:sz w:val="22"/>
          <w:szCs w:val="22"/>
        </w:rPr>
        <w:t xml:space="preserve"> a higher percentage of </w:t>
      </w:r>
      <w:r w:rsidR="00CA546F" w:rsidRPr="005154A7">
        <w:rPr>
          <w:rStyle w:val="Strong"/>
          <w:rFonts w:ascii="Times New Roman" w:eastAsia="SimSun" w:hAnsi="Times New Roman" w:cs="Times New Roman"/>
          <w:b w:val="0"/>
          <w:sz w:val="22"/>
          <w:szCs w:val="22"/>
        </w:rPr>
        <w:t>pacca</w:t>
      </w:r>
      <w:r w:rsidR="00CA546F" w:rsidRPr="005154A7">
        <w:rPr>
          <w:rFonts w:ascii="Times New Roman" w:eastAsia="SimSun" w:hAnsi="Times New Roman" w:cs="Times New Roman"/>
          <w:sz w:val="22"/>
          <w:szCs w:val="22"/>
        </w:rPr>
        <w:t xml:space="preserve"> (17.32%) and </w:t>
      </w:r>
      <w:r w:rsidR="00CA546F" w:rsidRPr="005154A7">
        <w:rPr>
          <w:rStyle w:val="Strong"/>
          <w:rFonts w:ascii="Times New Roman" w:eastAsia="SimSun" w:hAnsi="Times New Roman" w:cs="Times New Roman"/>
          <w:b w:val="0"/>
          <w:sz w:val="22"/>
          <w:szCs w:val="22"/>
        </w:rPr>
        <w:t>semi-pacca</w:t>
      </w:r>
      <w:r w:rsidR="00CA546F" w:rsidRPr="005154A7">
        <w:rPr>
          <w:rFonts w:ascii="Times New Roman" w:eastAsia="SimSun" w:hAnsi="Times New Roman" w:cs="Times New Roman"/>
          <w:sz w:val="22"/>
          <w:szCs w:val="22"/>
        </w:rPr>
        <w:t xml:space="preserve"> houses (32.68%) compared to Ch</w:t>
      </w:r>
      <w:r w:rsidRPr="005154A7">
        <w:rPr>
          <w:rFonts w:ascii="Times New Roman" w:eastAsia="SimSun" w:hAnsi="Times New Roman" w:cs="Times New Roman"/>
          <w:sz w:val="22"/>
          <w:szCs w:val="22"/>
        </w:rPr>
        <w:t>andigarh Union, which had</w:t>
      </w:r>
      <w:r w:rsidR="00CA546F" w:rsidRPr="005154A7">
        <w:rPr>
          <w:rFonts w:ascii="Times New Roman" w:eastAsia="SimSun" w:hAnsi="Times New Roman" w:cs="Times New Roman"/>
          <w:sz w:val="22"/>
          <w:szCs w:val="22"/>
        </w:rPr>
        <w:t xml:space="preserve"> a larger proportion of </w:t>
      </w:r>
      <w:r w:rsidR="00CA546F" w:rsidRPr="005154A7">
        <w:rPr>
          <w:rStyle w:val="Strong"/>
          <w:rFonts w:ascii="Times New Roman" w:eastAsia="SimSun" w:hAnsi="Times New Roman" w:cs="Times New Roman"/>
          <w:b w:val="0"/>
          <w:sz w:val="22"/>
          <w:szCs w:val="22"/>
        </w:rPr>
        <w:t>khacha</w:t>
      </w:r>
      <w:r w:rsidR="00CA546F" w:rsidRPr="005154A7">
        <w:rPr>
          <w:rFonts w:ascii="Times New Roman" w:eastAsia="SimSun" w:hAnsi="Times New Roman" w:cs="Times New Roman"/>
          <w:sz w:val="22"/>
          <w:szCs w:val="22"/>
        </w:rPr>
        <w:t xml:space="preserve"> houses (80.05%) than Durgapur Union (50.00%). Regarding household facilities, both regions show</w:t>
      </w:r>
      <w:r w:rsidRPr="005154A7">
        <w:rPr>
          <w:rFonts w:ascii="Times New Roman" w:eastAsia="SimSun" w:hAnsi="Times New Roman" w:cs="Times New Roman"/>
          <w:sz w:val="22"/>
          <w:szCs w:val="22"/>
        </w:rPr>
        <w:t>ed</w:t>
      </w:r>
      <w:r w:rsidR="00CA546F" w:rsidRPr="005154A7">
        <w:rPr>
          <w:rFonts w:ascii="Times New Roman" w:eastAsia="SimSun" w:hAnsi="Times New Roman" w:cs="Times New Roman"/>
          <w:sz w:val="22"/>
          <w:szCs w:val="22"/>
        </w:rPr>
        <w:t xml:space="preserve"> high access to </w:t>
      </w:r>
      <w:r w:rsidR="00CA546F" w:rsidRPr="005154A7">
        <w:rPr>
          <w:rStyle w:val="Strong"/>
          <w:rFonts w:ascii="Times New Roman" w:eastAsia="SimSun" w:hAnsi="Times New Roman" w:cs="Times New Roman"/>
          <w:b w:val="0"/>
          <w:sz w:val="22"/>
          <w:szCs w:val="22"/>
        </w:rPr>
        <w:t>electricity</w:t>
      </w:r>
      <w:r w:rsidR="00CA546F" w:rsidRPr="005154A7">
        <w:rPr>
          <w:rFonts w:ascii="Times New Roman" w:eastAsia="SimSun" w:hAnsi="Times New Roman" w:cs="Times New Roman"/>
          <w:sz w:val="22"/>
          <w:szCs w:val="22"/>
        </w:rPr>
        <w:t>, with Durgapur Union at 98.78% and Chandigarh Union at 97.01%. Durgapur Union</w:t>
      </w:r>
      <w:r w:rsidRPr="005154A7">
        <w:rPr>
          <w:rFonts w:ascii="Times New Roman" w:eastAsia="SimSun" w:hAnsi="Times New Roman" w:cs="Times New Roman"/>
          <w:sz w:val="22"/>
          <w:szCs w:val="22"/>
        </w:rPr>
        <w:t xml:space="preserve"> also had</w:t>
      </w:r>
      <w:r w:rsidR="00CA546F" w:rsidRPr="005154A7">
        <w:rPr>
          <w:rFonts w:ascii="Times New Roman" w:eastAsia="SimSun" w:hAnsi="Times New Roman" w:cs="Times New Roman"/>
          <w:sz w:val="22"/>
          <w:szCs w:val="22"/>
        </w:rPr>
        <w:t xml:space="preserve"> a higher percentage of households using </w:t>
      </w:r>
      <w:r w:rsidR="00CA546F" w:rsidRPr="005154A7">
        <w:rPr>
          <w:rStyle w:val="Strong"/>
          <w:rFonts w:ascii="Times New Roman" w:eastAsia="SimSun" w:hAnsi="Times New Roman" w:cs="Times New Roman"/>
          <w:b w:val="0"/>
          <w:sz w:val="22"/>
          <w:szCs w:val="22"/>
        </w:rPr>
        <w:t>solar systems</w:t>
      </w:r>
      <w:r w:rsidR="00CA546F" w:rsidRPr="005154A7">
        <w:rPr>
          <w:rFonts w:ascii="Times New Roman" w:eastAsia="SimSun" w:hAnsi="Times New Roman" w:cs="Times New Roman"/>
          <w:sz w:val="22"/>
          <w:szCs w:val="22"/>
        </w:rPr>
        <w:t xml:space="preserve"> (42.68%) and </w:t>
      </w:r>
      <w:r w:rsidR="00CA546F" w:rsidRPr="005154A7">
        <w:rPr>
          <w:rStyle w:val="Strong"/>
          <w:rFonts w:ascii="Times New Roman" w:eastAsia="SimSun" w:hAnsi="Times New Roman" w:cs="Times New Roman"/>
          <w:b w:val="0"/>
          <w:sz w:val="22"/>
          <w:szCs w:val="22"/>
        </w:rPr>
        <w:t>biogas</w:t>
      </w:r>
      <w:r w:rsidR="00CA546F" w:rsidRPr="005154A7">
        <w:rPr>
          <w:rFonts w:ascii="Times New Roman" w:eastAsia="SimSun" w:hAnsi="Times New Roman" w:cs="Times New Roman"/>
          <w:sz w:val="22"/>
          <w:szCs w:val="22"/>
        </w:rPr>
        <w:t xml:space="preserve"> (6.34%), while Chandigarh Union has no biogas users and a lower proportion of solar system usage (26.18%)</w:t>
      </w:r>
      <w:r w:rsidR="007A24FE" w:rsidRPr="005154A7">
        <w:rPr>
          <w:rFonts w:ascii="Times New Roman" w:eastAsia="SimSun" w:hAnsi="Times New Roman" w:cs="Times New Roman"/>
          <w:sz w:val="22"/>
          <w:szCs w:val="22"/>
        </w:rPr>
        <w:t xml:space="preserve"> according to the respondents</w:t>
      </w:r>
      <w:r w:rsidR="00CA546F" w:rsidRPr="005154A7">
        <w:rPr>
          <w:rFonts w:ascii="Times New Roman" w:eastAsia="SimSun" w:hAnsi="Times New Roman" w:cs="Times New Roman"/>
          <w:sz w:val="22"/>
          <w:szCs w:val="22"/>
        </w:rPr>
        <w:t xml:space="preserve">. Overall, </w:t>
      </w:r>
      <w:r w:rsidR="00CD1865" w:rsidRPr="005154A7">
        <w:rPr>
          <w:rFonts w:ascii="Times New Roman" w:eastAsia="SimSun" w:hAnsi="Times New Roman" w:cs="Times New Roman"/>
          <w:sz w:val="22"/>
          <w:szCs w:val="22"/>
        </w:rPr>
        <w:t>Durgapur Union tended</w:t>
      </w:r>
      <w:r w:rsidR="00CA546F" w:rsidRPr="005154A7">
        <w:rPr>
          <w:rFonts w:ascii="Times New Roman" w:eastAsia="SimSun" w:hAnsi="Times New Roman" w:cs="Times New Roman"/>
          <w:sz w:val="22"/>
          <w:szCs w:val="22"/>
        </w:rPr>
        <w:t xml:space="preserve"> to have more modern and diverse household facilities compared to Chandigarh Union.</w:t>
      </w:r>
    </w:p>
    <w:p w:rsidR="00857ABE" w:rsidRPr="005154A7" w:rsidRDefault="00CA546F" w:rsidP="0087714A">
      <w:pPr>
        <w:spacing w:line="360" w:lineRule="auto"/>
        <w:ind w:right="-64"/>
        <w:jc w:val="both"/>
        <w:rPr>
          <w:rFonts w:ascii="Times New Roman" w:eastAsia="SimSun" w:hAnsi="Times New Roman" w:cs="Times New Roman"/>
          <w:color w:val="000000"/>
          <w:lang w:bidi="ar"/>
        </w:rPr>
      </w:pPr>
      <w:r w:rsidRPr="005154A7">
        <w:rPr>
          <w:rFonts w:ascii="Times New Roman" w:hAnsi="Times New Roman" w:cs="Times New Roman"/>
        </w:rPr>
        <w:t xml:space="preserve">From the table </w:t>
      </w:r>
      <w:r w:rsidR="0054393B" w:rsidRPr="005154A7">
        <w:rPr>
          <w:rFonts w:ascii="Times New Roman" w:hAnsi="Times New Roman" w:cs="Times New Roman"/>
        </w:rPr>
        <w:t xml:space="preserve">1, </w:t>
      </w:r>
      <w:r w:rsidRPr="005154A7">
        <w:rPr>
          <w:rFonts w:ascii="Times New Roman" w:hAnsi="Times New Roman" w:cs="Times New Roman"/>
        </w:rPr>
        <w:t xml:space="preserve">in Durgapur Union, among the loanee, 29.90 percent faced difficulties for paying loan whereas in Chandigarh union this figure </w:t>
      </w:r>
      <w:r w:rsidR="0054393B" w:rsidRPr="005154A7">
        <w:rPr>
          <w:rFonts w:ascii="Times New Roman" w:hAnsi="Times New Roman" w:cs="Times New Roman"/>
        </w:rPr>
        <w:t>was</w:t>
      </w:r>
      <w:r w:rsidRPr="005154A7">
        <w:rPr>
          <w:rFonts w:ascii="Times New Roman" w:hAnsi="Times New Roman" w:cs="Times New Roman"/>
        </w:rPr>
        <w:t xml:space="preserve"> 53.64 percent. 22.20% </w:t>
      </w:r>
      <w:r w:rsidR="009E5218" w:rsidRPr="005154A7">
        <w:rPr>
          <w:rFonts w:ascii="Times New Roman" w:eastAsia="SimSun" w:hAnsi="Times New Roman" w:cs="Times New Roman"/>
          <w:color w:val="000000"/>
          <w:lang w:bidi="ar"/>
        </w:rPr>
        <w:t>Household members had</w:t>
      </w:r>
      <w:r w:rsidRPr="005154A7">
        <w:rPr>
          <w:rFonts w:ascii="Times New Roman" w:eastAsia="SimSun" w:hAnsi="Times New Roman" w:cs="Times New Roman"/>
          <w:color w:val="000000"/>
          <w:lang w:bidi="ar"/>
        </w:rPr>
        <w:t xml:space="preserve"> insurance policy in Durgapur union and 4.74% respondents ha</w:t>
      </w:r>
      <w:r w:rsidR="009E5218" w:rsidRPr="005154A7">
        <w:rPr>
          <w:rFonts w:ascii="Times New Roman" w:eastAsia="SimSun" w:hAnsi="Times New Roman" w:cs="Times New Roman"/>
          <w:color w:val="000000"/>
          <w:lang w:bidi="ar"/>
        </w:rPr>
        <w:t>d</w:t>
      </w:r>
      <w:r w:rsidRPr="005154A7">
        <w:rPr>
          <w:rFonts w:ascii="Times New Roman" w:eastAsia="SimSun" w:hAnsi="Times New Roman" w:cs="Times New Roman"/>
          <w:color w:val="000000"/>
          <w:lang w:bidi="ar"/>
        </w:rPr>
        <w:t xml:space="preserve"> insurance policy in Chandigarh union.</w:t>
      </w:r>
    </w:p>
    <w:p w:rsidR="004A123E" w:rsidRPr="005154A7" w:rsidRDefault="008C118E" w:rsidP="0013675E">
      <w:pPr>
        <w:spacing w:line="360" w:lineRule="auto"/>
        <w:ind w:right="-64"/>
        <w:rPr>
          <w:rFonts w:ascii="Times New Roman" w:eastAsia="SimSun" w:hAnsi="Times New Roman" w:cs="Times New Roman"/>
          <w:b/>
          <w:color w:val="000000"/>
          <w:lang w:bidi="ar"/>
        </w:rPr>
      </w:pPr>
      <w:r w:rsidRPr="005154A7">
        <w:rPr>
          <w:rFonts w:ascii="Times New Roman" w:eastAsia="SimSun" w:hAnsi="Times New Roman" w:cs="Times New Roman"/>
          <w:b/>
          <w:color w:val="000000"/>
          <w:lang w:bidi="ar"/>
        </w:rPr>
        <w:t>Conclusion</w:t>
      </w:r>
    </w:p>
    <w:p w:rsidR="00FB69B3" w:rsidRPr="005154A7" w:rsidRDefault="004B30C4" w:rsidP="0087714A">
      <w:pPr>
        <w:spacing w:line="360" w:lineRule="auto"/>
        <w:ind w:right="-64"/>
        <w:jc w:val="both"/>
        <w:rPr>
          <w:rFonts w:ascii="Times New Roman" w:eastAsia="SimSun" w:hAnsi="Times New Roman" w:cs="Times New Roman"/>
          <w:color w:val="000000"/>
          <w:lang w:bidi="ar"/>
        </w:rPr>
      </w:pPr>
      <w:r w:rsidRPr="005154A7">
        <w:rPr>
          <w:rFonts w:ascii="Times New Roman" w:eastAsia="SimSun" w:hAnsi="Times New Roman" w:cs="Times New Roman"/>
          <w:color w:val="000000"/>
          <w:lang w:bidi="ar"/>
        </w:rPr>
        <w:t>T</w:t>
      </w:r>
      <w:r w:rsidR="00FB69B3" w:rsidRPr="005154A7">
        <w:rPr>
          <w:rFonts w:ascii="Times New Roman" w:eastAsia="SimSun" w:hAnsi="Times New Roman" w:cs="Times New Roman"/>
          <w:color w:val="000000"/>
          <w:lang w:bidi="ar"/>
        </w:rPr>
        <w:t xml:space="preserve">he ENRICH programme </w:t>
      </w:r>
      <w:r w:rsidR="006B163A" w:rsidRPr="005154A7">
        <w:rPr>
          <w:rFonts w:ascii="Times New Roman" w:eastAsia="SimSun" w:hAnsi="Times New Roman" w:cs="Times New Roman"/>
          <w:color w:val="000000"/>
          <w:lang w:bidi="ar"/>
        </w:rPr>
        <w:t>had</w:t>
      </w:r>
      <w:r w:rsidR="00FB69B3" w:rsidRPr="005154A7">
        <w:rPr>
          <w:rFonts w:ascii="Times New Roman" w:eastAsia="SimSun" w:hAnsi="Times New Roman" w:cs="Times New Roman"/>
          <w:color w:val="000000"/>
          <w:lang w:bidi="ar"/>
        </w:rPr>
        <w:t xml:space="preserve"> demonstrated a significant positive impact on poverty reduction in rural Bangladesh. Households in the programme area, Durgapur Union, experienced higher income growth, increased asset creation, and greater financial stability compared to those in the non-programme area, Chandigar Union. The findings indicate</w:t>
      </w:r>
      <w:r w:rsidR="006B163A" w:rsidRPr="005154A7">
        <w:rPr>
          <w:rFonts w:ascii="Times New Roman" w:eastAsia="SimSun" w:hAnsi="Times New Roman" w:cs="Times New Roman"/>
          <w:color w:val="000000"/>
          <w:lang w:bidi="ar"/>
        </w:rPr>
        <w:t>d</w:t>
      </w:r>
      <w:r w:rsidR="00FB69B3" w:rsidRPr="005154A7">
        <w:rPr>
          <w:rFonts w:ascii="Times New Roman" w:eastAsia="SimSun" w:hAnsi="Times New Roman" w:cs="Times New Roman"/>
          <w:color w:val="000000"/>
          <w:lang w:bidi="ar"/>
        </w:rPr>
        <w:t xml:space="preserve"> that the</w:t>
      </w:r>
      <w:r w:rsidR="00C94160" w:rsidRPr="005154A7">
        <w:rPr>
          <w:rFonts w:ascii="Times New Roman" w:eastAsia="SimSun" w:hAnsi="Times New Roman" w:cs="Times New Roman"/>
          <w:color w:val="000000"/>
          <w:lang w:bidi="ar"/>
        </w:rPr>
        <w:t xml:space="preserve"> programme's financial services </w:t>
      </w:r>
      <w:r w:rsidR="00FB69B3" w:rsidRPr="005154A7">
        <w:rPr>
          <w:rFonts w:ascii="Times New Roman" w:eastAsia="SimSun" w:hAnsi="Times New Roman" w:cs="Times New Roman"/>
          <w:color w:val="000000"/>
          <w:lang w:bidi="ar"/>
        </w:rPr>
        <w:t>such as income-generating</w:t>
      </w:r>
      <w:r w:rsidR="00C94160" w:rsidRPr="005154A7">
        <w:rPr>
          <w:rFonts w:ascii="Times New Roman" w:eastAsia="SimSun" w:hAnsi="Times New Roman" w:cs="Times New Roman"/>
          <w:color w:val="000000"/>
          <w:lang w:bidi="ar"/>
        </w:rPr>
        <w:t xml:space="preserve"> loans and asset creation loans </w:t>
      </w:r>
      <w:r w:rsidR="00FB69B3" w:rsidRPr="005154A7">
        <w:rPr>
          <w:rFonts w:ascii="Times New Roman" w:eastAsia="SimSun" w:hAnsi="Times New Roman" w:cs="Times New Roman"/>
          <w:color w:val="000000"/>
          <w:lang w:bidi="ar"/>
        </w:rPr>
        <w:t>have effectively enhanced household economic well-being, leading to more income earners and improved living conditions. Additionally, the increased access to modern facilities, like solar po</w:t>
      </w:r>
      <w:r w:rsidR="006B163A" w:rsidRPr="005154A7">
        <w:rPr>
          <w:rFonts w:ascii="Times New Roman" w:eastAsia="SimSun" w:hAnsi="Times New Roman" w:cs="Times New Roman"/>
          <w:color w:val="000000"/>
          <w:lang w:bidi="ar"/>
        </w:rPr>
        <w:t>wer and biogas, further supported</w:t>
      </w:r>
      <w:r w:rsidR="00FB69B3" w:rsidRPr="005154A7">
        <w:rPr>
          <w:rFonts w:ascii="Times New Roman" w:eastAsia="SimSun" w:hAnsi="Times New Roman" w:cs="Times New Roman"/>
          <w:color w:val="000000"/>
          <w:lang w:bidi="ar"/>
        </w:rPr>
        <w:t xml:space="preserve"> the programme’s role in improving overall quali</w:t>
      </w:r>
      <w:r w:rsidR="006B163A" w:rsidRPr="005154A7">
        <w:rPr>
          <w:rFonts w:ascii="Times New Roman" w:eastAsia="SimSun" w:hAnsi="Times New Roman" w:cs="Times New Roman"/>
          <w:color w:val="000000"/>
          <w:lang w:bidi="ar"/>
        </w:rPr>
        <w:t>ty of life. The study highlighted</w:t>
      </w:r>
      <w:r w:rsidR="00FB69B3" w:rsidRPr="005154A7">
        <w:rPr>
          <w:rFonts w:ascii="Times New Roman" w:eastAsia="SimSun" w:hAnsi="Times New Roman" w:cs="Times New Roman"/>
          <w:color w:val="000000"/>
          <w:lang w:bidi="ar"/>
        </w:rPr>
        <w:t xml:space="preserve"> the potential of targeted financial interventions in breaking the cycle of poverty and promoting long-term economic resilience for rural households in Bangladesh.</w:t>
      </w:r>
    </w:p>
    <w:p w:rsidR="004A123E" w:rsidRPr="005154A7" w:rsidRDefault="008C118E" w:rsidP="0087714A">
      <w:pPr>
        <w:spacing w:line="360" w:lineRule="auto"/>
        <w:ind w:right="-64"/>
        <w:jc w:val="both"/>
        <w:rPr>
          <w:rFonts w:ascii="Times New Roman" w:eastAsia="SimSun" w:hAnsi="Times New Roman" w:cs="Times New Roman"/>
          <w:b/>
          <w:color w:val="000000"/>
          <w:lang w:bidi="ar"/>
        </w:rPr>
      </w:pPr>
      <w:r w:rsidRPr="005154A7">
        <w:rPr>
          <w:rFonts w:ascii="Times New Roman" w:eastAsia="SimSun" w:hAnsi="Times New Roman" w:cs="Times New Roman"/>
          <w:b/>
          <w:color w:val="000000"/>
          <w:lang w:bidi="ar"/>
        </w:rPr>
        <w:t xml:space="preserve">Reference </w:t>
      </w:r>
    </w:p>
    <w:p w:rsidR="00922C99" w:rsidRPr="005154A7" w:rsidRDefault="00922C99" w:rsidP="00922C99">
      <w:pPr>
        <w:pStyle w:val="NormalWeb"/>
        <w:spacing w:before="0" w:beforeAutospacing="0" w:after="0"/>
        <w:ind w:right="-64"/>
        <w:jc w:val="both"/>
        <w:rPr>
          <w:sz w:val="22"/>
          <w:szCs w:val="22"/>
        </w:rPr>
      </w:pPr>
      <w:r w:rsidRPr="005154A7">
        <w:rPr>
          <w:sz w:val="22"/>
          <w:szCs w:val="22"/>
        </w:rPr>
        <w:t>Ahmed, M. (2015). Microfinance and Poverty Reduction in Bangladesh: A Case Study. Bangladesh Journal of Development Studies, 43(1), 47-60.</w:t>
      </w:r>
    </w:p>
    <w:p w:rsidR="00922C99" w:rsidRPr="005154A7" w:rsidRDefault="00922C99" w:rsidP="00922C99">
      <w:pPr>
        <w:pStyle w:val="NormalWeb"/>
        <w:spacing w:before="0" w:beforeAutospacing="0" w:after="0"/>
        <w:ind w:right="-64"/>
        <w:jc w:val="both"/>
        <w:rPr>
          <w:sz w:val="22"/>
          <w:szCs w:val="22"/>
        </w:rPr>
      </w:pPr>
      <w:r w:rsidRPr="005154A7">
        <w:rPr>
          <w:sz w:val="22"/>
          <w:szCs w:val="22"/>
        </w:rPr>
        <w:t>Ahmed, S. (2015). Microfinance and rural livelihoods in Bangladesh. Dhaka: University Press Limited.</w:t>
      </w:r>
    </w:p>
    <w:p w:rsidR="00922C99" w:rsidRPr="005154A7" w:rsidRDefault="00922C99" w:rsidP="00922C99">
      <w:pPr>
        <w:pStyle w:val="NormalWeb"/>
        <w:spacing w:before="0" w:beforeAutospacing="0" w:after="0"/>
        <w:ind w:right="-64"/>
        <w:jc w:val="both"/>
        <w:rPr>
          <w:sz w:val="22"/>
          <w:szCs w:val="22"/>
        </w:rPr>
      </w:pPr>
      <w:r w:rsidRPr="005154A7">
        <w:rPr>
          <w:sz w:val="22"/>
          <w:szCs w:val="22"/>
        </w:rPr>
        <w:t>Bryman, A. (2016). Social Research Methods (5th ed.). Oxford University Press.</w:t>
      </w:r>
    </w:p>
    <w:p w:rsidR="00922C99" w:rsidRPr="005154A7" w:rsidRDefault="00922C99" w:rsidP="00922C99">
      <w:pPr>
        <w:pStyle w:val="NormalWeb"/>
        <w:spacing w:before="0" w:beforeAutospacing="0" w:after="0"/>
        <w:ind w:right="-64"/>
        <w:jc w:val="both"/>
        <w:rPr>
          <w:sz w:val="22"/>
          <w:szCs w:val="22"/>
        </w:rPr>
      </w:pPr>
      <w:r w:rsidRPr="005154A7">
        <w:rPr>
          <w:sz w:val="22"/>
          <w:szCs w:val="22"/>
        </w:rPr>
        <w:t>Creswell, J. W. (2014). Research design: Qualitative, quantitative, and mixed methods approaches (4th ed.). SAGE Publications.</w:t>
      </w:r>
    </w:p>
    <w:p w:rsidR="00922C99" w:rsidRPr="005154A7" w:rsidRDefault="00922C99" w:rsidP="00922C99">
      <w:pPr>
        <w:pStyle w:val="NormalWeb"/>
        <w:spacing w:before="0" w:beforeAutospacing="0" w:after="0"/>
        <w:ind w:right="-64"/>
        <w:jc w:val="both"/>
        <w:rPr>
          <w:sz w:val="22"/>
          <w:szCs w:val="22"/>
        </w:rPr>
      </w:pPr>
      <w:r w:rsidRPr="005154A7">
        <w:rPr>
          <w:sz w:val="22"/>
          <w:szCs w:val="22"/>
        </w:rPr>
        <w:t>Creswell, J. W., &amp; Poth, C. N. (2017). Qualitative Inquiry and Research Design: Choosing Among Five Approaches (4th ed.). Sage Publications.</w:t>
      </w:r>
    </w:p>
    <w:p w:rsidR="00922C99" w:rsidRPr="005154A7" w:rsidRDefault="00922C99" w:rsidP="00922C99">
      <w:pPr>
        <w:pStyle w:val="NormalWeb"/>
        <w:spacing w:before="0" w:beforeAutospacing="0" w:after="0"/>
        <w:ind w:right="-64"/>
        <w:jc w:val="both"/>
        <w:rPr>
          <w:sz w:val="22"/>
          <w:szCs w:val="22"/>
        </w:rPr>
      </w:pPr>
      <w:r w:rsidRPr="005154A7">
        <w:rPr>
          <w:sz w:val="22"/>
          <w:szCs w:val="22"/>
        </w:rPr>
        <w:t>Field, A. (2013). Discovering Statistics Using IBM SPSS Statistics (4th ed.). Sage Publications.</w:t>
      </w:r>
    </w:p>
    <w:p w:rsidR="00922C99" w:rsidRPr="005154A7" w:rsidRDefault="00922C99" w:rsidP="00922C99">
      <w:pPr>
        <w:pStyle w:val="NormalWeb"/>
        <w:spacing w:before="0" w:beforeAutospacing="0" w:after="0"/>
        <w:ind w:right="-64"/>
        <w:jc w:val="both"/>
        <w:rPr>
          <w:sz w:val="22"/>
          <w:szCs w:val="22"/>
        </w:rPr>
      </w:pPr>
      <w:r w:rsidRPr="005154A7">
        <w:rPr>
          <w:sz w:val="22"/>
          <w:szCs w:val="22"/>
        </w:rPr>
        <w:lastRenderedPageBreak/>
        <w:t>Haq, M. I., &amp; Rahman, M. M. (2019). Impact of Microfinance on Rural Poverty: Evidence from Bangladesh. Journal of Development Economics, 34(2), 209-225.</w:t>
      </w:r>
    </w:p>
    <w:p w:rsidR="00922C99" w:rsidRPr="005154A7" w:rsidRDefault="00922C99" w:rsidP="00922C99">
      <w:pPr>
        <w:pStyle w:val="NormalWeb"/>
        <w:spacing w:before="0" w:beforeAutospacing="0" w:after="0"/>
        <w:ind w:right="-64"/>
        <w:jc w:val="both"/>
        <w:rPr>
          <w:sz w:val="22"/>
          <w:szCs w:val="22"/>
        </w:rPr>
      </w:pPr>
      <w:r w:rsidRPr="005154A7">
        <w:rPr>
          <w:sz w:val="22"/>
          <w:szCs w:val="22"/>
        </w:rPr>
        <w:t>Hair, J. F., Black, W. C., Babin, B. J., &amp; Anderson, R. E. (2010). Multivariate data analysis (7th ed.). Pearson Education.</w:t>
      </w:r>
    </w:p>
    <w:p w:rsidR="00922C99" w:rsidRPr="005154A7" w:rsidRDefault="00922C99" w:rsidP="00922C99">
      <w:pPr>
        <w:pStyle w:val="NormalWeb"/>
        <w:spacing w:before="0" w:beforeAutospacing="0" w:after="0"/>
        <w:ind w:right="-64"/>
        <w:jc w:val="both"/>
        <w:rPr>
          <w:sz w:val="22"/>
          <w:szCs w:val="22"/>
        </w:rPr>
      </w:pPr>
      <w:r w:rsidRPr="005154A7">
        <w:rPr>
          <w:sz w:val="22"/>
          <w:szCs w:val="22"/>
        </w:rPr>
        <w:t>International Labour Organization (ILO). (2017). Decent work and the Sustainable Development Goals: A guidebook. Geneva: ILO.</w:t>
      </w:r>
    </w:p>
    <w:p w:rsidR="00922C99" w:rsidRPr="005154A7" w:rsidRDefault="00922C99" w:rsidP="00922C99">
      <w:pPr>
        <w:pStyle w:val="NormalWeb"/>
        <w:spacing w:before="0" w:beforeAutospacing="0" w:after="0"/>
        <w:ind w:right="-64"/>
        <w:jc w:val="both"/>
        <w:rPr>
          <w:sz w:val="22"/>
          <w:szCs w:val="22"/>
        </w:rPr>
      </w:pPr>
      <w:r w:rsidRPr="005154A7">
        <w:rPr>
          <w:sz w:val="22"/>
          <w:szCs w:val="22"/>
        </w:rPr>
        <w:t>Kothari, C. R. (2004). Research methodology: Methods and techniques (2nd ed.). New Age International Publishers.</w:t>
      </w:r>
    </w:p>
    <w:p w:rsidR="00922C99" w:rsidRPr="005154A7" w:rsidRDefault="00922C99" w:rsidP="00922C99">
      <w:pPr>
        <w:pStyle w:val="NormalWeb"/>
        <w:spacing w:before="0" w:beforeAutospacing="0" w:after="0"/>
        <w:ind w:right="-64"/>
        <w:jc w:val="both"/>
        <w:rPr>
          <w:sz w:val="22"/>
          <w:szCs w:val="22"/>
        </w:rPr>
      </w:pPr>
      <w:r w:rsidRPr="005154A7">
        <w:rPr>
          <w:sz w:val="22"/>
          <w:szCs w:val="22"/>
        </w:rPr>
        <w:t>OECD. (2019). Gender and sustainable development: Maximising the impact of SDG 5. Organisation for Economic Co-operation and Development.</w:t>
      </w:r>
    </w:p>
    <w:p w:rsidR="00922C99" w:rsidRPr="005154A7" w:rsidRDefault="00922C99" w:rsidP="00922C99">
      <w:pPr>
        <w:pStyle w:val="NormalWeb"/>
        <w:spacing w:before="0" w:beforeAutospacing="0" w:after="0"/>
        <w:ind w:right="-64"/>
        <w:jc w:val="both"/>
        <w:rPr>
          <w:sz w:val="22"/>
          <w:szCs w:val="22"/>
        </w:rPr>
      </w:pPr>
      <w:r w:rsidRPr="005154A7">
        <w:rPr>
          <w:sz w:val="22"/>
          <w:szCs w:val="22"/>
        </w:rPr>
        <w:t>Pallant, J. (2016). SPSS survival manual (6th ed.). McGraw-Hill Education.</w:t>
      </w:r>
    </w:p>
    <w:p w:rsidR="00922C99" w:rsidRPr="005154A7" w:rsidRDefault="00922C99" w:rsidP="00922C99">
      <w:pPr>
        <w:pStyle w:val="NormalWeb"/>
        <w:spacing w:before="0" w:beforeAutospacing="0" w:after="0"/>
        <w:ind w:right="-64"/>
        <w:jc w:val="both"/>
        <w:rPr>
          <w:sz w:val="22"/>
          <w:szCs w:val="22"/>
        </w:rPr>
      </w:pPr>
      <w:r w:rsidRPr="005154A7">
        <w:rPr>
          <w:sz w:val="22"/>
          <w:szCs w:val="22"/>
        </w:rPr>
        <w:t>PKSF. (2019). Annual Report of Palli Karma-Sahayak Foundation (PKSF). Dhaka: PKSF.</w:t>
      </w:r>
    </w:p>
    <w:p w:rsidR="00922C99" w:rsidRPr="005154A7" w:rsidRDefault="00922C99" w:rsidP="00922C99">
      <w:pPr>
        <w:pStyle w:val="NormalWeb"/>
        <w:spacing w:before="0" w:beforeAutospacing="0" w:after="0"/>
        <w:ind w:right="-64"/>
        <w:jc w:val="both"/>
        <w:rPr>
          <w:sz w:val="22"/>
          <w:szCs w:val="22"/>
        </w:rPr>
      </w:pPr>
      <w:r w:rsidRPr="005154A7">
        <w:rPr>
          <w:sz w:val="22"/>
          <w:szCs w:val="22"/>
        </w:rPr>
        <w:t>PKSF. (2020). Annual Report: ENRICH Programme Progress and Achievements. Dhaka: PKSF.</w:t>
      </w:r>
    </w:p>
    <w:p w:rsidR="00922C99" w:rsidRPr="005154A7" w:rsidRDefault="00922C99" w:rsidP="00922C99">
      <w:pPr>
        <w:pStyle w:val="NormalWeb"/>
        <w:spacing w:before="0" w:beforeAutospacing="0" w:after="0"/>
        <w:ind w:right="-64"/>
        <w:jc w:val="both"/>
        <w:rPr>
          <w:sz w:val="22"/>
          <w:szCs w:val="22"/>
        </w:rPr>
      </w:pPr>
      <w:r w:rsidRPr="005154A7">
        <w:rPr>
          <w:sz w:val="22"/>
          <w:szCs w:val="22"/>
        </w:rPr>
        <w:t>Rahman, A. (2004). Microfinance and Poverty Reduction in Bangladesh: A Review of Empirical Evidence. International Journal of Social Economics, 31(4), 298-313.</w:t>
      </w:r>
    </w:p>
    <w:p w:rsidR="00922C99" w:rsidRPr="005154A7" w:rsidRDefault="00922C99" w:rsidP="00922C99">
      <w:pPr>
        <w:pStyle w:val="NormalWeb"/>
        <w:spacing w:before="0" w:beforeAutospacing="0" w:after="0"/>
        <w:ind w:right="-64"/>
        <w:jc w:val="both"/>
        <w:rPr>
          <w:sz w:val="22"/>
          <w:szCs w:val="22"/>
        </w:rPr>
      </w:pPr>
      <w:r w:rsidRPr="005154A7">
        <w:rPr>
          <w:sz w:val="22"/>
          <w:szCs w:val="22"/>
        </w:rPr>
        <w:t>Sen, A. (1999). Development as Freedom. Oxford University Press.</w:t>
      </w:r>
    </w:p>
    <w:p w:rsidR="00922C99" w:rsidRPr="005154A7" w:rsidRDefault="00922C99" w:rsidP="00922C99">
      <w:pPr>
        <w:pStyle w:val="NormalWeb"/>
        <w:spacing w:before="0" w:beforeAutospacing="0" w:after="0"/>
        <w:ind w:right="-64"/>
        <w:jc w:val="both"/>
        <w:rPr>
          <w:sz w:val="22"/>
          <w:szCs w:val="22"/>
        </w:rPr>
      </w:pPr>
      <w:r w:rsidRPr="005154A7">
        <w:rPr>
          <w:sz w:val="22"/>
          <w:szCs w:val="22"/>
        </w:rPr>
        <w:t>United Nations Development Programme (UNDP). (2018). What are the Sustainable Development Goals? UNDP.</w:t>
      </w:r>
    </w:p>
    <w:p w:rsidR="00922C99" w:rsidRPr="005154A7" w:rsidRDefault="00922C99" w:rsidP="00922C99">
      <w:pPr>
        <w:pStyle w:val="NormalWeb"/>
        <w:spacing w:before="0" w:beforeAutospacing="0" w:after="0"/>
        <w:ind w:right="-64"/>
        <w:jc w:val="both"/>
        <w:rPr>
          <w:sz w:val="22"/>
          <w:szCs w:val="22"/>
        </w:rPr>
      </w:pPr>
      <w:r w:rsidRPr="005154A7">
        <w:rPr>
          <w:sz w:val="22"/>
          <w:szCs w:val="22"/>
        </w:rPr>
        <w:t>UN Women. (2018). Gender equality and women’s empowerment in the 2030 Agenda for Sustainable Development. UN Women.</w:t>
      </w:r>
    </w:p>
    <w:p w:rsidR="00922C99" w:rsidRPr="005154A7" w:rsidRDefault="00922C99" w:rsidP="00922C99">
      <w:pPr>
        <w:pStyle w:val="NormalWeb"/>
        <w:spacing w:before="0" w:beforeAutospacing="0" w:after="0"/>
        <w:ind w:right="-64"/>
        <w:jc w:val="both"/>
        <w:rPr>
          <w:sz w:val="22"/>
          <w:szCs w:val="22"/>
        </w:rPr>
      </w:pPr>
      <w:r w:rsidRPr="005154A7">
        <w:rPr>
          <w:sz w:val="22"/>
          <w:szCs w:val="22"/>
        </w:rPr>
        <w:t>World Bank. (2015). Poverty assessment for Bangladesh: Pathways to prosperity. Washington, DC: World Bank Group.</w:t>
      </w:r>
    </w:p>
    <w:p w:rsidR="0013675E" w:rsidRPr="005154A7" w:rsidRDefault="0013675E" w:rsidP="0013675E">
      <w:pPr>
        <w:pStyle w:val="NormalWeb"/>
        <w:spacing w:before="0" w:beforeAutospacing="0" w:after="0" w:afterAutospacing="0"/>
        <w:ind w:right="-64"/>
        <w:jc w:val="both"/>
        <w:rPr>
          <w:sz w:val="22"/>
          <w:szCs w:val="22"/>
        </w:rPr>
      </w:pPr>
      <w:r w:rsidRPr="005154A7">
        <w:rPr>
          <w:sz w:val="22"/>
          <w:szCs w:val="22"/>
        </w:rPr>
        <w:t>World Bank. (2015). Poverty reduction and shared prosperity: Global monitoring report. Washington, DC: World Bank.</w:t>
      </w:r>
    </w:p>
    <w:p w:rsidR="00204AF7" w:rsidRPr="005154A7" w:rsidRDefault="00204AF7" w:rsidP="0013675E">
      <w:pPr>
        <w:pStyle w:val="NormalWeb"/>
        <w:spacing w:before="0" w:beforeAutospacing="0" w:after="0" w:afterAutospacing="0"/>
        <w:ind w:right="-64"/>
        <w:jc w:val="both"/>
        <w:rPr>
          <w:sz w:val="22"/>
          <w:szCs w:val="22"/>
        </w:rPr>
      </w:pPr>
    </w:p>
    <w:p w:rsidR="00922C99" w:rsidRPr="005154A7" w:rsidRDefault="00922C99" w:rsidP="00922C99">
      <w:pPr>
        <w:pStyle w:val="NormalWeb"/>
        <w:spacing w:before="0" w:beforeAutospacing="0" w:after="0"/>
        <w:ind w:right="-64"/>
        <w:jc w:val="both"/>
        <w:rPr>
          <w:sz w:val="22"/>
          <w:szCs w:val="22"/>
        </w:rPr>
      </w:pPr>
      <w:r w:rsidRPr="005154A7">
        <w:rPr>
          <w:sz w:val="22"/>
          <w:szCs w:val="22"/>
        </w:rPr>
        <w:t>World Bank. (2015). World Development Indicators 2015. Washington, DC: World Bank.</w:t>
      </w:r>
    </w:p>
    <w:sectPr w:rsidR="00922C99" w:rsidRPr="005154A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70" w:rsidRDefault="003A7970">
      <w:pPr>
        <w:spacing w:line="240" w:lineRule="auto"/>
      </w:pPr>
      <w:r>
        <w:separator/>
      </w:r>
    </w:p>
  </w:endnote>
  <w:endnote w:type="continuationSeparator" w:id="0">
    <w:p w:rsidR="003A7970" w:rsidRDefault="003A7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rinda">
    <w:altName w:val="AdorshoLipi"/>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840042"/>
    </w:sdtPr>
    <w:sdtEndPr/>
    <w:sdtContent>
      <w:p w:rsidR="007A7264" w:rsidRDefault="007A7264">
        <w:pPr>
          <w:pStyle w:val="Footer"/>
          <w:jc w:val="center"/>
        </w:pPr>
        <w:r>
          <w:fldChar w:fldCharType="begin"/>
        </w:r>
        <w:r>
          <w:instrText xml:space="preserve"> PAGE   \* MERGEFORMAT </w:instrText>
        </w:r>
        <w:r>
          <w:fldChar w:fldCharType="separate"/>
        </w:r>
        <w:r w:rsidR="0037025E">
          <w:rPr>
            <w:noProof/>
          </w:rPr>
          <w:t>1</w:t>
        </w:r>
        <w:r>
          <w:fldChar w:fldCharType="end"/>
        </w:r>
      </w:p>
    </w:sdtContent>
  </w:sdt>
  <w:p w:rsidR="007A7264" w:rsidRDefault="007A7264">
    <w:pPr>
      <w:pStyle w:val="Footer"/>
      <w:tabs>
        <w:tab w:val="clear" w:pos="4680"/>
        <w:tab w:val="clear" w:pos="936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70" w:rsidRDefault="003A7970">
      <w:pPr>
        <w:spacing w:after="0"/>
      </w:pPr>
      <w:r>
        <w:separator/>
      </w:r>
    </w:p>
  </w:footnote>
  <w:footnote w:type="continuationSeparator" w:id="0">
    <w:p w:rsidR="003A7970" w:rsidRDefault="003A79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D288D"/>
    <w:multiLevelType w:val="multilevel"/>
    <w:tmpl w:val="EE0D288D"/>
    <w:lvl w:ilvl="0">
      <w:start w:val="1"/>
      <w:numFmt w:val="upperLetter"/>
      <w:suff w:val="space"/>
      <w:lvlText w:val="%1."/>
      <w:lvlJc w:val="left"/>
    </w:lvl>
    <w:lvl w:ilvl="1">
      <w:start w:val="1"/>
      <w:numFmt w:val="lowerLetter"/>
      <w:lvlText w:val="%2."/>
      <w:lvlJc w:val="left"/>
      <w:pPr>
        <w:ind w:left="540" w:hanging="360"/>
      </w:pPr>
    </w:lvl>
    <w:lvl w:ilvl="2">
      <w:start w:val="1"/>
      <w:numFmt w:val="lowerRoman"/>
      <w:lvlText w:val="%3."/>
      <w:lvlJc w:val="right"/>
      <w:pPr>
        <w:ind w:left="2520" w:hanging="180"/>
      </w:pPr>
      <w:rPr>
        <w:rFonts w:ascii="Times New Roman" w:eastAsia="Calibri" w:hAnsi="Times New Roman" w:cs="Times New Roman"/>
      </w:rPr>
    </w:lvl>
    <w:lvl w:ilvl="3">
      <w:start w:val="1"/>
      <w:numFmt w:val="decimal"/>
      <w:lvlText w:val="%4."/>
      <w:lvlJc w:val="left"/>
      <w:pPr>
        <w:ind w:left="3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3123EB"/>
    <w:multiLevelType w:val="multilevel"/>
    <w:tmpl w:val="0A312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894FAD"/>
    <w:multiLevelType w:val="multilevel"/>
    <w:tmpl w:val="0A894FA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330A46"/>
    <w:multiLevelType w:val="multilevel"/>
    <w:tmpl w:val="11330A4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178E5599"/>
    <w:multiLevelType w:val="multilevel"/>
    <w:tmpl w:val="178E5599"/>
    <w:lvl w:ilvl="0">
      <w:start w:val="2"/>
      <w:numFmt w:val="decimal"/>
      <w:lvlText w:val="%1"/>
      <w:lvlJc w:val="left"/>
      <w:pPr>
        <w:ind w:left="525" w:hanging="525"/>
      </w:pPr>
      <w:rPr>
        <w:rFonts w:hint="default"/>
        <w:sz w:val="28"/>
      </w:rPr>
    </w:lvl>
    <w:lvl w:ilvl="1">
      <w:start w:val="10"/>
      <w:numFmt w:val="decimal"/>
      <w:lvlText w:val="%1.%2"/>
      <w:lvlJc w:val="left"/>
      <w:pPr>
        <w:ind w:left="525" w:hanging="52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5">
    <w:nsid w:val="20DD6C28"/>
    <w:multiLevelType w:val="multilevel"/>
    <w:tmpl w:val="20DD6C28"/>
    <w:lvl w:ilvl="0">
      <w:start w:val="1"/>
      <w:numFmt w:val="lowerRoman"/>
      <w:lvlText w:val="(%1)"/>
      <w:lvlJc w:val="left"/>
      <w:pPr>
        <w:ind w:left="1440" w:hanging="720"/>
      </w:pPr>
      <w:rPr>
        <w:rFonts w:hint="default"/>
        <w:b/>
      </w:rPr>
    </w:lvl>
    <w:lvl w:ilvl="1">
      <w:start w:val="1"/>
      <w:numFmt w:val="lowerLetter"/>
      <w:lvlText w:val="%2."/>
      <w:lvlJc w:val="left"/>
      <w:pPr>
        <w:ind w:left="540" w:hanging="360"/>
      </w:pPr>
    </w:lvl>
    <w:lvl w:ilvl="2">
      <w:start w:val="1"/>
      <w:numFmt w:val="lowerRoman"/>
      <w:lvlText w:val="%3."/>
      <w:lvlJc w:val="right"/>
      <w:pPr>
        <w:ind w:left="2520" w:hanging="180"/>
      </w:pPr>
      <w:rPr>
        <w:rFonts w:ascii="Times New Roman" w:eastAsia="Calibri" w:hAnsi="Times New Roman" w:cs="Times New Roman"/>
      </w:rPr>
    </w:lvl>
    <w:lvl w:ilvl="3">
      <w:start w:val="1"/>
      <w:numFmt w:val="decimal"/>
      <w:lvlText w:val="%4."/>
      <w:lvlJc w:val="left"/>
      <w:pPr>
        <w:ind w:left="3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90E6738"/>
    <w:multiLevelType w:val="singleLevel"/>
    <w:tmpl w:val="290E6738"/>
    <w:lvl w:ilvl="0">
      <w:start w:val="3"/>
      <w:numFmt w:val="upperLetter"/>
      <w:suff w:val="space"/>
      <w:lvlText w:val="%1."/>
      <w:lvlJc w:val="left"/>
    </w:lvl>
  </w:abstractNum>
  <w:abstractNum w:abstractNumId="7">
    <w:nsid w:val="2D4B4A6A"/>
    <w:multiLevelType w:val="multilevel"/>
    <w:tmpl w:val="2D4B4A6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F528A1"/>
    <w:multiLevelType w:val="multilevel"/>
    <w:tmpl w:val="32F528A1"/>
    <w:lvl w:ilvl="0">
      <w:start w:val="1"/>
      <w:numFmt w:val="bullet"/>
      <w:lvlText w:val=""/>
      <w:lvlJc w:val="left"/>
      <w:pPr>
        <w:ind w:left="1095" w:hanging="360"/>
      </w:pPr>
      <w:rPr>
        <w:rFonts w:ascii="Wingdings" w:hAnsi="Wingdings" w:hint="default"/>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9">
    <w:nsid w:val="35302892"/>
    <w:multiLevelType w:val="multilevel"/>
    <w:tmpl w:val="353028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8367A0"/>
    <w:multiLevelType w:val="multilevel"/>
    <w:tmpl w:val="508367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84D518E"/>
    <w:multiLevelType w:val="multilevel"/>
    <w:tmpl w:val="584D5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A745E9D"/>
    <w:multiLevelType w:val="multilevel"/>
    <w:tmpl w:val="5A745E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B2E2FFA"/>
    <w:multiLevelType w:val="multilevel"/>
    <w:tmpl w:val="5B2E2FFA"/>
    <w:lvl w:ilvl="0">
      <w:start w:val="1"/>
      <w:numFmt w:val="bullet"/>
      <w:lvlText w:val=""/>
      <w:lvlJc w:val="left"/>
      <w:pPr>
        <w:ind w:left="3525" w:hanging="360"/>
      </w:pPr>
      <w:rPr>
        <w:rFonts w:ascii="Wingdings" w:hAnsi="Wingdings" w:hint="default"/>
      </w:rPr>
    </w:lvl>
    <w:lvl w:ilvl="1">
      <w:start w:val="1"/>
      <w:numFmt w:val="bullet"/>
      <w:lvlText w:val="o"/>
      <w:lvlJc w:val="left"/>
      <w:pPr>
        <w:ind w:left="4245" w:hanging="360"/>
      </w:pPr>
      <w:rPr>
        <w:rFonts w:ascii="Courier New" w:hAnsi="Courier New" w:cs="Courier New" w:hint="default"/>
      </w:rPr>
    </w:lvl>
    <w:lvl w:ilvl="2">
      <w:start w:val="1"/>
      <w:numFmt w:val="bullet"/>
      <w:lvlText w:val=""/>
      <w:lvlJc w:val="left"/>
      <w:pPr>
        <w:ind w:left="4965" w:hanging="360"/>
      </w:pPr>
      <w:rPr>
        <w:rFonts w:ascii="Wingdings" w:hAnsi="Wingdings" w:hint="default"/>
      </w:rPr>
    </w:lvl>
    <w:lvl w:ilvl="3">
      <w:start w:val="1"/>
      <w:numFmt w:val="bullet"/>
      <w:lvlText w:val=""/>
      <w:lvlJc w:val="left"/>
      <w:pPr>
        <w:ind w:left="5685" w:hanging="360"/>
      </w:pPr>
      <w:rPr>
        <w:rFonts w:ascii="Symbol" w:hAnsi="Symbol" w:hint="default"/>
      </w:rPr>
    </w:lvl>
    <w:lvl w:ilvl="4">
      <w:start w:val="1"/>
      <w:numFmt w:val="bullet"/>
      <w:lvlText w:val="o"/>
      <w:lvlJc w:val="left"/>
      <w:pPr>
        <w:ind w:left="6405" w:hanging="360"/>
      </w:pPr>
      <w:rPr>
        <w:rFonts w:ascii="Courier New" w:hAnsi="Courier New" w:cs="Courier New" w:hint="default"/>
      </w:rPr>
    </w:lvl>
    <w:lvl w:ilvl="5">
      <w:start w:val="1"/>
      <w:numFmt w:val="bullet"/>
      <w:lvlText w:val=""/>
      <w:lvlJc w:val="left"/>
      <w:pPr>
        <w:ind w:left="7125" w:hanging="360"/>
      </w:pPr>
      <w:rPr>
        <w:rFonts w:ascii="Wingdings" w:hAnsi="Wingdings" w:hint="default"/>
      </w:rPr>
    </w:lvl>
    <w:lvl w:ilvl="6">
      <w:start w:val="1"/>
      <w:numFmt w:val="bullet"/>
      <w:lvlText w:val=""/>
      <w:lvlJc w:val="left"/>
      <w:pPr>
        <w:ind w:left="7845" w:hanging="360"/>
      </w:pPr>
      <w:rPr>
        <w:rFonts w:ascii="Symbol" w:hAnsi="Symbol" w:hint="default"/>
      </w:rPr>
    </w:lvl>
    <w:lvl w:ilvl="7">
      <w:start w:val="1"/>
      <w:numFmt w:val="bullet"/>
      <w:lvlText w:val="o"/>
      <w:lvlJc w:val="left"/>
      <w:pPr>
        <w:ind w:left="8565" w:hanging="360"/>
      </w:pPr>
      <w:rPr>
        <w:rFonts w:ascii="Courier New" w:hAnsi="Courier New" w:cs="Courier New" w:hint="default"/>
      </w:rPr>
    </w:lvl>
    <w:lvl w:ilvl="8">
      <w:start w:val="1"/>
      <w:numFmt w:val="bullet"/>
      <w:lvlText w:val=""/>
      <w:lvlJc w:val="left"/>
      <w:pPr>
        <w:ind w:left="9285" w:hanging="360"/>
      </w:pPr>
      <w:rPr>
        <w:rFonts w:ascii="Wingdings" w:hAnsi="Wingdings" w:hint="default"/>
      </w:rPr>
    </w:lvl>
  </w:abstractNum>
  <w:abstractNum w:abstractNumId="14">
    <w:nsid w:val="6064679A"/>
    <w:multiLevelType w:val="multilevel"/>
    <w:tmpl w:val="6064679A"/>
    <w:lvl w:ilvl="0">
      <w:start w:val="2"/>
      <w:numFmt w:val="decimal"/>
      <w:suff w:val="space"/>
      <w:lvlText w:val="%1."/>
      <w:lvlJc w:val="left"/>
    </w:lvl>
    <w:lvl w:ilvl="1">
      <w:start w:val="1"/>
      <w:numFmt w:val="lowerLetter"/>
      <w:lvlText w:val="%2."/>
      <w:lvlJc w:val="left"/>
      <w:pPr>
        <w:ind w:left="1800" w:hanging="360"/>
      </w:pPr>
    </w:lvl>
    <w:lvl w:ilvl="2">
      <w:start w:val="1"/>
      <w:numFmt w:val="lowerRoman"/>
      <w:lvlText w:val="%3."/>
      <w:lvlJc w:val="right"/>
      <w:pPr>
        <w:ind w:left="2520" w:hanging="180"/>
      </w:pPr>
      <w:rPr>
        <w:rFonts w:ascii="Times New Roman" w:eastAsia="Calibri" w:hAnsi="Times New Roman" w:cs="Times New Roman"/>
      </w:rPr>
    </w:lvl>
    <w:lvl w:ilvl="3">
      <w:start w:val="1"/>
      <w:numFmt w:val="decimal"/>
      <w:lvlText w:val="%4."/>
      <w:lvlJc w:val="left"/>
      <w:pPr>
        <w:ind w:left="3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5AC5192"/>
    <w:multiLevelType w:val="multilevel"/>
    <w:tmpl w:val="65AC519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8635A9A"/>
    <w:multiLevelType w:val="multilevel"/>
    <w:tmpl w:val="68635A9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7">
    <w:nsid w:val="6ADC3B1C"/>
    <w:multiLevelType w:val="multilevel"/>
    <w:tmpl w:val="6ADC3B1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3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B2549E9"/>
    <w:multiLevelType w:val="multilevel"/>
    <w:tmpl w:val="6B2549E9"/>
    <w:lvl w:ilvl="0">
      <w:start w:val="1"/>
      <w:numFmt w:val="bullet"/>
      <w:lvlText w:val=""/>
      <w:lvlJc w:val="left"/>
      <w:pPr>
        <w:ind w:left="1095" w:hanging="360"/>
      </w:pPr>
      <w:rPr>
        <w:rFonts w:ascii="Symbol" w:hAnsi="Symbol" w:hint="default"/>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19">
    <w:nsid w:val="7620037A"/>
    <w:multiLevelType w:val="multilevel"/>
    <w:tmpl w:val="7620037A"/>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9550C7B"/>
    <w:multiLevelType w:val="multilevel"/>
    <w:tmpl w:val="79550C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nsid w:val="7B5536AF"/>
    <w:multiLevelType w:val="multilevel"/>
    <w:tmpl w:val="7B5536AF"/>
    <w:lvl w:ilvl="0">
      <w:start w:val="1"/>
      <w:numFmt w:val="bullet"/>
      <w:lvlText w:val=""/>
      <w:lvlJc w:val="left"/>
      <w:pPr>
        <w:ind w:left="3600" w:hanging="360"/>
      </w:pPr>
      <w:rPr>
        <w:rFonts w:ascii="Wingdings" w:hAnsi="Wingdings"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num w:numId="1">
    <w:abstractNumId w:val="4"/>
  </w:num>
  <w:num w:numId="2">
    <w:abstractNumId w:val="17"/>
  </w:num>
  <w:num w:numId="3">
    <w:abstractNumId w:val="6"/>
  </w:num>
  <w:num w:numId="4">
    <w:abstractNumId w:val="15"/>
  </w:num>
  <w:num w:numId="5">
    <w:abstractNumId w:val="7"/>
  </w:num>
  <w:num w:numId="6">
    <w:abstractNumId w:val="3"/>
  </w:num>
  <w:num w:numId="7">
    <w:abstractNumId w:val="16"/>
  </w:num>
  <w:num w:numId="8">
    <w:abstractNumId w:val="20"/>
  </w:num>
  <w:num w:numId="9">
    <w:abstractNumId w:val="12"/>
  </w:num>
  <w:num w:numId="10">
    <w:abstractNumId w:val="21"/>
  </w:num>
  <w:num w:numId="11">
    <w:abstractNumId w:val="13"/>
  </w:num>
  <w:num w:numId="12">
    <w:abstractNumId w:val="18"/>
  </w:num>
  <w:num w:numId="13">
    <w:abstractNumId w:val="8"/>
  </w:num>
  <w:num w:numId="14">
    <w:abstractNumId w:val="11"/>
  </w:num>
  <w:num w:numId="15">
    <w:abstractNumId w:val="5"/>
  </w:num>
  <w:num w:numId="16">
    <w:abstractNumId w:val="14"/>
  </w:num>
  <w:num w:numId="17">
    <w:abstractNumId w:val="0"/>
  </w:num>
  <w:num w:numId="18">
    <w:abstractNumId w:val="10"/>
  </w:num>
  <w:num w:numId="19">
    <w:abstractNumId w:val="2"/>
  </w:num>
  <w:num w:numId="20">
    <w:abstractNumId w:val="9"/>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A5"/>
    <w:rsid w:val="000148CF"/>
    <w:rsid w:val="00016BB7"/>
    <w:rsid w:val="00020EF4"/>
    <w:rsid w:val="00022068"/>
    <w:rsid w:val="000232A0"/>
    <w:rsid w:val="00023720"/>
    <w:rsid w:val="00023F60"/>
    <w:rsid w:val="000276D2"/>
    <w:rsid w:val="00032618"/>
    <w:rsid w:val="00045893"/>
    <w:rsid w:val="000514DA"/>
    <w:rsid w:val="000538BF"/>
    <w:rsid w:val="000541DA"/>
    <w:rsid w:val="00056D07"/>
    <w:rsid w:val="00094FF9"/>
    <w:rsid w:val="000A39ED"/>
    <w:rsid w:val="000B093E"/>
    <w:rsid w:val="000B2A96"/>
    <w:rsid w:val="000B5A1A"/>
    <w:rsid w:val="000B72B1"/>
    <w:rsid w:val="000C6A77"/>
    <w:rsid w:val="000D0D26"/>
    <w:rsid w:val="000E12F8"/>
    <w:rsid w:val="000E568D"/>
    <w:rsid w:val="000F3394"/>
    <w:rsid w:val="000F76D0"/>
    <w:rsid w:val="001012AA"/>
    <w:rsid w:val="0010440E"/>
    <w:rsid w:val="00105DCC"/>
    <w:rsid w:val="00110C56"/>
    <w:rsid w:val="00127399"/>
    <w:rsid w:val="00132D79"/>
    <w:rsid w:val="0013675E"/>
    <w:rsid w:val="001374BA"/>
    <w:rsid w:val="0014215D"/>
    <w:rsid w:val="0014433B"/>
    <w:rsid w:val="001450A2"/>
    <w:rsid w:val="0014638D"/>
    <w:rsid w:val="0014729C"/>
    <w:rsid w:val="00154423"/>
    <w:rsid w:val="00155FFD"/>
    <w:rsid w:val="00156E59"/>
    <w:rsid w:val="00165B2D"/>
    <w:rsid w:val="0019314F"/>
    <w:rsid w:val="0019316F"/>
    <w:rsid w:val="001956F4"/>
    <w:rsid w:val="00195910"/>
    <w:rsid w:val="001A75FF"/>
    <w:rsid w:val="001B008D"/>
    <w:rsid w:val="001B3FF5"/>
    <w:rsid w:val="001C0A48"/>
    <w:rsid w:val="001D2EC5"/>
    <w:rsid w:val="001E23A8"/>
    <w:rsid w:val="001E6939"/>
    <w:rsid w:val="001E6CE4"/>
    <w:rsid w:val="001F59D0"/>
    <w:rsid w:val="0020074B"/>
    <w:rsid w:val="002049A6"/>
    <w:rsid w:val="00204AF7"/>
    <w:rsid w:val="00210A0B"/>
    <w:rsid w:val="00227644"/>
    <w:rsid w:val="00237F44"/>
    <w:rsid w:val="00243BEE"/>
    <w:rsid w:val="002646F8"/>
    <w:rsid w:val="00265E62"/>
    <w:rsid w:val="00270C3F"/>
    <w:rsid w:val="0027344B"/>
    <w:rsid w:val="00283FD5"/>
    <w:rsid w:val="00284C05"/>
    <w:rsid w:val="0029522A"/>
    <w:rsid w:val="00295B13"/>
    <w:rsid w:val="002A384E"/>
    <w:rsid w:val="002B433B"/>
    <w:rsid w:val="002E643F"/>
    <w:rsid w:val="002F5153"/>
    <w:rsid w:val="00301FD7"/>
    <w:rsid w:val="003113F4"/>
    <w:rsid w:val="003159A5"/>
    <w:rsid w:val="00324122"/>
    <w:rsid w:val="00327A32"/>
    <w:rsid w:val="00334B7F"/>
    <w:rsid w:val="003377CB"/>
    <w:rsid w:val="00337F0C"/>
    <w:rsid w:val="00353480"/>
    <w:rsid w:val="00354392"/>
    <w:rsid w:val="0036299F"/>
    <w:rsid w:val="0037025E"/>
    <w:rsid w:val="00380840"/>
    <w:rsid w:val="00383638"/>
    <w:rsid w:val="00383CA1"/>
    <w:rsid w:val="00387559"/>
    <w:rsid w:val="003A63DF"/>
    <w:rsid w:val="003A7970"/>
    <w:rsid w:val="003B7A83"/>
    <w:rsid w:val="003B7FB1"/>
    <w:rsid w:val="003C3A55"/>
    <w:rsid w:val="003C4479"/>
    <w:rsid w:val="003C511B"/>
    <w:rsid w:val="003C5913"/>
    <w:rsid w:val="003C7B9D"/>
    <w:rsid w:val="003D2BB7"/>
    <w:rsid w:val="003D467B"/>
    <w:rsid w:val="003D4A8D"/>
    <w:rsid w:val="003E1492"/>
    <w:rsid w:val="003F24BF"/>
    <w:rsid w:val="003F4134"/>
    <w:rsid w:val="00405E66"/>
    <w:rsid w:val="00406E2B"/>
    <w:rsid w:val="00425E2D"/>
    <w:rsid w:val="00434833"/>
    <w:rsid w:val="004403F7"/>
    <w:rsid w:val="00443667"/>
    <w:rsid w:val="00445165"/>
    <w:rsid w:val="00447F9F"/>
    <w:rsid w:val="00451AEC"/>
    <w:rsid w:val="00453DDD"/>
    <w:rsid w:val="0049162D"/>
    <w:rsid w:val="00492655"/>
    <w:rsid w:val="004A123E"/>
    <w:rsid w:val="004B30C4"/>
    <w:rsid w:val="004B558E"/>
    <w:rsid w:val="004E487C"/>
    <w:rsid w:val="004F054B"/>
    <w:rsid w:val="004F37B2"/>
    <w:rsid w:val="004F4587"/>
    <w:rsid w:val="004F4A7D"/>
    <w:rsid w:val="004F56F3"/>
    <w:rsid w:val="005154A7"/>
    <w:rsid w:val="00516294"/>
    <w:rsid w:val="005163E4"/>
    <w:rsid w:val="0052008D"/>
    <w:rsid w:val="00525708"/>
    <w:rsid w:val="0052605C"/>
    <w:rsid w:val="00526AC4"/>
    <w:rsid w:val="00530071"/>
    <w:rsid w:val="00534FD2"/>
    <w:rsid w:val="00535ECF"/>
    <w:rsid w:val="0054393B"/>
    <w:rsid w:val="00552DA9"/>
    <w:rsid w:val="0056443E"/>
    <w:rsid w:val="005707D9"/>
    <w:rsid w:val="005729E7"/>
    <w:rsid w:val="005937C6"/>
    <w:rsid w:val="005A3C06"/>
    <w:rsid w:val="005A4022"/>
    <w:rsid w:val="005A6020"/>
    <w:rsid w:val="005E1010"/>
    <w:rsid w:val="006137A5"/>
    <w:rsid w:val="00617644"/>
    <w:rsid w:val="0062338F"/>
    <w:rsid w:val="00635A0B"/>
    <w:rsid w:val="006402B7"/>
    <w:rsid w:val="00644A02"/>
    <w:rsid w:val="006466F8"/>
    <w:rsid w:val="00650499"/>
    <w:rsid w:val="00657C79"/>
    <w:rsid w:val="00660899"/>
    <w:rsid w:val="006701AC"/>
    <w:rsid w:val="00671C02"/>
    <w:rsid w:val="00671DEE"/>
    <w:rsid w:val="00697C1D"/>
    <w:rsid w:val="006A08FD"/>
    <w:rsid w:val="006B163A"/>
    <w:rsid w:val="006C4223"/>
    <w:rsid w:val="006C5A03"/>
    <w:rsid w:val="006D5C31"/>
    <w:rsid w:val="006E085C"/>
    <w:rsid w:val="006E159D"/>
    <w:rsid w:val="006F0AC4"/>
    <w:rsid w:val="006F192F"/>
    <w:rsid w:val="006F29BA"/>
    <w:rsid w:val="006F7B78"/>
    <w:rsid w:val="00701823"/>
    <w:rsid w:val="0070245F"/>
    <w:rsid w:val="0071406A"/>
    <w:rsid w:val="0071564F"/>
    <w:rsid w:val="00750556"/>
    <w:rsid w:val="00753E13"/>
    <w:rsid w:val="00764B71"/>
    <w:rsid w:val="00781AD2"/>
    <w:rsid w:val="00784FA8"/>
    <w:rsid w:val="00793D65"/>
    <w:rsid w:val="007956B4"/>
    <w:rsid w:val="007A24B0"/>
    <w:rsid w:val="007A24FE"/>
    <w:rsid w:val="007A7264"/>
    <w:rsid w:val="007A7F67"/>
    <w:rsid w:val="007B62A0"/>
    <w:rsid w:val="007C20C6"/>
    <w:rsid w:val="007C4CA6"/>
    <w:rsid w:val="007C57EF"/>
    <w:rsid w:val="007D122B"/>
    <w:rsid w:val="007D42DF"/>
    <w:rsid w:val="00800F09"/>
    <w:rsid w:val="00801738"/>
    <w:rsid w:val="0080271B"/>
    <w:rsid w:val="00815D0F"/>
    <w:rsid w:val="00817579"/>
    <w:rsid w:val="00827AFD"/>
    <w:rsid w:val="00832DC2"/>
    <w:rsid w:val="00857ABE"/>
    <w:rsid w:val="008703CA"/>
    <w:rsid w:val="00876FE7"/>
    <w:rsid w:val="0087714A"/>
    <w:rsid w:val="00885A09"/>
    <w:rsid w:val="0089037B"/>
    <w:rsid w:val="0089077B"/>
    <w:rsid w:val="00894FB1"/>
    <w:rsid w:val="008A3FE2"/>
    <w:rsid w:val="008C118E"/>
    <w:rsid w:val="008C1D17"/>
    <w:rsid w:val="008F3039"/>
    <w:rsid w:val="008F6457"/>
    <w:rsid w:val="00922C99"/>
    <w:rsid w:val="00932BF3"/>
    <w:rsid w:val="009331AC"/>
    <w:rsid w:val="00944DDA"/>
    <w:rsid w:val="00945817"/>
    <w:rsid w:val="00956579"/>
    <w:rsid w:val="009A1E1B"/>
    <w:rsid w:val="009B67CA"/>
    <w:rsid w:val="009C25B5"/>
    <w:rsid w:val="009E0CC1"/>
    <w:rsid w:val="009E5218"/>
    <w:rsid w:val="00A15BD4"/>
    <w:rsid w:val="00A233C0"/>
    <w:rsid w:val="00A35290"/>
    <w:rsid w:val="00A57D6F"/>
    <w:rsid w:val="00A62512"/>
    <w:rsid w:val="00A67B9F"/>
    <w:rsid w:val="00A764B7"/>
    <w:rsid w:val="00A8202E"/>
    <w:rsid w:val="00A942E2"/>
    <w:rsid w:val="00A95ABE"/>
    <w:rsid w:val="00AA6AD3"/>
    <w:rsid w:val="00AA7CC7"/>
    <w:rsid w:val="00AB1066"/>
    <w:rsid w:val="00AF66E1"/>
    <w:rsid w:val="00B033E2"/>
    <w:rsid w:val="00B10A5C"/>
    <w:rsid w:val="00B116CB"/>
    <w:rsid w:val="00B17F84"/>
    <w:rsid w:val="00B22099"/>
    <w:rsid w:val="00B22160"/>
    <w:rsid w:val="00B2729E"/>
    <w:rsid w:val="00B41BE1"/>
    <w:rsid w:val="00B42C3A"/>
    <w:rsid w:val="00B671D0"/>
    <w:rsid w:val="00B77A97"/>
    <w:rsid w:val="00B77CCA"/>
    <w:rsid w:val="00B81C59"/>
    <w:rsid w:val="00BB4ECC"/>
    <w:rsid w:val="00BB50BB"/>
    <w:rsid w:val="00BC11AD"/>
    <w:rsid w:val="00BD21F9"/>
    <w:rsid w:val="00BF5CA2"/>
    <w:rsid w:val="00C02FCA"/>
    <w:rsid w:val="00C36E83"/>
    <w:rsid w:val="00C36FC6"/>
    <w:rsid w:val="00C371B8"/>
    <w:rsid w:val="00C45E67"/>
    <w:rsid w:val="00C50751"/>
    <w:rsid w:val="00C5304D"/>
    <w:rsid w:val="00C53C86"/>
    <w:rsid w:val="00C56BAA"/>
    <w:rsid w:val="00C577A8"/>
    <w:rsid w:val="00C6111F"/>
    <w:rsid w:val="00C662D0"/>
    <w:rsid w:val="00C72552"/>
    <w:rsid w:val="00C747BA"/>
    <w:rsid w:val="00C9155B"/>
    <w:rsid w:val="00C924C8"/>
    <w:rsid w:val="00C94160"/>
    <w:rsid w:val="00CA0246"/>
    <w:rsid w:val="00CA546F"/>
    <w:rsid w:val="00CB0920"/>
    <w:rsid w:val="00CB7E52"/>
    <w:rsid w:val="00CC3ECA"/>
    <w:rsid w:val="00CC405E"/>
    <w:rsid w:val="00CD1865"/>
    <w:rsid w:val="00CD3E1E"/>
    <w:rsid w:val="00CE2030"/>
    <w:rsid w:val="00CE658B"/>
    <w:rsid w:val="00D06F16"/>
    <w:rsid w:val="00D177FF"/>
    <w:rsid w:val="00D210C2"/>
    <w:rsid w:val="00D325A2"/>
    <w:rsid w:val="00D416F8"/>
    <w:rsid w:val="00D5287F"/>
    <w:rsid w:val="00D54CF8"/>
    <w:rsid w:val="00D63C22"/>
    <w:rsid w:val="00D66E46"/>
    <w:rsid w:val="00D92755"/>
    <w:rsid w:val="00D94EF8"/>
    <w:rsid w:val="00DA12C6"/>
    <w:rsid w:val="00DA18F3"/>
    <w:rsid w:val="00DA7FEC"/>
    <w:rsid w:val="00DB26D6"/>
    <w:rsid w:val="00DB2737"/>
    <w:rsid w:val="00DB7067"/>
    <w:rsid w:val="00DC1788"/>
    <w:rsid w:val="00DE07C6"/>
    <w:rsid w:val="00E02782"/>
    <w:rsid w:val="00E211F3"/>
    <w:rsid w:val="00E40700"/>
    <w:rsid w:val="00E41E01"/>
    <w:rsid w:val="00E44957"/>
    <w:rsid w:val="00E51CE0"/>
    <w:rsid w:val="00E557ED"/>
    <w:rsid w:val="00E5783A"/>
    <w:rsid w:val="00E65B04"/>
    <w:rsid w:val="00E80917"/>
    <w:rsid w:val="00E83936"/>
    <w:rsid w:val="00E90F36"/>
    <w:rsid w:val="00EA3CC0"/>
    <w:rsid w:val="00EB1C6A"/>
    <w:rsid w:val="00EB4543"/>
    <w:rsid w:val="00EC5E97"/>
    <w:rsid w:val="00EE1EC1"/>
    <w:rsid w:val="00F0119B"/>
    <w:rsid w:val="00F040E4"/>
    <w:rsid w:val="00F041C3"/>
    <w:rsid w:val="00F04A43"/>
    <w:rsid w:val="00F0789E"/>
    <w:rsid w:val="00F15C96"/>
    <w:rsid w:val="00F363D8"/>
    <w:rsid w:val="00F41228"/>
    <w:rsid w:val="00F4444A"/>
    <w:rsid w:val="00F51330"/>
    <w:rsid w:val="00F56BB8"/>
    <w:rsid w:val="00F74A6F"/>
    <w:rsid w:val="00F82B12"/>
    <w:rsid w:val="00F83649"/>
    <w:rsid w:val="00F90D05"/>
    <w:rsid w:val="00F97728"/>
    <w:rsid w:val="00FA31A0"/>
    <w:rsid w:val="00FA6D38"/>
    <w:rsid w:val="00FA7495"/>
    <w:rsid w:val="00FB1C39"/>
    <w:rsid w:val="00FB4D6B"/>
    <w:rsid w:val="00FB69B3"/>
    <w:rsid w:val="00FD434C"/>
    <w:rsid w:val="00FF2962"/>
    <w:rsid w:val="00FF71E9"/>
    <w:rsid w:val="01EB0FFE"/>
    <w:rsid w:val="09677C71"/>
    <w:rsid w:val="10F03AD6"/>
    <w:rsid w:val="142B0D23"/>
    <w:rsid w:val="153C436A"/>
    <w:rsid w:val="17B65E89"/>
    <w:rsid w:val="17B752F6"/>
    <w:rsid w:val="1865741C"/>
    <w:rsid w:val="1C796B43"/>
    <w:rsid w:val="2D1C3F02"/>
    <w:rsid w:val="30925DD9"/>
    <w:rsid w:val="3A1763DB"/>
    <w:rsid w:val="3A793C1C"/>
    <w:rsid w:val="43065E41"/>
    <w:rsid w:val="45784B56"/>
    <w:rsid w:val="46DF1A2E"/>
    <w:rsid w:val="4AD0212C"/>
    <w:rsid w:val="52F73B78"/>
    <w:rsid w:val="65785ACB"/>
    <w:rsid w:val="67785B6B"/>
    <w:rsid w:val="68E3604E"/>
    <w:rsid w:val="70822A24"/>
    <w:rsid w:val="74F02E25"/>
    <w:rsid w:val="7913433C"/>
  </w:rsids>
  <m:mathPr>
    <m:mathFont m:val="Cambria Math"/>
    <m:brkBin m:val="before"/>
    <m:brkBinSub m:val="--"/>
    <m:smallFrac m:val="0"/>
    <m:dispDef/>
    <m:lMargin m:val="0"/>
    <m:rMargin m:val="0"/>
    <m:defJc m:val="centerGroup"/>
    <m:wrapIndent m:val="1440"/>
    <m:intLim m:val="subSup"/>
    <m:naryLim m:val="undOvr"/>
  </m:mathPr>
  <w:themeFontLang w:val="en-IN"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BD19CFB-9168-4F02-A825-A6D781C4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IN"/>
    </w:rPr>
  </w:style>
  <w:style w:type="paragraph" w:styleId="Heading2">
    <w:name w:val="heading 2"/>
    <w:basedOn w:val="Normal"/>
    <w:uiPriority w:val="1"/>
    <w:qFormat/>
    <w:pPr>
      <w:spacing w:before="60"/>
      <w:ind w:left="1100"/>
      <w:jc w:val="center"/>
      <w:outlineLvl w:val="1"/>
    </w:pPr>
    <w:rPr>
      <w:b/>
      <w:bCs/>
      <w:sz w:val="28"/>
      <w:szCs w:val="28"/>
    </w:rPr>
  </w:style>
  <w:style w:type="paragraph" w:styleId="Heading3">
    <w:name w:val="heading 3"/>
    <w:basedOn w:val="Normal"/>
    <w:uiPriority w:val="1"/>
    <w:qFormat/>
    <w:pPr>
      <w:widowControl w:val="0"/>
      <w:autoSpaceDE w:val="0"/>
      <w:autoSpaceDN w:val="0"/>
      <w:spacing w:before="121" w:after="0" w:line="240" w:lineRule="auto"/>
      <w:ind w:left="805" w:hanging="426"/>
      <w:jc w:val="both"/>
      <w:outlineLvl w:val="2"/>
    </w:pPr>
    <w:rPr>
      <w:rFonts w:ascii="Times New Roman" w:eastAsia="Times New Roman" w:hAnsi="Times New Roman" w:cs="Times New Roman"/>
      <w:b/>
      <w:bCs/>
      <w:sz w:val="26"/>
      <w:szCs w:val="26"/>
    </w:rPr>
  </w:style>
  <w:style w:type="paragraph" w:styleId="Heading4">
    <w:name w:val="heading 4"/>
    <w:basedOn w:val="Normal"/>
    <w:next w:val="Normal"/>
    <w:uiPriority w:val="1"/>
    <w:qFormat/>
    <w:pPr>
      <w:spacing w:before="120"/>
      <w:ind w:left="98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uiPriority w:val="1"/>
    <w:qFormat/>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character" w:customStyle="1" w:styleId="font11">
    <w:name w:val="font11"/>
    <w:qFormat/>
    <w:rPr>
      <w:rFonts w:ascii="Times New Roman" w:hAnsi="Times New Roman" w:cs="Times New Roman" w:hint="default"/>
      <w:color w:val="000000"/>
      <w:sz w:val="22"/>
      <w:szCs w:val="22"/>
      <w:u w:val="none"/>
    </w:rPr>
  </w:style>
  <w:style w:type="paragraph" w:customStyle="1" w:styleId="Style7">
    <w:name w:val="_Style 7"/>
    <w:basedOn w:val="Normal"/>
    <w:next w:val="Normal"/>
    <w:qFormat/>
    <w:pPr>
      <w:pBdr>
        <w:bottom w:val="single" w:sz="6" w:space="1" w:color="auto"/>
      </w:pBdr>
      <w:jc w:val="center"/>
    </w:pPr>
    <w:rPr>
      <w:rFonts w:ascii="Arial" w:eastAsia="SimSun"/>
      <w:vanish/>
      <w:sz w:val="16"/>
    </w:rPr>
  </w:style>
  <w:style w:type="paragraph" w:customStyle="1" w:styleId="Style8">
    <w:name w:val="_Style 8"/>
    <w:basedOn w:val="Normal"/>
    <w:next w:val="Normal"/>
    <w:qFormat/>
    <w:pPr>
      <w:pBdr>
        <w:top w:val="single" w:sz="6" w:space="1" w:color="auto"/>
      </w:pBdr>
      <w:jc w:val="center"/>
    </w:pPr>
    <w:rPr>
      <w:rFonts w:ascii="Arial" w:eastAsia="SimSun"/>
      <w:vanish/>
      <w:sz w:val="16"/>
    </w:rPr>
  </w:style>
  <w:style w:type="paragraph" w:customStyle="1" w:styleId="TableParagraph">
    <w:name w:val="Table Paragraph"/>
    <w:basedOn w:val="Normal"/>
    <w:uiPriority w:val="1"/>
    <w:qFormat/>
    <w:pPr>
      <w:ind w:left="107"/>
    </w:pPr>
  </w:style>
  <w:style w:type="character" w:customStyle="1" w:styleId="BalloonTextChar">
    <w:name w:val="Balloon Text Char"/>
    <w:basedOn w:val="DefaultParagraphFont"/>
    <w:link w:val="BalloonText"/>
    <w:uiPriority w:val="99"/>
    <w:semiHidden/>
    <w:rPr>
      <w:rFonts w:ascii="Segoe UI" w:hAnsi="Segoe UI" w:cs="Segoe UI"/>
      <w:sz w:val="18"/>
      <w:szCs w:val="18"/>
      <w:lang w:val="en-IN"/>
    </w:rPr>
  </w:style>
  <w:style w:type="character" w:customStyle="1" w:styleId="HeaderChar">
    <w:name w:val="Header Char"/>
    <w:basedOn w:val="DefaultParagraphFont"/>
    <w:link w:val="Header"/>
    <w:uiPriority w:val="99"/>
    <w:qFormat/>
    <w:rPr>
      <w:sz w:val="22"/>
      <w:szCs w:val="22"/>
      <w:lang w:val="en-IN"/>
    </w:rPr>
  </w:style>
  <w:style w:type="character" w:customStyle="1" w:styleId="FooterChar">
    <w:name w:val="Footer Char"/>
    <w:basedOn w:val="DefaultParagraphFont"/>
    <w:link w:val="Footer"/>
    <w:uiPriority w:val="99"/>
    <w:qFormat/>
    <w:rPr>
      <w:sz w:val="22"/>
      <w:szCs w:val="22"/>
      <w:lang w:val="en-IN"/>
    </w:rPr>
  </w:style>
  <w:style w:type="character" w:customStyle="1" w:styleId="CommentTextChar">
    <w:name w:val="Comment Text Char"/>
    <w:basedOn w:val="DefaultParagraphFont"/>
    <w:link w:val="CommentText"/>
    <w:uiPriority w:val="99"/>
    <w:semiHidden/>
    <w:qFormat/>
    <w:rPr>
      <w:lang w:val="en-IN"/>
    </w:rPr>
  </w:style>
  <w:style w:type="character" w:customStyle="1" w:styleId="CommentSubjectChar">
    <w:name w:val="Comment Subject Char"/>
    <w:basedOn w:val="CommentTextChar"/>
    <w:link w:val="CommentSubject"/>
    <w:uiPriority w:val="99"/>
    <w:semiHidden/>
    <w:qFormat/>
    <w:rPr>
      <w:b/>
      <w:bCs/>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271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661600-366F-4D84-B201-8186BA72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TeamOs</Company>
  <LinksUpToDate>false</LinksUpToDate>
  <CharactersWithSpaces>19684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2025-11-20T11:38:00Z</cp:lastPrinted>
  <dcterms:created xsi:type="dcterms:W3CDTF">2025-11-23T05:59:00Z</dcterms:created>
  <dcterms:modified xsi:type="dcterms:W3CDTF">2025-11-23T05:59:00Z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FCD16047EFDB45B28C32E9EFFE7F4559_12</vt:lpwstr>
  </property>
</Properties>
</file>