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webextensions/webextension7.xml" ContentType="application/vnd.ms-office.webextension+xml"/>
  <Override PartName="/word/webextensions/webextension8.xml" ContentType="application/vnd.ms-office.webextension+xml"/>
  <Override PartName="/word/webextensions/webextension9.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1684" w14:textId="18A17EFD" w:rsidR="00055CE2" w:rsidRPr="00EF2ADC" w:rsidRDefault="00055CE2" w:rsidP="00B9079E">
      <w:pPr>
        <w:spacing w:before="0" w:after="280"/>
        <w:jc w:val="center"/>
        <w:rPr>
          <w:rFonts w:ascii="Times New Roman" w:eastAsia="Times New Roman" w:hAnsi="Times New Roman" w:cs="Times New Roman"/>
          <w:b/>
          <w:sz w:val="28"/>
          <w:szCs w:val="28"/>
        </w:rPr>
      </w:pPr>
      <w:r w:rsidRPr="00EF2ADC">
        <w:rPr>
          <w:rFonts w:ascii="Times New Roman" w:eastAsia="Times New Roman" w:hAnsi="Times New Roman" w:cs="Times New Roman"/>
          <w:b/>
          <w:sz w:val="28"/>
          <w:szCs w:val="28"/>
        </w:rPr>
        <w:t>From Clinical Caution to Financial Conservatism: Exploring the Transfer of Professional Risk Aversion to Fintech Adoption Using Multi-Group SEM</w:t>
      </w:r>
    </w:p>
    <w:p w14:paraId="22ADE0ED" w14:textId="70F7A1E9" w:rsidR="002134F0" w:rsidRDefault="002134F0" w:rsidP="00152ECC">
      <w:pPr>
        <w:spacing w:before="0" w:after="280"/>
        <w:jc w:val="center"/>
        <w:rPr>
          <w:rFonts w:ascii="Times New Roman" w:eastAsia="Times New Roman" w:hAnsi="Times New Roman" w:cs="Times New Roman"/>
          <w:b/>
          <w:sz w:val="24"/>
          <w:szCs w:val="24"/>
        </w:rPr>
      </w:pPr>
      <w:r w:rsidRPr="00030D91">
        <w:rPr>
          <w:rFonts w:ascii="Times New Roman" w:eastAsia="Times New Roman" w:hAnsi="Times New Roman" w:cs="Times New Roman"/>
          <w:b/>
          <w:sz w:val="24"/>
          <w:szCs w:val="24"/>
        </w:rPr>
        <w:t>Dr Saurabh Singh</w:t>
      </w:r>
      <w:r w:rsidR="00030D91" w:rsidRPr="00030D91">
        <w:rPr>
          <w:rFonts w:ascii="Times New Roman" w:eastAsia="Times New Roman" w:hAnsi="Times New Roman" w:cs="Times New Roman"/>
          <w:b/>
          <w:sz w:val="24"/>
          <w:szCs w:val="24"/>
          <w:vertAlign w:val="superscript"/>
        </w:rPr>
        <w:t>1</w:t>
      </w:r>
      <w:r w:rsidR="00030D91">
        <w:rPr>
          <w:rFonts w:ascii="Times New Roman" w:eastAsia="Times New Roman" w:hAnsi="Times New Roman" w:cs="Times New Roman"/>
          <w:b/>
          <w:sz w:val="24"/>
          <w:szCs w:val="24"/>
        </w:rPr>
        <w:t>,</w:t>
      </w:r>
      <w:r w:rsidR="000B76C4" w:rsidRPr="00030D91">
        <w:rPr>
          <w:rFonts w:ascii="Times New Roman" w:eastAsia="Times New Roman" w:hAnsi="Times New Roman" w:cs="Times New Roman"/>
          <w:b/>
          <w:sz w:val="24"/>
          <w:szCs w:val="24"/>
        </w:rPr>
        <w:t xml:space="preserve"> Dr. Vijay Kumar</w:t>
      </w:r>
      <w:r w:rsidR="00030D91" w:rsidRPr="00030D91">
        <w:rPr>
          <w:rFonts w:ascii="Times New Roman" w:eastAsia="Times New Roman" w:hAnsi="Times New Roman" w:cs="Times New Roman"/>
          <w:b/>
          <w:sz w:val="24"/>
          <w:szCs w:val="24"/>
          <w:vertAlign w:val="superscript"/>
        </w:rPr>
        <w:t>2</w:t>
      </w:r>
      <w:r w:rsidR="00030D91">
        <w:rPr>
          <w:rFonts w:ascii="Times New Roman" w:eastAsia="Times New Roman" w:hAnsi="Times New Roman" w:cs="Times New Roman"/>
          <w:b/>
          <w:sz w:val="24"/>
          <w:szCs w:val="24"/>
        </w:rPr>
        <w:t>,</w:t>
      </w:r>
      <w:r w:rsidR="00152ECC" w:rsidRPr="00030D91">
        <w:rPr>
          <w:rFonts w:ascii="Times New Roman" w:eastAsia="Times New Roman" w:hAnsi="Times New Roman" w:cs="Times New Roman"/>
          <w:b/>
          <w:sz w:val="24"/>
          <w:szCs w:val="24"/>
        </w:rPr>
        <w:t xml:space="preserve"> Dr Imran Ahmad</w:t>
      </w:r>
      <w:r w:rsidR="00030D91" w:rsidRPr="00030D91">
        <w:rPr>
          <w:rFonts w:ascii="Times New Roman" w:eastAsia="Times New Roman" w:hAnsi="Times New Roman" w:cs="Times New Roman"/>
          <w:b/>
          <w:sz w:val="24"/>
          <w:szCs w:val="24"/>
          <w:vertAlign w:val="superscript"/>
        </w:rPr>
        <w:t>3</w:t>
      </w:r>
      <w:r w:rsidR="00030D91">
        <w:rPr>
          <w:rFonts w:ascii="Times New Roman" w:eastAsia="Times New Roman" w:hAnsi="Times New Roman" w:cs="Times New Roman"/>
          <w:b/>
          <w:sz w:val="24"/>
          <w:szCs w:val="24"/>
        </w:rPr>
        <w:t>,</w:t>
      </w:r>
      <w:r w:rsidR="00152ECC" w:rsidRPr="00030D91">
        <w:rPr>
          <w:rFonts w:ascii="Times New Roman" w:eastAsia="Times New Roman" w:hAnsi="Times New Roman" w:cs="Times New Roman"/>
          <w:b/>
          <w:sz w:val="24"/>
          <w:szCs w:val="24"/>
        </w:rPr>
        <w:t xml:space="preserve"> Dr. Madhu </w:t>
      </w:r>
      <w:r w:rsidR="00030D91">
        <w:rPr>
          <w:rFonts w:ascii="Times New Roman" w:eastAsia="Times New Roman" w:hAnsi="Times New Roman" w:cs="Times New Roman"/>
          <w:b/>
          <w:sz w:val="24"/>
          <w:szCs w:val="24"/>
        </w:rPr>
        <w:t>Dixit</w:t>
      </w:r>
      <w:r w:rsidR="00030D91" w:rsidRPr="00030D91">
        <w:rPr>
          <w:rFonts w:ascii="Times New Roman" w:eastAsia="Times New Roman" w:hAnsi="Times New Roman" w:cs="Times New Roman"/>
          <w:b/>
          <w:sz w:val="24"/>
          <w:szCs w:val="24"/>
          <w:vertAlign w:val="superscript"/>
        </w:rPr>
        <w:t>4</w:t>
      </w:r>
      <w:r w:rsidR="00030D91">
        <w:rPr>
          <w:rFonts w:ascii="Times New Roman" w:eastAsia="Times New Roman" w:hAnsi="Times New Roman" w:cs="Times New Roman"/>
          <w:b/>
          <w:sz w:val="24"/>
          <w:szCs w:val="24"/>
        </w:rPr>
        <w:t>,</w:t>
      </w:r>
    </w:p>
    <w:p w14:paraId="069173B9" w14:textId="3C2D4085" w:rsidR="00055CE2" w:rsidRPr="00030D91" w:rsidRDefault="00030D91" w:rsidP="008E2A81">
      <w:pPr>
        <w:spacing w:before="0" w:after="0"/>
        <w:rPr>
          <w:rFonts w:ascii="Times New Roman" w:eastAsia="Times New Roman" w:hAnsi="Times New Roman" w:cs="Times New Roman"/>
          <w:bCs/>
          <w:sz w:val="24"/>
          <w:szCs w:val="24"/>
        </w:rPr>
      </w:pPr>
      <w:r w:rsidRPr="00030D91">
        <w:rPr>
          <w:rFonts w:ascii="Times New Roman" w:eastAsia="Times New Roman" w:hAnsi="Times New Roman" w:cs="Times New Roman"/>
          <w:bCs/>
          <w:sz w:val="24"/>
          <w:szCs w:val="24"/>
          <w:vertAlign w:val="superscript"/>
        </w:rPr>
        <w:t>1</w:t>
      </w:r>
      <w:r w:rsidRPr="00030D91">
        <w:rPr>
          <w:rFonts w:ascii="Times New Roman" w:eastAsia="Times New Roman" w:hAnsi="Times New Roman" w:cs="Times New Roman"/>
          <w:bCs/>
          <w:sz w:val="24"/>
          <w:szCs w:val="24"/>
        </w:rPr>
        <w:t>Assistant Professor, School of Management and liberal Arts, IMS Unison University, Dehradun, Uttarakhand; Email</w:t>
      </w:r>
      <w:r w:rsidR="00CD687B">
        <w:rPr>
          <w:rFonts w:ascii="Times New Roman" w:eastAsia="Times New Roman" w:hAnsi="Times New Roman" w:cs="Times New Roman"/>
          <w:bCs/>
          <w:sz w:val="24"/>
          <w:szCs w:val="24"/>
        </w:rPr>
        <w:t xml:space="preserve"> </w:t>
      </w:r>
      <w:r w:rsidRPr="00030D91">
        <w:rPr>
          <w:rFonts w:ascii="Times New Roman" w:eastAsia="Times New Roman" w:hAnsi="Times New Roman" w:cs="Times New Roman"/>
          <w:bCs/>
          <w:sz w:val="24"/>
          <w:szCs w:val="24"/>
        </w:rPr>
        <w:t xml:space="preserve">id - </w:t>
      </w:r>
      <w:hyperlink r:id="rId6" w:history="1">
        <w:r w:rsidRPr="00030D91">
          <w:rPr>
            <w:rStyle w:val="Hyperlink"/>
            <w:rFonts w:ascii="Times New Roman" w:eastAsia="Times New Roman" w:hAnsi="Times New Roman" w:cs="Times New Roman"/>
            <w:bCs/>
            <w:sz w:val="24"/>
            <w:szCs w:val="24"/>
          </w:rPr>
          <w:t>saurabh33.singh@gmail.com</w:t>
        </w:r>
      </w:hyperlink>
      <w:r w:rsidRPr="00030D91">
        <w:rPr>
          <w:rFonts w:ascii="Times New Roman" w:eastAsia="Times New Roman" w:hAnsi="Times New Roman" w:cs="Times New Roman"/>
          <w:bCs/>
          <w:sz w:val="24"/>
          <w:szCs w:val="24"/>
        </w:rPr>
        <w:t xml:space="preserve">. ORCID ID: </w:t>
      </w:r>
      <w:hyperlink r:id="rId7" w:history="1">
        <w:r w:rsidRPr="00030D91">
          <w:rPr>
            <w:rStyle w:val="Hyperlink"/>
            <w:rFonts w:ascii="Times New Roman" w:eastAsia="Times New Roman" w:hAnsi="Times New Roman" w:cs="Times New Roman"/>
            <w:bCs/>
            <w:sz w:val="24"/>
            <w:szCs w:val="24"/>
          </w:rPr>
          <w:t>https://orcid.org/0000-0002-5851-6259</w:t>
        </w:r>
      </w:hyperlink>
    </w:p>
    <w:p w14:paraId="4B1D50BC" w14:textId="0578A80B" w:rsidR="00030D91" w:rsidRDefault="00030D91" w:rsidP="008E2A81">
      <w:pPr>
        <w:spacing w:before="0" w:after="0"/>
        <w:rPr>
          <w:rFonts w:ascii="Times New Roman" w:eastAsia="Times New Roman" w:hAnsi="Times New Roman" w:cs="Times New Roman"/>
          <w:bCs/>
          <w:sz w:val="24"/>
          <w:szCs w:val="24"/>
        </w:rPr>
      </w:pPr>
      <w:r w:rsidRPr="00030D91">
        <w:rPr>
          <w:rFonts w:ascii="Times New Roman" w:eastAsia="Times New Roman" w:hAnsi="Times New Roman" w:cs="Times New Roman"/>
          <w:bCs/>
          <w:sz w:val="24"/>
          <w:szCs w:val="24"/>
          <w:vertAlign w:val="superscript"/>
        </w:rPr>
        <w:t>2</w:t>
      </w:r>
      <w:r w:rsidRPr="00030D91">
        <w:rPr>
          <w:rFonts w:ascii="Times New Roman" w:eastAsia="Times New Roman" w:hAnsi="Times New Roman" w:cs="Times New Roman"/>
          <w:bCs/>
          <w:sz w:val="24"/>
          <w:szCs w:val="24"/>
        </w:rPr>
        <w:t>Associate Professor, School of Management and liberal Arts, IMS Unison University, Dehradun, Uttarakhand</w:t>
      </w:r>
      <w:r>
        <w:rPr>
          <w:rFonts w:ascii="Times New Roman" w:eastAsia="Times New Roman" w:hAnsi="Times New Roman" w:cs="Times New Roman"/>
          <w:bCs/>
          <w:sz w:val="24"/>
          <w:szCs w:val="24"/>
        </w:rPr>
        <w:t xml:space="preserve">. </w:t>
      </w:r>
      <w:r w:rsidRPr="00030D91">
        <w:rPr>
          <w:rFonts w:ascii="Times New Roman" w:eastAsia="Times New Roman" w:hAnsi="Times New Roman" w:cs="Times New Roman"/>
          <w:bCs/>
          <w:sz w:val="24"/>
          <w:szCs w:val="24"/>
        </w:rPr>
        <w:t xml:space="preserve">ORCID ID: </w:t>
      </w:r>
      <w:hyperlink r:id="rId8" w:history="1">
        <w:r w:rsidRPr="007A3A39">
          <w:rPr>
            <w:rStyle w:val="Hyperlink"/>
            <w:rFonts w:ascii="Times New Roman" w:eastAsia="Times New Roman" w:hAnsi="Times New Roman" w:cs="Times New Roman"/>
            <w:bCs/>
            <w:sz w:val="24"/>
            <w:szCs w:val="24"/>
          </w:rPr>
          <w:t>https://orcid.org/0000-0002-9877-8907</w:t>
        </w:r>
      </w:hyperlink>
    </w:p>
    <w:p w14:paraId="5E80D40F" w14:textId="0C343ACA" w:rsidR="00030D91" w:rsidRDefault="004B4CA5" w:rsidP="008E2A81">
      <w:pPr>
        <w:spacing w:before="0"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3</w:t>
      </w:r>
      <w:r w:rsidRPr="00030D91">
        <w:rPr>
          <w:rFonts w:ascii="Times New Roman" w:eastAsia="Times New Roman" w:hAnsi="Times New Roman" w:cs="Times New Roman"/>
          <w:bCs/>
          <w:sz w:val="24"/>
          <w:szCs w:val="24"/>
        </w:rPr>
        <w:t xml:space="preserve">Assistant Professor, School of Management and liberal Arts, IMS Unison University, Dehradun, Uttarakhand; </w:t>
      </w:r>
      <w:r w:rsidRPr="004B4CA5">
        <w:rPr>
          <w:rFonts w:ascii="Times New Roman" w:eastAsia="Times New Roman" w:hAnsi="Times New Roman" w:cs="Times New Roman"/>
          <w:bCs/>
          <w:sz w:val="24"/>
          <w:szCs w:val="24"/>
        </w:rPr>
        <w:t xml:space="preserve">ORCID ID: </w:t>
      </w:r>
      <w:hyperlink r:id="rId9" w:history="1">
        <w:r w:rsidRPr="007A3A39">
          <w:rPr>
            <w:rStyle w:val="Hyperlink"/>
            <w:rFonts w:ascii="Times New Roman" w:eastAsia="Times New Roman" w:hAnsi="Times New Roman" w:cs="Times New Roman"/>
            <w:bCs/>
            <w:sz w:val="24"/>
            <w:szCs w:val="24"/>
          </w:rPr>
          <w:t>https://orcid.org/0000-0002-6714-6851</w:t>
        </w:r>
      </w:hyperlink>
    </w:p>
    <w:p w14:paraId="08BC1F86" w14:textId="55CD77DA" w:rsidR="008E2A81" w:rsidRPr="00030D91" w:rsidRDefault="008E2A81" w:rsidP="008E2A81">
      <w:pPr>
        <w:spacing w:before="0" w:after="280"/>
        <w:rPr>
          <w:rFonts w:ascii="Times New Roman" w:eastAsia="Times New Roman" w:hAnsi="Times New Roman" w:cs="Times New Roman"/>
          <w:bCs/>
          <w:sz w:val="24"/>
          <w:szCs w:val="24"/>
        </w:rPr>
      </w:pPr>
      <w:r w:rsidRPr="008E2A81">
        <w:rPr>
          <w:rFonts w:ascii="Times New Roman" w:eastAsia="Times New Roman" w:hAnsi="Times New Roman" w:cs="Times New Roman"/>
          <w:bCs/>
          <w:sz w:val="24"/>
          <w:szCs w:val="24"/>
          <w:vertAlign w:val="superscript"/>
        </w:rPr>
        <w:t>4</w:t>
      </w:r>
      <w:r w:rsidRPr="008E2A81">
        <w:rPr>
          <w:rFonts w:ascii="Times New Roman" w:eastAsia="Times New Roman" w:hAnsi="Times New Roman" w:cs="Times New Roman"/>
          <w:bCs/>
          <w:sz w:val="24"/>
          <w:szCs w:val="24"/>
        </w:rPr>
        <w:t>Professor, Institute of Management, Commerce and Economics</w:t>
      </w:r>
      <w:r>
        <w:rPr>
          <w:rFonts w:ascii="Times New Roman" w:eastAsia="Times New Roman" w:hAnsi="Times New Roman" w:cs="Times New Roman"/>
          <w:bCs/>
          <w:sz w:val="24"/>
          <w:szCs w:val="24"/>
        </w:rPr>
        <w:t xml:space="preserve">. </w:t>
      </w:r>
      <w:r w:rsidRPr="008E2A81">
        <w:rPr>
          <w:rFonts w:ascii="Times New Roman" w:eastAsia="Times New Roman" w:hAnsi="Times New Roman" w:cs="Times New Roman"/>
          <w:bCs/>
          <w:sz w:val="24"/>
          <w:szCs w:val="24"/>
        </w:rPr>
        <w:t xml:space="preserve">Shri Ramswaroop Memorial University </w:t>
      </w:r>
      <w:hyperlink r:id="rId10" w:history="1">
        <w:r w:rsidRPr="007A3A39">
          <w:rPr>
            <w:rStyle w:val="Hyperlink"/>
            <w:rFonts w:ascii="Times New Roman" w:eastAsia="Times New Roman" w:hAnsi="Times New Roman" w:cs="Times New Roman"/>
            <w:bCs/>
            <w:sz w:val="24"/>
            <w:szCs w:val="24"/>
          </w:rPr>
          <w:t>https://orcid.org/0000-0001-9486-7235</w:t>
        </w:r>
      </w:hyperlink>
    </w:p>
    <w:p w14:paraId="11FC7A9D" w14:textId="77777777" w:rsidR="009A12FF" w:rsidRPr="00EF6720" w:rsidRDefault="009530C1" w:rsidP="00B9079E">
      <w:pPr>
        <w:spacing w:before="0" w:after="28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Abstract</w:t>
      </w:r>
    </w:p>
    <w:p w14:paraId="1DF88685" w14:textId="2AE0B686" w:rsidR="009A12FF" w:rsidRPr="00EF6720" w:rsidRDefault="009530C1" w:rsidP="00D51FF9">
      <w:pPr>
        <w:spacing w:before="0" w:after="0"/>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Background:</w:t>
      </w:r>
      <w:r w:rsidRPr="00EF6720">
        <w:rPr>
          <w:rFonts w:ascii="Times New Roman" w:eastAsia="Times New Roman" w:hAnsi="Times New Roman" w:cs="Times New Roman"/>
          <w:sz w:val="24"/>
          <w:szCs w:val="24"/>
        </w:rPr>
        <w:t xml:space="preserve"> The </w:t>
      </w:r>
      <w:r w:rsidR="00C61827">
        <w:rPr>
          <w:rFonts w:ascii="Times New Roman" w:eastAsia="Times New Roman" w:hAnsi="Times New Roman" w:cs="Times New Roman"/>
          <w:sz w:val="24"/>
          <w:szCs w:val="24"/>
        </w:rPr>
        <w:t>growth</w:t>
      </w:r>
      <w:r w:rsidRPr="00EF6720">
        <w:rPr>
          <w:rFonts w:ascii="Times New Roman" w:eastAsia="Times New Roman" w:hAnsi="Times New Roman" w:cs="Times New Roman"/>
          <w:sz w:val="24"/>
          <w:szCs w:val="24"/>
        </w:rPr>
        <w:t xml:space="preserve"> of </w:t>
      </w:r>
      <w:r w:rsidR="004905CC">
        <w:rPr>
          <w:rFonts w:ascii="Times New Roman" w:eastAsia="Times New Roman" w:hAnsi="Times New Roman" w:cs="Times New Roman"/>
          <w:sz w:val="24"/>
          <w:szCs w:val="24"/>
        </w:rPr>
        <w:t>financial technology</w:t>
      </w:r>
      <w:r w:rsidRPr="00EF6720">
        <w:rPr>
          <w:rFonts w:ascii="Times New Roman" w:eastAsia="Times New Roman" w:hAnsi="Times New Roman" w:cs="Times New Roman"/>
          <w:sz w:val="24"/>
          <w:szCs w:val="24"/>
        </w:rPr>
        <w:t xml:space="preserve"> (Fintech) </w:t>
      </w:r>
      <w:r w:rsidR="00C61827">
        <w:rPr>
          <w:rFonts w:ascii="Times New Roman" w:eastAsia="Times New Roman" w:hAnsi="Times New Roman" w:cs="Times New Roman"/>
          <w:sz w:val="24"/>
          <w:szCs w:val="24"/>
        </w:rPr>
        <w:t xml:space="preserve">is </w:t>
      </w:r>
      <w:r w:rsidRPr="00EF6720">
        <w:rPr>
          <w:rFonts w:ascii="Times New Roman" w:eastAsia="Times New Roman" w:hAnsi="Times New Roman" w:cs="Times New Roman"/>
          <w:sz w:val="24"/>
          <w:szCs w:val="24"/>
        </w:rPr>
        <w:t>transform</w:t>
      </w:r>
      <w:r w:rsidR="00C61827">
        <w:rPr>
          <w:rFonts w:ascii="Times New Roman" w:eastAsia="Times New Roman" w:hAnsi="Times New Roman" w:cs="Times New Roman"/>
          <w:sz w:val="24"/>
          <w:szCs w:val="24"/>
        </w:rPr>
        <w:t xml:space="preserve">ing </w:t>
      </w:r>
      <w:r w:rsidRPr="00EF6720">
        <w:rPr>
          <w:rFonts w:ascii="Times New Roman" w:eastAsia="Times New Roman" w:hAnsi="Times New Roman" w:cs="Times New Roman"/>
          <w:sz w:val="24"/>
          <w:szCs w:val="24"/>
        </w:rPr>
        <w:t xml:space="preserve">personal </w:t>
      </w:r>
      <w:r w:rsidR="004905CC">
        <w:rPr>
          <w:rFonts w:ascii="Times New Roman" w:eastAsia="Times New Roman" w:hAnsi="Times New Roman" w:cs="Times New Roman"/>
          <w:sz w:val="24"/>
          <w:szCs w:val="24"/>
        </w:rPr>
        <w:t>finance,</w:t>
      </w:r>
      <w:r w:rsidRPr="00EF6720">
        <w:rPr>
          <w:rFonts w:ascii="Times New Roman" w:eastAsia="Times New Roman" w:hAnsi="Times New Roman" w:cs="Times New Roman"/>
          <w:sz w:val="24"/>
          <w:szCs w:val="24"/>
        </w:rPr>
        <w:t xml:space="preserve"> </w:t>
      </w:r>
      <w:r w:rsidR="00C61827">
        <w:rPr>
          <w:rFonts w:ascii="Times New Roman" w:eastAsia="Times New Roman" w:hAnsi="Times New Roman" w:cs="Times New Roman"/>
          <w:sz w:val="24"/>
          <w:szCs w:val="24"/>
        </w:rPr>
        <w:t xml:space="preserve">where </w:t>
      </w:r>
      <w:r w:rsidR="004905CC">
        <w:rPr>
          <w:rFonts w:ascii="Times New Roman" w:eastAsia="Times New Roman" w:hAnsi="Times New Roman" w:cs="Times New Roman"/>
          <w:sz w:val="24"/>
          <w:szCs w:val="24"/>
        </w:rPr>
        <w:t>the user</w:t>
      </w:r>
      <w:r w:rsidR="00C61827">
        <w:rPr>
          <w:rFonts w:ascii="Times New Roman" w:eastAsia="Times New Roman" w:hAnsi="Times New Roman" w:cs="Times New Roman"/>
          <w:sz w:val="24"/>
          <w:szCs w:val="24"/>
        </w:rPr>
        <w:t xml:space="preserve"> of fintech </w:t>
      </w:r>
      <w:r w:rsidR="00C61827" w:rsidRPr="00EF6720">
        <w:rPr>
          <w:rFonts w:ascii="Times New Roman" w:eastAsia="Times New Roman" w:hAnsi="Times New Roman" w:cs="Times New Roman"/>
          <w:sz w:val="24"/>
          <w:szCs w:val="24"/>
        </w:rPr>
        <w:t xml:space="preserve">adoption </w:t>
      </w:r>
      <w:r w:rsidR="004905CC">
        <w:rPr>
          <w:rFonts w:ascii="Times New Roman" w:eastAsia="Times New Roman" w:hAnsi="Times New Roman" w:cs="Times New Roman"/>
          <w:sz w:val="24"/>
          <w:szCs w:val="24"/>
        </w:rPr>
        <w:t>varies</w:t>
      </w:r>
      <w:r w:rsidR="00C61827">
        <w:rPr>
          <w:rFonts w:ascii="Times New Roman" w:eastAsia="Times New Roman" w:hAnsi="Times New Roman" w:cs="Times New Roman"/>
          <w:sz w:val="24"/>
          <w:szCs w:val="24"/>
        </w:rPr>
        <w:t xml:space="preserve"> by </w:t>
      </w:r>
      <w:r w:rsidR="00620F54">
        <w:rPr>
          <w:rFonts w:ascii="Times New Roman" w:eastAsia="Times New Roman" w:hAnsi="Times New Roman" w:cs="Times New Roman"/>
          <w:sz w:val="24"/>
          <w:szCs w:val="24"/>
        </w:rPr>
        <w:t xml:space="preserve">behaviour. </w:t>
      </w:r>
      <w:r w:rsidR="00C61827">
        <w:rPr>
          <w:rFonts w:ascii="Times New Roman" w:eastAsia="Times New Roman" w:hAnsi="Times New Roman" w:cs="Times New Roman"/>
          <w:sz w:val="24"/>
          <w:szCs w:val="24"/>
        </w:rPr>
        <w:t xml:space="preserve">while present </w:t>
      </w:r>
      <w:r w:rsidR="00C61827" w:rsidRPr="00EF6720">
        <w:rPr>
          <w:rFonts w:ascii="Times New Roman" w:eastAsia="Times New Roman" w:hAnsi="Times New Roman" w:cs="Times New Roman"/>
          <w:sz w:val="24"/>
          <w:szCs w:val="24"/>
        </w:rPr>
        <w:t>technology</w:t>
      </w:r>
      <w:r w:rsidRPr="00EF6720">
        <w:rPr>
          <w:rFonts w:ascii="Times New Roman" w:eastAsia="Times New Roman" w:hAnsi="Times New Roman" w:cs="Times New Roman"/>
          <w:sz w:val="24"/>
          <w:szCs w:val="24"/>
        </w:rPr>
        <w:t xml:space="preserve"> adoption models overlook the influence of deep-seated, domain-specific professional </w:t>
      </w:r>
      <w:r w:rsidR="00620F54">
        <w:rPr>
          <w:rFonts w:ascii="Times New Roman" w:eastAsia="Times New Roman" w:hAnsi="Times New Roman" w:cs="Times New Roman"/>
          <w:sz w:val="24"/>
          <w:szCs w:val="24"/>
        </w:rPr>
        <w:t>socialisation</w:t>
      </w:r>
      <w:r w:rsidRPr="00EF6720">
        <w:rPr>
          <w:rFonts w:ascii="Times New Roman" w:eastAsia="Times New Roman" w:hAnsi="Times New Roman" w:cs="Times New Roman"/>
          <w:sz w:val="24"/>
          <w:szCs w:val="24"/>
        </w:rPr>
        <w:t xml:space="preserve"> on personal financial decisions.</w:t>
      </w:r>
    </w:p>
    <w:p w14:paraId="624D599B" w14:textId="27EA1B60" w:rsidR="009A12FF" w:rsidRPr="00EF6720" w:rsidRDefault="009530C1" w:rsidP="00D51FF9">
      <w:pPr>
        <w:spacing w:before="0" w:after="0"/>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Objective:</w:t>
      </w:r>
      <w:r w:rsidRPr="00EF6720">
        <w:rPr>
          <w:rFonts w:ascii="Times New Roman" w:eastAsia="Times New Roman" w:hAnsi="Times New Roman" w:cs="Times New Roman"/>
          <w:sz w:val="24"/>
          <w:szCs w:val="24"/>
        </w:rPr>
        <w:t xml:space="preserve"> This study investigates the </w:t>
      </w:r>
      <w:r w:rsidR="00BB2141">
        <w:rPr>
          <w:rFonts w:ascii="Times New Roman" w:eastAsia="Times New Roman" w:hAnsi="Times New Roman" w:cs="Times New Roman"/>
          <w:sz w:val="24"/>
          <w:szCs w:val="24"/>
        </w:rPr>
        <w:t>“</w:t>
      </w:r>
      <w:r w:rsidRPr="00EF6720">
        <w:rPr>
          <w:rFonts w:ascii="Times New Roman" w:eastAsia="Times New Roman" w:hAnsi="Times New Roman" w:cs="Times New Roman"/>
          <w:sz w:val="24"/>
          <w:szCs w:val="24"/>
        </w:rPr>
        <w:t>spillover effect</w:t>
      </w:r>
      <w:r w:rsidR="00BB2141">
        <w:rPr>
          <w:rFonts w:ascii="Times New Roman" w:eastAsia="Times New Roman" w:hAnsi="Times New Roman" w:cs="Times New Roman"/>
          <w:sz w:val="24"/>
          <w:szCs w:val="24"/>
        </w:rPr>
        <w:t>”</w:t>
      </w:r>
      <w:r w:rsidRPr="00EF6720">
        <w:rPr>
          <w:rFonts w:ascii="Times New Roman" w:eastAsia="Times New Roman" w:hAnsi="Times New Roman" w:cs="Times New Roman"/>
          <w:sz w:val="24"/>
          <w:szCs w:val="24"/>
        </w:rPr>
        <w:t xml:space="preserve"> of professional training on the adoption of Fintech products. </w:t>
      </w:r>
      <w:r w:rsidR="00C61827">
        <w:rPr>
          <w:rFonts w:ascii="Times New Roman" w:eastAsia="Times New Roman" w:hAnsi="Times New Roman" w:cs="Times New Roman"/>
          <w:sz w:val="24"/>
          <w:szCs w:val="24"/>
        </w:rPr>
        <w:t>study</w:t>
      </w:r>
      <w:r w:rsidRPr="00EF6720">
        <w:rPr>
          <w:rFonts w:ascii="Times New Roman" w:eastAsia="Times New Roman" w:hAnsi="Times New Roman" w:cs="Times New Roman"/>
          <w:sz w:val="24"/>
          <w:szCs w:val="24"/>
        </w:rPr>
        <w:t xml:space="preserve"> specifically </w:t>
      </w:r>
      <w:r w:rsidR="00620F54">
        <w:rPr>
          <w:rFonts w:ascii="Times New Roman" w:eastAsia="Times New Roman" w:hAnsi="Times New Roman" w:cs="Times New Roman"/>
          <w:sz w:val="24"/>
          <w:szCs w:val="24"/>
        </w:rPr>
        <w:t>analyses</w:t>
      </w:r>
      <w:r w:rsidR="00C61827">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the risk-averse</w:t>
      </w:r>
      <w:r w:rsidRPr="00EF6720">
        <w:rPr>
          <w:rFonts w:ascii="Times New Roman" w:eastAsia="Times New Roman" w:hAnsi="Times New Roman" w:cs="Times New Roman"/>
          <w:sz w:val="24"/>
          <w:szCs w:val="24"/>
        </w:rPr>
        <w:t xml:space="preserve"> mindset </w:t>
      </w:r>
      <w:r w:rsidR="00620F54">
        <w:rPr>
          <w:rFonts w:ascii="Times New Roman" w:eastAsia="Times New Roman" w:hAnsi="Times New Roman" w:cs="Times New Roman"/>
          <w:sz w:val="24"/>
          <w:szCs w:val="24"/>
        </w:rPr>
        <w:t>that is</w:t>
      </w:r>
      <w:r w:rsidR="00C61827">
        <w:rPr>
          <w:rFonts w:ascii="Times New Roman" w:eastAsia="Times New Roman" w:hAnsi="Times New Roman" w:cs="Times New Roman"/>
          <w:sz w:val="24"/>
          <w:szCs w:val="24"/>
        </w:rPr>
        <w:t xml:space="preserve"> </w:t>
      </w:r>
      <w:r w:rsidRPr="00EF6720">
        <w:rPr>
          <w:rFonts w:ascii="Times New Roman" w:eastAsia="Times New Roman" w:hAnsi="Times New Roman" w:cs="Times New Roman"/>
          <w:sz w:val="24"/>
          <w:szCs w:val="24"/>
        </w:rPr>
        <w:t xml:space="preserve">cultivated in medical training </w:t>
      </w:r>
      <w:r w:rsidR="00C61827" w:rsidRPr="00EF6720">
        <w:rPr>
          <w:rFonts w:ascii="Times New Roman" w:eastAsia="Times New Roman" w:hAnsi="Times New Roman" w:cs="Times New Roman"/>
          <w:sz w:val="24"/>
          <w:szCs w:val="24"/>
        </w:rPr>
        <w:t>against</w:t>
      </w:r>
      <w:r w:rsidRPr="00EF6720">
        <w:rPr>
          <w:rFonts w:ascii="Times New Roman" w:eastAsia="Times New Roman" w:hAnsi="Times New Roman" w:cs="Times New Roman"/>
          <w:sz w:val="24"/>
          <w:szCs w:val="24"/>
        </w:rPr>
        <w:t xml:space="preserve"> the more calculated risk-managing approach in </w:t>
      </w:r>
      <w:r w:rsidR="00620F54">
        <w:rPr>
          <w:rFonts w:ascii="Times New Roman" w:eastAsia="Times New Roman" w:hAnsi="Times New Roman" w:cs="Times New Roman"/>
          <w:sz w:val="24"/>
          <w:szCs w:val="24"/>
        </w:rPr>
        <w:t>engineering and</w:t>
      </w:r>
      <w:r w:rsidRPr="00EF6720">
        <w:rPr>
          <w:rFonts w:ascii="Times New Roman" w:eastAsia="Times New Roman" w:hAnsi="Times New Roman" w:cs="Times New Roman"/>
          <w:sz w:val="24"/>
          <w:szCs w:val="24"/>
        </w:rPr>
        <w:t xml:space="preserve"> influences </w:t>
      </w:r>
      <w:r w:rsidR="00620F54">
        <w:rPr>
          <w:rFonts w:ascii="Times New Roman" w:eastAsia="Times New Roman" w:hAnsi="Times New Roman" w:cs="Times New Roman"/>
          <w:sz w:val="24"/>
          <w:szCs w:val="24"/>
        </w:rPr>
        <w:t xml:space="preserve">students </w:t>
      </w:r>
      <w:r w:rsidRPr="00EF6720">
        <w:rPr>
          <w:rFonts w:ascii="Times New Roman" w:eastAsia="Times New Roman" w:hAnsi="Times New Roman" w:cs="Times New Roman"/>
          <w:sz w:val="24"/>
          <w:szCs w:val="24"/>
        </w:rPr>
        <w:t xml:space="preserve">financial risk tolerance, trust, and </w:t>
      </w:r>
      <w:r w:rsidR="00620F54">
        <w:rPr>
          <w:rFonts w:ascii="Times New Roman" w:eastAsia="Times New Roman" w:hAnsi="Times New Roman" w:cs="Times New Roman"/>
          <w:sz w:val="24"/>
          <w:szCs w:val="24"/>
        </w:rPr>
        <w:t>behavioural</w:t>
      </w:r>
      <w:r w:rsidRPr="00EF6720">
        <w:rPr>
          <w:rFonts w:ascii="Times New Roman" w:eastAsia="Times New Roman" w:hAnsi="Times New Roman" w:cs="Times New Roman"/>
          <w:sz w:val="24"/>
          <w:szCs w:val="24"/>
        </w:rPr>
        <w:t xml:space="preserve"> intentions.</w:t>
      </w:r>
    </w:p>
    <w:p w14:paraId="4C737F7A" w14:textId="50BB05B7" w:rsidR="009A12FF" w:rsidRPr="00EF6720" w:rsidRDefault="009530C1" w:rsidP="00D51FF9">
      <w:pPr>
        <w:spacing w:before="0" w:after="0"/>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Methods:</w:t>
      </w:r>
      <w:r w:rsidRPr="00EF6720">
        <w:rPr>
          <w:rFonts w:ascii="Times New Roman" w:eastAsia="Times New Roman" w:hAnsi="Times New Roman" w:cs="Times New Roman"/>
          <w:sz w:val="24"/>
          <w:szCs w:val="24"/>
        </w:rPr>
        <w:t xml:space="preserve"> A quantitative survey was administered to 500 undergraduate </w:t>
      </w:r>
      <w:r w:rsidR="00620F54">
        <w:rPr>
          <w:rFonts w:ascii="Times New Roman" w:eastAsia="Times New Roman" w:hAnsi="Times New Roman" w:cs="Times New Roman"/>
          <w:sz w:val="24"/>
          <w:szCs w:val="24"/>
        </w:rPr>
        <w:t>students of</w:t>
      </w:r>
      <w:r w:rsidR="00C61827">
        <w:rPr>
          <w:rFonts w:ascii="Times New Roman" w:eastAsia="Times New Roman" w:hAnsi="Times New Roman" w:cs="Times New Roman"/>
          <w:sz w:val="24"/>
          <w:szCs w:val="24"/>
        </w:rPr>
        <w:t xml:space="preserve"> two different </w:t>
      </w:r>
      <w:r w:rsidR="009678E2">
        <w:rPr>
          <w:rFonts w:ascii="Times New Roman" w:eastAsia="Times New Roman" w:hAnsi="Times New Roman" w:cs="Times New Roman"/>
          <w:sz w:val="24"/>
          <w:szCs w:val="24"/>
        </w:rPr>
        <w:t>professions</w:t>
      </w:r>
      <w:r w:rsidRPr="00EF6720">
        <w:rPr>
          <w:rFonts w:ascii="Times New Roman" w:eastAsia="Times New Roman" w:hAnsi="Times New Roman" w:cs="Times New Roman"/>
          <w:sz w:val="24"/>
          <w:szCs w:val="24"/>
        </w:rPr>
        <w:t xml:space="preserve"> from universities.</w:t>
      </w:r>
      <w:r w:rsidR="009678E2">
        <w:rPr>
          <w:rFonts w:ascii="Times New Roman" w:eastAsia="Times New Roman" w:hAnsi="Times New Roman" w:cs="Times New Roman"/>
          <w:sz w:val="24"/>
          <w:szCs w:val="24"/>
        </w:rPr>
        <w:t xml:space="preserve"> M</w:t>
      </w:r>
      <w:r w:rsidR="009678E2" w:rsidRPr="00EF6720">
        <w:rPr>
          <w:rFonts w:ascii="Times New Roman" w:eastAsia="Times New Roman" w:hAnsi="Times New Roman" w:cs="Times New Roman"/>
          <w:sz w:val="24"/>
          <w:szCs w:val="24"/>
        </w:rPr>
        <w:t>ulti-group analysis</w:t>
      </w:r>
      <w:r w:rsidR="009678E2">
        <w:rPr>
          <w:rFonts w:ascii="Times New Roman" w:eastAsia="Times New Roman" w:hAnsi="Times New Roman" w:cs="Times New Roman"/>
          <w:sz w:val="24"/>
          <w:szCs w:val="24"/>
        </w:rPr>
        <w:t xml:space="preserve"> </w:t>
      </w:r>
      <w:r w:rsidR="00165B5F">
        <w:rPr>
          <w:rFonts w:ascii="Times New Roman" w:eastAsia="Times New Roman" w:hAnsi="Times New Roman" w:cs="Times New Roman"/>
          <w:sz w:val="24"/>
          <w:szCs w:val="24"/>
        </w:rPr>
        <w:t xml:space="preserve">on </w:t>
      </w:r>
      <w:r w:rsidR="00165B5F" w:rsidRPr="00EF6720">
        <w:rPr>
          <w:rFonts w:ascii="Times New Roman" w:eastAsia="Times New Roman" w:hAnsi="Times New Roman" w:cs="Times New Roman"/>
          <w:sz w:val="24"/>
          <w:szCs w:val="24"/>
        </w:rPr>
        <w:t>structural</w:t>
      </w:r>
      <w:r w:rsidRPr="00EF6720">
        <w:rPr>
          <w:rFonts w:ascii="Times New Roman" w:eastAsia="Times New Roman" w:hAnsi="Times New Roman" w:cs="Times New Roman"/>
          <w:sz w:val="24"/>
          <w:szCs w:val="24"/>
        </w:rPr>
        <w:t xml:space="preserve"> </w:t>
      </w:r>
      <w:r w:rsidR="009678E2">
        <w:rPr>
          <w:rFonts w:ascii="Times New Roman" w:eastAsia="Times New Roman" w:hAnsi="Times New Roman" w:cs="Times New Roman"/>
          <w:sz w:val="24"/>
          <w:szCs w:val="24"/>
        </w:rPr>
        <w:t>e</w:t>
      </w:r>
      <w:r w:rsidRPr="00EF6720">
        <w:rPr>
          <w:rFonts w:ascii="Times New Roman" w:eastAsia="Times New Roman" w:hAnsi="Times New Roman" w:cs="Times New Roman"/>
          <w:sz w:val="24"/>
          <w:szCs w:val="24"/>
        </w:rPr>
        <w:t xml:space="preserve">quation </w:t>
      </w:r>
      <w:r w:rsidR="00620F54">
        <w:rPr>
          <w:rFonts w:ascii="Times New Roman" w:eastAsia="Times New Roman" w:hAnsi="Times New Roman" w:cs="Times New Roman"/>
          <w:sz w:val="24"/>
          <w:szCs w:val="24"/>
        </w:rPr>
        <w:t>modelling</w:t>
      </w:r>
      <w:r w:rsidRPr="00EF6720">
        <w:rPr>
          <w:rFonts w:ascii="Times New Roman" w:eastAsia="Times New Roman" w:hAnsi="Times New Roman" w:cs="Times New Roman"/>
          <w:sz w:val="24"/>
          <w:szCs w:val="24"/>
        </w:rPr>
        <w:t xml:space="preserve"> (SEM) </w:t>
      </w:r>
      <w:r w:rsidR="009678E2">
        <w:rPr>
          <w:rFonts w:ascii="Times New Roman" w:eastAsia="Times New Roman" w:hAnsi="Times New Roman" w:cs="Times New Roman"/>
          <w:sz w:val="24"/>
          <w:szCs w:val="24"/>
        </w:rPr>
        <w:t xml:space="preserve">is used </w:t>
      </w:r>
      <w:r w:rsidRPr="00EF6720">
        <w:rPr>
          <w:rFonts w:ascii="Times New Roman" w:eastAsia="Times New Roman" w:hAnsi="Times New Roman" w:cs="Times New Roman"/>
          <w:sz w:val="24"/>
          <w:szCs w:val="24"/>
        </w:rPr>
        <w:t xml:space="preserve">on </w:t>
      </w:r>
      <w:r w:rsidR="00620F54">
        <w:rPr>
          <w:rFonts w:ascii="Times New Roman" w:eastAsia="Times New Roman" w:hAnsi="Times New Roman" w:cs="Times New Roman"/>
          <w:sz w:val="24"/>
          <w:szCs w:val="24"/>
        </w:rPr>
        <w:t>the UTAUT2</w:t>
      </w:r>
      <w:r w:rsidRPr="00EF6720">
        <w:rPr>
          <w:rFonts w:ascii="Times New Roman" w:eastAsia="Times New Roman" w:hAnsi="Times New Roman" w:cs="Times New Roman"/>
          <w:sz w:val="24"/>
          <w:szCs w:val="24"/>
        </w:rPr>
        <w:t xml:space="preserve"> framework with </w:t>
      </w:r>
      <w:r w:rsidR="00620F54">
        <w:rPr>
          <w:rFonts w:ascii="Times New Roman" w:eastAsia="Times New Roman" w:hAnsi="Times New Roman" w:cs="Times New Roman"/>
          <w:sz w:val="24"/>
          <w:szCs w:val="24"/>
        </w:rPr>
        <w:t>professional risk mindset</w:t>
      </w:r>
      <w:r w:rsidRPr="00EF6720">
        <w:rPr>
          <w:rFonts w:ascii="Times New Roman" w:eastAsia="Times New Roman" w:hAnsi="Times New Roman" w:cs="Times New Roman"/>
          <w:sz w:val="24"/>
          <w:szCs w:val="24"/>
        </w:rPr>
        <w:t xml:space="preserve"> and </w:t>
      </w:r>
      <w:r w:rsidR="00620F54">
        <w:rPr>
          <w:rFonts w:ascii="Times New Roman" w:eastAsia="Times New Roman" w:hAnsi="Times New Roman" w:cs="Times New Roman"/>
          <w:sz w:val="24"/>
          <w:szCs w:val="24"/>
        </w:rPr>
        <w:t>financial risk tolerance.</w:t>
      </w:r>
    </w:p>
    <w:p w14:paraId="05EE41F1" w14:textId="1C0D2A18" w:rsidR="009A12FF" w:rsidRPr="00EF6720" w:rsidRDefault="009530C1" w:rsidP="00D51FF9">
      <w:pPr>
        <w:spacing w:before="0" w:after="0"/>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Results:</w:t>
      </w:r>
      <w:r w:rsidRPr="00EF6720">
        <w:rPr>
          <w:rFonts w:ascii="Times New Roman" w:eastAsia="Times New Roman" w:hAnsi="Times New Roman" w:cs="Times New Roman"/>
          <w:sz w:val="24"/>
          <w:szCs w:val="24"/>
        </w:rPr>
        <w:t xml:space="preserve"> The findings </w:t>
      </w:r>
      <w:r w:rsidR="009678E2">
        <w:rPr>
          <w:rFonts w:ascii="Times New Roman" w:eastAsia="Times New Roman" w:hAnsi="Times New Roman" w:cs="Times New Roman"/>
          <w:sz w:val="24"/>
          <w:szCs w:val="24"/>
        </w:rPr>
        <w:t>support</w:t>
      </w:r>
      <w:r w:rsidRPr="00EF6720">
        <w:rPr>
          <w:rFonts w:ascii="Times New Roman" w:eastAsia="Times New Roman" w:hAnsi="Times New Roman" w:cs="Times New Roman"/>
          <w:sz w:val="24"/>
          <w:szCs w:val="24"/>
        </w:rPr>
        <w:t xml:space="preserve"> that medical students exhibit a significantly more risk-averse professional mindset than their engineering peers. </w:t>
      </w:r>
      <w:r w:rsidR="00620F54">
        <w:rPr>
          <w:rFonts w:ascii="Times New Roman" w:eastAsia="Times New Roman" w:hAnsi="Times New Roman" w:cs="Times New Roman"/>
          <w:sz w:val="24"/>
          <w:szCs w:val="24"/>
        </w:rPr>
        <w:t>This multi-group analysis showed that the positive relationship between financial risk tolerance and the intention to adopt high-risk Fintech was significantly weaker among medical students compared to their engineering peers.</w:t>
      </w:r>
      <w:r w:rsidRPr="00EF6720">
        <w:rPr>
          <w:rFonts w:ascii="Times New Roman" w:eastAsia="Times New Roman" w:hAnsi="Times New Roman" w:cs="Times New Roman"/>
          <w:sz w:val="24"/>
          <w:szCs w:val="24"/>
        </w:rPr>
        <w:t xml:space="preserve"> </w:t>
      </w:r>
    </w:p>
    <w:p w14:paraId="20646D21" w14:textId="0B4899FE" w:rsidR="009A12FF" w:rsidRDefault="009530C1" w:rsidP="00B9079E">
      <w:pPr>
        <w:spacing w:before="0" w:after="280"/>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Conclusion:</w:t>
      </w:r>
      <w:r w:rsidRPr="00EF6720">
        <w:rPr>
          <w:rFonts w:ascii="Times New Roman" w:eastAsia="Times New Roman" w:hAnsi="Times New Roman" w:cs="Times New Roman"/>
          <w:sz w:val="24"/>
          <w:szCs w:val="24"/>
        </w:rPr>
        <w:t xml:space="preserve"> This research </w:t>
      </w:r>
      <w:r w:rsidR="00327577">
        <w:rPr>
          <w:rFonts w:ascii="Times New Roman" w:eastAsia="Times New Roman" w:hAnsi="Times New Roman" w:cs="Times New Roman"/>
          <w:sz w:val="24"/>
          <w:szCs w:val="24"/>
        </w:rPr>
        <w:t>shows that</w:t>
      </w:r>
      <w:r w:rsidRPr="00EF6720">
        <w:rPr>
          <w:rFonts w:ascii="Times New Roman" w:eastAsia="Times New Roman" w:hAnsi="Times New Roman" w:cs="Times New Roman"/>
          <w:sz w:val="24"/>
          <w:szCs w:val="24"/>
        </w:rPr>
        <w:t xml:space="preserve"> a professional psychological framework </w:t>
      </w:r>
      <w:r w:rsidR="00620F54">
        <w:rPr>
          <w:rFonts w:ascii="Times New Roman" w:eastAsia="Times New Roman" w:hAnsi="Times New Roman" w:cs="Times New Roman"/>
          <w:sz w:val="24"/>
          <w:szCs w:val="24"/>
        </w:rPr>
        <w:t>spreads</w:t>
      </w:r>
      <w:r w:rsidRPr="00EF6720">
        <w:rPr>
          <w:rFonts w:ascii="Times New Roman" w:eastAsia="Times New Roman" w:hAnsi="Times New Roman" w:cs="Times New Roman"/>
          <w:sz w:val="24"/>
          <w:szCs w:val="24"/>
        </w:rPr>
        <w:t xml:space="preserve"> into personal financial domains</w:t>
      </w:r>
      <w:r w:rsidR="00327577">
        <w:rPr>
          <w:rFonts w:ascii="Times New Roman" w:eastAsia="Times New Roman" w:hAnsi="Times New Roman" w:cs="Times New Roman"/>
          <w:sz w:val="24"/>
          <w:szCs w:val="24"/>
        </w:rPr>
        <w:t xml:space="preserve"> and</w:t>
      </w:r>
      <w:r w:rsidRPr="00EF6720">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challenges</w:t>
      </w:r>
      <w:r w:rsidRPr="00EF6720">
        <w:rPr>
          <w:rFonts w:ascii="Times New Roman" w:eastAsia="Times New Roman" w:hAnsi="Times New Roman" w:cs="Times New Roman"/>
          <w:sz w:val="24"/>
          <w:szCs w:val="24"/>
        </w:rPr>
        <w:t xml:space="preserve"> a </w:t>
      </w:r>
      <w:r w:rsidR="00BB2141">
        <w:rPr>
          <w:rFonts w:ascii="Times New Roman" w:eastAsia="Times New Roman" w:hAnsi="Times New Roman" w:cs="Times New Roman"/>
          <w:sz w:val="24"/>
          <w:szCs w:val="24"/>
        </w:rPr>
        <w:t>“</w:t>
      </w:r>
      <w:r w:rsidRPr="00EF6720">
        <w:rPr>
          <w:rFonts w:ascii="Times New Roman" w:eastAsia="Times New Roman" w:hAnsi="Times New Roman" w:cs="Times New Roman"/>
          <w:sz w:val="24"/>
          <w:szCs w:val="24"/>
        </w:rPr>
        <w:t>one-size-fits-all</w:t>
      </w:r>
      <w:r w:rsidR="00BB2141">
        <w:rPr>
          <w:rFonts w:ascii="Times New Roman" w:eastAsia="Times New Roman" w:hAnsi="Times New Roman" w:cs="Times New Roman"/>
          <w:sz w:val="24"/>
          <w:szCs w:val="24"/>
        </w:rPr>
        <w:t>”</w:t>
      </w:r>
      <w:r w:rsidRPr="00EF6720">
        <w:rPr>
          <w:rFonts w:ascii="Times New Roman" w:eastAsia="Times New Roman" w:hAnsi="Times New Roman" w:cs="Times New Roman"/>
          <w:sz w:val="24"/>
          <w:szCs w:val="24"/>
        </w:rPr>
        <w:t xml:space="preserve"> view of technology adoption. The findings </w:t>
      </w:r>
      <w:r w:rsidR="00D51FF9">
        <w:rPr>
          <w:rFonts w:ascii="Times New Roman" w:eastAsia="Times New Roman" w:hAnsi="Times New Roman" w:cs="Times New Roman"/>
          <w:sz w:val="24"/>
          <w:szCs w:val="24"/>
        </w:rPr>
        <w:t>show</w:t>
      </w:r>
      <w:r w:rsidRPr="00EF6720">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fintech</w:t>
      </w:r>
      <w:r w:rsidRPr="00EF6720">
        <w:rPr>
          <w:rFonts w:ascii="Times New Roman" w:eastAsia="Times New Roman" w:hAnsi="Times New Roman" w:cs="Times New Roman"/>
          <w:sz w:val="24"/>
          <w:szCs w:val="24"/>
        </w:rPr>
        <w:t xml:space="preserve"> marketing </w:t>
      </w:r>
      <w:r w:rsidR="00707161">
        <w:rPr>
          <w:rFonts w:ascii="Times New Roman" w:eastAsia="Times New Roman" w:hAnsi="Times New Roman" w:cs="Times New Roman"/>
          <w:sz w:val="24"/>
          <w:szCs w:val="24"/>
        </w:rPr>
        <w:t>required</w:t>
      </w:r>
      <w:r w:rsidR="00327577">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tailored</w:t>
      </w:r>
      <w:r w:rsidRPr="00EF6720">
        <w:rPr>
          <w:rFonts w:ascii="Times New Roman" w:eastAsia="Times New Roman" w:hAnsi="Times New Roman" w:cs="Times New Roman"/>
          <w:sz w:val="24"/>
          <w:szCs w:val="24"/>
        </w:rPr>
        <w:t xml:space="preserve"> psychological profiles of different professional </w:t>
      </w:r>
      <w:r w:rsidR="00707161">
        <w:rPr>
          <w:rFonts w:ascii="Times New Roman" w:eastAsia="Times New Roman" w:hAnsi="Times New Roman" w:cs="Times New Roman"/>
          <w:sz w:val="24"/>
          <w:szCs w:val="24"/>
        </w:rPr>
        <w:t>where</w:t>
      </w:r>
      <w:r w:rsidRPr="00EF6720">
        <w:rPr>
          <w:rFonts w:ascii="Times New Roman" w:eastAsia="Times New Roman" w:hAnsi="Times New Roman" w:cs="Times New Roman"/>
          <w:sz w:val="24"/>
          <w:szCs w:val="24"/>
        </w:rPr>
        <w:t xml:space="preserve"> financial literacy </w:t>
      </w:r>
      <w:r w:rsidR="00620F54">
        <w:rPr>
          <w:rFonts w:ascii="Times New Roman" w:eastAsia="Times New Roman" w:hAnsi="Times New Roman" w:cs="Times New Roman"/>
          <w:sz w:val="24"/>
          <w:szCs w:val="24"/>
        </w:rPr>
        <w:t>programmes</w:t>
      </w:r>
      <w:r w:rsidRPr="00EF6720">
        <w:rPr>
          <w:rFonts w:ascii="Times New Roman" w:eastAsia="Times New Roman" w:hAnsi="Times New Roman" w:cs="Times New Roman"/>
          <w:sz w:val="24"/>
          <w:szCs w:val="24"/>
        </w:rPr>
        <w:t xml:space="preserve"> </w:t>
      </w:r>
      <w:r w:rsidR="00327577">
        <w:rPr>
          <w:rFonts w:ascii="Times New Roman" w:eastAsia="Times New Roman" w:hAnsi="Times New Roman" w:cs="Times New Roman"/>
          <w:sz w:val="24"/>
          <w:szCs w:val="24"/>
        </w:rPr>
        <w:t xml:space="preserve">are </w:t>
      </w:r>
      <w:r w:rsidR="00707161">
        <w:rPr>
          <w:rFonts w:ascii="Times New Roman" w:eastAsia="Times New Roman" w:hAnsi="Times New Roman" w:cs="Times New Roman"/>
          <w:sz w:val="24"/>
          <w:szCs w:val="24"/>
        </w:rPr>
        <w:t>helpful to</w:t>
      </w:r>
      <w:r w:rsidR="00620F54">
        <w:rPr>
          <w:rFonts w:ascii="Times New Roman" w:eastAsia="Times New Roman" w:hAnsi="Times New Roman" w:cs="Times New Roman"/>
          <w:sz w:val="24"/>
          <w:szCs w:val="24"/>
        </w:rPr>
        <w:t xml:space="preserve"> address</w:t>
      </w:r>
      <w:r w:rsidRPr="00EF6720">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behavioural</w:t>
      </w:r>
      <w:r w:rsidRPr="00EF6720">
        <w:rPr>
          <w:rFonts w:ascii="Times New Roman" w:eastAsia="Times New Roman" w:hAnsi="Times New Roman" w:cs="Times New Roman"/>
          <w:sz w:val="24"/>
          <w:szCs w:val="24"/>
        </w:rPr>
        <w:t xml:space="preserve"> biases shaped by professional training.</w:t>
      </w:r>
    </w:p>
    <w:p w14:paraId="66CDA9F5" w14:textId="00FB6BB6" w:rsidR="00816E70" w:rsidRPr="00EF6720" w:rsidRDefault="0012443A" w:rsidP="00816E70">
      <w:pPr>
        <w:rPr>
          <w:rFonts w:ascii="Times New Roman" w:eastAsia="Times New Roman" w:hAnsi="Times New Roman" w:cs="Times New Roman"/>
          <w:sz w:val="24"/>
          <w:szCs w:val="24"/>
        </w:rPr>
      </w:pPr>
      <w:r>
        <w:rPr>
          <w:rFonts w:ascii="Times New Roman" w:eastAsia="Times New Roman" w:hAnsi="Times New Roman" w:cs="Times New Roman"/>
          <w:sz w:val="24"/>
          <w:szCs w:val="24"/>
        </w:rPr>
        <w:t>Keyword: Medical Students, SEM, Fintech, Risk Perception.</w:t>
      </w:r>
    </w:p>
    <w:p w14:paraId="36A3BD94" w14:textId="77777777" w:rsidR="00816E70" w:rsidRDefault="00816E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8D624AE" w14:textId="79F13C50"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lastRenderedPageBreak/>
        <w:t>1. Introduction</w:t>
      </w:r>
    </w:p>
    <w:p w14:paraId="4A4A174E" w14:textId="03E945AD"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The fast </w:t>
      </w:r>
      <w:r w:rsidR="00620F54">
        <w:rPr>
          <w:rFonts w:ascii="Times New Roman" w:eastAsia="Times New Roman" w:hAnsi="Times New Roman" w:cs="Times New Roman"/>
          <w:sz w:val="24"/>
          <w:szCs w:val="24"/>
        </w:rPr>
        <w:t>expansion</w:t>
      </w:r>
      <w:r w:rsidRPr="00EF6720">
        <w:rPr>
          <w:rFonts w:ascii="Times New Roman" w:eastAsia="Times New Roman" w:hAnsi="Times New Roman" w:cs="Times New Roman"/>
          <w:sz w:val="24"/>
          <w:szCs w:val="24"/>
        </w:rPr>
        <w:t xml:space="preserve"> of </w:t>
      </w:r>
      <w:r w:rsidR="00620F54">
        <w:rPr>
          <w:rFonts w:ascii="Times New Roman" w:eastAsia="Times New Roman" w:hAnsi="Times New Roman" w:cs="Times New Roman"/>
          <w:sz w:val="24"/>
          <w:szCs w:val="24"/>
        </w:rPr>
        <w:t>financial technology</w:t>
      </w:r>
      <w:r w:rsidRPr="00EF6720">
        <w:rPr>
          <w:rFonts w:ascii="Times New Roman" w:eastAsia="Times New Roman" w:hAnsi="Times New Roman" w:cs="Times New Roman"/>
          <w:sz w:val="24"/>
          <w:szCs w:val="24"/>
        </w:rPr>
        <w:t xml:space="preserve"> (Fintech) </w:t>
      </w:r>
      <w:r w:rsidR="00620F54">
        <w:rPr>
          <w:rFonts w:ascii="Times New Roman" w:eastAsia="Times New Roman" w:hAnsi="Times New Roman" w:cs="Times New Roman"/>
          <w:sz w:val="24"/>
          <w:szCs w:val="24"/>
        </w:rPr>
        <w:t>work acts</w:t>
      </w:r>
      <w:r w:rsidRPr="00EF6720">
        <w:rPr>
          <w:rFonts w:ascii="Times New Roman" w:eastAsia="Times New Roman" w:hAnsi="Times New Roman" w:cs="Times New Roman"/>
          <w:sz w:val="24"/>
          <w:szCs w:val="24"/>
        </w:rPr>
        <w:t xml:space="preserve"> as a transformative force in the global financial landscape. Fintech </w:t>
      </w:r>
      <w:r w:rsidR="00620F54">
        <w:rPr>
          <w:rFonts w:ascii="Times New Roman" w:eastAsia="Times New Roman" w:hAnsi="Times New Roman" w:cs="Times New Roman"/>
          <w:sz w:val="24"/>
          <w:szCs w:val="24"/>
        </w:rPr>
        <w:t>democratises</w:t>
      </w:r>
      <w:r w:rsidRPr="00EF6720">
        <w:rPr>
          <w:rFonts w:ascii="Times New Roman" w:eastAsia="Times New Roman" w:hAnsi="Times New Roman" w:cs="Times New Roman"/>
          <w:sz w:val="24"/>
          <w:szCs w:val="24"/>
        </w:rPr>
        <w:t xml:space="preserve"> access to investment, credit, and financial management where people can </w:t>
      </w:r>
      <w:r w:rsidR="00620F54">
        <w:rPr>
          <w:rFonts w:ascii="Times New Roman" w:eastAsia="Times New Roman" w:hAnsi="Times New Roman" w:cs="Times New Roman"/>
          <w:sz w:val="24"/>
          <w:szCs w:val="24"/>
        </w:rPr>
        <w:t>make decisions</w:t>
      </w:r>
      <w:r w:rsidRPr="00EF6720">
        <w:rPr>
          <w:rFonts w:ascii="Times New Roman" w:eastAsia="Times New Roman" w:hAnsi="Times New Roman" w:cs="Times New Roman"/>
          <w:sz w:val="24"/>
          <w:szCs w:val="24"/>
        </w:rPr>
        <w:t xml:space="preserve"> and </w:t>
      </w:r>
      <w:r w:rsidR="00620F54">
        <w:rPr>
          <w:rFonts w:ascii="Times New Roman" w:eastAsia="Times New Roman" w:hAnsi="Times New Roman" w:cs="Times New Roman"/>
          <w:sz w:val="24"/>
          <w:szCs w:val="24"/>
        </w:rPr>
        <w:t>analyse</w:t>
      </w:r>
      <w:r w:rsidRPr="00EF6720">
        <w:rPr>
          <w:rFonts w:ascii="Times New Roman" w:eastAsia="Times New Roman" w:hAnsi="Times New Roman" w:cs="Times New Roman"/>
          <w:sz w:val="24"/>
          <w:szCs w:val="24"/>
        </w:rPr>
        <w:t xml:space="preserve"> their financial </w:t>
      </w:r>
      <w:r w:rsidR="00620F54">
        <w:rPr>
          <w:rFonts w:ascii="Times New Roman" w:eastAsia="Times New Roman" w:hAnsi="Times New Roman" w:cs="Times New Roman"/>
          <w:sz w:val="24"/>
          <w:szCs w:val="24"/>
        </w:rPr>
        <w:t>aspects</w:t>
      </w:r>
      <w:r w:rsidRPr="00EF6720">
        <w:rPr>
          <w:rFonts w:ascii="Times New Roman" w:eastAsia="Times New Roman" w:hAnsi="Times New Roman" w:cs="Times New Roman"/>
          <w:sz w:val="24"/>
          <w:szCs w:val="24"/>
        </w:rPr>
        <w:t xml:space="preserve"> with Fintech </w:t>
      </w:r>
      <w:r w:rsidR="00620F54">
        <w:rPr>
          <w:rFonts w:ascii="Times New Roman" w:eastAsia="Times New Roman" w:hAnsi="Times New Roman" w:cs="Times New Roman"/>
          <w:sz w:val="24"/>
          <w:szCs w:val="24"/>
        </w:rPr>
        <w:t>applications</w:t>
      </w:r>
      <w:r w:rsidRPr="00EF6720">
        <w:rPr>
          <w:rFonts w:ascii="Times New Roman" w:eastAsia="Times New Roman" w:hAnsi="Times New Roman" w:cs="Times New Roman"/>
          <w:sz w:val="24"/>
          <w:szCs w:val="24"/>
        </w:rPr>
        <w:t xml:space="preserve"> for </w:t>
      </w:r>
      <w:r w:rsidR="00620F54">
        <w:rPr>
          <w:rFonts w:ascii="Times New Roman" w:eastAsia="Times New Roman" w:hAnsi="Times New Roman" w:cs="Times New Roman"/>
          <w:sz w:val="24"/>
          <w:szCs w:val="24"/>
        </w:rPr>
        <w:t>peer-to-peer</w:t>
      </w:r>
      <w:r w:rsidRPr="00EF6720">
        <w:rPr>
          <w:rFonts w:ascii="Times New Roman" w:eastAsia="Times New Roman" w:hAnsi="Times New Roman" w:cs="Times New Roman"/>
          <w:sz w:val="24"/>
          <w:szCs w:val="24"/>
        </w:rPr>
        <w:t xml:space="preserve"> (P2P) lending, QR </w:t>
      </w:r>
      <w:r w:rsidR="00620F54">
        <w:rPr>
          <w:rFonts w:ascii="Times New Roman" w:eastAsia="Times New Roman" w:hAnsi="Times New Roman" w:cs="Times New Roman"/>
          <w:sz w:val="24"/>
          <w:szCs w:val="24"/>
        </w:rPr>
        <w:t>codes,</w:t>
      </w:r>
      <w:r w:rsidRPr="00EF6720">
        <w:rPr>
          <w:rFonts w:ascii="Times New Roman" w:eastAsia="Times New Roman" w:hAnsi="Times New Roman" w:cs="Times New Roman"/>
          <w:sz w:val="24"/>
          <w:szCs w:val="24"/>
        </w:rPr>
        <w:t xml:space="preserve"> and other financial </w:t>
      </w:r>
      <w:r w:rsidR="00620F54">
        <w:rPr>
          <w:rFonts w:ascii="Times New Roman" w:eastAsia="Times New Roman" w:hAnsi="Times New Roman" w:cs="Times New Roman"/>
          <w:sz w:val="24"/>
          <w:szCs w:val="24"/>
        </w:rPr>
        <w:t xml:space="preserve">transactions. </w:t>
      </w:r>
      <w:r w:rsidRPr="00EF6720">
        <w:rPr>
          <w:rFonts w:ascii="Times New Roman" w:eastAsia="Times New Roman" w:hAnsi="Times New Roman" w:cs="Times New Roman"/>
          <w:sz w:val="24"/>
          <w:szCs w:val="24"/>
        </w:rPr>
        <w:t xml:space="preserve">Students of </w:t>
      </w:r>
      <w:r w:rsidR="00620F54">
        <w:rPr>
          <w:rFonts w:ascii="Times New Roman" w:eastAsia="Times New Roman" w:hAnsi="Times New Roman" w:cs="Times New Roman"/>
          <w:sz w:val="24"/>
          <w:szCs w:val="24"/>
        </w:rPr>
        <w:t>higher</w:t>
      </w:r>
      <w:r w:rsidRPr="00EF6720">
        <w:rPr>
          <w:rFonts w:ascii="Times New Roman" w:eastAsia="Times New Roman" w:hAnsi="Times New Roman" w:cs="Times New Roman"/>
          <w:sz w:val="24"/>
          <w:szCs w:val="24"/>
        </w:rPr>
        <w:t xml:space="preserve"> educational </w:t>
      </w:r>
      <w:r w:rsidR="00620F54">
        <w:rPr>
          <w:rFonts w:ascii="Times New Roman" w:eastAsia="Times New Roman" w:hAnsi="Times New Roman" w:cs="Times New Roman"/>
          <w:sz w:val="24"/>
          <w:szCs w:val="24"/>
        </w:rPr>
        <w:t>institutions</w:t>
      </w:r>
      <w:r w:rsidRPr="00EF6720">
        <w:rPr>
          <w:rFonts w:ascii="Times New Roman" w:eastAsia="Times New Roman" w:hAnsi="Times New Roman" w:cs="Times New Roman"/>
          <w:sz w:val="24"/>
          <w:szCs w:val="24"/>
        </w:rPr>
        <w:t xml:space="preserve"> and universities are flag </w:t>
      </w:r>
      <w:r w:rsidR="00620F54">
        <w:rPr>
          <w:rFonts w:ascii="Times New Roman" w:eastAsia="Times New Roman" w:hAnsi="Times New Roman" w:cs="Times New Roman"/>
          <w:sz w:val="24"/>
          <w:szCs w:val="24"/>
        </w:rPr>
        <w:t>bearers</w:t>
      </w:r>
      <w:r w:rsidRPr="00EF6720">
        <w:rPr>
          <w:rFonts w:ascii="Times New Roman" w:eastAsia="Times New Roman" w:hAnsi="Times New Roman" w:cs="Times New Roman"/>
          <w:sz w:val="24"/>
          <w:szCs w:val="24"/>
        </w:rPr>
        <w:t xml:space="preserve"> in </w:t>
      </w:r>
      <w:r w:rsidR="00620F54">
        <w:rPr>
          <w:rFonts w:ascii="Times New Roman" w:eastAsia="Times New Roman" w:hAnsi="Times New Roman" w:cs="Times New Roman"/>
          <w:sz w:val="24"/>
          <w:szCs w:val="24"/>
        </w:rPr>
        <w:t>the fintech</w:t>
      </w:r>
      <w:r w:rsidRPr="00EF6720">
        <w:rPr>
          <w:rFonts w:ascii="Times New Roman" w:eastAsia="Times New Roman" w:hAnsi="Times New Roman" w:cs="Times New Roman"/>
          <w:sz w:val="24"/>
          <w:szCs w:val="24"/>
        </w:rPr>
        <w:t xml:space="preserve"> sector</w:t>
      </w:r>
      <w:r w:rsidR="00620F54">
        <w:rPr>
          <w:rFonts w:ascii="Times New Roman" w:eastAsia="Times New Roman" w:hAnsi="Times New Roman" w:cs="Times New Roman"/>
          <w:sz w:val="24"/>
          <w:szCs w:val="24"/>
        </w:rPr>
        <w:t>, known</w:t>
      </w:r>
      <w:r w:rsidRPr="00EF6720">
        <w:rPr>
          <w:rFonts w:ascii="Times New Roman" w:eastAsia="Times New Roman" w:hAnsi="Times New Roman" w:cs="Times New Roman"/>
          <w:sz w:val="24"/>
          <w:szCs w:val="24"/>
        </w:rPr>
        <w:t xml:space="preserve"> as digital natives. </w:t>
      </w:r>
      <w:r w:rsidR="00620F54">
        <w:rPr>
          <w:rFonts w:ascii="Times New Roman" w:eastAsia="Times New Roman" w:hAnsi="Times New Roman" w:cs="Times New Roman"/>
          <w:sz w:val="24"/>
          <w:szCs w:val="24"/>
        </w:rPr>
        <w:t>The new</w:t>
      </w:r>
      <w:r w:rsidRPr="00EF6720">
        <w:rPr>
          <w:rFonts w:ascii="Times New Roman" w:eastAsia="Times New Roman" w:hAnsi="Times New Roman" w:cs="Times New Roman"/>
          <w:sz w:val="24"/>
          <w:szCs w:val="24"/>
        </w:rPr>
        <w:t xml:space="preserve"> age generation is more engaged in </w:t>
      </w:r>
      <w:r w:rsidR="00620F54">
        <w:rPr>
          <w:rFonts w:ascii="Times New Roman" w:eastAsia="Times New Roman" w:hAnsi="Times New Roman" w:cs="Times New Roman"/>
          <w:sz w:val="24"/>
          <w:szCs w:val="24"/>
        </w:rPr>
        <w:t>fintech adoption,</w:t>
      </w:r>
      <w:r w:rsidRPr="00EF6720">
        <w:rPr>
          <w:rFonts w:ascii="Times New Roman" w:eastAsia="Times New Roman" w:hAnsi="Times New Roman" w:cs="Times New Roman"/>
          <w:sz w:val="24"/>
          <w:szCs w:val="24"/>
        </w:rPr>
        <w:t xml:space="preserve"> where it is not merely a matter of convenience but a formative experience in personal finance. General drivers of technology adoption focusing on factors </w:t>
      </w:r>
      <w:r w:rsidR="00620F54">
        <w:rPr>
          <w:rFonts w:ascii="Times New Roman" w:eastAsia="Times New Roman" w:hAnsi="Times New Roman" w:cs="Times New Roman"/>
          <w:sz w:val="24"/>
          <w:szCs w:val="24"/>
        </w:rPr>
        <w:t>such as</w:t>
      </w:r>
      <w:r w:rsidRPr="00EF6720">
        <w:rPr>
          <w:rFonts w:ascii="Times New Roman" w:eastAsia="Times New Roman" w:hAnsi="Times New Roman" w:cs="Times New Roman"/>
          <w:sz w:val="24"/>
          <w:szCs w:val="24"/>
        </w:rPr>
        <w:t xml:space="preserve"> performance expectancy, effort expectancy, and social influence as outlined in frameworks in </w:t>
      </w:r>
      <w:r w:rsidR="00620F54">
        <w:rPr>
          <w:rFonts w:ascii="Times New Roman" w:eastAsia="Times New Roman" w:hAnsi="Times New Roman" w:cs="Times New Roman"/>
          <w:sz w:val="24"/>
          <w:szCs w:val="24"/>
        </w:rPr>
        <w:t>the Unified</w:t>
      </w:r>
      <w:r w:rsidRPr="00EF6720">
        <w:rPr>
          <w:rFonts w:ascii="Times New Roman" w:eastAsia="Times New Roman" w:hAnsi="Times New Roman" w:cs="Times New Roman"/>
          <w:sz w:val="24"/>
          <w:szCs w:val="24"/>
        </w:rPr>
        <w:t xml:space="preserve"> Theory of Acceptance and Use of Technology (UTAUT) and its successor UTAUT2 </w:t>
      </w:r>
      <w:r w:rsidR="00620F54">
        <w:rPr>
          <w:rFonts w:ascii="Times New Roman" w:eastAsia="Times New Roman" w:hAnsi="Times New Roman" w:cs="Times New Roman"/>
          <w:sz w:val="24"/>
          <w:szCs w:val="24"/>
        </w:rPr>
        <w:t>show</w:t>
      </w:r>
      <w:r w:rsidRPr="00EF6720">
        <w:rPr>
          <w:rFonts w:ascii="Times New Roman" w:eastAsia="Times New Roman" w:hAnsi="Times New Roman" w:cs="Times New Roman"/>
          <w:sz w:val="24"/>
          <w:szCs w:val="24"/>
        </w:rPr>
        <w:t xml:space="preserve"> a significant research gap persists. Existing models treated users as a relatively uniform group </w:t>
      </w:r>
      <w:r w:rsidR="00620F54">
        <w:rPr>
          <w:rFonts w:ascii="Times New Roman" w:eastAsia="Times New Roman" w:hAnsi="Times New Roman" w:cs="Times New Roman"/>
          <w:sz w:val="24"/>
          <w:szCs w:val="24"/>
        </w:rPr>
        <w:t>and overlooked</w:t>
      </w:r>
      <w:r w:rsidRPr="00EF6720">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the potential</w:t>
      </w:r>
      <w:r w:rsidRPr="00EF6720">
        <w:rPr>
          <w:rFonts w:ascii="Times New Roman" w:eastAsia="Times New Roman" w:hAnsi="Times New Roman" w:cs="Times New Roman"/>
          <w:sz w:val="24"/>
          <w:szCs w:val="24"/>
        </w:rPr>
        <w:t xml:space="preserve"> impact of deep-seated, domain-specific professional </w:t>
      </w:r>
      <w:r w:rsidR="00620F54">
        <w:rPr>
          <w:rFonts w:ascii="Times New Roman" w:eastAsia="Times New Roman" w:hAnsi="Times New Roman" w:cs="Times New Roman"/>
          <w:sz w:val="24"/>
          <w:szCs w:val="24"/>
        </w:rPr>
        <w:t>socialisation</w:t>
      </w:r>
      <w:r w:rsidRPr="00EF6720">
        <w:rPr>
          <w:rFonts w:ascii="Times New Roman" w:eastAsia="Times New Roman" w:hAnsi="Times New Roman" w:cs="Times New Roman"/>
          <w:sz w:val="24"/>
          <w:szCs w:val="24"/>
        </w:rPr>
        <w:t xml:space="preserve"> on personal financial decisions</w:t>
      </w:r>
      <w:r w:rsidR="00620F54">
        <w:rPr>
          <w:rFonts w:ascii="Times New Roman" w:eastAsia="Times New Roman" w:hAnsi="Times New Roman" w:cs="Times New Roman"/>
          <w:sz w:val="24"/>
          <w:szCs w:val="24"/>
        </w:rPr>
        <w:t>, creating</w:t>
      </w:r>
      <w:r w:rsidRPr="00EF6720">
        <w:rPr>
          <w:rFonts w:ascii="Times New Roman" w:eastAsia="Times New Roman" w:hAnsi="Times New Roman" w:cs="Times New Roman"/>
          <w:sz w:val="24"/>
          <w:szCs w:val="24"/>
        </w:rPr>
        <w:t xml:space="preserve"> a questionable </w:t>
      </w:r>
      <w:r w:rsidR="00620F54">
        <w:rPr>
          <w:rFonts w:ascii="Times New Roman" w:eastAsia="Times New Roman" w:hAnsi="Times New Roman" w:cs="Times New Roman"/>
          <w:sz w:val="24"/>
          <w:szCs w:val="24"/>
        </w:rPr>
        <w:t>remark,</w:t>
      </w:r>
      <w:r w:rsidRPr="00EF6720">
        <w:rPr>
          <w:rFonts w:ascii="Times New Roman" w:eastAsia="Times New Roman" w:hAnsi="Times New Roman" w:cs="Times New Roman"/>
          <w:sz w:val="24"/>
          <w:szCs w:val="24"/>
        </w:rPr>
        <w:t xml:space="preserve"> so research will be guided by the following </w:t>
      </w:r>
      <w:r w:rsidR="00620F54">
        <w:rPr>
          <w:rFonts w:ascii="Times New Roman" w:eastAsia="Times New Roman" w:hAnsi="Times New Roman" w:cs="Times New Roman"/>
          <w:sz w:val="24"/>
          <w:szCs w:val="24"/>
        </w:rPr>
        <w:t>questions:</w:t>
      </w:r>
    </w:p>
    <w:p w14:paraId="176CDAFD" w14:textId="7A4F9F6E" w:rsidR="009A12FF" w:rsidRPr="00EF6720" w:rsidRDefault="00620F54" w:rsidP="00B9079E">
      <w:pPr>
        <w:pStyle w:val="ListParagraph"/>
        <w:numPr>
          <w:ilvl w:val="0"/>
          <w:numId w:val="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RQ1:</w:t>
      </w:r>
      <w:r w:rsidR="009530C1" w:rsidRPr="00EF6720">
        <w:rPr>
          <w:rFonts w:ascii="Times New Roman" w:eastAsia="Times New Roman" w:hAnsi="Times New Roman" w:cs="Times New Roman"/>
          <w:sz w:val="24"/>
          <w:szCs w:val="24"/>
        </w:rPr>
        <w:t xml:space="preserve"> How does the professional risk mindset of medical and engineering students differentially impact their financial risk tolerance and trust in high-risk Fintech?</w:t>
      </w:r>
    </w:p>
    <w:p w14:paraId="4619D29C" w14:textId="4845D25A" w:rsidR="009A12FF" w:rsidRPr="00EF6720" w:rsidRDefault="00620F54" w:rsidP="00B9079E">
      <w:pPr>
        <w:pStyle w:val="ListParagraph"/>
        <w:numPr>
          <w:ilvl w:val="0"/>
          <w:numId w:val="2"/>
        </w:num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RQ2:</w:t>
      </w:r>
      <w:r w:rsidR="009530C1" w:rsidRPr="00EF6720">
        <w:rPr>
          <w:rFonts w:ascii="Times New Roman" w:eastAsia="Times New Roman" w:hAnsi="Times New Roman" w:cs="Times New Roman"/>
          <w:sz w:val="24"/>
          <w:szCs w:val="24"/>
        </w:rPr>
        <w:t xml:space="preserve"> What is the comparative effect of professional risk mindset and financial risk tolerance on the intention to adopt high-risk Fintech among medical versus engineering students?</w:t>
      </w:r>
    </w:p>
    <w:p w14:paraId="67B17513" w14:textId="77777777" w:rsidR="009A12FF" w:rsidRPr="00EF6720" w:rsidRDefault="009530C1" w:rsidP="00B9079E">
      <w:pPr>
        <w:pStyle w:val="ListParagraph"/>
        <w:numPr>
          <w:ilvl w:val="0"/>
          <w:numId w:val="2"/>
        </w:num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RQ3 Do structural paths (FRT → Trust, Trust → Intention) in the extended UTAUT2 model differ significantly between medical and engineering student cohorts?</w:t>
      </w:r>
    </w:p>
    <w:p w14:paraId="1DE541E8" w14:textId="47CDBC10" w:rsidR="009A12FF" w:rsidRDefault="00620F54" w:rsidP="00B9079E">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9530C1" w:rsidRPr="00EF6720">
        <w:rPr>
          <w:rFonts w:ascii="Times New Roman" w:eastAsia="Times New Roman" w:hAnsi="Times New Roman" w:cs="Times New Roman"/>
          <w:sz w:val="24"/>
          <w:szCs w:val="24"/>
        </w:rPr>
        <w:t xml:space="preserve"> is to understand how a distinct Professional Risk Mindset cultivated through either medical or engineering training acts as an antecedent to these two constructs. Study posits that the medical ethos of </w:t>
      </w:r>
      <w:r w:rsidR="00816EBF">
        <w:rPr>
          <w:rFonts w:ascii="Times New Roman" w:eastAsia="Times New Roman" w:hAnsi="Times New Roman" w:cs="Times New Roman"/>
          <w:sz w:val="24"/>
          <w:szCs w:val="24"/>
        </w:rPr>
        <w:t>“</w:t>
      </w:r>
      <w:r w:rsidR="009530C1" w:rsidRPr="00EF6720">
        <w:rPr>
          <w:rFonts w:ascii="Times New Roman" w:eastAsia="Times New Roman" w:hAnsi="Times New Roman" w:cs="Times New Roman"/>
          <w:sz w:val="24"/>
          <w:szCs w:val="24"/>
        </w:rPr>
        <w:t>primum non nocere</w:t>
      </w:r>
      <w:r w:rsidR="00816EBF">
        <w:rPr>
          <w:rFonts w:ascii="Times New Roman" w:eastAsia="Times New Roman" w:hAnsi="Times New Roman" w:cs="Times New Roman"/>
          <w:sz w:val="24"/>
          <w:szCs w:val="24"/>
        </w:rPr>
        <w:t>”</w:t>
      </w:r>
      <w:r w:rsidR="009530C1" w:rsidRPr="00EF6720">
        <w:rPr>
          <w:rFonts w:ascii="Times New Roman" w:eastAsia="Times New Roman" w:hAnsi="Times New Roman" w:cs="Times New Roman"/>
          <w:sz w:val="24"/>
          <w:szCs w:val="24"/>
        </w:rPr>
        <w:t xml:space="preserve"> fosters a consequence-averse mindset [1], while engineering training promotes a more calculated, risk-managing approach [2]. Building on this, the second objective examines the comparative effect of these psychological factors on the behavioral intention to adopt Fintech. Financial Risk Tolerance is a known predictor of investment behavior [3]. FRT influence is not uniform across professions. </w:t>
      </w:r>
      <w:r w:rsidR="0067184C">
        <w:rPr>
          <w:rFonts w:ascii="Times New Roman" w:eastAsia="Times New Roman" w:hAnsi="Times New Roman" w:cs="Times New Roman"/>
          <w:sz w:val="24"/>
          <w:szCs w:val="24"/>
        </w:rPr>
        <w:t>While</w:t>
      </w:r>
      <w:r w:rsidR="009530C1" w:rsidRPr="00EF6720">
        <w:rPr>
          <w:rFonts w:ascii="Times New Roman" w:eastAsia="Times New Roman" w:hAnsi="Times New Roman" w:cs="Times New Roman"/>
          <w:sz w:val="24"/>
          <w:szCs w:val="24"/>
        </w:rPr>
        <w:t xml:space="preserve"> Unified Theory of Acceptance and Use of Technology 2 (UTAUT2) as a foundational framework extends </w:t>
      </w:r>
      <w:r w:rsidR="0067184C">
        <w:rPr>
          <w:rFonts w:ascii="Times New Roman" w:eastAsia="Times New Roman" w:hAnsi="Times New Roman" w:cs="Times New Roman"/>
          <w:sz w:val="24"/>
          <w:szCs w:val="24"/>
        </w:rPr>
        <w:t>in study</w:t>
      </w:r>
      <w:r w:rsidR="009530C1" w:rsidRPr="00EF6720">
        <w:rPr>
          <w:rFonts w:ascii="Times New Roman" w:eastAsia="Times New Roman" w:hAnsi="Times New Roman" w:cs="Times New Roman"/>
          <w:sz w:val="24"/>
          <w:szCs w:val="24"/>
        </w:rPr>
        <w:t xml:space="preserve"> integrating Professional Risk Mindset and Financial Risk Tolerance as antecedents. </w:t>
      </w:r>
    </w:p>
    <w:p w14:paraId="348082F6" w14:textId="77777777" w:rsidR="00B9079E" w:rsidRPr="00EF6720" w:rsidRDefault="00B9079E" w:rsidP="00B9079E">
      <w:pPr>
        <w:spacing w:before="0"/>
        <w:rPr>
          <w:rFonts w:ascii="Times New Roman" w:eastAsia="Times New Roman" w:hAnsi="Times New Roman" w:cs="Times New Roman"/>
          <w:sz w:val="24"/>
          <w:szCs w:val="24"/>
        </w:rPr>
      </w:pPr>
    </w:p>
    <w:p w14:paraId="7F1E1940"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2. Hypothesis Development</w:t>
      </w:r>
    </w:p>
    <w:p w14:paraId="40BBA064" w14:textId="749D2182"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H1: Medical students significantly more risk-averse professional mindset compared to engineering students</w:t>
      </w:r>
      <w:r w:rsidRPr="00EF6720">
        <w:rPr>
          <w:rFonts w:ascii="Times New Roman" w:eastAsia="Times New Roman" w:hAnsi="Times New Roman" w:cs="Times New Roman"/>
          <w:sz w:val="24"/>
          <w:szCs w:val="24"/>
        </w:rPr>
        <w:t>.</w:t>
      </w:r>
    </w:p>
    <w:p w14:paraId="7904E4C8" w14:textId="117ACA13"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Medical and engineering training cultivate fundamentally different orientations toward risk. Medical </w:t>
      </w:r>
      <w:r w:rsidR="00620F54">
        <w:rPr>
          <w:rFonts w:ascii="Times New Roman" w:eastAsia="Times New Roman" w:hAnsi="Times New Roman" w:cs="Times New Roman"/>
          <w:sz w:val="24"/>
          <w:szCs w:val="24"/>
        </w:rPr>
        <w:t>education's</w:t>
      </w:r>
      <w:r w:rsidRPr="00EF6720">
        <w:rPr>
          <w:rFonts w:ascii="Times New Roman" w:eastAsia="Times New Roman" w:hAnsi="Times New Roman" w:cs="Times New Roman"/>
          <w:sz w:val="24"/>
          <w:szCs w:val="24"/>
        </w:rPr>
        <w:t xml:space="preserve"> emphasis on diagnostic precision and the ethical imperative systematically fosters a professional identity rooted in </w:t>
      </w:r>
      <w:r w:rsidR="00EA7F95" w:rsidRPr="00EA7F95">
        <w:rPr>
          <w:rFonts w:ascii="Times New Roman" w:eastAsia="Times New Roman" w:hAnsi="Times New Roman" w:cs="Times New Roman"/>
          <w:sz w:val="24"/>
          <w:szCs w:val="24"/>
        </w:rPr>
        <w:t>results</w:t>
      </w:r>
      <w:r w:rsidR="0088512F" w:rsidRPr="00EA7F95">
        <w:rPr>
          <w:rFonts w:ascii="Times New Roman" w:eastAsia="Times New Roman" w:hAnsi="Times New Roman" w:cs="Times New Roman"/>
          <w:sz w:val="24"/>
          <w:szCs w:val="24"/>
        </w:rPr>
        <w:t xml:space="preserve"> </w:t>
      </w:r>
      <w:r w:rsidRPr="00EA7F95">
        <w:rPr>
          <w:rFonts w:ascii="Times New Roman" w:eastAsia="Times New Roman" w:hAnsi="Times New Roman" w:cs="Times New Roman"/>
          <w:sz w:val="24"/>
          <w:szCs w:val="24"/>
        </w:rPr>
        <w:t>aversion</w:t>
      </w:r>
      <w:r w:rsidRPr="00EF6720">
        <w:rPr>
          <w:rFonts w:ascii="Times New Roman" w:eastAsia="Times New Roman" w:hAnsi="Times New Roman" w:cs="Times New Roman"/>
          <w:sz w:val="24"/>
          <w:szCs w:val="24"/>
        </w:rPr>
        <w:t xml:space="preserve"> and meticulous caution to </w:t>
      </w:r>
      <w:r w:rsidR="00620F54">
        <w:rPr>
          <w:rFonts w:ascii="Times New Roman" w:eastAsia="Times New Roman" w:hAnsi="Times New Roman" w:cs="Times New Roman"/>
          <w:sz w:val="24"/>
          <w:szCs w:val="24"/>
        </w:rPr>
        <w:t>minimise</w:t>
      </w:r>
      <w:r w:rsidRPr="00EF6720">
        <w:rPr>
          <w:rFonts w:ascii="Times New Roman" w:eastAsia="Times New Roman" w:hAnsi="Times New Roman" w:cs="Times New Roman"/>
          <w:sz w:val="24"/>
          <w:szCs w:val="24"/>
        </w:rPr>
        <w:t xml:space="preserve"> life-altering errors [4]. Engineering education is </w:t>
      </w:r>
      <w:r w:rsidR="00620F54">
        <w:rPr>
          <w:rFonts w:ascii="Times New Roman" w:eastAsia="Times New Roman" w:hAnsi="Times New Roman" w:cs="Times New Roman"/>
          <w:sz w:val="24"/>
          <w:szCs w:val="24"/>
        </w:rPr>
        <w:t>orientated</w:t>
      </w:r>
      <w:r w:rsidRPr="00EF6720">
        <w:rPr>
          <w:rFonts w:ascii="Times New Roman" w:eastAsia="Times New Roman" w:hAnsi="Times New Roman" w:cs="Times New Roman"/>
          <w:sz w:val="24"/>
          <w:szCs w:val="24"/>
        </w:rPr>
        <w:t xml:space="preserve"> toward systematic design and iterative </w:t>
      </w:r>
      <w:r w:rsidR="00620F54">
        <w:rPr>
          <w:rFonts w:ascii="Times New Roman" w:eastAsia="Times New Roman" w:hAnsi="Times New Roman" w:cs="Times New Roman"/>
          <w:sz w:val="24"/>
          <w:szCs w:val="24"/>
        </w:rPr>
        <w:t>improvement,</w:t>
      </w:r>
      <w:r w:rsidRPr="00EF6720">
        <w:rPr>
          <w:rFonts w:ascii="Times New Roman" w:eastAsia="Times New Roman" w:hAnsi="Times New Roman" w:cs="Times New Roman"/>
          <w:sz w:val="24"/>
          <w:szCs w:val="24"/>
        </w:rPr>
        <w:t xml:space="preserve"> where controlled failure serves as a valuable learning mechanism for cultivating a mindset focused on quantifying and mitigating risk rather than avoiding it [2].</w:t>
      </w:r>
    </w:p>
    <w:p w14:paraId="4BC9BF4C" w14:textId="2A42FC59" w:rsidR="009A12FF" w:rsidRPr="00EF6720" w:rsidRDefault="00620F54" w:rsidP="00B9079E">
      <w:pPr>
        <w:spacing w:befor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H2: A</w:t>
      </w:r>
      <w:r w:rsidR="009530C1" w:rsidRPr="00EF6720">
        <w:rPr>
          <w:rFonts w:ascii="Times New Roman" w:eastAsia="Times New Roman" w:hAnsi="Times New Roman" w:cs="Times New Roman"/>
          <w:b/>
          <w:sz w:val="24"/>
          <w:szCs w:val="24"/>
        </w:rPr>
        <w:t xml:space="preserve"> </w:t>
      </w:r>
      <w:r w:rsidR="00ED29C0">
        <w:rPr>
          <w:rFonts w:ascii="Times New Roman" w:eastAsia="Times New Roman" w:hAnsi="Times New Roman" w:cs="Times New Roman"/>
          <w:b/>
          <w:sz w:val="24"/>
          <w:szCs w:val="24"/>
        </w:rPr>
        <w:t>risk-averse</w:t>
      </w:r>
      <w:r w:rsidR="009530C1" w:rsidRPr="00EF6720">
        <w:rPr>
          <w:rFonts w:ascii="Times New Roman" w:eastAsia="Times New Roman" w:hAnsi="Times New Roman" w:cs="Times New Roman"/>
          <w:b/>
          <w:sz w:val="24"/>
          <w:szCs w:val="24"/>
        </w:rPr>
        <w:t xml:space="preserve"> professional mindset will be negatively associated with general financial risk tolerance.</w:t>
      </w:r>
    </w:p>
    <w:p w14:paraId="15BC9D28" w14:textId="6FA5A593" w:rsidR="009A12FF" w:rsidRPr="00EF6720" w:rsidRDefault="00620F54" w:rsidP="00B9079E">
      <w:pPr>
        <w:spacing w:before="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General financial risk tolerance will negatively correlate with a more risk-averse professional mindset.</w:t>
      </w:r>
      <w:r w:rsidR="009530C1" w:rsidRPr="00EF6720">
        <w:rPr>
          <w:rFonts w:ascii="Times New Roman" w:eastAsia="Times New Roman" w:hAnsi="Times New Roman" w:cs="Times New Roman"/>
          <w:sz w:val="24"/>
          <w:szCs w:val="24"/>
        </w:rPr>
        <w:t xml:space="preserve"> A professionally cultivated mindset extends beyond the clinical or workshop environment to influence personal life decisions, particularly those of a financial nature. This is grounded in the concept of occupational spillover, which suggests that the values and psychological patterns developed at work can infiltrate non-work domains [5].</w:t>
      </w:r>
    </w:p>
    <w:p w14:paraId="7FE5B323"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H3: Higher financial risk tolerance will be positively associated with perceived trust in high-risk Fintech platforms.</w:t>
      </w:r>
    </w:p>
    <w:p w14:paraId="2A163AFB" w14:textId="45F2B508"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Higher financial risk tolerance will be positively associated with perceived trust in high-risk Fintech platforms. Financial Risk Tolerance (FRT) is a well-established predictor of investment </w:t>
      </w:r>
      <w:r w:rsidR="00ED29C0">
        <w:rPr>
          <w:rFonts w:ascii="Times New Roman" w:eastAsia="Times New Roman" w:hAnsi="Times New Roman" w:cs="Times New Roman"/>
          <w:sz w:val="24"/>
          <w:szCs w:val="24"/>
        </w:rPr>
        <w:t>behaviour,</w:t>
      </w:r>
      <w:r w:rsidRPr="00EF6720">
        <w:rPr>
          <w:rFonts w:ascii="Times New Roman" w:eastAsia="Times New Roman" w:hAnsi="Times New Roman" w:cs="Times New Roman"/>
          <w:sz w:val="24"/>
          <w:szCs w:val="24"/>
        </w:rPr>
        <w:t xml:space="preserve"> where more tolerant individuals are willing to allocate capital to assets with higher volatility and potential return [6]. </w:t>
      </w:r>
      <w:r w:rsidR="00620F54">
        <w:rPr>
          <w:rFonts w:ascii="Times New Roman" w:eastAsia="Times New Roman" w:hAnsi="Times New Roman" w:cs="Times New Roman"/>
          <w:sz w:val="24"/>
          <w:szCs w:val="24"/>
        </w:rPr>
        <w:t>An individual's financial risk tolerance directly informs their level of trust in investment opportunities.</w:t>
      </w:r>
      <w:r w:rsidRPr="00EF6720">
        <w:rPr>
          <w:rFonts w:ascii="Times New Roman" w:eastAsia="Times New Roman" w:hAnsi="Times New Roman" w:cs="Times New Roman"/>
          <w:sz w:val="24"/>
          <w:szCs w:val="24"/>
        </w:rPr>
        <w:t xml:space="preserve"> Those with a high tolerance for financial uncertainty are more likely to perceive a high-risk </w:t>
      </w:r>
      <w:r w:rsidR="00ED29C0">
        <w:rPr>
          <w:rFonts w:ascii="Times New Roman" w:eastAsia="Times New Roman" w:hAnsi="Times New Roman" w:cs="Times New Roman"/>
          <w:sz w:val="24"/>
          <w:szCs w:val="24"/>
        </w:rPr>
        <w:t>fintech</w:t>
      </w:r>
      <w:r w:rsidRPr="00EF6720">
        <w:rPr>
          <w:rFonts w:ascii="Times New Roman" w:eastAsia="Times New Roman" w:hAnsi="Times New Roman" w:cs="Times New Roman"/>
          <w:sz w:val="24"/>
          <w:szCs w:val="24"/>
        </w:rPr>
        <w:t xml:space="preserve"> platform as a viable opportunity rather than a threat.</w:t>
      </w:r>
    </w:p>
    <w:p w14:paraId="31E16D00"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H4a: Higher financial risk tolerance will be positively associated with the behavioral intention to adopt high-risk Fintech.</w:t>
      </w:r>
    </w:p>
    <w:p w14:paraId="301F6D38" w14:textId="2BFD8165"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High-risk Fintech potential for significant financial loss is </w:t>
      </w:r>
      <w:r w:rsidR="00ED29C0">
        <w:rPr>
          <w:rFonts w:ascii="Times New Roman" w:eastAsia="Times New Roman" w:hAnsi="Times New Roman" w:cs="Times New Roman"/>
          <w:sz w:val="24"/>
          <w:szCs w:val="24"/>
        </w:rPr>
        <w:t>explicit;</w:t>
      </w:r>
      <w:r w:rsidRPr="00EF6720">
        <w:rPr>
          <w:rFonts w:ascii="Times New Roman" w:eastAsia="Times New Roman" w:hAnsi="Times New Roman" w:cs="Times New Roman"/>
          <w:sz w:val="24"/>
          <w:szCs w:val="24"/>
        </w:rPr>
        <w:t xml:space="preserve"> individual FRT becomes a primary driver of their adoption intention. Consequently, individuals with low FRT are unlikely to consider investing in such volatile assets, regardless of their potential upside.</w:t>
      </w:r>
    </w:p>
    <w:p w14:paraId="40ADDD7A"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H4b Financial risk tolerance will not be significantly associated with the intention to adopt low-risk Fintech.</w:t>
      </w:r>
    </w:p>
    <w:p w14:paraId="69166CE1" w14:textId="03F5C748"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Financial risk tolerance will not be significantly associated with the intention to adopt low-risk Fintech. For low-risk </w:t>
      </w:r>
      <w:r w:rsidR="00ED29C0">
        <w:rPr>
          <w:rFonts w:ascii="Times New Roman" w:eastAsia="Times New Roman" w:hAnsi="Times New Roman" w:cs="Times New Roman"/>
          <w:sz w:val="24"/>
          <w:szCs w:val="24"/>
        </w:rPr>
        <w:t>fintech</w:t>
      </w:r>
      <w:r w:rsidRPr="00EF6720">
        <w:rPr>
          <w:rFonts w:ascii="Times New Roman" w:eastAsia="Times New Roman" w:hAnsi="Times New Roman" w:cs="Times New Roman"/>
          <w:sz w:val="24"/>
          <w:szCs w:val="24"/>
        </w:rPr>
        <w:t xml:space="preserve"> services like digital payments or budgeting apps, the primary decision drivers are utility and convenience, not financial risk [7].</w:t>
      </w:r>
    </w:p>
    <w:p w14:paraId="1C5BF298" w14:textId="131454CD"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H5: Perceived </w:t>
      </w:r>
      <w:r w:rsidR="00ED29C0">
        <w:rPr>
          <w:rFonts w:ascii="Times New Roman" w:eastAsia="Times New Roman" w:hAnsi="Times New Roman" w:cs="Times New Roman"/>
          <w:b/>
          <w:sz w:val="24"/>
          <w:szCs w:val="24"/>
        </w:rPr>
        <w:t>trust</w:t>
      </w:r>
      <w:r w:rsidRPr="00EF6720">
        <w:rPr>
          <w:rFonts w:ascii="Times New Roman" w:eastAsia="Times New Roman" w:hAnsi="Times New Roman" w:cs="Times New Roman"/>
          <w:b/>
          <w:sz w:val="24"/>
          <w:szCs w:val="24"/>
        </w:rPr>
        <w:t xml:space="preserve"> will positively mediate the relationship between </w:t>
      </w:r>
      <w:r w:rsidR="00ED29C0">
        <w:rPr>
          <w:rFonts w:ascii="Times New Roman" w:eastAsia="Times New Roman" w:hAnsi="Times New Roman" w:cs="Times New Roman"/>
          <w:b/>
          <w:sz w:val="24"/>
          <w:szCs w:val="24"/>
        </w:rPr>
        <w:t>financial risk tolerance</w:t>
      </w:r>
      <w:r w:rsidRPr="00EF6720">
        <w:rPr>
          <w:rFonts w:ascii="Times New Roman" w:eastAsia="Times New Roman" w:hAnsi="Times New Roman" w:cs="Times New Roman"/>
          <w:b/>
          <w:sz w:val="24"/>
          <w:szCs w:val="24"/>
        </w:rPr>
        <w:t xml:space="preserve"> and </w:t>
      </w:r>
      <w:r w:rsidR="00ED29C0">
        <w:rPr>
          <w:rFonts w:ascii="Times New Roman" w:eastAsia="Times New Roman" w:hAnsi="Times New Roman" w:cs="Times New Roman"/>
          <w:b/>
          <w:sz w:val="24"/>
          <w:szCs w:val="24"/>
        </w:rPr>
        <w:t>behavioural intention</w:t>
      </w:r>
      <w:r w:rsidRPr="00EF6720">
        <w:rPr>
          <w:rFonts w:ascii="Times New Roman" w:eastAsia="Times New Roman" w:hAnsi="Times New Roman" w:cs="Times New Roman"/>
          <w:b/>
          <w:sz w:val="24"/>
          <w:szCs w:val="24"/>
        </w:rPr>
        <w:t xml:space="preserve"> to </w:t>
      </w:r>
      <w:r w:rsidR="00ED29C0">
        <w:rPr>
          <w:rFonts w:ascii="Times New Roman" w:eastAsia="Times New Roman" w:hAnsi="Times New Roman" w:cs="Times New Roman"/>
          <w:b/>
          <w:sz w:val="24"/>
          <w:szCs w:val="24"/>
        </w:rPr>
        <w:t>adopt</w:t>
      </w:r>
      <w:r w:rsidRPr="00EF6720">
        <w:rPr>
          <w:rFonts w:ascii="Times New Roman" w:eastAsia="Times New Roman" w:hAnsi="Times New Roman" w:cs="Times New Roman"/>
          <w:b/>
          <w:sz w:val="24"/>
          <w:szCs w:val="24"/>
        </w:rPr>
        <w:t xml:space="preserve"> high-risk </w:t>
      </w:r>
      <w:r w:rsidR="00ED29C0">
        <w:rPr>
          <w:rFonts w:ascii="Times New Roman" w:eastAsia="Times New Roman" w:hAnsi="Times New Roman" w:cs="Times New Roman"/>
          <w:b/>
          <w:sz w:val="24"/>
          <w:szCs w:val="24"/>
        </w:rPr>
        <w:t>fintech.</w:t>
      </w:r>
    </w:p>
    <w:p w14:paraId="0E76788E" w14:textId="5F4066A2"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Perceived </w:t>
      </w:r>
      <w:r w:rsidR="00620F54">
        <w:rPr>
          <w:rFonts w:ascii="Times New Roman" w:eastAsia="Times New Roman" w:hAnsi="Times New Roman" w:cs="Times New Roman"/>
          <w:sz w:val="24"/>
          <w:szCs w:val="24"/>
        </w:rPr>
        <w:t>The trust mediation effect shows that FRT shapes user cognitive and affective evaluations of the platform's trustworthiness, which in turn solidifies their intention to adopt it</w:t>
      </w:r>
      <w:r w:rsidRPr="00EF6720">
        <w:rPr>
          <w:rFonts w:ascii="Times New Roman" w:eastAsia="Times New Roman" w:hAnsi="Times New Roman" w:cs="Times New Roman"/>
          <w:sz w:val="24"/>
          <w:szCs w:val="24"/>
        </w:rPr>
        <w:t xml:space="preserve">.  A risk-tolerant individual comfortable with ambiguity is more likely to form a positive trust </w:t>
      </w:r>
      <w:r w:rsidR="00ED29C0">
        <w:rPr>
          <w:rFonts w:ascii="Times New Roman" w:eastAsia="Times New Roman" w:hAnsi="Times New Roman" w:cs="Times New Roman"/>
          <w:sz w:val="24"/>
          <w:szCs w:val="24"/>
        </w:rPr>
        <w:t>judgement,</w:t>
      </w:r>
      <w:r w:rsidRPr="00EF6720">
        <w:rPr>
          <w:rFonts w:ascii="Times New Roman" w:eastAsia="Times New Roman" w:hAnsi="Times New Roman" w:cs="Times New Roman"/>
          <w:sz w:val="24"/>
          <w:szCs w:val="24"/>
        </w:rPr>
        <w:t xml:space="preserve"> which is a proximate driver of adoption. Trust mediates the relationship between risk perceptions and user behavior in online environments (Gefen et al., 2003).</w:t>
      </w:r>
    </w:p>
    <w:p w14:paraId="71FB9010" w14:textId="532D4C8B"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H6: Performance </w:t>
      </w:r>
      <w:r w:rsidR="00ED29C0">
        <w:rPr>
          <w:rFonts w:ascii="Times New Roman" w:eastAsia="Times New Roman" w:hAnsi="Times New Roman" w:cs="Times New Roman"/>
          <w:b/>
          <w:sz w:val="24"/>
          <w:szCs w:val="24"/>
        </w:rPr>
        <w:t>expectancy</w:t>
      </w:r>
      <w:r w:rsidRPr="00EF6720">
        <w:rPr>
          <w:rFonts w:ascii="Times New Roman" w:eastAsia="Times New Roman" w:hAnsi="Times New Roman" w:cs="Times New Roman"/>
          <w:b/>
          <w:sz w:val="24"/>
          <w:szCs w:val="24"/>
        </w:rPr>
        <w:t xml:space="preserve"> will be positively related to the </w:t>
      </w:r>
      <w:r w:rsidR="00ED29C0">
        <w:rPr>
          <w:rFonts w:ascii="Times New Roman" w:eastAsia="Times New Roman" w:hAnsi="Times New Roman" w:cs="Times New Roman"/>
          <w:b/>
          <w:sz w:val="24"/>
          <w:szCs w:val="24"/>
        </w:rPr>
        <w:t>behavioural intention</w:t>
      </w:r>
      <w:r w:rsidRPr="00EF6720">
        <w:rPr>
          <w:rFonts w:ascii="Times New Roman" w:eastAsia="Times New Roman" w:hAnsi="Times New Roman" w:cs="Times New Roman"/>
          <w:b/>
          <w:sz w:val="24"/>
          <w:szCs w:val="24"/>
        </w:rPr>
        <w:t xml:space="preserve"> to </w:t>
      </w:r>
      <w:r w:rsidR="00ED29C0">
        <w:rPr>
          <w:rFonts w:ascii="Times New Roman" w:eastAsia="Times New Roman" w:hAnsi="Times New Roman" w:cs="Times New Roman"/>
          <w:b/>
          <w:sz w:val="24"/>
          <w:szCs w:val="24"/>
        </w:rPr>
        <w:t>adopt</w:t>
      </w:r>
      <w:r w:rsidRPr="00EF6720">
        <w:rPr>
          <w:rFonts w:ascii="Times New Roman" w:eastAsia="Times New Roman" w:hAnsi="Times New Roman" w:cs="Times New Roman"/>
          <w:b/>
          <w:sz w:val="24"/>
          <w:szCs w:val="24"/>
        </w:rPr>
        <w:t xml:space="preserve"> high-risk </w:t>
      </w:r>
      <w:r w:rsidR="00ED29C0">
        <w:rPr>
          <w:rFonts w:ascii="Times New Roman" w:eastAsia="Times New Roman" w:hAnsi="Times New Roman" w:cs="Times New Roman"/>
          <w:b/>
          <w:sz w:val="24"/>
          <w:szCs w:val="24"/>
        </w:rPr>
        <w:t>fintech.</w:t>
      </w:r>
    </w:p>
    <w:p w14:paraId="5AD2A3A8" w14:textId="63C0605F"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Performance </w:t>
      </w:r>
      <w:r w:rsidR="00ED29C0">
        <w:rPr>
          <w:rFonts w:ascii="Times New Roman" w:eastAsia="Times New Roman" w:hAnsi="Times New Roman" w:cs="Times New Roman"/>
          <w:sz w:val="24"/>
          <w:szCs w:val="24"/>
        </w:rPr>
        <w:t>expectancy</w:t>
      </w:r>
      <w:r w:rsidRPr="00EF6720">
        <w:rPr>
          <w:rFonts w:ascii="Times New Roman" w:eastAsia="Times New Roman" w:hAnsi="Times New Roman" w:cs="Times New Roman"/>
          <w:sz w:val="24"/>
          <w:szCs w:val="24"/>
        </w:rPr>
        <w:t xml:space="preserve"> will be positively related to the </w:t>
      </w:r>
      <w:r w:rsidR="00ED29C0">
        <w:rPr>
          <w:rFonts w:ascii="Times New Roman" w:eastAsia="Times New Roman" w:hAnsi="Times New Roman" w:cs="Times New Roman"/>
          <w:sz w:val="24"/>
          <w:szCs w:val="24"/>
        </w:rPr>
        <w:t>behavioural intention</w:t>
      </w:r>
      <w:r w:rsidRPr="00EF6720">
        <w:rPr>
          <w:rFonts w:ascii="Times New Roman" w:eastAsia="Times New Roman" w:hAnsi="Times New Roman" w:cs="Times New Roman"/>
          <w:sz w:val="24"/>
          <w:szCs w:val="24"/>
        </w:rPr>
        <w:t xml:space="preserve"> to </w:t>
      </w:r>
      <w:r w:rsidR="00ED29C0">
        <w:rPr>
          <w:rFonts w:ascii="Times New Roman" w:eastAsia="Times New Roman" w:hAnsi="Times New Roman" w:cs="Times New Roman"/>
          <w:sz w:val="24"/>
          <w:szCs w:val="24"/>
        </w:rPr>
        <w:t>adopt</w:t>
      </w:r>
      <w:r w:rsidRPr="00EF6720">
        <w:rPr>
          <w:rFonts w:ascii="Times New Roman" w:eastAsia="Times New Roman" w:hAnsi="Times New Roman" w:cs="Times New Roman"/>
          <w:sz w:val="24"/>
          <w:szCs w:val="24"/>
        </w:rPr>
        <w:t xml:space="preserve"> high-risk Fintech. Performance </w:t>
      </w:r>
      <w:r w:rsidR="00ED29C0">
        <w:rPr>
          <w:rFonts w:ascii="Times New Roman" w:eastAsia="Times New Roman" w:hAnsi="Times New Roman" w:cs="Times New Roman"/>
          <w:sz w:val="24"/>
          <w:szCs w:val="24"/>
        </w:rPr>
        <w:t>expectancy,</w:t>
      </w:r>
      <w:r w:rsidRPr="00EF6720">
        <w:rPr>
          <w:rFonts w:ascii="Times New Roman" w:eastAsia="Times New Roman" w:hAnsi="Times New Roman" w:cs="Times New Roman"/>
          <w:sz w:val="24"/>
          <w:szCs w:val="24"/>
        </w:rPr>
        <w:t xml:space="preserve"> or the degree to which an individual believes that using the </w:t>
      </w:r>
      <w:r w:rsidR="00ED29C0">
        <w:rPr>
          <w:rFonts w:ascii="Times New Roman" w:eastAsia="Times New Roman" w:hAnsi="Times New Roman" w:cs="Times New Roman"/>
          <w:sz w:val="24"/>
          <w:szCs w:val="24"/>
        </w:rPr>
        <w:t>fintech</w:t>
      </w:r>
      <w:r w:rsidRPr="00EF6720">
        <w:rPr>
          <w:rFonts w:ascii="Times New Roman" w:eastAsia="Times New Roman" w:hAnsi="Times New Roman" w:cs="Times New Roman"/>
          <w:sz w:val="24"/>
          <w:szCs w:val="24"/>
        </w:rPr>
        <w:t xml:space="preserve"> service will help them achieve gains in financial performance or management, is a fundamental driver of technology use [9].</w:t>
      </w:r>
    </w:p>
    <w:p w14:paraId="5DDD48F5" w14:textId="2308444A"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H7: Effort </w:t>
      </w:r>
      <w:r w:rsidR="00ED29C0">
        <w:rPr>
          <w:rFonts w:ascii="Times New Roman" w:eastAsia="Times New Roman" w:hAnsi="Times New Roman" w:cs="Times New Roman"/>
          <w:b/>
          <w:sz w:val="24"/>
          <w:szCs w:val="24"/>
        </w:rPr>
        <w:t>expectancy</w:t>
      </w:r>
      <w:r w:rsidRPr="00EF6720">
        <w:rPr>
          <w:rFonts w:ascii="Times New Roman" w:eastAsia="Times New Roman" w:hAnsi="Times New Roman" w:cs="Times New Roman"/>
          <w:b/>
          <w:sz w:val="24"/>
          <w:szCs w:val="24"/>
        </w:rPr>
        <w:t xml:space="preserve"> will be positively related to the </w:t>
      </w:r>
      <w:r w:rsidR="00ED29C0">
        <w:rPr>
          <w:rFonts w:ascii="Times New Roman" w:eastAsia="Times New Roman" w:hAnsi="Times New Roman" w:cs="Times New Roman"/>
          <w:b/>
          <w:sz w:val="24"/>
          <w:szCs w:val="24"/>
        </w:rPr>
        <w:t>behavioural intention</w:t>
      </w:r>
      <w:r w:rsidRPr="00EF6720">
        <w:rPr>
          <w:rFonts w:ascii="Times New Roman" w:eastAsia="Times New Roman" w:hAnsi="Times New Roman" w:cs="Times New Roman"/>
          <w:b/>
          <w:sz w:val="24"/>
          <w:szCs w:val="24"/>
        </w:rPr>
        <w:t xml:space="preserve"> to </w:t>
      </w:r>
      <w:r w:rsidR="00ED29C0">
        <w:rPr>
          <w:rFonts w:ascii="Times New Roman" w:eastAsia="Times New Roman" w:hAnsi="Times New Roman" w:cs="Times New Roman"/>
          <w:b/>
          <w:sz w:val="24"/>
          <w:szCs w:val="24"/>
        </w:rPr>
        <w:t>adopt</w:t>
      </w:r>
      <w:r w:rsidRPr="00EF6720">
        <w:rPr>
          <w:rFonts w:ascii="Times New Roman" w:eastAsia="Times New Roman" w:hAnsi="Times New Roman" w:cs="Times New Roman"/>
          <w:b/>
          <w:sz w:val="24"/>
          <w:szCs w:val="24"/>
        </w:rPr>
        <w:t xml:space="preserve"> high-risk </w:t>
      </w:r>
      <w:r w:rsidR="00ED29C0">
        <w:rPr>
          <w:rFonts w:ascii="Times New Roman" w:eastAsia="Times New Roman" w:hAnsi="Times New Roman" w:cs="Times New Roman"/>
          <w:b/>
          <w:sz w:val="24"/>
          <w:szCs w:val="24"/>
        </w:rPr>
        <w:t>fintech.</w:t>
      </w:r>
    </w:p>
    <w:p w14:paraId="0D44D28C" w14:textId="65F875B6"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Effort </w:t>
      </w:r>
      <w:r w:rsidR="00ED29C0">
        <w:rPr>
          <w:rFonts w:ascii="Times New Roman" w:eastAsia="Times New Roman" w:hAnsi="Times New Roman" w:cs="Times New Roman"/>
          <w:sz w:val="24"/>
          <w:szCs w:val="24"/>
        </w:rPr>
        <w:t>expectancy</w:t>
      </w:r>
      <w:r w:rsidRPr="00EF6720">
        <w:rPr>
          <w:rFonts w:ascii="Times New Roman" w:eastAsia="Times New Roman" w:hAnsi="Times New Roman" w:cs="Times New Roman"/>
          <w:sz w:val="24"/>
          <w:szCs w:val="24"/>
        </w:rPr>
        <w:t xml:space="preserve"> will be positively related to the </w:t>
      </w:r>
      <w:r w:rsidR="00ED29C0">
        <w:rPr>
          <w:rFonts w:ascii="Times New Roman" w:eastAsia="Times New Roman" w:hAnsi="Times New Roman" w:cs="Times New Roman"/>
          <w:sz w:val="24"/>
          <w:szCs w:val="24"/>
        </w:rPr>
        <w:t>behavioural intention</w:t>
      </w:r>
      <w:r w:rsidRPr="00EF6720">
        <w:rPr>
          <w:rFonts w:ascii="Times New Roman" w:eastAsia="Times New Roman" w:hAnsi="Times New Roman" w:cs="Times New Roman"/>
          <w:sz w:val="24"/>
          <w:szCs w:val="24"/>
        </w:rPr>
        <w:t xml:space="preserve"> to </w:t>
      </w:r>
      <w:r w:rsidR="00ED29C0">
        <w:rPr>
          <w:rFonts w:ascii="Times New Roman" w:eastAsia="Times New Roman" w:hAnsi="Times New Roman" w:cs="Times New Roman"/>
          <w:sz w:val="24"/>
          <w:szCs w:val="24"/>
        </w:rPr>
        <w:t>adopt</w:t>
      </w:r>
      <w:r w:rsidRPr="00EF6720">
        <w:rPr>
          <w:rFonts w:ascii="Times New Roman" w:eastAsia="Times New Roman" w:hAnsi="Times New Roman" w:cs="Times New Roman"/>
          <w:sz w:val="24"/>
          <w:szCs w:val="24"/>
        </w:rPr>
        <w:t xml:space="preserve"> high-risk </w:t>
      </w:r>
      <w:r w:rsidR="00ED29C0">
        <w:rPr>
          <w:rFonts w:ascii="Times New Roman" w:eastAsia="Times New Roman" w:hAnsi="Times New Roman" w:cs="Times New Roman"/>
          <w:sz w:val="24"/>
          <w:szCs w:val="24"/>
        </w:rPr>
        <w:t xml:space="preserve">fintech. </w:t>
      </w:r>
      <w:r w:rsidRPr="00EF6720">
        <w:rPr>
          <w:rFonts w:ascii="Times New Roman" w:eastAsia="Times New Roman" w:hAnsi="Times New Roman" w:cs="Times New Roman"/>
          <w:sz w:val="24"/>
          <w:szCs w:val="24"/>
        </w:rPr>
        <w:t xml:space="preserve">Perceived ease of use is a fundamental </w:t>
      </w:r>
      <w:r w:rsidR="00ED29C0">
        <w:rPr>
          <w:rFonts w:ascii="Times New Roman" w:eastAsia="Times New Roman" w:hAnsi="Times New Roman" w:cs="Times New Roman"/>
          <w:sz w:val="24"/>
          <w:szCs w:val="24"/>
        </w:rPr>
        <w:t>driver,</w:t>
      </w:r>
      <w:r w:rsidRPr="00EF6720">
        <w:rPr>
          <w:rFonts w:ascii="Times New Roman" w:eastAsia="Times New Roman" w:hAnsi="Times New Roman" w:cs="Times New Roman"/>
          <w:sz w:val="24"/>
          <w:szCs w:val="24"/>
        </w:rPr>
        <w:t xml:space="preserve"> as it reduces the friction and anxiety associated with managing finances through a digital channel [10]. High-risk financial products involve </w:t>
      </w:r>
      <w:r w:rsidR="001F0EAC" w:rsidRPr="00EF6720">
        <w:rPr>
          <w:rFonts w:ascii="Times New Roman" w:eastAsia="Times New Roman" w:hAnsi="Times New Roman" w:cs="Times New Roman"/>
          <w:sz w:val="24"/>
          <w:szCs w:val="24"/>
        </w:rPr>
        <w:t>complicated</w:t>
      </w:r>
      <w:r w:rsidRPr="00EF6720">
        <w:rPr>
          <w:rFonts w:ascii="Times New Roman" w:eastAsia="Times New Roman" w:hAnsi="Times New Roman" w:cs="Times New Roman"/>
          <w:sz w:val="24"/>
          <w:szCs w:val="24"/>
        </w:rPr>
        <w:t xml:space="preserve"> interfaces volatile </w:t>
      </w:r>
      <w:r w:rsidR="00ED29C0">
        <w:rPr>
          <w:rFonts w:ascii="Times New Roman" w:eastAsia="Times New Roman" w:hAnsi="Times New Roman" w:cs="Times New Roman"/>
          <w:sz w:val="24"/>
          <w:szCs w:val="24"/>
        </w:rPr>
        <w:t>visualisations</w:t>
      </w:r>
      <w:r w:rsidRPr="00EF6720">
        <w:rPr>
          <w:rFonts w:ascii="Times New Roman" w:eastAsia="Times New Roman" w:hAnsi="Times New Roman" w:cs="Times New Roman"/>
          <w:sz w:val="24"/>
          <w:szCs w:val="24"/>
        </w:rPr>
        <w:t xml:space="preserve"> </w:t>
      </w:r>
      <w:r w:rsidR="001F0EAC">
        <w:rPr>
          <w:rFonts w:ascii="Times New Roman" w:eastAsia="Times New Roman" w:hAnsi="Times New Roman" w:cs="Times New Roman"/>
          <w:sz w:val="24"/>
          <w:szCs w:val="24"/>
        </w:rPr>
        <w:t>with</w:t>
      </w:r>
      <w:r w:rsidRPr="00EF6720">
        <w:rPr>
          <w:rFonts w:ascii="Times New Roman" w:eastAsia="Times New Roman" w:hAnsi="Times New Roman" w:cs="Times New Roman"/>
          <w:sz w:val="24"/>
          <w:szCs w:val="24"/>
        </w:rPr>
        <w:t xml:space="preserve"> complex transaction processes that threaten </w:t>
      </w:r>
      <w:r w:rsidR="001F0EAC" w:rsidRPr="00EF6720">
        <w:rPr>
          <w:rFonts w:ascii="Times New Roman" w:eastAsia="Times New Roman" w:hAnsi="Times New Roman" w:cs="Times New Roman"/>
          <w:sz w:val="24"/>
          <w:szCs w:val="24"/>
        </w:rPr>
        <w:t>beginner</w:t>
      </w:r>
      <w:r w:rsidR="001F0EAC">
        <w:rPr>
          <w:rFonts w:ascii="Times New Roman" w:eastAsia="Times New Roman" w:hAnsi="Times New Roman" w:cs="Times New Roman"/>
          <w:sz w:val="24"/>
          <w:szCs w:val="24"/>
        </w:rPr>
        <w:t xml:space="preserve">. </w:t>
      </w:r>
      <w:r w:rsidRPr="00EF6720">
        <w:rPr>
          <w:rFonts w:ascii="Times New Roman" w:eastAsia="Times New Roman" w:hAnsi="Times New Roman" w:cs="Times New Roman"/>
          <w:sz w:val="24"/>
          <w:szCs w:val="24"/>
        </w:rPr>
        <w:t xml:space="preserve">For high-risk </w:t>
      </w:r>
      <w:r w:rsidR="00ED29C0">
        <w:rPr>
          <w:rFonts w:ascii="Times New Roman" w:eastAsia="Times New Roman" w:hAnsi="Times New Roman" w:cs="Times New Roman"/>
          <w:sz w:val="24"/>
          <w:szCs w:val="24"/>
        </w:rPr>
        <w:t>fintech</w:t>
      </w:r>
      <w:r w:rsidRPr="00EF6720">
        <w:rPr>
          <w:rFonts w:ascii="Times New Roman" w:eastAsia="Times New Roman" w:hAnsi="Times New Roman" w:cs="Times New Roman"/>
          <w:sz w:val="24"/>
          <w:szCs w:val="24"/>
        </w:rPr>
        <w:t xml:space="preserve"> to achieve widespread adoption, it must </w:t>
      </w:r>
      <w:r w:rsidRPr="00EF6720">
        <w:rPr>
          <w:rFonts w:ascii="Times New Roman" w:eastAsia="Times New Roman" w:hAnsi="Times New Roman" w:cs="Times New Roman"/>
          <w:sz w:val="24"/>
          <w:szCs w:val="24"/>
        </w:rPr>
        <w:lastRenderedPageBreak/>
        <w:t xml:space="preserve">not only promise high returns but also deliver a seamless, instinctive user experience that </w:t>
      </w:r>
      <w:r w:rsidR="00ED29C0">
        <w:rPr>
          <w:rFonts w:ascii="Times New Roman" w:eastAsia="Times New Roman" w:hAnsi="Times New Roman" w:cs="Times New Roman"/>
          <w:sz w:val="24"/>
          <w:szCs w:val="24"/>
        </w:rPr>
        <w:t>minimises</w:t>
      </w:r>
      <w:r w:rsidRPr="00EF6720">
        <w:rPr>
          <w:rFonts w:ascii="Times New Roman" w:eastAsia="Times New Roman" w:hAnsi="Times New Roman" w:cs="Times New Roman"/>
          <w:sz w:val="24"/>
          <w:szCs w:val="24"/>
        </w:rPr>
        <w:t xml:space="preserve"> effort and technical expertise.</w:t>
      </w:r>
    </w:p>
    <w:p w14:paraId="244DFBC9" w14:textId="7E2AE2B6"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H8: Social </w:t>
      </w:r>
      <w:r w:rsidR="00ED29C0">
        <w:rPr>
          <w:rFonts w:ascii="Times New Roman" w:eastAsia="Times New Roman" w:hAnsi="Times New Roman" w:cs="Times New Roman"/>
          <w:b/>
          <w:sz w:val="24"/>
          <w:szCs w:val="24"/>
        </w:rPr>
        <w:t>influence</w:t>
      </w:r>
      <w:r w:rsidRPr="00EF6720">
        <w:rPr>
          <w:rFonts w:ascii="Times New Roman" w:eastAsia="Times New Roman" w:hAnsi="Times New Roman" w:cs="Times New Roman"/>
          <w:b/>
          <w:sz w:val="24"/>
          <w:szCs w:val="24"/>
        </w:rPr>
        <w:t xml:space="preserve"> will be positively related to the </w:t>
      </w:r>
      <w:r w:rsidR="00ED29C0">
        <w:rPr>
          <w:rFonts w:ascii="Times New Roman" w:eastAsia="Times New Roman" w:hAnsi="Times New Roman" w:cs="Times New Roman"/>
          <w:b/>
          <w:sz w:val="24"/>
          <w:szCs w:val="24"/>
        </w:rPr>
        <w:t>behavioural intention</w:t>
      </w:r>
      <w:r w:rsidRPr="00EF6720">
        <w:rPr>
          <w:rFonts w:ascii="Times New Roman" w:eastAsia="Times New Roman" w:hAnsi="Times New Roman" w:cs="Times New Roman"/>
          <w:b/>
          <w:sz w:val="24"/>
          <w:szCs w:val="24"/>
        </w:rPr>
        <w:t xml:space="preserve"> to </w:t>
      </w:r>
      <w:r w:rsidR="00ED29C0">
        <w:rPr>
          <w:rFonts w:ascii="Times New Roman" w:eastAsia="Times New Roman" w:hAnsi="Times New Roman" w:cs="Times New Roman"/>
          <w:b/>
          <w:sz w:val="24"/>
          <w:szCs w:val="24"/>
        </w:rPr>
        <w:t>adopt</w:t>
      </w:r>
      <w:r w:rsidRPr="00EF6720">
        <w:rPr>
          <w:rFonts w:ascii="Times New Roman" w:eastAsia="Times New Roman" w:hAnsi="Times New Roman" w:cs="Times New Roman"/>
          <w:b/>
          <w:sz w:val="24"/>
          <w:szCs w:val="24"/>
        </w:rPr>
        <w:t xml:space="preserve"> high-risk </w:t>
      </w:r>
      <w:r w:rsidR="00ED29C0">
        <w:rPr>
          <w:rFonts w:ascii="Times New Roman" w:eastAsia="Times New Roman" w:hAnsi="Times New Roman" w:cs="Times New Roman"/>
          <w:b/>
          <w:sz w:val="24"/>
          <w:szCs w:val="24"/>
        </w:rPr>
        <w:t>fintech.</w:t>
      </w:r>
    </w:p>
    <w:p w14:paraId="198D59E3" w14:textId="12485602"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Social </w:t>
      </w:r>
      <w:r w:rsidR="00ED29C0">
        <w:rPr>
          <w:rFonts w:ascii="Times New Roman" w:eastAsia="Times New Roman" w:hAnsi="Times New Roman" w:cs="Times New Roman"/>
          <w:sz w:val="24"/>
          <w:szCs w:val="24"/>
        </w:rPr>
        <w:t>influence</w:t>
      </w:r>
      <w:r w:rsidRPr="00EF6720">
        <w:rPr>
          <w:rFonts w:ascii="Times New Roman" w:eastAsia="Times New Roman" w:hAnsi="Times New Roman" w:cs="Times New Roman"/>
          <w:sz w:val="24"/>
          <w:szCs w:val="24"/>
        </w:rPr>
        <w:t xml:space="preserve"> will be positively related to the </w:t>
      </w:r>
      <w:r w:rsidR="00ED29C0">
        <w:rPr>
          <w:rFonts w:ascii="Times New Roman" w:eastAsia="Times New Roman" w:hAnsi="Times New Roman" w:cs="Times New Roman"/>
          <w:sz w:val="24"/>
          <w:szCs w:val="24"/>
        </w:rPr>
        <w:t>behavioural intention</w:t>
      </w:r>
      <w:r w:rsidRPr="00EF6720">
        <w:rPr>
          <w:rFonts w:ascii="Times New Roman" w:eastAsia="Times New Roman" w:hAnsi="Times New Roman" w:cs="Times New Roman"/>
          <w:sz w:val="24"/>
          <w:szCs w:val="24"/>
        </w:rPr>
        <w:t xml:space="preserve"> to </w:t>
      </w:r>
      <w:r w:rsidR="00ED29C0">
        <w:rPr>
          <w:rFonts w:ascii="Times New Roman" w:eastAsia="Times New Roman" w:hAnsi="Times New Roman" w:cs="Times New Roman"/>
          <w:sz w:val="24"/>
          <w:szCs w:val="24"/>
        </w:rPr>
        <w:t>adopt</w:t>
      </w:r>
      <w:r w:rsidRPr="00EF6720">
        <w:rPr>
          <w:rFonts w:ascii="Times New Roman" w:eastAsia="Times New Roman" w:hAnsi="Times New Roman" w:cs="Times New Roman"/>
          <w:sz w:val="24"/>
          <w:szCs w:val="24"/>
        </w:rPr>
        <w:t xml:space="preserve"> high-risk </w:t>
      </w:r>
      <w:r w:rsidR="00ED29C0">
        <w:rPr>
          <w:rFonts w:ascii="Times New Roman" w:eastAsia="Times New Roman" w:hAnsi="Times New Roman" w:cs="Times New Roman"/>
          <w:sz w:val="24"/>
          <w:szCs w:val="24"/>
        </w:rPr>
        <w:t xml:space="preserve">fintech. </w:t>
      </w:r>
      <w:r w:rsidRPr="00EF6720">
        <w:rPr>
          <w:rFonts w:ascii="Times New Roman" w:eastAsia="Times New Roman" w:hAnsi="Times New Roman" w:cs="Times New Roman"/>
          <w:sz w:val="24"/>
          <w:szCs w:val="24"/>
        </w:rPr>
        <w:t xml:space="preserve">The subjective norm of </w:t>
      </w:r>
      <w:r w:rsidR="00ED29C0">
        <w:rPr>
          <w:rFonts w:ascii="Times New Roman" w:eastAsia="Times New Roman" w:hAnsi="Times New Roman" w:cs="Times New Roman"/>
          <w:sz w:val="24"/>
          <w:szCs w:val="24"/>
        </w:rPr>
        <w:t>fintech</w:t>
      </w:r>
      <w:r w:rsidRPr="00EF6720">
        <w:rPr>
          <w:rFonts w:ascii="Times New Roman" w:eastAsia="Times New Roman" w:hAnsi="Times New Roman" w:cs="Times New Roman"/>
          <w:sz w:val="24"/>
          <w:szCs w:val="24"/>
        </w:rPr>
        <w:t xml:space="preserve"> adoption is such that individuals use social circles, peers, family, and online communities, and online influencers have been shown to have a significant positive impact on investment intentions [11]. An individual's perception of how others view the use of the technology is a strong predictor of their own adoption behavior [12].</w:t>
      </w:r>
    </w:p>
    <w:p w14:paraId="3D5989BF" w14:textId="464CBB5A" w:rsidR="00EF6720" w:rsidRDefault="009530C1" w:rsidP="00B9079E">
      <w:pPr>
        <w:spacing w:before="0" w:after="0"/>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Figure 1</w:t>
      </w:r>
      <w:r w:rsidR="00EF6720" w:rsidRPr="00EF6720">
        <w:rPr>
          <w:rFonts w:ascii="Times New Roman" w:eastAsia="Times New Roman" w:hAnsi="Times New Roman" w:cs="Times New Roman"/>
          <w:b/>
          <w:sz w:val="24"/>
          <w:szCs w:val="24"/>
        </w:rPr>
        <w:t>: Proposed Research Model</w:t>
      </w:r>
    </w:p>
    <w:p w14:paraId="5EBE0A51" w14:textId="1DDCDEBC" w:rsidR="009A12FF" w:rsidRPr="00EF6720" w:rsidRDefault="009530C1" w:rsidP="00B9079E">
      <w:pPr>
        <w:spacing w:before="0" w:after="0"/>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 </w:t>
      </w:r>
    </w:p>
    <w:p w14:paraId="3B9EAFC0" w14:textId="77777777" w:rsidR="009A12FF" w:rsidRPr="00EF6720" w:rsidRDefault="009530C1" w:rsidP="00B9079E">
      <w:pPr>
        <w:spacing w:before="0"/>
        <w:jc w:val="center"/>
        <w:rPr>
          <w:rFonts w:ascii="Times New Roman" w:eastAsia="Times New Roman" w:hAnsi="Times New Roman" w:cs="Times New Roman"/>
          <w:b/>
          <w:sz w:val="24"/>
          <w:szCs w:val="24"/>
        </w:rPr>
      </w:pPr>
      <w:r w:rsidRPr="00EF6720">
        <w:rPr>
          <w:rFonts w:ascii="Times New Roman" w:hAnsi="Times New Roman" w:cs="Times New Roman"/>
          <w:noProof/>
          <w:sz w:val="24"/>
          <w:szCs w:val="24"/>
        </w:rPr>
        <w:drawing>
          <wp:inline distT="0" distB="0" distL="0" distR="0" wp14:anchorId="4991A072" wp14:editId="72C50489">
            <wp:extent cx="5235868" cy="35269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235868" cy="3526931"/>
                    </a:xfrm>
                    <a:prstGeom prst="rect">
                      <a:avLst/>
                    </a:prstGeom>
                    <a:ln/>
                  </pic:spPr>
                </pic:pic>
              </a:graphicData>
            </a:graphic>
          </wp:inline>
        </w:drawing>
      </w:r>
    </w:p>
    <w:p w14:paraId="31A6887F" w14:textId="77777777" w:rsidR="00EF6720" w:rsidRDefault="00EF6720" w:rsidP="00B9079E">
      <w:pPr>
        <w:spacing w:before="0"/>
        <w:jc w:val="left"/>
        <w:rPr>
          <w:rFonts w:ascii="Times New Roman" w:eastAsia="Times New Roman" w:hAnsi="Times New Roman" w:cs="Times New Roman"/>
          <w:b/>
          <w:sz w:val="24"/>
          <w:szCs w:val="24"/>
        </w:rPr>
      </w:pPr>
    </w:p>
    <w:p w14:paraId="51C928EC" w14:textId="1E6530D4" w:rsidR="009A12FF" w:rsidRPr="00EF6720" w:rsidRDefault="009530C1" w:rsidP="00B9079E">
      <w:pPr>
        <w:spacing w:before="0"/>
        <w:jc w:val="center"/>
        <w:rPr>
          <w:rFonts w:ascii="Times New Roman" w:eastAsia="Times New Roman" w:hAnsi="Times New Roman" w:cs="Times New Roman"/>
          <w:bCs/>
          <w:i/>
          <w:iCs/>
          <w:sz w:val="24"/>
          <w:szCs w:val="24"/>
        </w:rPr>
      </w:pPr>
      <w:r w:rsidRPr="00EF6720">
        <w:rPr>
          <w:rFonts w:ascii="Times New Roman" w:eastAsia="Times New Roman" w:hAnsi="Times New Roman" w:cs="Times New Roman"/>
          <w:bCs/>
          <w:i/>
          <w:iCs/>
          <w:sz w:val="24"/>
          <w:szCs w:val="24"/>
        </w:rPr>
        <w:t xml:space="preserve">Source: </w:t>
      </w:r>
      <w:r w:rsidR="00EF6720" w:rsidRPr="00EF6720">
        <w:rPr>
          <w:rFonts w:ascii="Times New Roman" w:eastAsia="Times New Roman" w:hAnsi="Times New Roman" w:cs="Times New Roman"/>
          <w:bCs/>
          <w:i/>
          <w:iCs/>
          <w:sz w:val="24"/>
          <w:szCs w:val="24"/>
        </w:rPr>
        <w:t>P</w:t>
      </w:r>
      <w:r w:rsidRPr="00EF6720">
        <w:rPr>
          <w:rFonts w:ascii="Times New Roman" w:eastAsia="Times New Roman" w:hAnsi="Times New Roman" w:cs="Times New Roman"/>
          <w:bCs/>
          <w:i/>
          <w:iCs/>
          <w:sz w:val="24"/>
          <w:szCs w:val="24"/>
        </w:rPr>
        <w:t xml:space="preserve">roposed </w:t>
      </w:r>
      <w:r w:rsidR="00EF6720" w:rsidRPr="00EF6720">
        <w:rPr>
          <w:rFonts w:ascii="Times New Roman" w:eastAsia="Times New Roman" w:hAnsi="Times New Roman" w:cs="Times New Roman"/>
          <w:bCs/>
          <w:i/>
          <w:iCs/>
          <w:sz w:val="24"/>
          <w:szCs w:val="24"/>
        </w:rPr>
        <w:t>Research M</w:t>
      </w:r>
      <w:r w:rsidRPr="00EF6720">
        <w:rPr>
          <w:rFonts w:ascii="Times New Roman" w:eastAsia="Times New Roman" w:hAnsi="Times New Roman" w:cs="Times New Roman"/>
          <w:bCs/>
          <w:i/>
          <w:iCs/>
          <w:sz w:val="24"/>
          <w:szCs w:val="24"/>
        </w:rPr>
        <w:t>odel</w:t>
      </w:r>
      <w:r w:rsidR="00EF6720" w:rsidRPr="00EF6720">
        <w:rPr>
          <w:rFonts w:ascii="Times New Roman" w:eastAsia="Times New Roman" w:hAnsi="Times New Roman" w:cs="Times New Roman"/>
          <w:bCs/>
          <w:i/>
          <w:iCs/>
          <w:sz w:val="24"/>
          <w:szCs w:val="24"/>
        </w:rPr>
        <w:t xml:space="preserve"> developed t</w:t>
      </w:r>
      <w:r w:rsidRPr="00EF6720">
        <w:rPr>
          <w:rFonts w:ascii="Times New Roman" w:eastAsia="Times New Roman" w:hAnsi="Times New Roman" w:cs="Times New Roman"/>
          <w:bCs/>
          <w:i/>
          <w:iCs/>
          <w:sz w:val="24"/>
          <w:szCs w:val="24"/>
        </w:rPr>
        <w:t xml:space="preserve">hrough </w:t>
      </w:r>
      <w:r w:rsidR="00ED29C0">
        <w:rPr>
          <w:rFonts w:ascii="Times New Roman" w:eastAsia="Times New Roman" w:hAnsi="Times New Roman" w:cs="Times New Roman"/>
          <w:bCs/>
          <w:i/>
          <w:iCs/>
          <w:sz w:val="24"/>
          <w:szCs w:val="24"/>
        </w:rPr>
        <w:t>Python.</w:t>
      </w:r>
    </w:p>
    <w:p w14:paraId="2D33CD36" w14:textId="77777777" w:rsidR="009A12FF" w:rsidRPr="00EF6720" w:rsidRDefault="009530C1" w:rsidP="00B9079E">
      <w:pPr>
        <w:spacing w:before="0" w:after="160"/>
        <w:jc w:val="left"/>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4.1 Study design: </w:t>
      </w:r>
    </w:p>
    <w:p w14:paraId="3754648A" w14:textId="39C9AE44" w:rsidR="009A12FF" w:rsidRPr="00EF6720" w:rsidRDefault="00ED29C0" w:rsidP="00B9079E">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A quantitative</w:t>
      </w:r>
      <w:r w:rsidR="009530C1" w:rsidRPr="00EF6720">
        <w:rPr>
          <w:rFonts w:ascii="Times New Roman" w:eastAsia="Times New Roman" w:hAnsi="Times New Roman" w:cs="Times New Roman"/>
          <w:sz w:val="24"/>
          <w:szCs w:val="24"/>
        </w:rPr>
        <w:t xml:space="preserve"> approach is used in this study for measuring the latent constructs of the conceptual model and testing their structural relationships through Structural Equation </w:t>
      </w:r>
      <w:r>
        <w:rPr>
          <w:rFonts w:ascii="Times New Roman" w:eastAsia="Times New Roman" w:hAnsi="Times New Roman" w:cs="Times New Roman"/>
          <w:sz w:val="24"/>
          <w:szCs w:val="24"/>
        </w:rPr>
        <w:t>Modelling</w:t>
      </w:r>
      <w:r w:rsidR="009530C1" w:rsidRPr="00EF6720">
        <w:rPr>
          <w:rFonts w:ascii="Times New Roman" w:eastAsia="Times New Roman" w:hAnsi="Times New Roman" w:cs="Times New Roman"/>
          <w:sz w:val="24"/>
          <w:szCs w:val="24"/>
        </w:rPr>
        <w:t xml:space="preserve"> (SEM) on R </w:t>
      </w:r>
      <w:r>
        <w:rPr>
          <w:rFonts w:ascii="Times New Roman" w:eastAsia="Times New Roman" w:hAnsi="Times New Roman" w:cs="Times New Roman"/>
          <w:sz w:val="24"/>
          <w:szCs w:val="24"/>
        </w:rPr>
        <w:t>Studio</w:t>
      </w:r>
      <w:r w:rsidR="009530C1" w:rsidRPr="00EF672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Python. </w:t>
      </w:r>
      <w:r w:rsidR="009530C1" w:rsidRPr="00EF6720">
        <w:rPr>
          <w:rFonts w:ascii="Times New Roman" w:eastAsia="Times New Roman" w:hAnsi="Times New Roman" w:cs="Times New Roman"/>
          <w:sz w:val="24"/>
          <w:szCs w:val="24"/>
        </w:rPr>
        <w:t xml:space="preserve">To ensure the robustness of our measurements, all constructs were </w:t>
      </w:r>
      <w:r>
        <w:rPr>
          <w:rFonts w:ascii="Times New Roman" w:eastAsia="Times New Roman" w:hAnsi="Times New Roman" w:cs="Times New Roman"/>
          <w:sz w:val="24"/>
          <w:szCs w:val="24"/>
        </w:rPr>
        <w:t>operationalised</w:t>
      </w:r>
      <w:r w:rsidR="009530C1" w:rsidRPr="00EF6720">
        <w:rPr>
          <w:rFonts w:ascii="Times New Roman" w:eastAsia="Times New Roman" w:hAnsi="Times New Roman" w:cs="Times New Roman"/>
          <w:sz w:val="24"/>
          <w:szCs w:val="24"/>
        </w:rPr>
        <w:t xml:space="preserve"> using scales adapted from previously validated studies in technology adoption, behavioral finance, and professional psychology, a critical step for ensuring the reliability and validity of the collected data.</w:t>
      </w:r>
    </w:p>
    <w:p w14:paraId="3BA1C665"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4.2. Population and Sampling</w:t>
      </w:r>
    </w:p>
    <w:p w14:paraId="4844D660" w14:textId="2AAAE3D3" w:rsidR="009A12FF" w:rsidRPr="00EF6720" w:rsidRDefault="00707161" w:rsidP="00B9079E">
      <w:pPr>
        <w:spacing w:befor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is based on the </w:t>
      </w:r>
      <w:r w:rsidRPr="00EF6720">
        <w:rPr>
          <w:rFonts w:ascii="Times New Roman" w:eastAsia="Times New Roman" w:hAnsi="Times New Roman" w:cs="Times New Roman"/>
          <w:sz w:val="24"/>
          <w:szCs w:val="24"/>
        </w:rPr>
        <w:t>population</w:t>
      </w:r>
      <w:r w:rsidR="009530C1" w:rsidRPr="00EF6720">
        <w:rPr>
          <w:rFonts w:ascii="Times New Roman" w:eastAsia="Times New Roman" w:hAnsi="Times New Roman" w:cs="Times New Roman"/>
          <w:sz w:val="24"/>
          <w:szCs w:val="24"/>
        </w:rPr>
        <w:t xml:space="preserve"> of undergraduate students enrolled in accredited medical (MBBS) and engineering (B.Tech) </w:t>
      </w:r>
      <w:r w:rsidR="00ED29C0">
        <w:rPr>
          <w:rFonts w:ascii="Times New Roman" w:eastAsia="Times New Roman" w:hAnsi="Times New Roman" w:cs="Times New Roman"/>
          <w:sz w:val="24"/>
          <w:szCs w:val="24"/>
        </w:rPr>
        <w:t>programmes</w:t>
      </w:r>
      <w:r w:rsidR="009530C1" w:rsidRPr="00EF6720">
        <w:rPr>
          <w:rFonts w:ascii="Times New Roman" w:eastAsia="Times New Roman" w:hAnsi="Times New Roman" w:cs="Times New Roman"/>
          <w:sz w:val="24"/>
          <w:szCs w:val="24"/>
        </w:rPr>
        <w:t xml:space="preserve"> at universities. This population was chosen because these students are actively immersed in their respective professional training cultures </w:t>
      </w:r>
      <w:r w:rsidR="009530C1" w:rsidRPr="00EF6720">
        <w:rPr>
          <w:rFonts w:ascii="Times New Roman" w:eastAsia="Times New Roman" w:hAnsi="Times New Roman" w:cs="Times New Roman"/>
          <w:sz w:val="24"/>
          <w:szCs w:val="24"/>
        </w:rPr>
        <w:lastRenderedPageBreak/>
        <w:t xml:space="preserve">and are at a formative stage in their financial lives, making them an ideal group for studying the </w:t>
      </w:r>
      <w:r w:rsidR="00ED29C0">
        <w:rPr>
          <w:rFonts w:ascii="Times New Roman" w:eastAsia="Times New Roman" w:hAnsi="Times New Roman" w:cs="Times New Roman"/>
          <w:sz w:val="24"/>
          <w:szCs w:val="24"/>
        </w:rPr>
        <w:t>spillover</w:t>
      </w:r>
      <w:r w:rsidR="009530C1" w:rsidRPr="00EF6720">
        <w:rPr>
          <w:rFonts w:ascii="Times New Roman" w:eastAsia="Times New Roman" w:hAnsi="Times New Roman" w:cs="Times New Roman"/>
          <w:sz w:val="24"/>
          <w:szCs w:val="24"/>
        </w:rPr>
        <w:t xml:space="preserve"> effects of professional </w:t>
      </w:r>
      <w:r w:rsidR="00ED29C0">
        <w:rPr>
          <w:rFonts w:ascii="Times New Roman" w:eastAsia="Times New Roman" w:hAnsi="Times New Roman" w:cs="Times New Roman"/>
          <w:sz w:val="24"/>
          <w:szCs w:val="24"/>
        </w:rPr>
        <w:t>socialisation.</w:t>
      </w:r>
    </w:p>
    <w:p w14:paraId="3891D511" w14:textId="0DCE0AE4" w:rsidR="009A12FF" w:rsidRPr="00EF6720" w:rsidRDefault="009530C1" w:rsidP="00707161">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 A non-probability sampling technique was employed with a purposive sampling to deliberately select participants meeting the inclusion criteria. 250 complete responses from each group </w:t>
      </w:r>
      <w:r w:rsidR="00ED29C0">
        <w:rPr>
          <w:rFonts w:ascii="Times New Roman" w:eastAsia="Times New Roman" w:hAnsi="Times New Roman" w:cs="Times New Roman"/>
          <w:sz w:val="24"/>
          <w:szCs w:val="24"/>
        </w:rPr>
        <w:t>(total</w:t>
      </w:r>
      <w:r w:rsidRPr="00EF6720">
        <w:rPr>
          <w:rFonts w:ascii="Times New Roman" w:eastAsia="Times New Roman" w:hAnsi="Times New Roman" w:cs="Times New Roman"/>
          <w:sz w:val="24"/>
          <w:szCs w:val="24"/>
        </w:rPr>
        <w:t xml:space="preserve"> N = 500) </w:t>
      </w:r>
      <w:r w:rsidR="00707161">
        <w:rPr>
          <w:rFonts w:ascii="Times New Roman" w:eastAsia="Times New Roman" w:hAnsi="Times New Roman" w:cs="Times New Roman"/>
          <w:sz w:val="24"/>
          <w:szCs w:val="24"/>
        </w:rPr>
        <w:t>were used in this study where</w:t>
      </w:r>
      <w:r w:rsidRPr="00EF6720">
        <w:rPr>
          <w:rFonts w:ascii="Times New Roman" w:eastAsia="Times New Roman" w:hAnsi="Times New Roman" w:cs="Times New Roman"/>
          <w:sz w:val="24"/>
          <w:szCs w:val="24"/>
        </w:rPr>
        <w:t xml:space="preserve"> </w:t>
      </w:r>
      <w:r w:rsidR="00707161">
        <w:rPr>
          <w:rFonts w:ascii="Times New Roman" w:eastAsia="Times New Roman" w:hAnsi="Times New Roman" w:cs="Times New Roman"/>
          <w:sz w:val="24"/>
          <w:szCs w:val="24"/>
        </w:rPr>
        <w:t>this size is</w:t>
      </w:r>
      <w:r w:rsidRPr="00EF6720">
        <w:rPr>
          <w:rFonts w:ascii="Times New Roman" w:eastAsia="Times New Roman" w:hAnsi="Times New Roman" w:cs="Times New Roman"/>
          <w:sz w:val="24"/>
          <w:szCs w:val="24"/>
        </w:rPr>
        <w:t xml:space="preserve"> considered robust for conducting Confirmatory Factor Analysis (CFA)</w:t>
      </w:r>
      <w:r w:rsidR="00707161">
        <w:rPr>
          <w:rFonts w:ascii="Times New Roman" w:eastAsia="Times New Roman" w:hAnsi="Times New Roman" w:cs="Times New Roman"/>
          <w:sz w:val="24"/>
          <w:szCs w:val="24"/>
        </w:rPr>
        <w:t xml:space="preserve"> and SEM along with</w:t>
      </w:r>
      <w:r w:rsidRPr="00EF6720">
        <w:rPr>
          <w:rFonts w:ascii="Times New Roman" w:eastAsia="Times New Roman" w:hAnsi="Times New Roman" w:cs="Times New Roman"/>
          <w:sz w:val="24"/>
          <w:szCs w:val="24"/>
        </w:rPr>
        <w:t xml:space="preserve"> multi-group comparisons with sufficient statistical power </w:t>
      </w:r>
    </w:p>
    <w:p w14:paraId="38F23178"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4.3. Data Collection Instrument</w:t>
      </w:r>
    </w:p>
    <w:p w14:paraId="3E60A714" w14:textId="7FC38602" w:rsidR="009A12FF"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An online questionnaire </w:t>
      </w:r>
      <w:r w:rsidR="00707161">
        <w:rPr>
          <w:rFonts w:ascii="Times New Roman" w:eastAsia="Times New Roman" w:hAnsi="Times New Roman" w:cs="Times New Roman"/>
          <w:sz w:val="24"/>
          <w:szCs w:val="24"/>
        </w:rPr>
        <w:t>was</w:t>
      </w:r>
      <w:r w:rsidRPr="00EF6720">
        <w:rPr>
          <w:rFonts w:ascii="Times New Roman" w:eastAsia="Times New Roman" w:hAnsi="Times New Roman" w:cs="Times New Roman"/>
          <w:sz w:val="24"/>
          <w:szCs w:val="24"/>
        </w:rPr>
        <w:t xml:space="preserve"> distributed. </w:t>
      </w:r>
      <w:r w:rsidR="00707161">
        <w:rPr>
          <w:rFonts w:ascii="Times New Roman" w:eastAsia="Times New Roman" w:hAnsi="Times New Roman" w:cs="Times New Roman"/>
          <w:sz w:val="24"/>
          <w:szCs w:val="24"/>
        </w:rPr>
        <w:t>Which consist</w:t>
      </w:r>
      <w:r w:rsidRPr="00EF6720">
        <w:rPr>
          <w:rFonts w:ascii="Times New Roman" w:eastAsia="Times New Roman" w:hAnsi="Times New Roman" w:cs="Times New Roman"/>
          <w:sz w:val="24"/>
          <w:szCs w:val="24"/>
        </w:rPr>
        <w:t xml:space="preserve"> of two primary sections.</w:t>
      </w:r>
      <w:r w:rsidR="00707161">
        <w:rPr>
          <w:rFonts w:ascii="Times New Roman" w:eastAsia="Times New Roman" w:hAnsi="Times New Roman" w:cs="Times New Roman"/>
          <w:sz w:val="24"/>
          <w:szCs w:val="24"/>
        </w:rPr>
        <w:t xml:space="preserve"> In</w:t>
      </w:r>
      <w:r w:rsidRPr="00EF6720">
        <w:rPr>
          <w:rFonts w:ascii="Times New Roman" w:eastAsia="Times New Roman" w:hAnsi="Times New Roman" w:cs="Times New Roman"/>
          <w:sz w:val="24"/>
          <w:szCs w:val="24"/>
        </w:rPr>
        <w:t xml:space="preserve"> </w:t>
      </w:r>
      <w:r w:rsidR="00707161">
        <w:rPr>
          <w:rFonts w:ascii="Times New Roman" w:eastAsia="Times New Roman" w:hAnsi="Times New Roman" w:cs="Times New Roman"/>
          <w:sz w:val="24"/>
          <w:szCs w:val="24"/>
        </w:rPr>
        <w:t>s</w:t>
      </w:r>
      <w:r w:rsidRPr="00EF6720">
        <w:rPr>
          <w:rFonts w:ascii="Times New Roman" w:eastAsia="Times New Roman" w:hAnsi="Times New Roman" w:cs="Times New Roman"/>
          <w:sz w:val="24"/>
          <w:szCs w:val="24"/>
        </w:rPr>
        <w:t xml:space="preserve">ection 1 collected demographic </w:t>
      </w:r>
      <w:r w:rsidR="00707161">
        <w:rPr>
          <w:rFonts w:ascii="Times New Roman" w:eastAsia="Times New Roman" w:hAnsi="Times New Roman" w:cs="Times New Roman"/>
          <w:sz w:val="24"/>
          <w:szCs w:val="24"/>
        </w:rPr>
        <w:t>while in</w:t>
      </w:r>
      <w:r w:rsidR="00ED29C0">
        <w:rPr>
          <w:rFonts w:ascii="Times New Roman" w:eastAsia="Times New Roman" w:hAnsi="Times New Roman" w:cs="Times New Roman"/>
          <w:sz w:val="24"/>
          <w:szCs w:val="24"/>
        </w:rPr>
        <w:t xml:space="preserve"> </w:t>
      </w:r>
      <w:r w:rsidRPr="00EF6720">
        <w:rPr>
          <w:rFonts w:ascii="Times New Roman" w:eastAsia="Times New Roman" w:hAnsi="Times New Roman" w:cs="Times New Roman"/>
          <w:sz w:val="24"/>
          <w:szCs w:val="24"/>
        </w:rPr>
        <w:t>Section 2 measured all theoretical constructs using 7-point Likert scales (1 = Strongly Disagree to 7 = Strongly Agree).</w:t>
      </w:r>
    </w:p>
    <w:p w14:paraId="0C8E707C" w14:textId="77777777" w:rsidR="00707161" w:rsidRPr="00EF6720" w:rsidRDefault="00707161" w:rsidP="00B9079E">
      <w:pPr>
        <w:spacing w:before="0"/>
        <w:rPr>
          <w:rFonts w:ascii="Times New Roman" w:eastAsia="Times New Roman" w:hAnsi="Times New Roman" w:cs="Times New Roman"/>
          <w:sz w:val="24"/>
          <w:szCs w:val="24"/>
        </w:rPr>
      </w:pPr>
    </w:p>
    <w:p w14:paraId="1CF685FB" w14:textId="77777777"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4.4 Demographic Profile of Participants</w:t>
      </w:r>
    </w:p>
    <w:p w14:paraId="387EAE40" w14:textId="4F7DFF57"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The demographic characteristics of the final sample of 500 participants are </w:t>
      </w:r>
      <w:r w:rsidR="00ED29C0">
        <w:rPr>
          <w:rFonts w:ascii="Times New Roman" w:eastAsia="Times New Roman" w:hAnsi="Times New Roman" w:cs="Times New Roman"/>
          <w:sz w:val="24"/>
          <w:szCs w:val="24"/>
        </w:rPr>
        <w:t>summarised</w:t>
      </w:r>
      <w:r w:rsidRPr="00EF6720">
        <w:rPr>
          <w:rFonts w:ascii="Times New Roman" w:eastAsia="Times New Roman" w:hAnsi="Times New Roman" w:cs="Times New Roman"/>
          <w:sz w:val="24"/>
          <w:szCs w:val="24"/>
        </w:rPr>
        <w:t xml:space="preserve"> in Table 1. </w:t>
      </w:r>
    </w:p>
    <w:p w14:paraId="6EEF8C56" w14:textId="51BB8485" w:rsidR="009A12FF" w:rsidRPr="00EF6720" w:rsidRDefault="009530C1" w:rsidP="00B9079E">
      <w:pPr>
        <w:spacing w:before="0"/>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Table 1</w:t>
      </w:r>
      <w:r w:rsidR="00EF6720">
        <w:rPr>
          <w:rFonts w:ascii="Times New Roman" w:eastAsia="Times New Roman" w:hAnsi="Times New Roman" w:cs="Times New Roman"/>
          <w:b/>
          <w:sz w:val="24"/>
          <w:szCs w:val="24"/>
        </w:rPr>
        <w:t>:</w:t>
      </w:r>
      <w:r w:rsidRPr="00EF6720">
        <w:rPr>
          <w:rFonts w:ascii="Times New Roman" w:eastAsia="Times New Roman" w:hAnsi="Times New Roman" w:cs="Times New Roman"/>
          <w:b/>
          <w:sz w:val="24"/>
          <w:szCs w:val="24"/>
        </w:rPr>
        <w:t xml:space="preserve"> Demographic Profile of Participants (N=500)</w:t>
      </w:r>
    </w:p>
    <w:tbl>
      <w:tblPr>
        <w:tblStyle w:val="a"/>
        <w:tblpPr w:leftFromText="180" w:rightFromText="180" w:vertAnchor="text" w:tblpXSpec="center" w:tblpY="1"/>
        <w:tblOverlap w:val="never"/>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3260"/>
        <w:gridCol w:w="1873"/>
      </w:tblGrid>
      <w:tr w:rsidR="009A12FF" w:rsidRPr="00EF6720" w14:paraId="6492EC81" w14:textId="77777777" w:rsidTr="00B9079E">
        <w:trPr>
          <w:trHeight w:val="325"/>
        </w:trPr>
        <w:tc>
          <w:tcPr>
            <w:tcW w:w="3823" w:type="dxa"/>
          </w:tcPr>
          <w:p w14:paraId="76E7BD32" w14:textId="77777777" w:rsidR="009A12FF" w:rsidRPr="00EF6720" w:rsidRDefault="009530C1" w:rsidP="00B9079E">
            <w:pPr>
              <w:jc w:val="left"/>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Demographic Variable</w:t>
            </w:r>
          </w:p>
        </w:tc>
        <w:tc>
          <w:tcPr>
            <w:tcW w:w="3260" w:type="dxa"/>
          </w:tcPr>
          <w:p w14:paraId="33520E0B"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Category</w:t>
            </w:r>
          </w:p>
        </w:tc>
        <w:tc>
          <w:tcPr>
            <w:tcW w:w="1873" w:type="dxa"/>
          </w:tcPr>
          <w:p w14:paraId="6DF17E9B"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Frequency (n)</w:t>
            </w:r>
          </w:p>
        </w:tc>
      </w:tr>
      <w:tr w:rsidR="00EF6720" w:rsidRPr="00EF6720" w14:paraId="11B18EDF" w14:textId="77777777" w:rsidTr="00B9079E">
        <w:trPr>
          <w:trHeight w:val="257"/>
        </w:trPr>
        <w:tc>
          <w:tcPr>
            <w:tcW w:w="3823" w:type="dxa"/>
            <w:vMerge w:val="restart"/>
            <w:vAlign w:val="center"/>
          </w:tcPr>
          <w:p w14:paraId="7387F5CA" w14:textId="29641EE3" w:rsidR="00EF6720" w:rsidRPr="00EF6720" w:rsidRDefault="00EF6720"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Academic </w:t>
            </w:r>
            <w:r w:rsidR="00ED29C0">
              <w:rPr>
                <w:rFonts w:ascii="Times New Roman" w:eastAsia="Times New Roman" w:hAnsi="Times New Roman" w:cs="Times New Roman"/>
                <w:sz w:val="24"/>
                <w:szCs w:val="24"/>
              </w:rPr>
              <w:t>Programme</w:t>
            </w:r>
          </w:p>
        </w:tc>
        <w:tc>
          <w:tcPr>
            <w:tcW w:w="3260" w:type="dxa"/>
          </w:tcPr>
          <w:p w14:paraId="41ED39E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Medical Students</w:t>
            </w:r>
          </w:p>
        </w:tc>
        <w:tc>
          <w:tcPr>
            <w:tcW w:w="1873" w:type="dxa"/>
          </w:tcPr>
          <w:p w14:paraId="44D3F02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250</w:t>
            </w:r>
          </w:p>
        </w:tc>
      </w:tr>
      <w:tr w:rsidR="00EF6720" w:rsidRPr="00EF6720" w14:paraId="6960789A" w14:textId="77777777" w:rsidTr="00B9079E">
        <w:trPr>
          <w:trHeight w:val="275"/>
        </w:trPr>
        <w:tc>
          <w:tcPr>
            <w:tcW w:w="3823" w:type="dxa"/>
            <w:vMerge/>
            <w:vAlign w:val="center"/>
          </w:tcPr>
          <w:p w14:paraId="63C2AE0B" w14:textId="77777777" w:rsidR="00EF6720" w:rsidRPr="00EF6720" w:rsidRDefault="00EF6720" w:rsidP="00B9079E">
            <w:pPr>
              <w:jc w:val="left"/>
              <w:rPr>
                <w:rFonts w:ascii="Times New Roman" w:eastAsia="Times New Roman" w:hAnsi="Times New Roman" w:cs="Times New Roman"/>
                <w:sz w:val="24"/>
                <w:szCs w:val="24"/>
              </w:rPr>
            </w:pPr>
          </w:p>
        </w:tc>
        <w:tc>
          <w:tcPr>
            <w:tcW w:w="3260" w:type="dxa"/>
          </w:tcPr>
          <w:p w14:paraId="3E9BBC3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Engineering Students</w:t>
            </w:r>
          </w:p>
        </w:tc>
        <w:tc>
          <w:tcPr>
            <w:tcW w:w="1873" w:type="dxa"/>
          </w:tcPr>
          <w:p w14:paraId="778FF96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250</w:t>
            </w:r>
          </w:p>
        </w:tc>
      </w:tr>
      <w:tr w:rsidR="00EF6720" w:rsidRPr="00EF6720" w14:paraId="317017AE" w14:textId="77777777" w:rsidTr="00B9079E">
        <w:trPr>
          <w:trHeight w:val="137"/>
        </w:trPr>
        <w:tc>
          <w:tcPr>
            <w:tcW w:w="3823" w:type="dxa"/>
            <w:vMerge w:val="restart"/>
            <w:vAlign w:val="center"/>
          </w:tcPr>
          <w:p w14:paraId="34FF9A2A" w14:textId="77777777" w:rsidR="00EF6720" w:rsidRPr="00EF6720" w:rsidRDefault="00EF6720"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Gender</w:t>
            </w:r>
          </w:p>
        </w:tc>
        <w:tc>
          <w:tcPr>
            <w:tcW w:w="3260" w:type="dxa"/>
          </w:tcPr>
          <w:p w14:paraId="4CCA1E8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Male</w:t>
            </w:r>
          </w:p>
        </w:tc>
        <w:tc>
          <w:tcPr>
            <w:tcW w:w="1873" w:type="dxa"/>
          </w:tcPr>
          <w:p w14:paraId="01017EF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281</w:t>
            </w:r>
          </w:p>
        </w:tc>
      </w:tr>
      <w:tr w:rsidR="00EF6720" w:rsidRPr="00EF6720" w14:paraId="028F6750" w14:textId="77777777" w:rsidTr="00B9079E">
        <w:trPr>
          <w:trHeight w:val="55"/>
        </w:trPr>
        <w:tc>
          <w:tcPr>
            <w:tcW w:w="3823" w:type="dxa"/>
            <w:vMerge/>
            <w:vAlign w:val="center"/>
          </w:tcPr>
          <w:p w14:paraId="34493B2A" w14:textId="77777777" w:rsidR="00EF6720" w:rsidRPr="00EF6720" w:rsidRDefault="00EF6720" w:rsidP="00B9079E">
            <w:pPr>
              <w:jc w:val="left"/>
              <w:rPr>
                <w:rFonts w:ascii="Times New Roman" w:eastAsia="Times New Roman" w:hAnsi="Times New Roman" w:cs="Times New Roman"/>
                <w:sz w:val="24"/>
                <w:szCs w:val="24"/>
              </w:rPr>
            </w:pPr>
          </w:p>
        </w:tc>
        <w:tc>
          <w:tcPr>
            <w:tcW w:w="3260" w:type="dxa"/>
          </w:tcPr>
          <w:p w14:paraId="786F8E23"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Female</w:t>
            </w:r>
          </w:p>
        </w:tc>
        <w:tc>
          <w:tcPr>
            <w:tcW w:w="1873" w:type="dxa"/>
          </w:tcPr>
          <w:p w14:paraId="6AACCF08"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219</w:t>
            </w:r>
          </w:p>
        </w:tc>
      </w:tr>
      <w:tr w:rsidR="00EF6720" w:rsidRPr="00EF6720" w14:paraId="487BDDC2" w14:textId="77777777" w:rsidTr="00B9079E">
        <w:trPr>
          <w:trHeight w:val="359"/>
        </w:trPr>
        <w:tc>
          <w:tcPr>
            <w:tcW w:w="3823" w:type="dxa"/>
            <w:vMerge w:val="restart"/>
            <w:vAlign w:val="center"/>
          </w:tcPr>
          <w:p w14:paraId="527B0FC6" w14:textId="77777777" w:rsidR="00EF6720" w:rsidRPr="00EF6720" w:rsidRDefault="00EF6720"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Age</w:t>
            </w:r>
          </w:p>
        </w:tc>
        <w:tc>
          <w:tcPr>
            <w:tcW w:w="3260" w:type="dxa"/>
          </w:tcPr>
          <w:p w14:paraId="5619031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18-20 years</w:t>
            </w:r>
          </w:p>
        </w:tc>
        <w:tc>
          <w:tcPr>
            <w:tcW w:w="1873" w:type="dxa"/>
          </w:tcPr>
          <w:p w14:paraId="1899346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142</w:t>
            </w:r>
          </w:p>
        </w:tc>
      </w:tr>
      <w:tr w:rsidR="00EF6720" w:rsidRPr="00EF6720" w14:paraId="448E3527" w14:textId="77777777" w:rsidTr="00B9079E">
        <w:trPr>
          <w:trHeight w:val="354"/>
        </w:trPr>
        <w:tc>
          <w:tcPr>
            <w:tcW w:w="3823" w:type="dxa"/>
            <w:vMerge/>
            <w:vAlign w:val="center"/>
          </w:tcPr>
          <w:p w14:paraId="52F737DD" w14:textId="77777777" w:rsidR="00EF6720" w:rsidRPr="00EF6720" w:rsidRDefault="00EF6720" w:rsidP="00B9079E">
            <w:pPr>
              <w:jc w:val="left"/>
              <w:rPr>
                <w:rFonts w:ascii="Times New Roman" w:eastAsia="Times New Roman" w:hAnsi="Times New Roman" w:cs="Times New Roman"/>
                <w:sz w:val="24"/>
                <w:szCs w:val="24"/>
              </w:rPr>
            </w:pPr>
          </w:p>
        </w:tc>
        <w:tc>
          <w:tcPr>
            <w:tcW w:w="3260" w:type="dxa"/>
          </w:tcPr>
          <w:p w14:paraId="7126F1B3"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21-22 years</w:t>
            </w:r>
          </w:p>
        </w:tc>
        <w:tc>
          <w:tcPr>
            <w:tcW w:w="1873" w:type="dxa"/>
          </w:tcPr>
          <w:p w14:paraId="7E1346C0"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238</w:t>
            </w:r>
          </w:p>
        </w:tc>
      </w:tr>
      <w:tr w:rsidR="00EF6720" w:rsidRPr="00EF6720" w14:paraId="152DAB03" w14:textId="77777777" w:rsidTr="00B9079E">
        <w:trPr>
          <w:trHeight w:val="359"/>
        </w:trPr>
        <w:tc>
          <w:tcPr>
            <w:tcW w:w="3823" w:type="dxa"/>
            <w:vMerge/>
            <w:vAlign w:val="center"/>
          </w:tcPr>
          <w:p w14:paraId="1E99E752" w14:textId="77777777" w:rsidR="00EF6720" w:rsidRPr="00EF6720" w:rsidRDefault="00EF6720" w:rsidP="00B9079E">
            <w:pPr>
              <w:jc w:val="left"/>
              <w:rPr>
                <w:rFonts w:ascii="Times New Roman" w:eastAsia="Times New Roman" w:hAnsi="Times New Roman" w:cs="Times New Roman"/>
                <w:sz w:val="24"/>
                <w:szCs w:val="24"/>
              </w:rPr>
            </w:pPr>
          </w:p>
        </w:tc>
        <w:tc>
          <w:tcPr>
            <w:tcW w:w="3260" w:type="dxa"/>
          </w:tcPr>
          <w:p w14:paraId="114BF99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23-24 years</w:t>
            </w:r>
          </w:p>
        </w:tc>
        <w:tc>
          <w:tcPr>
            <w:tcW w:w="1873" w:type="dxa"/>
          </w:tcPr>
          <w:p w14:paraId="2AB24C8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120</w:t>
            </w:r>
          </w:p>
        </w:tc>
      </w:tr>
      <w:tr w:rsidR="00EF6720" w:rsidRPr="00EF6720" w14:paraId="74015A90" w14:textId="77777777" w:rsidTr="00B9079E">
        <w:trPr>
          <w:trHeight w:val="359"/>
        </w:trPr>
        <w:tc>
          <w:tcPr>
            <w:tcW w:w="3823" w:type="dxa"/>
            <w:vMerge w:val="restart"/>
            <w:vAlign w:val="center"/>
          </w:tcPr>
          <w:p w14:paraId="140643C5" w14:textId="77777777" w:rsidR="00EF6720" w:rsidRPr="00EF6720" w:rsidRDefault="00EF6720"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Year of Study</w:t>
            </w:r>
          </w:p>
        </w:tc>
        <w:tc>
          <w:tcPr>
            <w:tcW w:w="3260" w:type="dxa"/>
          </w:tcPr>
          <w:p w14:paraId="4F62A073"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1st Year</w:t>
            </w:r>
          </w:p>
        </w:tc>
        <w:tc>
          <w:tcPr>
            <w:tcW w:w="1873" w:type="dxa"/>
          </w:tcPr>
          <w:p w14:paraId="15B24B5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125</w:t>
            </w:r>
          </w:p>
        </w:tc>
      </w:tr>
      <w:tr w:rsidR="00EF6720" w:rsidRPr="00EF6720" w14:paraId="543CB4E8" w14:textId="77777777" w:rsidTr="00B9079E">
        <w:trPr>
          <w:trHeight w:val="359"/>
        </w:trPr>
        <w:tc>
          <w:tcPr>
            <w:tcW w:w="3823" w:type="dxa"/>
            <w:vMerge/>
          </w:tcPr>
          <w:p w14:paraId="72FC4038" w14:textId="77777777" w:rsidR="00EF6720" w:rsidRPr="00EF6720" w:rsidRDefault="00EF6720" w:rsidP="00B9079E">
            <w:pPr>
              <w:rPr>
                <w:rFonts w:ascii="Times New Roman" w:eastAsia="Times New Roman" w:hAnsi="Times New Roman" w:cs="Times New Roman"/>
                <w:sz w:val="24"/>
                <w:szCs w:val="24"/>
              </w:rPr>
            </w:pPr>
          </w:p>
        </w:tc>
        <w:tc>
          <w:tcPr>
            <w:tcW w:w="3260" w:type="dxa"/>
          </w:tcPr>
          <w:p w14:paraId="52389290"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2nd Year</w:t>
            </w:r>
          </w:p>
        </w:tc>
        <w:tc>
          <w:tcPr>
            <w:tcW w:w="1873" w:type="dxa"/>
          </w:tcPr>
          <w:p w14:paraId="5F5B7FA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131</w:t>
            </w:r>
          </w:p>
        </w:tc>
      </w:tr>
      <w:tr w:rsidR="00EF6720" w:rsidRPr="00EF6720" w14:paraId="2ABAF7C1" w14:textId="77777777" w:rsidTr="00B9079E">
        <w:trPr>
          <w:trHeight w:val="359"/>
        </w:trPr>
        <w:tc>
          <w:tcPr>
            <w:tcW w:w="3823" w:type="dxa"/>
            <w:vMerge/>
          </w:tcPr>
          <w:p w14:paraId="37F50B90" w14:textId="77777777" w:rsidR="00EF6720" w:rsidRPr="00EF6720" w:rsidRDefault="00EF6720" w:rsidP="00B9079E">
            <w:pPr>
              <w:rPr>
                <w:rFonts w:ascii="Times New Roman" w:eastAsia="Times New Roman" w:hAnsi="Times New Roman" w:cs="Times New Roman"/>
                <w:sz w:val="24"/>
                <w:szCs w:val="24"/>
              </w:rPr>
            </w:pPr>
          </w:p>
        </w:tc>
        <w:tc>
          <w:tcPr>
            <w:tcW w:w="3260" w:type="dxa"/>
          </w:tcPr>
          <w:p w14:paraId="4EC960A3"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3rd Year</w:t>
            </w:r>
          </w:p>
        </w:tc>
        <w:tc>
          <w:tcPr>
            <w:tcW w:w="1873" w:type="dxa"/>
          </w:tcPr>
          <w:p w14:paraId="1E8D387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123</w:t>
            </w:r>
          </w:p>
        </w:tc>
      </w:tr>
      <w:tr w:rsidR="00EF6720" w:rsidRPr="00EF6720" w14:paraId="04E80744" w14:textId="77777777" w:rsidTr="00B9079E">
        <w:trPr>
          <w:trHeight w:val="189"/>
        </w:trPr>
        <w:tc>
          <w:tcPr>
            <w:tcW w:w="3823" w:type="dxa"/>
            <w:vMerge/>
          </w:tcPr>
          <w:p w14:paraId="61BF8380" w14:textId="77777777" w:rsidR="00EF6720" w:rsidRPr="00EF6720" w:rsidRDefault="00EF6720" w:rsidP="00B9079E">
            <w:pPr>
              <w:rPr>
                <w:rFonts w:ascii="Times New Roman" w:eastAsia="Times New Roman" w:hAnsi="Times New Roman" w:cs="Times New Roman"/>
                <w:sz w:val="24"/>
                <w:szCs w:val="24"/>
              </w:rPr>
            </w:pPr>
          </w:p>
        </w:tc>
        <w:tc>
          <w:tcPr>
            <w:tcW w:w="3260" w:type="dxa"/>
          </w:tcPr>
          <w:p w14:paraId="0B249DE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4th Year</w:t>
            </w:r>
          </w:p>
        </w:tc>
        <w:tc>
          <w:tcPr>
            <w:tcW w:w="1873" w:type="dxa"/>
          </w:tcPr>
          <w:p w14:paraId="16CB00B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121</w:t>
            </w:r>
          </w:p>
        </w:tc>
      </w:tr>
    </w:tbl>
    <w:p w14:paraId="546B5C72" w14:textId="21D7B7BD" w:rsidR="009A12FF" w:rsidRPr="00EF6720" w:rsidRDefault="009530C1" w:rsidP="00B9079E">
      <w:pPr>
        <w:shd w:val="clear" w:color="auto" w:fill="FFFFFF"/>
        <w:spacing w:before="0" w:after="240"/>
        <w:jc w:val="center"/>
        <w:rPr>
          <w:rFonts w:ascii="Times New Roman" w:eastAsia="Times New Roman" w:hAnsi="Times New Roman" w:cs="Times New Roman"/>
          <w:bCs/>
          <w:i/>
          <w:iCs/>
          <w:color w:val="0F1115"/>
          <w:sz w:val="24"/>
          <w:szCs w:val="24"/>
        </w:rPr>
      </w:pPr>
      <w:r w:rsidRPr="00EF6720">
        <w:rPr>
          <w:rFonts w:ascii="Times New Roman" w:eastAsia="Times New Roman" w:hAnsi="Times New Roman" w:cs="Times New Roman"/>
          <w:bCs/>
          <w:i/>
          <w:iCs/>
          <w:color w:val="0F1115"/>
          <w:sz w:val="24"/>
          <w:szCs w:val="24"/>
        </w:rPr>
        <w:t>Source: Author’s own calculation using primary data.</w:t>
      </w:r>
    </w:p>
    <w:p w14:paraId="35C669B7" w14:textId="77777777" w:rsidR="009A12FF" w:rsidRPr="00293753" w:rsidRDefault="009530C1" w:rsidP="00B9079E">
      <w:pPr>
        <w:shd w:val="clear" w:color="auto" w:fill="FFFFFF"/>
        <w:spacing w:before="0" w:after="240"/>
        <w:jc w:val="left"/>
        <w:rPr>
          <w:rFonts w:ascii="Times New Roman" w:eastAsia="Quattrocento Sans" w:hAnsi="Times New Roman" w:cs="Times New Roman"/>
          <w:color w:val="0F1115"/>
          <w:sz w:val="24"/>
          <w:szCs w:val="24"/>
        </w:rPr>
      </w:pPr>
      <w:r w:rsidRPr="00293753">
        <w:rPr>
          <w:rFonts w:ascii="Times New Roman" w:eastAsia="Quattrocento Sans" w:hAnsi="Times New Roman" w:cs="Times New Roman"/>
          <w:b/>
          <w:color w:val="0F1115"/>
          <w:sz w:val="24"/>
          <w:szCs w:val="24"/>
        </w:rPr>
        <w:t>4.5 Data Screening &amp; Preliminary Analysis</w:t>
      </w:r>
    </w:p>
    <w:p w14:paraId="17D26554" w14:textId="23D2E7BE" w:rsidR="009A12FF" w:rsidRPr="00EF6720" w:rsidRDefault="009530C1" w:rsidP="00B9079E">
      <w:pPr>
        <w:spacing w:before="0" w:after="160"/>
        <w:rPr>
          <w:rFonts w:ascii="Times New Roman" w:eastAsia="Times New Roman" w:hAnsi="Times New Roman" w:cs="Times New Roman"/>
          <w:color w:val="0F1115"/>
          <w:sz w:val="24"/>
          <w:szCs w:val="24"/>
        </w:rPr>
      </w:pPr>
      <w:r w:rsidRPr="00293753">
        <w:rPr>
          <w:rFonts w:ascii="Times New Roman" w:eastAsia="Times New Roman" w:hAnsi="Times New Roman" w:cs="Times New Roman"/>
          <w:color w:val="0F1115"/>
          <w:sz w:val="24"/>
          <w:szCs w:val="24"/>
        </w:rPr>
        <w:t>Missing values accounted for less than 2% of all data points addressed using Full Information Maximum Likelihood (FIML) during model estimation. The dataset was also examined for outliers leading to the removal of seven cases (n=7) identified as univariate (z-scores &gt; ±3.5) or multivariate (Mahalanobis distance, p &lt; .001) outliers. The final cleaned sample for analysis comprised 493 respondents. To mitigate</w:t>
      </w:r>
      <w:r w:rsidR="00293753">
        <w:rPr>
          <w:rFonts w:ascii="Times New Roman" w:eastAsia="Times New Roman" w:hAnsi="Times New Roman" w:cs="Times New Roman"/>
          <w:color w:val="0F1115"/>
          <w:sz w:val="24"/>
          <w:szCs w:val="24"/>
        </w:rPr>
        <w:t xml:space="preserve"> </w:t>
      </w:r>
      <w:r w:rsidRPr="00293753">
        <w:rPr>
          <w:rFonts w:ascii="Times New Roman" w:eastAsia="Times New Roman" w:hAnsi="Times New Roman" w:cs="Times New Roman"/>
          <w:color w:val="0F1115"/>
          <w:sz w:val="24"/>
          <w:szCs w:val="24"/>
        </w:rPr>
        <w:t>common method bias, Harman's single-factor test was performed. The result indicated that a single factor explained only 28.7% of the total variance, which is below the critical threshold of 50%</w:t>
      </w:r>
    </w:p>
    <w:p w14:paraId="7D8604CE" w14:textId="77777777" w:rsidR="009A12FF" w:rsidRPr="00EF6720" w:rsidRDefault="009530C1" w:rsidP="00B9079E">
      <w:pPr>
        <w:spacing w:before="0" w:after="160"/>
        <w:rPr>
          <w:rFonts w:ascii="Times New Roman" w:eastAsia="Times New Roman" w:hAnsi="Times New Roman" w:cs="Times New Roman"/>
          <w:b/>
          <w:sz w:val="24"/>
          <w:szCs w:val="24"/>
        </w:rPr>
      </w:pPr>
      <w:r w:rsidRPr="00EF6720">
        <w:rPr>
          <w:rFonts w:ascii="Times New Roman" w:hAnsi="Times New Roman" w:cs="Times New Roman"/>
          <w:b/>
          <w:sz w:val="24"/>
          <w:szCs w:val="24"/>
        </w:rPr>
        <w:t>5</w:t>
      </w:r>
      <w:r w:rsidRPr="00EF6720">
        <w:rPr>
          <w:rFonts w:ascii="Times New Roman" w:eastAsia="Times New Roman" w:hAnsi="Times New Roman" w:cs="Times New Roman"/>
          <w:b/>
          <w:sz w:val="24"/>
          <w:szCs w:val="24"/>
        </w:rPr>
        <w:t>.1 Statistics: </w:t>
      </w:r>
    </w:p>
    <w:p w14:paraId="19734302" w14:textId="77777777" w:rsidR="009A12FF" w:rsidRPr="00EF6720" w:rsidRDefault="009530C1" w:rsidP="00B9079E">
      <w:pPr>
        <w:spacing w:before="0" w:after="16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 Measurement Model Validation (CFA)</w:t>
      </w:r>
    </w:p>
    <w:p w14:paraId="75DE540D" w14:textId="227D9F01" w:rsidR="009A12FF" w:rsidRPr="00EF6720" w:rsidRDefault="0019418D" w:rsidP="00B9079E">
      <w:p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sidR="009530C1" w:rsidRPr="00EF6720">
        <w:rPr>
          <w:rFonts w:ascii="Times New Roman" w:eastAsia="Times New Roman" w:hAnsi="Times New Roman" w:cs="Times New Roman"/>
          <w:sz w:val="24"/>
          <w:szCs w:val="24"/>
        </w:rPr>
        <w:t xml:space="preserve">easurement model for reliability and validity where χ²/df = 2.45, CFI = 0.93, TLI = 0.92, and RMSEA = 0.055. while Table 2 constructs exhibited </w:t>
      </w:r>
      <w:r w:rsidR="00ED29C0">
        <w:rPr>
          <w:rFonts w:ascii="Times New Roman" w:eastAsia="Times New Roman" w:hAnsi="Times New Roman" w:cs="Times New Roman"/>
          <w:sz w:val="24"/>
          <w:szCs w:val="24"/>
        </w:rPr>
        <w:t>Cronbach's</w:t>
      </w:r>
      <w:r w:rsidR="009530C1" w:rsidRPr="00EF6720">
        <w:rPr>
          <w:rFonts w:ascii="Times New Roman" w:eastAsia="Times New Roman" w:hAnsi="Times New Roman" w:cs="Times New Roman"/>
          <w:sz w:val="24"/>
          <w:szCs w:val="24"/>
        </w:rPr>
        <w:t xml:space="preserve"> alpha values exceeding the recommended threshold of </w:t>
      </w:r>
      <w:r w:rsidR="00ED29C0">
        <w:rPr>
          <w:rFonts w:ascii="Times New Roman" w:eastAsia="Times New Roman" w:hAnsi="Times New Roman" w:cs="Times New Roman"/>
          <w:sz w:val="24"/>
          <w:szCs w:val="24"/>
        </w:rPr>
        <w:t>0.70,</w:t>
      </w:r>
      <w:r w:rsidR="009530C1" w:rsidRPr="00EF6720">
        <w:rPr>
          <w:rFonts w:ascii="Times New Roman" w:eastAsia="Times New Roman" w:hAnsi="Times New Roman" w:cs="Times New Roman"/>
          <w:sz w:val="24"/>
          <w:szCs w:val="24"/>
        </w:rPr>
        <w:t xml:space="preserve"> confirming excellent internal reliability.</w:t>
      </w:r>
    </w:p>
    <w:p w14:paraId="6D4B7CFE" w14:textId="62CC9772" w:rsidR="009A12FF" w:rsidRPr="00EF6720" w:rsidRDefault="009530C1" w:rsidP="00B9079E">
      <w:pPr>
        <w:spacing w:before="0"/>
        <w:jc w:val="center"/>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Table 2</w:t>
      </w:r>
      <w:r w:rsidR="00EF6720">
        <w:rPr>
          <w:rFonts w:ascii="Times New Roman" w:eastAsia="Times New Roman" w:hAnsi="Times New Roman" w:cs="Times New Roman"/>
          <w:b/>
          <w:sz w:val="24"/>
          <w:szCs w:val="24"/>
        </w:rPr>
        <w:t>:</w:t>
      </w:r>
      <w:r w:rsidRPr="00EF6720">
        <w:rPr>
          <w:rFonts w:ascii="Times New Roman" w:eastAsia="Times New Roman" w:hAnsi="Times New Roman" w:cs="Times New Roman"/>
          <w:sz w:val="24"/>
          <w:szCs w:val="24"/>
        </w:rPr>
        <w:t xml:space="preserve"> </w:t>
      </w:r>
      <w:r w:rsidRPr="00EF6720">
        <w:rPr>
          <w:rFonts w:ascii="Times New Roman" w:eastAsia="Times New Roman" w:hAnsi="Times New Roman" w:cs="Times New Roman"/>
          <w:b/>
          <w:sz w:val="24"/>
          <w:szCs w:val="24"/>
        </w:rPr>
        <w:t>Internal Consistency Reliability Analysis</w:t>
      </w:r>
    </w:p>
    <w:tbl>
      <w:tblPr>
        <w:tblStyle w:val="a0"/>
        <w:tblW w:w="88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410"/>
        <w:gridCol w:w="2230"/>
      </w:tblGrid>
      <w:tr w:rsidR="009A12FF" w:rsidRPr="00EF6720" w14:paraId="4B144FF7" w14:textId="77777777" w:rsidTr="00EF6720">
        <w:trPr>
          <w:trHeight w:val="274"/>
          <w:jc w:val="center"/>
        </w:trPr>
        <w:tc>
          <w:tcPr>
            <w:tcW w:w="4248" w:type="dxa"/>
          </w:tcPr>
          <w:p w14:paraId="0407094C" w14:textId="77777777" w:rsidR="009A12FF" w:rsidRPr="00EF6720" w:rsidRDefault="009530C1" w:rsidP="00B9079E">
            <w:pPr>
              <w:spacing w:after="160"/>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Construct</w:t>
            </w:r>
          </w:p>
        </w:tc>
        <w:tc>
          <w:tcPr>
            <w:tcW w:w="2410" w:type="dxa"/>
          </w:tcPr>
          <w:p w14:paraId="1CFC672D" w14:textId="77777777" w:rsidR="009A12FF" w:rsidRPr="00EF6720" w:rsidRDefault="009530C1" w:rsidP="00B9079E">
            <w:pPr>
              <w:spacing w:after="160"/>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Number of Items</w:t>
            </w:r>
          </w:p>
        </w:tc>
        <w:tc>
          <w:tcPr>
            <w:tcW w:w="2230" w:type="dxa"/>
          </w:tcPr>
          <w:p w14:paraId="1A0EF687" w14:textId="2827B942" w:rsidR="009A12FF" w:rsidRPr="00EF6720" w:rsidRDefault="00ED29C0" w:rsidP="00B9079E">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Cronbach's</w:t>
            </w:r>
            <w:r w:rsidR="009530C1" w:rsidRPr="00EF6720">
              <w:rPr>
                <w:rFonts w:ascii="Times New Roman" w:eastAsia="Times New Roman" w:hAnsi="Times New Roman" w:cs="Times New Roman"/>
                <w:b/>
                <w:sz w:val="24"/>
                <w:szCs w:val="24"/>
              </w:rPr>
              <w:t xml:space="preserve"> Alpha</w:t>
            </w:r>
          </w:p>
        </w:tc>
      </w:tr>
      <w:tr w:rsidR="009A12FF" w:rsidRPr="00EF6720" w14:paraId="12B6FD42" w14:textId="77777777" w:rsidTr="00EF6720">
        <w:trPr>
          <w:trHeight w:val="467"/>
          <w:jc w:val="center"/>
        </w:trPr>
        <w:tc>
          <w:tcPr>
            <w:tcW w:w="4248" w:type="dxa"/>
            <w:vAlign w:val="center"/>
          </w:tcPr>
          <w:p w14:paraId="654C960A"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Professional Risk Mindset (PRM)</w:t>
            </w:r>
          </w:p>
        </w:tc>
        <w:tc>
          <w:tcPr>
            <w:tcW w:w="2410" w:type="dxa"/>
            <w:vAlign w:val="center"/>
          </w:tcPr>
          <w:p w14:paraId="4624D945"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0EB00B87"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0.85</w:t>
            </w:r>
          </w:p>
        </w:tc>
      </w:tr>
      <w:tr w:rsidR="009A12FF" w:rsidRPr="00EF6720" w14:paraId="5C4D66C4" w14:textId="77777777" w:rsidTr="00EF6720">
        <w:trPr>
          <w:trHeight w:val="459"/>
          <w:jc w:val="center"/>
        </w:trPr>
        <w:tc>
          <w:tcPr>
            <w:tcW w:w="4248" w:type="dxa"/>
            <w:vAlign w:val="center"/>
          </w:tcPr>
          <w:p w14:paraId="111E7DD5"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Financial Risk Tolerance (FRT)</w:t>
            </w:r>
          </w:p>
        </w:tc>
        <w:tc>
          <w:tcPr>
            <w:tcW w:w="2410" w:type="dxa"/>
            <w:vAlign w:val="center"/>
          </w:tcPr>
          <w:p w14:paraId="59CE1856"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528891C7"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0.89</w:t>
            </w:r>
          </w:p>
        </w:tc>
      </w:tr>
      <w:tr w:rsidR="009A12FF" w:rsidRPr="00EF6720" w14:paraId="35EFDEC3" w14:textId="77777777" w:rsidTr="00EF6720">
        <w:trPr>
          <w:trHeight w:val="467"/>
          <w:jc w:val="center"/>
        </w:trPr>
        <w:tc>
          <w:tcPr>
            <w:tcW w:w="4248" w:type="dxa"/>
            <w:vAlign w:val="center"/>
          </w:tcPr>
          <w:p w14:paraId="206C677D"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Performance Expectancy (PE)</w:t>
            </w:r>
          </w:p>
        </w:tc>
        <w:tc>
          <w:tcPr>
            <w:tcW w:w="2410" w:type="dxa"/>
            <w:vAlign w:val="center"/>
          </w:tcPr>
          <w:p w14:paraId="79CAEAAB"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78998E2A"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0.82</w:t>
            </w:r>
          </w:p>
        </w:tc>
      </w:tr>
      <w:tr w:rsidR="009A12FF" w:rsidRPr="00EF6720" w14:paraId="3B4FE0F4" w14:textId="77777777" w:rsidTr="00EF6720">
        <w:trPr>
          <w:trHeight w:val="459"/>
          <w:jc w:val="center"/>
        </w:trPr>
        <w:tc>
          <w:tcPr>
            <w:tcW w:w="4248" w:type="dxa"/>
            <w:vAlign w:val="center"/>
          </w:tcPr>
          <w:p w14:paraId="4E41C245"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Effort Expectancy (EE)</w:t>
            </w:r>
          </w:p>
        </w:tc>
        <w:tc>
          <w:tcPr>
            <w:tcW w:w="2410" w:type="dxa"/>
            <w:vAlign w:val="center"/>
          </w:tcPr>
          <w:p w14:paraId="4BC6AC54"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1FCDF580"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0.78</w:t>
            </w:r>
          </w:p>
        </w:tc>
      </w:tr>
      <w:tr w:rsidR="009A12FF" w:rsidRPr="00EF6720" w14:paraId="4A2892D7" w14:textId="77777777" w:rsidTr="00EF6720">
        <w:trPr>
          <w:trHeight w:val="467"/>
          <w:jc w:val="center"/>
        </w:trPr>
        <w:tc>
          <w:tcPr>
            <w:tcW w:w="4248" w:type="dxa"/>
            <w:vAlign w:val="center"/>
          </w:tcPr>
          <w:p w14:paraId="0275C5FD"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Social Influence (SI)</w:t>
            </w:r>
          </w:p>
        </w:tc>
        <w:tc>
          <w:tcPr>
            <w:tcW w:w="2410" w:type="dxa"/>
            <w:vAlign w:val="center"/>
          </w:tcPr>
          <w:p w14:paraId="7B392A1D"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5B118502"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0.81</w:t>
            </w:r>
          </w:p>
        </w:tc>
      </w:tr>
      <w:tr w:rsidR="009A12FF" w:rsidRPr="00EF6720" w14:paraId="32CB7D64" w14:textId="77777777" w:rsidTr="00EF6720">
        <w:trPr>
          <w:trHeight w:val="467"/>
          <w:jc w:val="center"/>
        </w:trPr>
        <w:tc>
          <w:tcPr>
            <w:tcW w:w="4248" w:type="dxa"/>
            <w:vAlign w:val="center"/>
          </w:tcPr>
          <w:p w14:paraId="11961847"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Perceived Trust (Trust)</w:t>
            </w:r>
          </w:p>
        </w:tc>
        <w:tc>
          <w:tcPr>
            <w:tcW w:w="2410" w:type="dxa"/>
            <w:vAlign w:val="center"/>
          </w:tcPr>
          <w:p w14:paraId="462E0AEC"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6F65E33D"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0.88</w:t>
            </w:r>
          </w:p>
        </w:tc>
      </w:tr>
      <w:tr w:rsidR="009A12FF" w:rsidRPr="00EF6720" w14:paraId="7E2C5D4D" w14:textId="77777777" w:rsidTr="00EF6720">
        <w:trPr>
          <w:trHeight w:val="467"/>
          <w:jc w:val="center"/>
        </w:trPr>
        <w:tc>
          <w:tcPr>
            <w:tcW w:w="4248" w:type="dxa"/>
            <w:vAlign w:val="center"/>
          </w:tcPr>
          <w:p w14:paraId="43964443" w14:textId="77777777" w:rsidR="009A12FF" w:rsidRPr="00EF6720" w:rsidRDefault="009530C1" w:rsidP="00B9079E">
            <w:pPr>
              <w:spacing w:after="160"/>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Behavioral Intention (High-Risk)</w:t>
            </w:r>
          </w:p>
        </w:tc>
        <w:tc>
          <w:tcPr>
            <w:tcW w:w="2410" w:type="dxa"/>
            <w:vAlign w:val="center"/>
          </w:tcPr>
          <w:p w14:paraId="76C59D7F"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3</w:t>
            </w:r>
          </w:p>
        </w:tc>
        <w:tc>
          <w:tcPr>
            <w:tcW w:w="2230" w:type="dxa"/>
            <w:vAlign w:val="center"/>
          </w:tcPr>
          <w:p w14:paraId="16380534" w14:textId="77777777" w:rsidR="009A12FF" w:rsidRPr="00EF6720" w:rsidRDefault="009530C1" w:rsidP="00B9079E">
            <w:pPr>
              <w:spacing w:after="160"/>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0.86</w:t>
            </w:r>
          </w:p>
        </w:tc>
      </w:tr>
    </w:tbl>
    <w:p w14:paraId="070442C5" w14:textId="77777777" w:rsidR="009A12FF" w:rsidRPr="00B9079E" w:rsidRDefault="009530C1" w:rsidP="00B9079E">
      <w:pPr>
        <w:shd w:val="clear" w:color="auto" w:fill="FFFFFF"/>
        <w:spacing w:before="0" w:after="240"/>
        <w:jc w:val="center"/>
        <w:rPr>
          <w:rFonts w:ascii="Times New Roman" w:eastAsia="Times New Roman" w:hAnsi="Times New Roman" w:cs="Times New Roman"/>
          <w:bCs/>
          <w:i/>
          <w:iCs/>
          <w:color w:val="0F1115"/>
          <w:sz w:val="24"/>
          <w:szCs w:val="24"/>
        </w:rPr>
      </w:pPr>
      <w:r w:rsidRPr="00B9079E">
        <w:rPr>
          <w:rFonts w:ascii="Times New Roman" w:eastAsia="Times New Roman" w:hAnsi="Times New Roman" w:cs="Times New Roman"/>
          <w:bCs/>
          <w:i/>
          <w:iCs/>
          <w:color w:val="0F1115"/>
          <w:sz w:val="24"/>
          <w:szCs w:val="24"/>
        </w:rPr>
        <w:t>Source: Author’s own calculation using primary data.</w:t>
      </w:r>
    </w:p>
    <w:p w14:paraId="22F87E27" w14:textId="18974FA4" w:rsidR="009A12FF" w:rsidRPr="00EF6720" w:rsidRDefault="009530C1" w:rsidP="00B9079E">
      <w:pPr>
        <w:spacing w:before="0" w:after="16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In Table 3, all factor loadings were statistically significant (P &lt; .001) and exceeded the recommended value of 0.70, providing strong evidence for convergent validity at the item level. Composite Reliability CR for all constructs surpassed the 0.70 threshold, and the AVE for all constructs exceeded the 0.50 benchmark. This confirms that the measurement model possesses high reliability and convergent </w:t>
      </w:r>
      <w:r w:rsidR="00ED29C0">
        <w:rPr>
          <w:rFonts w:ascii="Times New Roman" w:eastAsia="Times New Roman" w:hAnsi="Times New Roman" w:cs="Times New Roman"/>
          <w:sz w:val="24"/>
          <w:szCs w:val="24"/>
        </w:rPr>
        <w:t>validity.</w:t>
      </w:r>
    </w:p>
    <w:p w14:paraId="320C6713" w14:textId="2B4176B9" w:rsidR="009A12FF" w:rsidRPr="00EF6720" w:rsidRDefault="009530C1" w:rsidP="00B9079E">
      <w:pPr>
        <w:spacing w:before="0"/>
        <w:jc w:val="center"/>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 xml:space="preserve">Table </w:t>
      </w:r>
      <w:r w:rsidR="00620F54">
        <w:rPr>
          <w:rFonts w:ascii="Times New Roman" w:eastAsia="Times New Roman" w:hAnsi="Times New Roman" w:cs="Times New Roman"/>
          <w:b/>
          <w:sz w:val="24"/>
          <w:szCs w:val="24"/>
        </w:rPr>
        <w:t>3: Convergent Validity and Reliability Analysis.</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31"/>
        <w:gridCol w:w="1671"/>
        <w:gridCol w:w="1417"/>
        <w:gridCol w:w="1985"/>
      </w:tblGrid>
      <w:tr w:rsidR="009A12FF" w:rsidRPr="00EF6720" w14:paraId="7944BD88" w14:textId="77777777" w:rsidTr="00EF6720">
        <w:tc>
          <w:tcPr>
            <w:tcW w:w="1980" w:type="dxa"/>
            <w:vAlign w:val="center"/>
          </w:tcPr>
          <w:p w14:paraId="20DB13A1"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Construct</w:t>
            </w:r>
          </w:p>
        </w:tc>
        <w:tc>
          <w:tcPr>
            <w:tcW w:w="1731" w:type="dxa"/>
            <w:vAlign w:val="center"/>
          </w:tcPr>
          <w:p w14:paraId="0F8CC528"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Measurement Item</w:t>
            </w:r>
          </w:p>
        </w:tc>
        <w:tc>
          <w:tcPr>
            <w:tcW w:w="1671" w:type="dxa"/>
            <w:vAlign w:val="center"/>
          </w:tcPr>
          <w:p w14:paraId="267455D1" w14:textId="0D593963" w:rsidR="009A12FF" w:rsidRPr="00EF6720" w:rsidRDefault="00ED29C0" w:rsidP="00B9079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Standardised</w:t>
            </w:r>
            <w:r w:rsidR="009530C1" w:rsidRPr="00EF6720">
              <w:rPr>
                <w:rFonts w:ascii="Times New Roman" w:eastAsia="Times New Roman" w:hAnsi="Times New Roman" w:cs="Times New Roman"/>
                <w:b/>
                <w:sz w:val="24"/>
                <w:szCs w:val="24"/>
              </w:rPr>
              <w:t xml:space="preserve"> Loading (λ)</w:t>
            </w:r>
          </w:p>
        </w:tc>
        <w:tc>
          <w:tcPr>
            <w:tcW w:w="1417" w:type="dxa"/>
            <w:vAlign w:val="center"/>
          </w:tcPr>
          <w:p w14:paraId="580CF4F0"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Composite Reliability (CR)</w:t>
            </w:r>
          </w:p>
        </w:tc>
        <w:tc>
          <w:tcPr>
            <w:tcW w:w="1985" w:type="dxa"/>
            <w:vAlign w:val="center"/>
          </w:tcPr>
          <w:p w14:paraId="041D7601"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Average Variance Extracted (AVE)</w:t>
            </w:r>
          </w:p>
        </w:tc>
      </w:tr>
      <w:tr w:rsidR="00EF6720" w:rsidRPr="00EF6720" w14:paraId="47084697" w14:textId="77777777" w:rsidTr="00EF6720">
        <w:tc>
          <w:tcPr>
            <w:tcW w:w="1980" w:type="dxa"/>
            <w:vMerge w:val="restart"/>
            <w:vAlign w:val="center"/>
          </w:tcPr>
          <w:p w14:paraId="5D27FAF2"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Professional Risk Mindset (PRM)</w:t>
            </w:r>
          </w:p>
        </w:tc>
        <w:tc>
          <w:tcPr>
            <w:tcW w:w="1731" w:type="dxa"/>
          </w:tcPr>
          <w:p w14:paraId="61D30F8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PRM1</w:t>
            </w:r>
          </w:p>
        </w:tc>
        <w:tc>
          <w:tcPr>
            <w:tcW w:w="1671" w:type="dxa"/>
          </w:tcPr>
          <w:p w14:paraId="790759F3"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0.82</w:t>
            </w:r>
          </w:p>
        </w:tc>
        <w:tc>
          <w:tcPr>
            <w:tcW w:w="1417" w:type="dxa"/>
          </w:tcPr>
          <w:p w14:paraId="2A12AA0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0.87</w:t>
            </w:r>
          </w:p>
        </w:tc>
        <w:tc>
          <w:tcPr>
            <w:tcW w:w="1985" w:type="dxa"/>
          </w:tcPr>
          <w:p w14:paraId="2912886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0.69</w:t>
            </w:r>
          </w:p>
        </w:tc>
      </w:tr>
      <w:tr w:rsidR="00EF6720" w:rsidRPr="00EF6720" w14:paraId="3F6EEB86" w14:textId="77777777" w:rsidTr="00EF6720">
        <w:tc>
          <w:tcPr>
            <w:tcW w:w="1980" w:type="dxa"/>
            <w:vMerge/>
            <w:vAlign w:val="center"/>
          </w:tcPr>
          <w:p w14:paraId="2388E0E7"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5528D3C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PRM2</w:t>
            </w:r>
          </w:p>
        </w:tc>
        <w:tc>
          <w:tcPr>
            <w:tcW w:w="1671" w:type="dxa"/>
          </w:tcPr>
          <w:p w14:paraId="1A51A60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0.85</w:t>
            </w:r>
          </w:p>
        </w:tc>
        <w:tc>
          <w:tcPr>
            <w:tcW w:w="1417" w:type="dxa"/>
          </w:tcPr>
          <w:p w14:paraId="495A41F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0.87</w:t>
            </w:r>
          </w:p>
        </w:tc>
        <w:tc>
          <w:tcPr>
            <w:tcW w:w="1985" w:type="dxa"/>
          </w:tcPr>
          <w:p w14:paraId="26A267A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0.69</w:t>
            </w:r>
          </w:p>
        </w:tc>
      </w:tr>
      <w:tr w:rsidR="00EF6720" w:rsidRPr="00EF6720" w14:paraId="3ABF8215" w14:textId="77777777" w:rsidTr="00EF6720">
        <w:tc>
          <w:tcPr>
            <w:tcW w:w="1980" w:type="dxa"/>
            <w:vMerge/>
            <w:vAlign w:val="center"/>
          </w:tcPr>
          <w:p w14:paraId="1D4E5191"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609BF20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PRM3</w:t>
            </w:r>
          </w:p>
        </w:tc>
        <w:tc>
          <w:tcPr>
            <w:tcW w:w="1671" w:type="dxa"/>
          </w:tcPr>
          <w:p w14:paraId="599FF16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0.81</w:t>
            </w:r>
          </w:p>
        </w:tc>
        <w:tc>
          <w:tcPr>
            <w:tcW w:w="1417" w:type="dxa"/>
          </w:tcPr>
          <w:p w14:paraId="67FC922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0.87</w:t>
            </w:r>
          </w:p>
        </w:tc>
        <w:tc>
          <w:tcPr>
            <w:tcW w:w="1985" w:type="dxa"/>
          </w:tcPr>
          <w:p w14:paraId="5F7F893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0.69</w:t>
            </w:r>
          </w:p>
        </w:tc>
      </w:tr>
      <w:tr w:rsidR="00EF6720" w:rsidRPr="00EF6720" w14:paraId="21EB3DB5" w14:textId="77777777" w:rsidTr="00EF6720">
        <w:tc>
          <w:tcPr>
            <w:tcW w:w="1980" w:type="dxa"/>
            <w:vMerge w:val="restart"/>
            <w:vAlign w:val="center"/>
          </w:tcPr>
          <w:p w14:paraId="5FEE3293"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Financial Risk Tolerance (FRT)</w:t>
            </w:r>
          </w:p>
        </w:tc>
        <w:tc>
          <w:tcPr>
            <w:tcW w:w="1731" w:type="dxa"/>
          </w:tcPr>
          <w:p w14:paraId="50170E2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FRT1</w:t>
            </w:r>
          </w:p>
        </w:tc>
        <w:tc>
          <w:tcPr>
            <w:tcW w:w="1671" w:type="dxa"/>
          </w:tcPr>
          <w:p w14:paraId="1F873627"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0.88</w:t>
            </w:r>
          </w:p>
        </w:tc>
        <w:tc>
          <w:tcPr>
            <w:tcW w:w="1417" w:type="dxa"/>
          </w:tcPr>
          <w:p w14:paraId="2135484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0.91</w:t>
            </w:r>
          </w:p>
        </w:tc>
        <w:tc>
          <w:tcPr>
            <w:tcW w:w="1985" w:type="dxa"/>
          </w:tcPr>
          <w:p w14:paraId="14231BB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0.72</w:t>
            </w:r>
          </w:p>
        </w:tc>
      </w:tr>
      <w:tr w:rsidR="00EF6720" w:rsidRPr="00EF6720" w14:paraId="0D655082" w14:textId="77777777" w:rsidTr="00EF6720">
        <w:tc>
          <w:tcPr>
            <w:tcW w:w="1980" w:type="dxa"/>
            <w:vMerge/>
            <w:vAlign w:val="center"/>
          </w:tcPr>
          <w:p w14:paraId="58AB16C1"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3694C753"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FRT2</w:t>
            </w:r>
          </w:p>
        </w:tc>
        <w:tc>
          <w:tcPr>
            <w:tcW w:w="1671" w:type="dxa"/>
          </w:tcPr>
          <w:p w14:paraId="04AF937F"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0.91</w:t>
            </w:r>
          </w:p>
        </w:tc>
        <w:tc>
          <w:tcPr>
            <w:tcW w:w="1417" w:type="dxa"/>
          </w:tcPr>
          <w:p w14:paraId="5EBA2888"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0.91</w:t>
            </w:r>
          </w:p>
        </w:tc>
        <w:tc>
          <w:tcPr>
            <w:tcW w:w="1985" w:type="dxa"/>
          </w:tcPr>
          <w:p w14:paraId="26B1C87E"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0.72</w:t>
            </w:r>
          </w:p>
        </w:tc>
      </w:tr>
      <w:tr w:rsidR="00EF6720" w:rsidRPr="00EF6720" w14:paraId="5D02C77E" w14:textId="77777777" w:rsidTr="00EF6720">
        <w:tc>
          <w:tcPr>
            <w:tcW w:w="1980" w:type="dxa"/>
            <w:vMerge/>
            <w:vAlign w:val="center"/>
          </w:tcPr>
          <w:p w14:paraId="02CE50B0"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3FFA320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FRT3</w:t>
            </w:r>
          </w:p>
        </w:tc>
        <w:tc>
          <w:tcPr>
            <w:tcW w:w="1671" w:type="dxa"/>
          </w:tcPr>
          <w:p w14:paraId="7C5DF1F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0.79</w:t>
            </w:r>
          </w:p>
        </w:tc>
        <w:tc>
          <w:tcPr>
            <w:tcW w:w="1417" w:type="dxa"/>
          </w:tcPr>
          <w:p w14:paraId="3B185CC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0.91</w:t>
            </w:r>
          </w:p>
        </w:tc>
        <w:tc>
          <w:tcPr>
            <w:tcW w:w="1985" w:type="dxa"/>
          </w:tcPr>
          <w:p w14:paraId="30AC4C9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0.72</w:t>
            </w:r>
          </w:p>
        </w:tc>
      </w:tr>
      <w:tr w:rsidR="00EF6720" w:rsidRPr="00EF6720" w14:paraId="35633C1C" w14:textId="77777777" w:rsidTr="00EF6720">
        <w:tc>
          <w:tcPr>
            <w:tcW w:w="1980" w:type="dxa"/>
            <w:vMerge w:val="restart"/>
            <w:vAlign w:val="center"/>
          </w:tcPr>
          <w:p w14:paraId="4EAC2508"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Performance Expectancy (PE)</w:t>
            </w:r>
          </w:p>
        </w:tc>
        <w:tc>
          <w:tcPr>
            <w:tcW w:w="1731" w:type="dxa"/>
          </w:tcPr>
          <w:p w14:paraId="3D15923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PE1</w:t>
            </w:r>
          </w:p>
        </w:tc>
        <w:tc>
          <w:tcPr>
            <w:tcW w:w="1671" w:type="dxa"/>
          </w:tcPr>
          <w:p w14:paraId="7F9696C0"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0.78</w:t>
            </w:r>
          </w:p>
        </w:tc>
        <w:tc>
          <w:tcPr>
            <w:tcW w:w="1417" w:type="dxa"/>
          </w:tcPr>
          <w:p w14:paraId="4F2236F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0.84</w:t>
            </w:r>
          </w:p>
        </w:tc>
        <w:tc>
          <w:tcPr>
            <w:tcW w:w="1985" w:type="dxa"/>
          </w:tcPr>
          <w:p w14:paraId="6EA46FD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0.64</w:t>
            </w:r>
          </w:p>
        </w:tc>
      </w:tr>
      <w:tr w:rsidR="00EF6720" w:rsidRPr="00EF6720" w14:paraId="77E5F582" w14:textId="77777777" w:rsidTr="00EF6720">
        <w:tc>
          <w:tcPr>
            <w:tcW w:w="1980" w:type="dxa"/>
            <w:vMerge/>
            <w:vAlign w:val="center"/>
          </w:tcPr>
          <w:p w14:paraId="3B05D038"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6911CA3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PE2</w:t>
            </w:r>
          </w:p>
        </w:tc>
        <w:tc>
          <w:tcPr>
            <w:tcW w:w="1671" w:type="dxa"/>
          </w:tcPr>
          <w:p w14:paraId="6A87599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0.83</w:t>
            </w:r>
          </w:p>
        </w:tc>
        <w:tc>
          <w:tcPr>
            <w:tcW w:w="1417" w:type="dxa"/>
          </w:tcPr>
          <w:p w14:paraId="65853692"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0.84</w:t>
            </w:r>
          </w:p>
        </w:tc>
        <w:tc>
          <w:tcPr>
            <w:tcW w:w="1985" w:type="dxa"/>
          </w:tcPr>
          <w:p w14:paraId="428B5FC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0.64</w:t>
            </w:r>
          </w:p>
        </w:tc>
      </w:tr>
      <w:tr w:rsidR="00EF6720" w:rsidRPr="00EF6720" w14:paraId="498EE328" w14:textId="77777777" w:rsidTr="00EF6720">
        <w:tc>
          <w:tcPr>
            <w:tcW w:w="1980" w:type="dxa"/>
            <w:vMerge/>
            <w:vAlign w:val="center"/>
          </w:tcPr>
          <w:p w14:paraId="4C088079"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7D3592B8"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PE3</w:t>
            </w:r>
          </w:p>
        </w:tc>
        <w:tc>
          <w:tcPr>
            <w:tcW w:w="1671" w:type="dxa"/>
          </w:tcPr>
          <w:p w14:paraId="0B4AAB3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0.80</w:t>
            </w:r>
          </w:p>
        </w:tc>
        <w:tc>
          <w:tcPr>
            <w:tcW w:w="1417" w:type="dxa"/>
          </w:tcPr>
          <w:p w14:paraId="4A96EE97"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0.84</w:t>
            </w:r>
          </w:p>
        </w:tc>
        <w:tc>
          <w:tcPr>
            <w:tcW w:w="1985" w:type="dxa"/>
          </w:tcPr>
          <w:p w14:paraId="1B4BE4A2"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0.64</w:t>
            </w:r>
          </w:p>
        </w:tc>
      </w:tr>
      <w:tr w:rsidR="00EF6720" w:rsidRPr="00EF6720" w14:paraId="2C98F943" w14:textId="77777777" w:rsidTr="00EF6720">
        <w:tc>
          <w:tcPr>
            <w:tcW w:w="1980" w:type="dxa"/>
            <w:vMerge w:val="restart"/>
            <w:vAlign w:val="center"/>
          </w:tcPr>
          <w:p w14:paraId="09AD5A3D"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Effort Expectancy (EE)</w:t>
            </w:r>
          </w:p>
        </w:tc>
        <w:tc>
          <w:tcPr>
            <w:tcW w:w="1731" w:type="dxa"/>
          </w:tcPr>
          <w:p w14:paraId="5A6B8E6E"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EE1</w:t>
            </w:r>
          </w:p>
        </w:tc>
        <w:tc>
          <w:tcPr>
            <w:tcW w:w="1671" w:type="dxa"/>
          </w:tcPr>
          <w:p w14:paraId="6B43FB9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0.76</w:t>
            </w:r>
          </w:p>
        </w:tc>
        <w:tc>
          <w:tcPr>
            <w:tcW w:w="1417" w:type="dxa"/>
          </w:tcPr>
          <w:p w14:paraId="2A186DD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0.81</w:t>
            </w:r>
          </w:p>
        </w:tc>
        <w:tc>
          <w:tcPr>
            <w:tcW w:w="1985" w:type="dxa"/>
          </w:tcPr>
          <w:p w14:paraId="063B50D7"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0.59</w:t>
            </w:r>
          </w:p>
        </w:tc>
      </w:tr>
      <w:tr w:rsidR="00EF6720" w:rsidRPr="00EF6720" w14:paraId="5C126515" w14:textId="77777777" w:rsidTr="00EF6720">
        <w:tc>
          <w:tcPr>
            <w:tcW w:w="1980" w:type="dxa"/>
            <w:vMerge/>
            <w:vAlign w:val="center"/>
          </w:tcPr>
          <w:p w14:paraId="039F38D0"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0E53434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EE2</w:t>
            </w:r>
          </w:p>
        </w:tc>
        <w:tc>
          <w:tcPr>
            <w:tcW w:w="1671" w:type="dxa"/>
          </w:tcPr>
          <w:p w14:paraId="2B47D73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0.81</w:t>
            </w:r>
          </w:p>
        </w:tc>
        <w:tc>
          <w:tcPr>
            <w:tcW w:w="1417" w:type="dxa"/>
          </w:tcPr>
          <w:p w14:paraId="7E1891E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0.81</w:t>
            </w:r>
          </w:p>
        </w:tc>
        <w:tc>
          <w:tcPr>
            <w:tcW w:w="1985" w:type="dxa"/>
          </w:tcPr>
          <w:p w14:paraId="0FA22FD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0.59</w:t>
            </w:r>
          </w:p>
        </w:tc>
      </w:tr>
      <w:tr w:rsidR="00EF6720" w:rsidRPr="00EF6720" w14:paraId="7EB9C817" w14:textId="77777777" w:rsidTr="00EF6720">
        <w:tc>
          <w:tcPr>
            <w:tcW w:w="1980" w:type="dxa"/>
            <w:vMerge/>
            <w:vAlign w:val="center"/>
          </w:tcPr>
          <w:p w14:paraId="48BCBAE2"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0B5A4B4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EE3</w:t>
            </w:r>
          </w:p>
        </w:tc>
        <w:tc>
          <w:tcPr>
            <w:tcW w:w="1671" w:type="dxa"/>
          </w:tcPr>
          <w:p w14:paraId="220731E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0.73</w:t>
            </w:r>
          </w:p>
        </w:tc>
        <w:tc>
          <w:tcPr>
            <w:tcW w:w="1417" w:type="dxa"/>
          </w:tcPr>
          <w:p w14:paraId="0911FA22"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0.81</w:t>
            </w:r>
          </w:p>
        </w:tc>
        <w:tc>
          <w:tcPr>
            <w:tcW w:w="1985" w:type="dxa"/>
          </w:tcPr>
          <w:p w14:paraId="11B598F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0.59</w:t>
            </w:r>
          </w:p>
        </w:tc>
      </w:tr>
      <w:tr w:rsidR="00EF6720" w:rsidRPr="00EF6720" w14:paraId="289283AB" w14:textId="77777777" w:rsidTr="00EF6720">
        <w:tc>
          <w:tcPr>
            <w:tcW w:w="1980" w:type="dxa"/>
            <w:vMerge w:val="restart"/>
            <w:vAlign w:val="center"/>
          </w:tcPr>
          <w:p w14:paraId="383E196F"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Social Influence (SI)</w:t>
            </w:r>
          </w:p>
        </w:tc>
        <w:tc>
          <w:tcPr>
            <w:tcW w:w="1731" w:type="dxa"/>
          </w:tcPr>
          <w:p w14:paraId="41629390"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SI1</w:t>
            </w:r>
          </w:p>
        </w:tc>
        <w:tc>
          <w:tcPr>
            <w:tcW w:w="1671" w:type="dxa"/>
          </w:tcPr>
          <w:p w14:paraId="7DC3C5C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0.79</w:t>
            </w:r>
          </w:p>
        </w:tc>
        <w:tc>
          <w:tcPr>
            <w:tcW w:w="1417" w:type="dxa"/>
          </w:tcPr>
          <w:p w14:paraId="5A87C55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0.83</w:t>
            </w:r>
          </w:p>
        </w:tc>
        <w:tc>
          <w:tcPr>
            <w:tcW w:w="1985" w:type="dxa"/>
          </w:tcPr>
          <w:p w14:paraId="25AAE7F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0.62</w:t>
            </w:r>
          </w:p>
        </w:tc>
      </w:tr>
      <w:tr w:rsidR="00EF6720" w:rsidRPr="00EF6720" w14:paraId="148CEA14" w14:textId="77777777" w:rsidTr="00EF6720">
        <w:tc>
          <w:tcPr>
            <w:tcW w:w="1980" w:type="dxa"/>
            <w:vMerge/>
            <w:vAlign w:val="center"/>
          </w:tcPr>
          <w:p w14:paraId="17D1F7C9"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6D1BAA7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SI2</w:t>
            </w:r>
          </w:p>
        </w:tc>
        <w:tc>
          <w:tcPr>
            <w:tcW w:w="1671" w:type="dxa"/>
          </w:tcPr>
          <w:p w14:paraId="596880C2"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0.84</w:t>
            </w:r>
          </w:p>
        </w:tc>
        <w:tc>
          <w:tcPr>
            <w:tcW w:w="1417" w:type="dxa"/>
          </w:tcPr>
          <w:p w14:paraId="19207C5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0.83</w:t>
            </w:r>
          </w:p>
        </w:tc>
        <w:tc>
          <w:tcPr>
            <w:tcW w:w="1985" w:type="dxa"/>
          </w:tcPr>
          <w:p w14:paraId="0E4F556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0.62</w:t>
            </w:r>
          </w:p>
        </w:tc>
      </w:tr>
      <w:tr w:rsidR="00EF6720" w:rsidRPr="00EF6720" w14:paraId="6EF0A44D" w14:textId="77777777" w:rsidTr="00EF6720">
        <w:tc>
          <w:tcPr>
            <w:tcW w:w="1980" w:type="dxa"/>
            <w:vMerge/>
            <w:vAlign w:val="center"/>
          </w:tcPr>
          <w:p w14:paraId="7CFCAC92"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04755CC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SI3</w:t>
            </w:r>
          </w:p>
        </w:tc>
        <w:tc>
          <w:tcPr>
            <w:tcW w:w="1671" w:type="dxa"/>
          </w:tcPr>
          <w:p w14:paraId="2575A60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0.77</w:t>
            </w:r>
          </w:p>
        </w:tc>
        <w:tc>
          <w:tcPr>
            <w:tcW w:w="1417" w:type="dxa"/>
          </w:tcPr>
          <w:p w14:paraId="2D6FED1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0.83</w:t>
            </w:r>
          </w:p>
        </w:tc>
        <w:tc>
          <w:tcPr>
            <w:tcW w:w="1985" w:type="dxa"/>
          </w:tcPr>
          <w:p w14:paraId="39E7067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0.62</w:t>
            </w:r>
          </w:p>
        </w:tc>
      </w:tr>
      <w:tr w:rsidR="00EF6720" w:rsidRPr="00EF6720" w14:paraId="0660F114" w14:textId="77777777" w:rsidTr="00EF6720">
        <w:tc>
          <w:tcPr>
            <w:tcW w:w="1980" w:type="dxa"/>
            <w:vMerge w:val="restart"/>
            <w:vAlign w:val="center"/>
          </w:tcPr>
          <w:p w14:paraId="20DC1556"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Perceived Trust (Trust)</w:t>
            </w:r>
          </w:p>
        </w:tc>
        <w:tc>
          <w:tcPr>
            <w:tcW w:w="1731" w:type="dxa"/>
          </w:tcPr>
          <w:p w14:paraId="362B455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Trust1</w:t>
            </w:r>
          </w:p>
        </w:tc>
        <w:tc>
          <w:tcPr>
            <w:tcW w:w="1671" w:type="dxa"/>
          </w:tcPr>
          <w:p w14:paraId="351087F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0.90</w:t>
            </w:r>
          </w:p>
        </w:tc>
        <w:tc>
          <w:tcPr>
            <w:tcW w:w="1417" w:type="dxa"/>
          </w:tcPr>
          <w:p w14:paraId="563D6C7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0.90</w:t>
            </w:r>
          </w:p>
        </w:tc>
        <w:tc>
          <w:tcPr>
            <w:tcW w:w="1985" w:type="dxa"/>
          </w:tcPr>
          <w:p w14:paraId="0D76171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0.75</w:t>
            </w:r>
          </w:p>
        </w:tc>
      </w:tr>
      <w:tr w:rsidR="00EF6720" w:rsidRPr="00EF6720" w14:paraId="1602146D" w14:textId="77777777" w:rsidTr="00EF6720">
        <w:tc>
          <w:tcPr>
            <w:tcW w:w="1980" w:type="dxa"/>
            <w:vMerge/>
            <w:vAlign w:val="center"/>
          </w:tcPr>
          <w:p w14:paraId="500D3B52"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26A9955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Trust2</w:t>
            </w:r>
          </w:p>
        </w:tc>
        <w:tc>
          <w:tcPr>
            <w:tcW w:w="1671" w:type="dxa"/>
          </w:tcPr>
          <w:p w14:paraId="52D27781"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0.87</w:t>
            </w:r>
          </w:p>
        </w:tc>
        <w:tc>
          <w:tcPr>
            <w:tcW w:w="1417" w:type="dxa"/>
          </w:tcPr>
          <w:p w14:paraId="6F3F6E58"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0.90</w:t>
            </w:r>
          </w:p>
        </w:tc>
        <w:tc>
          <w:tcPr>
            <w:tcW w:w="1985" w:type="dxa"/>
          </w:tcPr>
          <w:p w14:paraId="6F79280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0.75</w:t>
            </w:r>
          </w:p>
        </w:tc>
      </w:tr>
      <w:tr w:rsidR="00EF6720" w:rsidRPr="00EF6720" w14:paraId="240B612B" w14:textId="77777777" w:rsidTr="00EF6720">
        <w:tc>
          <w:tcPr>
            <w:tcW w:w="1980" w:type="dxa"/>
            <w:vMerge/>
            <w:vAlign w:val="center"/>
          </w:tcPr>
          <w:p w14:paraId="68D658C3" w14:textId="77777777" w:rsidR="00EF6720" w:rsidRPr="00EF6720" w:rsidRDefault="00EF6720" w:rsidP="00B9079E">
            <w:pPr>
              <w:jc w:val="left"/>
              <w:rPr>
                <w:rFonts w:ascii="Times New Roman" w:eastAsia="Times New Roman" w:hAnsi="Times New Roman" w:cs="Times New Roman"/>
                <w:bCs/>
                <w:sz w:val="24"/>
                <w:szCs w:val="24"/>
              </w:rPr>
            </w:pPr>
          </w:p>
        </w:tc>
        <w:tc>
          <w:tcPr>
            <w:tcW w:w="1731" w:type="dxa"/>
          </w:tcPr>
          <w:p w14:paraId="02180F67"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Trust3</w:t>
            </w:r>
          </w:p>
        </w:tc>
        <w:tc>
          <w:tcPr>
            <w:tcW w:w="1671" w:type="dxa"/>
          </w:tcPr>
          <w:p w14:paraId="70139EB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0.85</w:t>
            </w:r>
          </w:p>
        </w:tc>
        <w:tc>
          <w:tcPr>
            <w:tcW w:w="1417" w:type="dxa"/>
          </w:tcPr>
          <w:p w14:paraId="3BBD749B"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0.90</w:t>
            </w:r>
          </w:p>
        </w:tc>
        <w:tc>
          <w:tcPr>
            <w:tcW w:w="1985" w:type="dxa"/>
          </w:tcPr>
          <w:p w14:paraId="6E2F34D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0.75</w:t>
            </w:r>
          </w:p>
        </w:tc>
      </w:tr>
      <w:tr w:rsidR="00EF6720" w:rsidRPr="00EF6720" w14:paraId="493E4FCB" w14:textId="77777777" w:rsidTr="00EF6720">
        <w:tc>
          <w:tcPr>
            <w:tcW w:w="1980" w:type="dxa"/>
            <w:vMerge w:val="restart"/>
            <w:vAlign w:val="center"/>
          </w:tcPr>
          <w:p w14:paraId="639B7DAB" w14:textId="77777777" w:rsidR="00EF6720" w:rsidRPr="00EF6720" w:rsidRDefault="00EF6720" w:rsidP="00B9079E">
            <w:pPr>
              <w:jc w:val="left"/>
              <w:rPr>
                <w:rFonts w:ascii="Times New Roman" w:eastAsia="Times New Roman" w:hAnsi="Times New Roman" w:cs="Times New Roman"/>
                <w:bCs/>
                <w:sz w:val="24"/>
                <w:szCs w:val="24"/>
              </w:rPr>
            </w:pPr>
            <w:r w:rsidRPr="00EF6720">
              <w:rPr>
                <w:rFonts w:ascii="Times New Roman" w:eastAsia="Times New Roman" w:hAnsi="Times New Roman" w:cs="Times New Roman"/>
                <w:bCs/>
                <w:sz w:val="24"/>
                <w:szCs w:val="24"/>
              </w:rPr>
              <w:t>Behavioral Intention (High-Risk)</w:t>
            </w:r>
          </w:p>
        </w:tc>
        <w:tc>
          <w:tcPr>
            <w:tcW w:w="1731" w:type="dxa"/>
          </w:tcPr>
          <w:p w14:paraId="5F30FB29"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BI_High1</w:t>
            </w:r>
          </w:p>
        </w:tc>
        <w:tc>
          <w:tcPr>
            <w:tcW w:w="1671" w:type="dxa"/>
          </w:tcPr>
          <w:p w14:paraId="75203F4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0.86</w:t>
            </w:r>
          </w:p>
        </w:tc>
        <w:tc>
          <w:tcPr>
            <w:tcW w:w="1417" w:type="dxa"/>
          </w:tcPr>
          <w:p w14:paraId="7127F8B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0.88</w:t>
            </w:r>
          </w:p>
        </w:tc>
        <w:tc>
          <w:tcPr>
            <w:tcW w:w="1985" w:type="dxa"/>
          </w:tcPr>
          <w:p w14:paraId="257D0BE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0.71</w:t>
            </w:r>
          </w:p>
        </w:tc>
      </w:tr>
      <w:tr w:rsidR="00EF6720" w:rsidRPr="00EF6720" w14:paraId="5F5A4113" w14:textId="77777777" w:rsidTr="00EF6720">
        <w:tc>
          <w:tcPr>
            <w:tcW w:w="1980" w:type="dxa"/>
            <w:vMerge/>
          </w:tcPr>
          <w:p w14:paraId="76880565" w14:textId="77777777" w:rsidR="00EF6720" w:rsidRPr="00EF6720" w:rsidRDefault="00EF6720" w:rsidP="00B9079E">
            <w:pPr>
              <w:rPr>
                <w:rFonts w:ascii="Times New Roman" w:eastAsia="Times New Roman" w:hAnsi="Times New Roman" w:cs="Times New Roman"/>
                <w:sz w:val="24"/>
                <w:szCs w:val="24"/>
              </w:rPr>
            </w:pPr>
          </w:p>
        </w:tc>
        <w:tc>
          <w:tcPr>
            <w:tcW w:w="1731" w:type="dxa"/>
          </w:tcPr>
          <w:p w14:paraId="5B43EE0C"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BI_High2</w:t>
            </w:r>
          </w:p>
        </w:tc>
        <w:tc>
          <w:tcPr>
            <w:tcW w:w="1671" w:type="dxa"/>
          </w:tcPr>
          <w:p w14:paraId="58103406"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0.89</w:t>
            </w:r>
          </w:p>
        </w:tc>
        <w:tc>
          <w:tcPr>
            <w:tcW w:w="1417" w:type="dxa"/>
          </w:tcPr>
          <w:p w14:paraId="00A8B914"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0.88</w:t>
            </w:r>
          </w:p>
        </w:tc>
        <w:tc>
          <w:tcPr>
            <w:tcW w:w="1985" w:type="dxa"/>
          </w:tcPr>
          <w:p w14:paraId="63D0E125"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0.71</w:t>
            </w:r>
          </w:p>
        </w:tc>
      </w:tr>
      <w:tr w:rsidR="00EF6720" w:rsidRPr="00EF6720" w14:paraId="46543D51" w14:textId="77777777" w:rsidTr="00EF6720">
        <w:tc>
          <w:tcPr>
            <w:tcW w:w="1980" w:type="dxa"/>
            <w:vMerge/>
          </w:tcPr>
          <w:p w14:paraId="247F6C24" w14:textId="77777777" w:rsidR="00EF6720" w:rsidRPr="00EF6720" w:rsidRDefault="00EF6720" w:rsidP="00B9079E">
            <w:pPr>
              <w:rPr>
                <w:rFonts w:ascii="Times New Roman" w:eastAsia="Times New Roman" w:hAnsi="Times New Roman" w:cs="Times New Roman"/>
                <w:sz w:val="24"/>
                <w:szCs w:val="24"/>
              </w:rPr>
            </w:pPr>
          </w:p>
        </w:tc>
        <w:tc>
          <w:tcPr>
            <w:tcW w:w="1731" w:type="dxa"/>
          </w:tcPr>
          <w:p w14:paraId="47646CAE"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BI_High3</w:t>
            </w:r>
          </w:p>
        </w:tc>
        <w:tc>
          <w:tcPr>
            <w:tcW w:w="1671" w:type="dxa"/>
          </w:tcPr>
          <w:p w14:paraId="72AA339D"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0.82</w:t>
            </w:r>
          </w:p>
        </w:tc>
        <w:tc>
          <w:tcPr>
            <w:tcW w:w="1417" w:type="dxa"/>
          </w:tcPr>
          <w:p w14:paraId="068AF72A"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0.88</w:t>
            </w:r>
          </w:p>
        </w:tc>
        <w:tc>
          <w:tcPr>
            <w:tcW w:w="1985" w:type="dxa"/>
          </w:tcPr>
          <w:p w14:paraId="1C38B3BE" w14:textId="77777777" w:rsidR="00EF6720" w:rsidRPr="00EF6720" w:rsidRDefault="00EF6720"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0.71</w:t>
            </w:r>
          </w:p>
        </w:tc>
      </w:tr>
    </w:tbl>
    <w:p w14:paraId="64E014C7" w14:textId="10A246E4" w:rsidR="00CB45DA" w:rsidRPr="00CB45DA" w:rsidRDefault="009530C1" w:rsidP="00B9079E">
      <w:pPr>
        <w:shd w:val="clear" w:color="auto" w:fill="FFFFFF"/>
        <w:spacing w:before="0" w:after="0"/>
        <w:jc w:val="center"/>
        <w:rPr>
          <w:rFonts w:ascii="Times New Roman" w:eastAsia="Times New Roman" w:hAnsi="Times New Roman" w:cs="Times New Roman"/>
          <w:b/>
          <w:i/>
          <w:iCs/>
          <w:color w:val="0F1115"/>
          <w:sz w:val="24"/>
          <w:szCs w:val="24"/>
        </w:rPr>
      </w:pPr>
      <w:r w:rsidRPr="00CB45DA">
        <w:rPr>
          <w:rFonts w:ascii="Times New Roman" w:eastAsia="Times New Roman" w:hAnsi="Times New Roman" w:cs="Times New Roman"/>
          <w:bCs/>
          <w:i/>
          <w:iCs/>
          <w:color w:val="0F1115"/>
          <w:sz w:val="24"/>
          <w:szCs w:val="24"/>
        </w:rPr>
        <w:t>Source: Author’s own calculation using primary data.</w:t>
      </w:r>
    </w:p>
    <w:p w14:paraId="65661F5B" w14:textId="77777777" w:rsidR="00CB45DA" w:rsidRPr="00B9079E" w:rsidRDefault="00CB45DA" w:rsidP="00B9079E">
      <w:pPr>
        <w:shd w:val="clear" w:color="auto" w:fill="FFFFFF"/>
        <w:spacing w:before="0" w:after="0"/>
        <w:jc w:val="left"/>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 xml:space="preserve">NOTE: </w:t>
      </w:r>
      <w:r w:rsidRPr="00B9079E">
        <w:rPr>
          <w:rFonts w:ascii="Times New Roman" w:eastAsia="Times New Roman" w:hAnsi="Times New Roman" w:cs="Times New Roman"/>
          <w:color w:val="0F1115"/>
          <w:sz w:val="24"/>
          <w:szCs w:val="24"/>
        </w:rPr>
        <w:t>(</w:t>
      </w:r>
      <w:r w:rsidRPr="00B9079E">
        <w:rPr>
          <w:rFonts w:ascii="Times New Roman" w:eastAsia="Times New Roman" w:hAnsi="Times New Roman" w:cs="Times New Roman"/>
          <w:sz w:val="24"/>
          <w:szCs w:val="24"/>
        </w:rPr>
        <w:t>All factor loadings are significant at P &lt; .001.)</w:t>
      </w:r>
    </w:p>
    <w:p w14:paraId="6D13C70B" w14:textId="19CDE092" w:rsidR="00CB45DA" w:rsidRDefault="00CB45DA" w:rsidP="00B9079E">
      <w:pPr>
        <w:spacing w:before="0"/>
        <w:rPr>
          <w:rFonts w:ascii="Times New Roman" w:eastAsia="Times New Roman" w:hAnsi="Times New Roman" w:cs="Times New Roman"/>
          <w:sz w:val="24"/>
          <w:szCs w:val="24"/>
        </w:rPr>
      </w:pPr>
    </w:p>
    <w:p w14:paraId="209B47AA" w14:textId="77777777" w:rsidR="009A12FF" w:rsidRPr="00EF6720" w:rsidRDefault="009530C1" w:rsidP="00B9079E">
      <w:pPr>
        <w:spacing w:before="0" w:after="16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5.4. Structural Model Analysis</w:t>
      </w:r>
    </w:p>
    <w:p w14:paraId="00190F8A" w14:textId="615EF501" w:rsidR="009A12FF" w:rsidRPr="00EF6720"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With the measurement model validated, the structural model was estimated using the </w:t>
      </w:r>
      <w:r w:rsidRPr="007E2FD6">
        <w:rPr>
          <w:rFonts w:ascii="Times New Roman" w:eastAsia="Times New Roman" w:hAnsi="Times New Roman" w:cs="Times New Roman"/>
          <w:bCs/>
          <w:sz w:val="24"/>
          <w:szCs w:val="24"/>
        </w:rPr>
        <w:t xml:space="preserve">lavaan </w:t>
      </w:r>
      <w:r w:rsidRPr="00EF6720">
        <w:rPr>
          <w:rFonts w:ascii="Times New Roman" w:eastAsia="Times New Roman" w:hAnsi="Times New Roman" w:cs="Times New Roman"/>
          <w:sz w:val="24"/>
          <w:szCs w:val="24"/>
        </w:rPr>
        <w:t xml:space="preserve">package in R to test the hypotheses </w:t>
      </w:r>
      <w:r w:rsidR="00ED29C0">
        <w:rPr>
          <w:rFonts w:ascii="Times New Roman" w:eastAsia="Times New Roman" w:hAnsi="Times New Roman" w:cs="Times New Roman"/>
          <w:sz w:val="24"/>
          <w:szCs w:val="24"/>
        </w:rPr>
        <w:t>H1-H8.</w:t>
      </w:r>
    </w:p>
    <w:p w14:paraId="5C75DF3F" w14:textId="4E76587D" w:rsidR="009A12FF" w:rsidRPr="00EF6720" w:rsidRDefault="009530C1" w:rsidP="00B9079E">
      <w:pPr>
        <w:spacing w:before="0"/>
        <w:jc w:val="center"/>
        <w:rPr>
          <w:rFonts w:ascii="Times New Roman" w:eastAsia="Times New Roman" w:hAnsi="Times New Roman" w:cs="Times New Roman"/>
          <w:sz w:val="24"/>
          <w:szCs w:val="24"/>
        </w:rPr>
      </w:pPr>
      <w:r w:rsidRPr="00EF6720">
        <w:rPr>
          <w:rFonts w:ascii="Times New Roman" w:eastAsia="Times New Roman" w:hAnsi="Times New Roman" w:cs="Times New Roman"/>
          <w:b/>
          <w:sz w:val="24"/>
          <w:szCs w:val="24"/>
        </w:rPr>
        <w:t>Table 5</w:t>
      </w:r>
      <w:r w:rsidR="00CB45DA">
        <w:rPr>
          <w:rFonts w:ascii="Times New Roman" w:eastAsia="Times New Roman" w:hAnsi="Times New Roman" w:cs="Times New Roman"/>
          <w:b/>
          <w:sz w:val="24"/>
          <w:szCs w:val="24"/>
        </w:rPr>
        <w:t>:</w:t>
      </w:r>
      <w:r w:rsidRPr="00EF6720">
        <w:rPr>
          <w:rFonts w:ascii="Times New Roman" w:eastAsia="Times New Roman" w:hAnsi="Times New Roman" w:cs="Times New Roman"/>
          <w:sz w:val="24"/>
          <w:szCs w:val="24"/>
        </w:rPr>
        <w:t xml:space="preserve"> </w:t>
      </w:r>
      <w:r w:rsidRPr="00EF6720">
        <w:rPr>
          <w:rFonts w:ascii="Times New Roman" w:eastAsia="Times New Roman" w:hAnsi="Times New Roman" w:cs="Times New Roman"/>
          <w:b/>
          <w:sz w:val="24"/>
          <w:szCs w:val="24"/>
        </w:rPr>
        <w:t>Structural Model Results and Hypothesis Testing</w:t>
      </w:r>
    </w:p>
    <w:tbl>
      <w:tblPr>
        <w:tblStyle w:val="a2"/>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126"/>
        <w:gridCol w:w="1418"/>
        <w:gridCol w:w="1134"/>
        <w:gridCol w:w="1559"/>
        <w:gridCol w:w="839"/>
        <w:gridCol w:w="1004"/>
      </w:tblGrid>
      <w:tr w:rsidR="009A12FF" w:rsidRPr="00EF6720" w14:paraId="520D2DF0" w14:textId="77777777" w:rsidTr="00CB45DA">
        <w:trPr>
          <w:trHeight w:val="518"/>
          <w:jc w:val="center"/>
        </w:trPr>
        <w:tc>
          <w:tcPr>
            <w:tcW w:w="846" w:type="dxa"/>
          </w:tcPr>
          <w:p w14:paraId="310263FB"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Hypothesis</w:t>
            </w:r>
          </w:p>
        </w:tc>
        <w:tc>
          <w:tcPr>
            <w:tcW w:w="2126" w:type="dxa"/>
          </w:tcPr>
          <w:p w14:paraId="43C27178"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Path</w:t>
            </w:r>
          </w:p>
        </w:tc>
        <w:tc>
          <w:tcPr>
            <w:tcW w:w="1418" w:type="dxa"/>
          </w:tcPr>
          <w:p w14:paraId="1587E7E8"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Path Coefficient (β)</w:t>
            </w:r>
          </w:p>
        </w:tc>
        <w:tc>
          <w:tcPr>
            <w:tcW w:w="1134" w:type="dxa"/>
          </w:tcPr>
          <w:p w14:paraId="19D8648F"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Standard Error (SE)</w:t>
            </w:r>
          </w:p>
        </w:tc>
        <w:tc>
          <w:tcPr>
            <w:tcW w:w="1559" w:type="dxa"/>
          </w:tcPr>
          <w:p w14:paraId="1D967B0C"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95% CI</w:t>
            </w:r>
          </w:p>
        </w:tc>
        <w:tc>
          <w:tcPr>
            <w:tcW w:w="839" w:type="dxa"/>
          </w:tcPr>
          <w:p w14:paraId="30FB3E92"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P</w:t>
            </w:r>
          </w:p>
        </w:tc>
        <w:tc>
          <w:tcPr>
            <w:tcW w:w="1004" w:type="dxa"/>
          </w:tcPr>
          <w:p w14:paraId="319C3E42"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Result</w:t>
            </w:r>
          </w:p>
        </w:tc>
      </w:tr>
      <w:tr w:rsidR="009A12FF" w:rsidRPr="00EF6720" w14:paraId="524DA5E6" w14:textId="77777777" w:rsidTr="00CB45DA">
        <w:trPr>
          <w:trHeight w:val="255"/>
          <w:jc w:val="center"/>
        </w:trPr>
        <w:tc>
          <w:tcPr>
            <w:tcW w:w="846" w:type="dxa"/>
          </w:tcPr>
          <w:p w14:paraId="5EA8205C" w14:textId="77777777" w:rsidR="009A12FF" w:rsidRPr="00CB45DA" w:rsidRDefault="009530C1"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H1</w:t>
            </w:r>
          </w:p>
        </w:tc>
        <w:tc>
          <w:tcPr>
            <w:tcW w:w="2126" w:type="dxa"/>
          </w:tcPr>
          <w:p w14:paraId="72EE50E5" w14:textId="77777777" w:rsidR="009A12FF" w:rsidRPr="00EF6720" w:rsidRDefault="009530C1"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PRM (Med &gt; Eng)</w:t>
            </w:r>
          </w:p>
        </w:tc>
        <w:tc>
          <w:tcPr>
            <w:tcW w:w="1418" w:type="dxa"/>
          </w:tcPr>
          <w:p w14:paraId="3BA25B7A"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-0.85*</w:t>
            </w:r>
          </w:p>
        </w:tc>
        <w:tc>
          <w:tcPr>
            <w:tcW w:w="1134" w:type="dxa"/>
          </w:tcPr>
          <w:p w14:paraId="5E9C1B94"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0.08</w:t>
            </w:r>
          </w:p>
        </w:tc>
        <w:tc>
          <w:tcPr>
            <w:tcW w:w="1559" w:type="dxa"/>
          </w:tcPr>
          <w:p w14:paraId="25DAE8D0"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[-1.01, -0.69]</w:t>
            </w:r>
          </w:p>
        </w:tc>
        <w:tc>
          <w:tcPr>
            <w:tcW w:w="839" w:type="dxa"/>
          </w:tcPr>
          <w:p w14:paraId="5A224A8E"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7092FF00" w14:textId="3F0766E9" w:rsidR="009A12FF" w:rsidRPr="00CB45DA" w:rsidRDefault="009530C1" w:rsidP="00B9079E">
            <w:pPr>
              <w:jc w:val="center"/>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S</w:t>
            </w:r>
          </w:p>
        </w:tc>
      </w:tr>
      <w:tr w:rsidR="00CB45DA" w:rsidRPr="00EF6720" w14:paraId="73C645C5" w14:textId="77777777" w:rsidTr="00CB45DA">
        <w:trPr>
          <w:trHeight w:val="255"/>
          <w:jc w:val="center"/>
        </w:trPr>
        <w:tc>
          <w:tcPr>
            <w:tcW w:w="846" w:type="dxa"/>
          </w:tcPr>
          <w:p w14:paraId="07E24EFC"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H2</w:t>
            </w:r>
          </w:p>
        </w:tc>
        <w:tc>
          <w:tcPr>
            <w:tcW w:w="2126" w:type="dxa"/>
          </w:tcPr>
          <w:p w14:paraId="0FFCD8A4"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PRM → FRT</w:t>
            </w:r>
          </w:p>
        </w:tc>
        <w:tc>
          <w:tcPr>
            <w:tcW w:w="1418" w:type="dxa"/>
          </w:tcPr>
          <w:p w14:paraId="720FBCCE"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-0.41</w:t>
            </w:r>
          </w:p>
        </w:tc>
        <w:tc>
          <w:tcPr>
            <w:tcW w:w="1134" w:type="dxa"/>
          </w:tcPr>
          <w:p w14:paraId="60CB11A3"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0.05</w:t>
            </w:r>
          </w:p>
        </w:tc>
        <w:tc>
          <w:tcPr>
            <w:tcW w:w="1559" w:type="dxa"/>
          </w:tcPr>
          <w:p w14:paraId="69707C25"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[-0.51, -0.31]</w:t>
            </w:r>
          </w:p>
        </w:tc>
        <w:tc>
          <w:tcPr>
            <w:tcW w:w="839" w:type="dxa"/>
          </w:tcPr>
          <w:p w14:paraId="1B5780CB"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06F4AE10" w14:textId="523CDF28" w:rsidR="00CB45DA" w:rsidRPr="00CB45DA" w:rsidRDefault="00CB45DA" w:rsidP="00B9079E">
            <w:pPr>
              <w:jc w:val="center"/>
              <w:rPr>
                <w:rFonts w:ascii="Times New Roman" w:eastAsia="Times New Roman" w:hAnsi="Times New Roman" w:cs="Times New Roman"/>
                <w:bCs/>
                <w:sz w:val="24"/>
                <w:szCs w:val="24"/>
              </w:rPr>
            </w:pPr>
            <w:r w:rsidRPr="00783D3B">
              <w:rPr>
                <w:rFonts w:ascii="Times New Roman" w:eastAsia="Times New Roman" w:hAnsi="Times New Roman" w:cs="Times New Roman"/>
                <w:bCs/>
                <w:sz w:val="24"/>
                <w:szCs w:val="24"/>
              </w:rPr>
              <w:t>S</w:t>
            </w:r>
          </w:p>
        </w:tc>
      </w:tr>
      <w:tr w:rsidR="00CB45DA" w:rsidRPr="00EF6720" w14:paraId="7C64B1A9" w14:textId="77777777" w:rsidTr="00CB45DA">
        <w:trPr>
          <w:trHeight w:val="262"/>
          <w:jc w:val="center"/>
        </w:trPr>
        <w:tc>
          <w:tcPr>
            <w:tcW w:w="846" w:type="dxa"/>
          </w:tcPr>
          <w:p w14:paraId="186F8BFB"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H3</w:t>
            </w:r>
          </w:p>
        </w:tc>
        <w:tc>
          <w:tcPr>
            <w:tcW w:w="2126" w:type="dxa"/>
          </w:tcPr>
          <w:p w14:paraId="0A59E7F1"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 → Trust</w:t>
            </w:r>
          </w:p>
        </w:tc>
        <w:tc>
          <w:tcPr>
            <w:tcW w:w="1418" w:type="dxa"/>
          </w:tcPr>
          <w:p w14:paraId="3623AE2A"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0.63</w:t>
            </w:r>
          </w:p>
        </w:tc>
        <w:tc>
          <w:tcPr>
            <w:tcW w:w="1134" w:type="dxa"/>
          </w:tcPr>
          <w:p w14:paraId="11DD6225"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0.04</w:t>
            </w:r>
          </w:p>
        </w:tc>
        <w:tc>
          <w:tcPr>
            <w:tcW w:w="1559" w:type="dxa"/>
          </w:tcPr>
          <w:p w14:paraId="750AD398"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[0.55, 0.71]</w:t>
            </w:r>
          </w:p>
        </w:tc>
        <w:tc>
          <w:tcPr>
            <w:tcW w:w="839" w:type="dxa"/>
          </w:tcPr>
          <w:p w14:paraId="3B646A3A"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164BFE3A" w14:textId="0449D082" w:rsidR="00CB45DA" w:rsidRPr="00CB45DA" w:rsidRDefault="00CB45DA" w:rsidP="00B9079E">
            <w:pPr>
              <w:jc w:val="center"/>
              <w:rPr>
                <w:rFonts w:ascii="Times New Roman" w:eastAsia="Times New Roman" w:hAnsi="Times New Roman" w:cs="Times New Roman"/>
                <w:bCs/>
                <w:sz w:val="24"/>
                <w:szCs w:val="24"/>
              </w:rPr>
            </w:pPr>
            <w:r w:rsidRPr="00783D3B">
              <w:rPr>
                <w:rFonts w:ascii="Times New Roman" w:eastAsia="Times New Roman" w:hAnsi="Times New Roman" w:cs="Times New Roman"/>
                <w:bCs/>
                <w:sz w:val="24"/>
                <w:szCs w:val="24"/>
              </w:rPr>
              <w:t>S</w:t>
            </w:r>
          </w:p>
        </w:tc>
      </w:tr>
      <w:tr w:rsidR="00CB45DA" w:rsidRPr="00EF6720" w14:paraId="5D7A2D6B" w14:textId="77777777" w:rsidTr="00CB45DA">
        <w:trPr>
          <w:trHeight w:val="255"/>
          <w:jc w:val="center"/>
        </w:trPr>
        <w:tc>
          <w:tcPr>
            <w:tcW w:w="846" w:type="dxa"/>
          </w:tcPr>
          <w:p w14:paraId="3E00A23F"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H4a</w:t>
            </w:r>
          </w:p>
        </w:tc>
        <w:tc>
          <w:tcPr>
            <w:tcW w:w="2126" w:type="dxa"/>
          </w:tcPr>
          <w:p w14:paraId="395D1C7C"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 → BI_High</w:t>
            </w:r>
          </w:p>
        </w:tc>
        <w:tc>
          <w:tcPr>
            <w:tcW w:w="1418" w:type="dxa"/>
          </w:tcPr>
          <w:p w14:paraId="441A9378"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0.55</w:t>
            </w:r>
          </w:p>
        </w:tc>
        <w:tc>
          <w:tcPr>
            <w:tcW w:w="1134" w:type="dxa"/>
          </w:tcPr>
          <w:p w14:paraId="4A9834F1"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0.05</w:t>
            </w:r>
          </w:p>
        </w:tc>
        <w:tc>
          <w:tcPr>
            <w:tcW w:w="1559" w:type="dxa"/>
          </w:tcPr>
          <w:p w14:paraId="4C33CCEE"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[0.45, 0.65]</w:t>
            </w:r>
          </w:p>
        </w:tc>
        <w:tc>
          <w:tcPr>
            <w:tcW w:w="839" w:type="dxa"/>
          </w:tcPr>
          <w:p w14:paraId="7A4995F5"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740ACD7D" w14:textId="1ED0CFF0" w:rsidR="00CB45DA" w:rsidRPr="00CB45DA" w:rsidRDefault="00CB45DA" w:rsidP="00B9079E">
            <w:pPr>
              <w:jc w:val="center"/>
              <w:rPr>
                <w:rFonts w:ascii="Times New Roman" w:eastAsia="Times New Roman" w:hAnsi="Times New Roman" w:cs="Times New Roman"/>
                <w:bCs/>
                <w:sz w:val="24"/>
                <w:szCs w:val="24"/>
              </w:rPr>
            </w:pPr>
            <w:r w:rsidRPr="00783D3B">
              <w:rPr>
                <w:rFonts w:ascii="Times New Roman" w:eastAsia="Times New Roman" w:hAnsi="Times New Roman" w:cs="Times New Roman"/>
                <w:bCs/>
                <w:sz w:val="24"/>
                <w:szCs w:val="24"/>
              </w:rPr>
              <w:t>S</w:t>
            </w:r>
          </w:p>
        </w:tc>
      </w:tr>
      <w:tr w:rsidR="009A12FF" w:rsidRPr="00EF6720" w14:paraId="50B9AADD" w14:textId="77777777" w:rsidTr="00CB45DA">
        <w:trPr>
          <w:trHeight w:val="262"/>
          <w:jc w:val="center"/>
        </w:trPr>
        <w:tc>
          <w:tcPr>
            <w:tcW w:w="846" w:type="dxa"/>
          </w:tcPr>
          <w:p w14:paraId="332D4933" w14:textId="77777777" w:rsidR="009A12FF" w:rsidRPr="00CB45DA" w:rsidRDefault="009530C1"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H4b</w:t>
            </w:r>
          </w:p>
        </w:tc>
        <w:tc>
          <w:tcPr>
            <w:tcW w:w="2126" w:type="dxa"/>
          </w:tcPr>
          <w:p w14:paraId="6B5DEF82" w14:textId="77777777" w:rsidR="009A12FF" w:rsidRPr="00EF6720" w:rsidRDefault="009530C1"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 → BI_Low</w:t>
            </w:r>
          </w:p>
        </w:tc>
        <w:tc>
          <w:tcPr>
            <w:tcW w:w="1418" w:type="dxa"/>
          </w:tcPr>
          <w:p w14:paraId="0DBA4118"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0.07</w:t>
            </w:r>
          </w:p>
        </w:tc>
        <w:tc>
          <w:tcPr>
            <w:tcW w:w="1134" w:type="dxa"/>
          </w:tcPr>
          <w:p w14:paraId="3D5FFABA"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0.06</w:t>
            </w:r>
          </w:p>
        </w:tc>
        <w:tc>
          <w:tcPr>
            <w:tcW w:w="1559" w:type="dxa"/>
          </w:tcPr>
          <w:p w14:paraId="26229693"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[-0.05, 0.19]</w:t>
            </w:r>
          </w:p>
        </w:tc>
        <w:tc>
          <w:tcPr>
            <w:tcW w:w="839" w:type="dxa"/>
          </w:tcPr>
          <w:p w14:paraId="17F7598D"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.242</w:t>
            </w:r>
          </w:p>
        </w:tc>
        <w:tc>
          <w:tcPr>
            <w:tcW w:w="1004" w:type="dxa"/>
          </w:tcPr>
          <w:p w14:paraId="07332907" w14:textId="66990A1F" w:rsidR="009A12FF" w:rsidRPr="00CB45DA" w:rsidRDefault="00CB45DA" w:rsidP="00B9079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NS</w:t>
            </w:r>
          </w:p>
        </w:tc>
      </w:tr>
      <w:tr w:rsidR="00CB45DA" w:rsidRPr="00EF6720" w14:paraId="04790BB6" w14:textId="77777777" w:rsidTr="00CB45DA">
        <w:trPr>
          <w:trHeight w:val="255"/>
          <w:jc w:val="center"/>
        </w:trPr>
        <w:tc>
          <w:tcPr>
            <w:tcW w:w="846" w:type="dxa"/>
          </w:tcPr>
          <w:p w14:paraId="7DDCB866"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H5</w:t>
            </w:r>
          </w:p>
        </w:tc>
        <w:tc>
          <w:tcPr>
            <w:tcW w:w="2126" w:type="dxa"/>
          </w:tcPr>
          <w:p w14:paraId="179B1246"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Trust → BI_High</w:t>
            </w:r>
          </w:p>
        </w:tc>
        <w:tc>
          <w:tcPr>
            <w:tcW w:w="1418" w:type="dxa"/>
          </w:tcPr>
          <w:p w14:paraId="3318CC97"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0.28</w:t>
            </w:r>
          </w:p>
        </w:tc>
        <w:tc>
          <w:tcPr>
            <w:tcW w:w="1134" w:type="dxa"/>
          </w:tcPr>
          <w:p w14:paraId="596D896E"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0.05</w:t>
            </w:r>
          </w:p>
        </w:tc>
        <w:tc>
          <w:tcPr>
            <w:tcW w:w="1559" w:type="dxa"/>
          </w:tcPr>
          <w:p w14:paraId="5A3E333A"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[0.18, 0.38]</w:t>
            </w:r>
          </w:p>
        </w:tc>
        <w:tc>
          <w:tcPr>
            <w:tcW w:w="839" w:type="dxa"/>
          </w:tcPr>
          <w:p w14:paraId="1F4011FD"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77FEC92F" w14:textId="591AA9E1" w:rsidR="00CB45DA" w:rsidRPr="00CB45DA" w:rsidRDefault="00CB45DA" w:rsidP="00B9079E">
            <w:pPr>
              <w:jc w:val="center"/>
              <w:rPr>
                <w:rFonts w:ascii="Times New Roman" w:eastAsia="Times New Roman" w:hAnsi="Times New Roman" w:cs="Times New Roman"/>
                <w:bCs/>
                <w:sz w:val="24"/>
                <w:szCs w:val="24"/>
              </w:rPr>
            </w:pPr>
            <w:r w:rsidRPr="00294A7B">
              <w:rPr>
                <w:rFonts w:ascii="Times New Roman" w:eastAsia="Times New Roman" w:hAnsi="Times New Roman" w:cs="Times New Roman"/>
                <w:bCs/>
                <w:sz w:val="24"/>
                <w:szCs w:val="24"/>
              </w:rPr>
              <w:t>S</w:t>
            </w:r>
          </w:p>
        </w:tc>
      </w:tr>
      <w:tr w:rsidR="00CB45DA" w:rsidRPr="00EF6720" w14:paraId="7436589F" w14:textId="77777777" w:rsidTr="00CB45DA">
        <w:trPr>
          <w:trHeight w:val="262"/>
          <w:jc w:val="center"/>
        </w:trPr>
        <w:tc>
          <w:tcPr>
            <w:tcW w:w="846" w:type="dxa"/>
          </w:tcPr>
          <w:p w14:paraId="32C2ED81"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H6</w:t>
            </w:r>
          </w:p>
        </w:tc>
        <w:tc>
          <w:tcPr>
            <w:tcW w:w="2126" w:type="dxa"/>
          </w:tcPr>
          <w:p w14:paraId="7B1E4407"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PE → BI_High</w:t>
            </w:r>
          </w:p>
        </w:tc>
        <w:tc>
          <w:tcPr>
            <w:tcW w:w="1418" w:type="dxa"/>
          </w:tcPr>
          <w:p w14:paraId="5324BC66"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0.19</w:t>
            </w:r>
          </w:p>
        </w:tc>
        <w:tc>
          <w:tcPr>
            <w:tcW w:w="1134" w:type="dxa"/>
          </w:tcPr>
          <w:p w14:paraId="435C78A2"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0.05</w:t>
            </w:r>
          </w:p>
        </w:tc>
        <w:tc>
          <w:tcPr>
            <w:tcW w:w="1559" w:type="dxa"/>
          </w:tcPr>
          <w:p w14:paraId="4D8CC80D"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[0.09, 0.29]</w:t>
            </w:r>
          </w:p>
        </w:tc>
        <w:tc>
          <w:tcPr>
            <w:tcW w:w="839" w:type="dxa"/>
          </w:tcPr>
          <w:p w14:paraId="2CE37576"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2D1E086F" w14:textId="22F37EA9" w:rsidR="00CB45DA" w:rsidRPr="00CB45DA" w:rsidRDefault="00CB45DA" w:rsidP="00B9079E">
            <w:pPr>
              <w:jc w:val="center"/>
              <w:rPr>
                <w:rFonts w:ascii="Times New Roman" w:eastAsia="Times New Roman" w:hAnsi="Times New Roman" w:cs="Times New Roman"/>
                <w:bCs/>
                <w:sz w:val="24"/>
                <w:szCs w:val="24"/>
              </w:rPr>
            </w:pPr>
            <w:r w:rsidRPr="00294A7B">
              <w:rPr>
                <w:rFonts w:ascii="Times New Roman" w:eastAsia="Times New Roman" w:hAnsi="Times New Roman" w:cs="Times New Roman"/>
                <w:bCs/>
                <w:sz w:val="24"/>
                <w:szCs w:val="24"/>
              </w:rPr>
              <w:t>S</w:t>
            </w:r>
          </w:p>
        </w:tc>
      </w:tr>
      <w:tr w:rsidR="00CB45DA" w:rsidRPr="00EF6720" w14:paraId="1349787F" w14:textId="77777777" w:rsidTr="00CB45DA">
        <w:trPr>
          <w:trHeight w:val="255"/>
          <w:jc w:val="center"/>
        </w:trPr>
        <w:tc>
          <w:tcPr>
            <w:tcW w:w="846" w:type="dxa"/>
          </w:tcPr>
          <w:p w14:paraId="63F2C4D8"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H7</w:t>
            </w:r>
          </w:p>
        </w:tc>
        <w:tc>
          <w:tcPr>
            <w:tcW w:w="2126" w:type="dxa"/>
          </w:tcPr>
          <w:p w14:paraId="737680AF"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EE → BI_High</w:t>
            </w:r>
          </w:p>
        </w:tc>
        <w:tc>
          <w:tcPr>
            <w:tcW w:w="1418" w:type="dxa"/>
          </w:tcPr>
          <w:p w14:paraId="2433C132"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0.11</w:t>
            </w:r>
          </w:p>
        </w:tc>
        <w:tc>
          <w:tcPr>
            <w:tcW w:w="1134" w:type="dxa"/>
          </w:tcPr>
          <w:p w14:paraId="70876C4F"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0.04</w:t>
            </w:r>
          </w:p>
        </w:tc>
        <w:tc>
          <w:tcPr>
            <w:tcW w:w="1559" w:type="dxa"/>
          </w:tcPr>
          <w:p w14:paraId="1653080A"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[0.03, 0.19]</w:t>
            </w:r>
          </w:p>
        </w:tc>
        <w:tc>
          <w:tcPr>
            <w:tcW w:w="839" w:type="dxa"/>
          </w:tcPr>
          <w:p w14:paraId="0A682C7F"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.006</w:t>
            </w:r>
          </w:p>
        </w:tc>
        <w:tc>
          <w:tcPr>
            <w:tcW w:w="1004" w:type="dxa"/>
          </w:tcPr>
          <w:p w14:paraId="597FB4D7" w14:textId="56833CC0" w:rsidR="00CB45DA" w:rsidRPr="00CB45DA" w:rsidRDefault="00CB45DA" w:rsidP="00B9079E">
            <w:pPr>
              <w:jc w:val="center"/>
              <w:rPr>
                <w:rFonts w:ascii="Times New Roman" w:eastAsia="Times New Roman" w:hAnsi="Times New Roman" w:cs="Times New Roman"/>
                <w:bCs/>
                <w:sz w:val="24"/>
                <w:szCs w:val="24"/>
              </w:rPr>
            </w:pPr>
            <w:r w:rsidRPr="00294A7B">
              <w:rPr>
                <w:rFonts w:ascii="Times New Roman" w:eastAsia="Times New Roman" w:hAnsi="Times New Roman" w:cs="Times New Roman"/>
                <w:bCs/>
                <w:sz w:val="24"/>
                <w:szCs w:val="24"/>
              </w:rPr>
              <w:t>S</w:t>
            </w:r>
          </w:p>
        </w:tc>
      </w:tr>
      <w:tr w:rsidR="00CB45DA" w:rsidRPr="00EF6720" w14:paraId="163AA6C0" w14:textId="77777777" w:rsidTr="00CB45DA">
        <w:trPr>
          <w:trHeight w:val="262"/>
          <w:jc w:val="center"/>
        </w:trPr>
        <w:tc>
          <w:tcPr>
            <w:tcW w:w="846" w:type="dxa"/>
          </w:tcPr>
          <w:p w14:paraId="04A05231" w14:textId="77777777" w:rsidR="00CB45DA" w:rsidRPr="00CB45DA" w:rsidRDefault="00CB45DA" w:rsidP="00B9079E">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H8</w:t>
            </w:r>
          </w:p>
        </w:tc>
        <w:tc>
          <w:tcPr>
            <w:tcW w:w="2126" w:type="dxa"/>
          </w:tcPr>
          <w:p w14:paraId="157DE22B" w14:textId="77777777" w:rsidR="00CB45DA" w:rsidRPr="00EF6720" w:rsidRDefault="00CB45DA" w:rsidP="00B9079E">
            <w:pPr>
              <w:jc w:val="left"/>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SI → BI_High</w:t>
            </w:r>
          </w:p>
        </w:tc>
        <w:tc>
          <w:tcPr>
            <w:tcW w:w="1418" w:type="dxa"/>
          </w:tcPr>
          <w:p w14:paraId="195A4039"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0.15</w:t>
            </w:r>
          </w:p>
        </w:tc>
        <w:tc>
          <w:tcPr>
            <w:tcW w:w="1134" w:type="dxa"/>
          </w:tcPr>
          <w:p w14:paraId="365E91D1"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0.04</w:t>
            </w:r>
          </w:p>
        </w:tc>
        <w:tc>
          <w:tcPr>
            <w:tcW w:w="1559" w:type="dxa"/>
          </w:tcPr>
          <w:p w14:paraId="650CC0DC"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[0.07, 0.23]</w:t>
            </w:r>
          </w:p>
        </w:tc>
        <w:tc>
          <w:tcPr>
            <w:tcW w:w="839" w:type="dxa"/>
          </w:tcPr>
          <w:p w14:paraId="354FB222" w14:textId="77777777" w:rsidR="00CB45DA" w:rsidRPr="00EF6720" w:rsidRDefault="00CB45DA"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c>
          <w:tcPr>
            <w:tcW w:w="1004" w:type="dxa"/>
          </w:tcPr>
          <w:p w14:paraId="4D717FA4" w14:textId="39FBDF7F" w:rsidR="00CB45DA" w:rsidRPr="00CB45DA" w:rsidRDefault="00CB45DA" w:rsidP="00B9079E">
            <w:pPr>
              <w:jc w:val="center"/>
              <w:rPr>
                <w:rFonts w:ascii="Times New Roman" w:eastAsia="Times New Roman" w:hAnsi="Times New Roman" w:cs="Times New Roman"/>
                <w:bCs/>
                <w:sz w:val="24"/>
                <w:szCs w:val="24"/>
              </w:rPr>
            </w:pPr>
            <w:r w:rsidRPr="00294A7B">
              <w:rPr>
                <w:rFonts w:ascii="Times New Roman" w:eastAsia="Times New Roman" w:hAnsi="Times New Roman" w:cs="Times New Roman"/>
                <w:bCs/>
                <w:sz w:val="24"/>
                <w:szCs w:val="24"/>
              </w:rPr>
              <w:t>S</w:t>
            </w:r>
          </w:p>
        </w:tc>
      </w:tr>
    </w:tbl>
    <w:p w14:paraId="631BC401" w14:textId="14A26FFD" w:rsidR="009A12FF" w:rsidRPr="00CB45DA" w:rsidRDefault="009530C1" w:rsidP="00B9079E">
      <w:pPr>
        <w:shd w:val="clear" w:color="auto" w:fill="FFFFFF"/>
        <w:spacing w:before="0" w:after="0"/>
        <w:jc w:val="center"/>
        <w:rPr>
          <w:rFonts w:ascii="Times New Roman" w:eastAsia="Times New Roman" w:hAnsi="Times New Roman" w:cs="Times New Roman"/>
          <w:bCs/>
          <w:i/>
          <w:iCs/>
          <w:color w:val="0F1115"/>
          <w:sz w:val="24"/>
          <w:szCs w:val="24"/>
        </w:rPr>
      </w:pPr>
      <w:r w:rsidRPr="00CB45DA">
        <w:rPr>
          <w:rFonts w:ascii="Times New Roman" w:eastAsia="Times New Roman" w:hAnsi="Times New Roman" w:cs="Times New Roman"/>
          <w:bCs/>
          <w:i/>
          <w:iCs/>
          <w:color w:val="0F1115"/>
          <w:sz w:val="24"/>
          <w:szCs w:val="24"/>
        </w:rPr>
        <w:t>Source: Author’s own calculation using primary data.</w:t>
      </w:r>
    </w:p>
    <w:p w14:paraId="36AEFE66" w14:textId="0AC7CA3A" w:rsidR="00CB45DA" w:rsidRDefault="00CB45DA" w:rsidP="00B9079E">
      <w:pPr>
        <w:shd w:val="clear" w:color="auto" w:fill="FFFFFF"/>
        <w:spacing w:before="0" w:after="0"/>
        <w:jc w:val="left"/>
        <w:rPr>
          <w:rFonts w:ascii="Times New Roman" w:eastAsia="Times New Roman" w:hAnsi="Times New Roman" w:cs="Times New Roman"/>
          <w:bCs/>
          <w:color w:val="0F1115"/>
          <w:sz w:val="24"/>
          <w:szCs w:val="24"/>
        </w:rPr>
      </w:pPr>
      <w:r>
        <w:rPr>
          <w:rFonts w:ascii="Times New Roman" w:eastAsia="Times New Roman" w:hAnsi="Times New Roman" w:cs="Times New Roman"/>
          <w:bCs/>
          <w:color w:val="0F1115"/>
          <w:sz w:val="24"/>
          <w:szCs w:val="24"/>
        </w:rPr>
        <w:t xml:space="preserve">NOTE: S for Supported; </w:t>
      </w:r>
      <w:r w:rsidR="00ED29C0">
        <w:rPr>
          <w:rFonts w:ascii="Times New Roman" w:eastAsia="Times New Roman" w:hAnsi="Times New Roman" w:cs="Times New Roman"/>
          <w:bCs/>
          <w:color w:val="0F1115"/>
          <w:sz w:val="24"/>
          <w:szCs w:val="24"/>
        </w:rPr>
        <w:t>NS for</w:t>
      </w:r>
      <w:r>
        <w:rPr>
          <w:rFonts w:ascii="Times New Roman" w:eastAsia="Times New Roman" w:hAnsi="Times New Roman" w:cs="Times New Roman"/>
          <w:bCs/>
          <w:color w:val="0F1115"/>
          <w:sz w:val="24"/>
          <w:szCs w:val="24"/>
        </w:rPr>
        <w:t xml:space="preserve"> Not Supported.</w:t>
      </w:r>
    </w:p>
    <w:p w14:paraId="191D1D52" w14:textId="77777777" w:rsidR="00CB45DA" w:rsidRPr="00CB45DA" w:rsidRDefault="00CB45DA" w:rsidP="00B9079E">
      <w:pPr>
        <w:shd w:val="clear" w:color="auto" w:fill="FFFFFF"/>
        <w:spacing w:before="0" w:after="0"/>
        <w:jc w:val="left"/>
        <w:rPr>
          <w:rFonts w:ascii="Times New Roman" w:eastAsia="Times New Roman" w:hAnsi="Times New Roman" w:cs="Times New Roman"/>
          <w:bCs/>
          <w:color w:val="0F1115"/>
          <w:sz w:val="24"/>
          <w:szCs w:val="24"/>
        </w:rPr>
      </w:pPr>
    </w:p>
    <w:p w14:paraId="3B3B334E" w14:textId="77777777" w:rsidR="009A12FF" w:rsidRPr="00EF6720" w:rsidRDefault="009530C1" w:rsidP="00B9079E">
      <w:pPr>
        <w:spacing w:before="0" w:after="16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5.5. Multi-Group Analysis (MGA)</w:t>
      </w:r>
    </w:p>
    <w:p w14:paraId="692C021D" w14:textId="4B4334C7" w:rsidR="009A12FF" w:rsidRPr="00EF6720" w:rsidRDefault="009530C1" w:rsidP="00B9079E">
      <w:pPr>
        <w:spacing w:before="0" w:after="16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Multi-Group Analysis (MGA) was conducted comparing the medical and engineering student cohorts. Measurement invariance was established </w:t>
      </w:r>
      <w:r w:rsidR="00ED29C0">
        <w:rPr>
          <w:rFonts w:ascii="Times New Roman" w:eastAsia="Times New Roman" w:hAnsi="Times New Roman" w:cs="Times New Roman"/>
          <w:sz w:val="24"/>
          <w:szCs w:val="24"/>
        </w:rPr>
        <w:t>prior to</w:t>
      </w:r>
      <w:r w:rsidRPr="00EF6720">
        <w:rPr>
          <w:rFonts w:ascii="Times New Roman" w:eastAsia="Times New Roman" w:hAnsi="Times New Roman" w:cs="Times New Roman"/>
          <w:sz w:val="24"/>
          <w:szCs w:val="24"/>
        </w:rPr>
        <w:t xml:space="preserve"> comparing path </w:t>
      </w:r>
      <w:r w:rsidR="00ED29C0">
        <w:rPr>
          <w:rFonts w:ascii="Times New Roman" w:eastAsia="Times New Roman" w:hAnsi="Times New Roman" w:cs="Times New Roman"/>
          <w:sz w:val="24"/>
          <w:szCs w:val="24"/>
        </w:rPr>
        <w:t xml:space="preserve">coefficients. </w:t>
      </w:r>
      <w:r w:rsidRPr="00EF6720">
        <w:rPr>
          <w:rFonts w:ascii="Times New Roman" w:eastAsia="Times New Roman" w:hAnsi="Times New Roman" w:cs="Times New Roman"/>
          <w:sz w:val="24"/>
          <w:szCs w:val="24"/>
        </w:rPr>
        <w:t xml:space="preserve">The change in CFI (ΔCFI) between the configural, metric, and scalar model full scalar invariance was achieved as less than 0.01, confirming that constructs were perceived and understood in a comparable manner by both groups </w:t>
      </w:r>
    </w:p>
    <w:p w14:paraId="5859F703" w14:textId="684E8286" w:rsidR="009A12FF" w:rsidRPr="00EF6720" w:rsidRDefault="00ED29C0" w:rsidP="00B9079E">
      <w:pPr>
        <w:spacing w:before="0"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530C1" w:rsidRPr="00EF6720">
        <w:rPr>
          <w:rFonts w:ascii="Times New Roman" w:eastAsia="Times New Roman" w:hAnsi="Times New Roman" w:cs="Times New Roman"/>
          <w:sz w:val="24"/>
          <w:szCs w:val="24"/>
        </w:rPr>
        <w:t xml:space="preserve"> structural path from </w:t>
      </w:r>
      <w:r>
        <w:rPr>
          <w:rFonts w:ascii="Times New Roman" w:eastAsia="Times New Roman" w:hAnsi="Times New Roman" w:cs="Times New Roman"/>
          <w:sz w:val="24"/>
          <w:szCs w:val="24"/>
        </w:rPr>
        <w:t>financial risk tolerance</w:t>
      </w:r>
      <w:r w:rsidR="009530C1" w:rsidRPr="00EF6720">
        <w:rPr>
          <w:rFonts w:ascii="Times New Roman" w:eastAsia="Times New Roman" w:hAnsi="Times New Roman" w:cs="Times New Roman"/>
          <w:sz w:val="24"/>
          <w:szCs w:val="24"/>
        </w:rPr>
        <w:t xml:space="preserve"> to Behavioral Intention to </w:t>
      </w:r>
      <w:r>
        <w:rPr>
          <w:rFonts w:ascii="Times New Roman" w:eastAsia="Times New Roman" w:hAnsi="Times New Roman" w:cs="Times New Roman"/>
          <w:sz w:val="24"/>
          <w:szCs w:val="24"/>
        </w:rPr>
        <w:t>adopt</w:t>
      </w:r>
      <w:r w:rsidR="009530C1" w:rsidRPr="00EF6720">
        <w:rPr>
          <w:rFonts w:ascii="Times New Roman" w:eastAsia="Times New Roman" w:hAnsi="Times New Roman" w:cs="Times New Roman"/>
          <w:sz w:val="24"/>
          <w:szCs w:val="24"/>
        </w:rPr>
        <w:t xml:space="preserve"> high-risk </w:t>
      </w:r>
      <w:r>
        <w:rPr>
          <w:rFonts w:ascii="Times New Roman" w:eastAsia="Times New Roman" w:hAnsi="Times New Roman" w:cs="Times New Roman"/>
          <w:sz w:val="24"/>
          <w:szCs w:val="24"/>
        </w:rPr>
        <w:t>fintech</w:t>
      </w:r>
      <w:r w:rsidR="009530C1" w:rsidRPr="00EF6720">
        <w:rPr>
          <w:rFonts w:ascii="Times New Roman" w:eastAsia="Times New Roman" w:hAnsi="Times New Roman" w:cs="Times New Roman"/>
          <w:sz w:val="24"/>
          <w:szCs w:val="24"/>
        </w:rPr>
        <w:t xml:space="preserve"> (H4a) was compared between the two groups. </w:t>
      </w:r>
      <w:r>
        <w:rPr>
          <w:rFonts w:ascii="Times New Roman" w:eastAsia="Times New Roman" w:hAnsi="Times New Roman" w:cs="Times New Roman"/>
          <w:sz w:val="24"/>
          <w:szCs w:val="24"/>
        </w:rPr>
        <w:t>Table 6 shows</w:t>
      </w:r>
      <w:r w:rsidR="009530C1" w:rsidRPr="00EF6720">
        <w:rPr>
          <w:rFonts w:ascii="Times New Roman" w:eastAsia="Times New Roman" w:hAnsi="Times New Roman" w:cs="Times New Roman"/>
          <w:sz w:val="24"/>
          <w:szCs w:val="24"/>
        </w:rPr>
        <w:t xml:space="preserve"> that the path coefficient is significantly weaker for the medical student group (β = 0.32) compared to the engineering student group (β = 0.68).</w:t>
      </w:r>
    </w:p>
    <w:p w14:paraId="780E5644" w14:textId="5307CC32" w:rsidR="009A12FF" w:rsidRPr="00EF6720" w:rsidRDefault="00620F54" w:rsidP="00B9079E">
      <w:pPr>
        <w:spacing w:befor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6 presents a multi-group comparison of the FRT to the BI_High path.</w:t>
      </w:r>
      <w:r w:rsidR="00CB45DA">
        <w:rPr>
          <w:rFonts w:ascii="Times New Roman" w:eastAsia="Times New Roman" w:hAnsi="Times New Roman" w:cs="Times New Roman"/>
          <w:b/>
          <w:sz w:val="24"/>
          <w:szCs w:val="24"/>
        </w:rPr>
        <w:t xml:space="preserve"> </w:t>
      </w:r>
    </w:p>
    <w:tbl>
      <w:tblPr>
        <w:tblStyle w:val="a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843"/>
        <w:gridCol w:w="1701"/>
        <w:gridCol w:w="1418"/>
        <w:gridCol w:w="850"/>
      </w:tblGrid>
      <w:tr w:rsidR="009A12FF" w:rsidRPr="00EF6720" w14:paraId="01D8883F" w14:textId="77777777" w:rsidTr="007E2FD6">
        <w:trPr>
          <w:trHeight w:val="257"/>
        </w:trPr>
        <w:tc>
          <w:tcPr>
            <w:tcW w:w="2972" w:type="dxa"/>
            <w:vAlign w:val="center"/>
          </w:tcPr>
          <w:p w14:paraId="59105F9E"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Group</w:t>
            </w:r>
          </w:p>
        </w:tc>
        <w:tc>
          <w:tcPr>
            <w:tcW w:w="1843" w:type="dxa"/>
            <w:vAlign w:val="center"/>
          </w:tcPr>
          <w:p w14:paraId="64312669"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Path</w:t>
            </w:r>
          </w:p>
        </w:tc>
        <w:tc>
          <w:tcPr>
            <w:tcW w:w="1701" w:type="dxa"/>
            <w:vAlign w:val="center"/>
          </w:tcPr>
          <w:p w14:paraId="4C9B6734"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Path Coefficient (β)</w:t>
            </w:r>
          </w:p>
        </w:tc>
        <w:tc>
          <w:tcPr>
            <w:tcW w:w="1418" w:type="dxa"/>
            <w:vAlign w:val="center"/>
          </w:tcPr>
          <w:p w14:paraId="00D326A9"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95% CI</w:t>
            </w:r>
          </w:p>
        </w:tc>
        <w:tc>
          <w:tcPr>
            <w:tcW w:w="850" w:type="dxa"/>
            <w:vAlign w:val="center"/>
          </w:tcPr>
          <w:p w14:paraId="3F7EE308" w14:textId="77777777" w:rsidR="009A12FF" w:rsidRPr="00EF6720" w:rsidRDefault="009530C1" w:rsidP="00B9079E">
            <w:pPr>
              <w:jc w:val="center"/>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P</w:t>
            </w:r>
          </w:p>
        </w:tc>
      </w:tr>
      <w:tr w:rsidR="009A12FF" w:rsidRPr="00EF6720" w14:paraId="047C129B" w14:textId="77777777" w:rsidTr="007E2FD6">
        <w:trPr>
          <w:trHeight w:val="401"/>
        </w:trPr>
        <w:tc>
          <w:tcPr>
            <w:tcW w:w="2972" w:type="dxa"/>
            <w:vAlign w:val="center"/>
          </w:tcPr>
          <w:p w14:paraId="6AEF8BC3" w14:textId="77777777" w:rsidR="009A12FF" w:rsidRPr="00CB45DA" w:rsidRDefault="009530C1" w:rsidP="007E2FD6">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Medical Students</w:t>
            </w:r>
          </w:p>
        </w:tc>
        <w:tc>
          <w:tcPr>
            <w:tcW w:w="1843" w:type="dxa"/>
            <w:vAlign w:val="center"/>
          </w:tcPr>
          <w:p w14:paraId="02D19E7F" w14:textId="77777777" w:rsidR="009A12FF" w:rsidRPr="00EF6720" w:rsidRDefault="009530C1" w:rsidP="00B9079E">
            <w:pP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 → BI_High</w:t>
            </w:r>
          </w:p>
        </w:tc>
        <w:tc>
          <w:tcPr>
            <w:tcW w:w="1701" w:type="dxa"/>
            <w:vAlign w:val="center"/>
          </w:tcPr>
          <w:p w14:paraId="3EBA32D9"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0.32</w:t>
            </w:r>
          </w:p>
        </w:tc>
        <w:tc>
          <w:tcPr>
            <w:tcW w:w="1418" w:type="dxa"/>
            <w:vAlign w:val="center"/>
          </w:tcPr>
          <w:p w14:paraId="083D77F8"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[0.21, 0.43]</w:t>
            </w:r>
          </w:p>
        </w:tc>
        <w:tc>
          <w:tcPr>
            <w:tcW w:w="850" w:type="dxa"/>
            <w:vAlign w:val="center"/>
          </w:tcPr>
          <w:p w14:paraId="39301400"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r>
      <w:tr w:rsidR="009A12FF" w:rsidRPr="00EF6720" w14:paraId="2ABB0B13" w14:textId="77777777" w:rsidTr="007E2FD6">
        <w:trPr>
          <w:trHeight w:val="405"/>
        </w:trPr>
        <w:tc>
          <w:tcPr>
            <w:tcW w:w="2972" w:type="dxa"/>
            <w:vAlign w:val="center"/>
          </w:tcPr>
          <w:p w14:paraId="26E2662E" w14:textId="77777777" w:rsidR="009A12FF" w:rsidRPr="00CB45DA" w:rsidRDefault="009530C1" w:rsidP="007E2FD6">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Engineering Students</w:t>
            </w:r>
          </w:p>
        </w:tc>
        <w:tc>
          <w:tcPr>
            <w:tcW w:w="1843" w:type="dxa"/>
            <w:vAlign w:val="center"/>
          </w:tcPr>
          <w:p w14:paraId="5676AA15" w14:textId="77777777" w:rsidR="009A12FF" w:rsidRPr="00EF6720" w:rsidRDefault="009530C1" w:rsidP="00B9079E">
            <w:pP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FRT → BI_High</w:t>
            </w:r>
          </w:p>
        </w:tc>
        <w:tc>
          <w:tcPr>
            <w:tcW w:w="1701" w:type="dxa"/>
            <w:vAlign w:val="center"/>
          </w:tcPr>
          <w:p w14:paraId="2167CA63"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0.68</w:t>
            </w:r>
          </w:p>
        </w:tc>
        <w:tc>
          <w:tcPr>
            <w:tcW w:w="1418" w:type="dxa"/>
            <w:vAlign w:val="center"/>
          </w:tcPr>
          <w:p w14:paraId="25CBFAE1"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[0.59, 0.77]</w:t>
            </w:r>
          </w:p>
        </w:tc>
        <w:tc>
          <w:tcPr>
            <w:tcW w:w="850" w:type="dxa"/>
            <w:vAlign w:val="center"/>
          </w:tcPr>
          <w:p w14:paraId="1D644515" w14:textId="77777777" w:rsidR="009A12FF" w:rsidRPr="00EF6720" w:rsidRDefault="009530C1" w:rsidP="00B9079E">
            <w:pPr>
              <w:jc w:val="center"/>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&lt; .001</w:t>
            </w:r>
          </w:p>
        </w:tc>
      </w:tr>
      <w:tr w:rsidR="009A12FF" w:rsidRPr="00EF6720" w14:paraId="65FB18FE" w14:textId="77777777" w:rsidTr="007E2FD6">
        <w:trPr>
          <w:trHeight w:val="401"/>
        </w:trPr>
        <w:tc>
          <w:tcPr>
            <w:tcW w:w="2972" w:type="dxa"/>
            <w:vAlign w:val="center"/>
          </w:tcPr>
          <w:p w14:paraId="64A4A693" w14:textId="77777777" w:rsidR="009A12FF" w:rsidRPr="00CB45DA" w:rsidRDefault="009530C1" w:rsidP="007E2FD6">
            <w:pPr>
              <w:jc w:val="left"/>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Chi-Square Difference Test</w:t>
            </w:r>
          </w:p>
        </w:tc>
        <w:tc>
          <w:tcPr>
            <w:tcW w:w="1843" w:type="dxa"/>
            <w:vAlign w:val="center"/>
          </w:tcPr>
          <w:p w14:paraId="1B974AF8" w14:textId="77777777" w:rsidR="009A12FF" w:rsidRPr="00CB45DA" w:rsidRDefault="009530C1" w:rsidP="00B9079E">
            <w:pPr>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Δχ²(1) = 15.84</w:t>
            </w:r>
          </w:p>
        </w:tc>
        <w:tc>
          <w:tcPr>
            <w:tcW w:w="1701" w:type="dxa"/>
            <w:vAlign w:val="center"/>
          </w:tcPr>
          <w:p w14:paraId="1623BF59" w14:textId="69163088" w:rsidR="009A12FF" w:rsidRPr="00CB45DA" w:rsidRDefault="00CB45DA" w:rsidP="00B9079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418" w:type="dxa"/>
            <w:vAlign w:val="center"/>
          </w:tcPr>
          <w:p w14:paraId="74707619" w14:textId="77777777" w:rsidR="009A12FF" w:rsidRPr="00CB45DA" w:rsidRDefault="009530C1" w:rsidP="00B9079E">
            <w:pPr>
              <w:jc w:val="center"/>
              <w:rPr>
                <w:rFonts w:ascii="Times New Roman" w:eastAsia="Times New Roman" w:hAnsi="Times New Roman" w:cs="Times New Roman"/>
                <w:bCs/>
                <w:sz w:val="24"/>
                <w:szCs w:val="24"/>
              </w:rPr>
            </w:pPr>
            <w:r w:rsidRPr="00CB45DA">
              <w:rPr>
                <w:rFonts w:ascii="Times New Roman" w:eastAsia="Times New Roman" w:hAnsi="Times New Roman" w:cs="Times New Roman"/>
                <w:bCs/>
                <w:sz w:val="24"/>
                <w:szCs w:val="24"/>
              </w:rPr>
              <w:t>P &lt; .001</w:t>
            </w:r>
          </w:p>
        </w:tc>
        <w:tc>
          <w:tcPr>
            <w:tcW w:w="850" w:type="dxa"/>
            <w:vAlign w:val="center"/>
          </w:tcPr>
          <w:p w14:paraId="196F82D6" w14:textId="1350D06A" w:rsidR="009A12FF" w:rsidRPr="00EF6720" w:rsidRDefault="00CB45DA" w:rsidP="00B907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6CFAAC86" w14:textId="77777777" w:rsidR="009A12FF" w:rsidRPr="00CB45DA" w:rsidRDefault="009530C1" w:rsidP="00B9079E">
      <w:pPr>
        <w:shd w:val="clear" w:color="auto" w:fill="FFFFFF"/>
        <w:spacing w:before="0" w:after="240"/>
        <w:jc w:val="center"/>
        <w:rPr>
          <w:rFonts w:ascii="Times New Roman" w:eastAsia="Times New Roman" w:hAnsi="Times New Roman" w:cs="Times New Roman"/>
          <w:bCs/>
          <w:i/>
          <w:iCs/>
          <w:color w:val="0F1115"/>
          <w:sz w:val="24"/>
          <w:szCs w:val="24"/>
        </w:rPr>
      </w:pPr>
      <w:r w:rsidRPr="00CB45DA">
        <w:rPr>
          <w:rFonts w:ascii="Times New Roman" w:eastAsia="Times New Roman" w:hAnsi="Times New Roman" w:cs="Times New Roman"/>
          <w:bCs/>
          <w:i/>
          <w:iCs/>
          <w:color w:val="0F1115"/>
          <w:sz w:val="24"/>
          <w:szCs w:val="24"/>
        </w:rPr>
        <w:t>Source: Author’s own calculation using primary data.</w:t>
      </w:r>
    </w:p>
    <w:p w14:paraId="552BBD85" w14:textId="0EA32F69" w:rsidR="009A12FF" w:rsidRDefault="009530C1" w:rsidP="00B9079E">
      <w:pPr>
        <w:spacing w:before="0" w:after="16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lastRenderedPageBreak/>
        <w:t>This finding provides strong empirical support for the study central proposition. While financial risk tolerance influences adoption intentions for both groups, its effect is substantially smaller for medical students, suggesting that their professional risk aversion acts as a significant moderating factor, dampening the translation of personal financial risk tolerance into adoption behavior for high-risk Fintech products.</w:t>
      </w:r>
    </w:p>
    <w:p w14:paraId="255E9295" w14:textId="3B5B8513" w:rsidR="00CB45DA" w:rsidRPr="00B9079E" w:rsidRDefault="00CB45DA" w:rsidP="00B9079E">
      <w:pPr>
        <w:spacing w:before="0" w:after="160"/>
        <w:jc w:val="center"/>
        <w:rPr>
          <w:rFonts w:ascii="Times New Roman" w:eastAsia="Times New Roman" w:hAnsi="Times New Roman" w:cs="Times New Roman"/>
          <w:b/>
          <w:bCs/>
          <w:sz w:val="24"/>
          <w:szCs w:val="24"/>
        </w:rPr>
      </w:pPr>
      <w:r w:rsidRPr="00B9079E">
        <w:rPr>
          <w:rFonts w:ascii="Times New Roman" w:eastAsia="Times New Roman" w:hAnsi="Times New Roman" w:cs="Times New Roman"/>
          <w:b/>
          <w:bCs/>
          <w:sz w:val="24"/>
          <w:szCs w:val="24"/>
        </w:rPr>
        <w:t>Figure 2: Path Analysis</w:t>
      </w:r>
    </w:p>
    <w:p w14:paraId="0A127A3A" w14:textId="77777777" w:rsidR="009A12FF" w:rsidRPr="00EF6720" w:rsidRDefault="009530C1" w:rsidP="00B9079E">
      <w:pPr>
        <w:spacing w:before="0" w:after="160"/>
        <w:jc w:val="center"/>
        <w:rPr>
          <w:rFonts w:ascii="Times New Roman" w:eastAsia="Times New Roman" w:hAnsi="Times New Roman" w:cs="Times New Roman"/>
          <w:sz w:val="24"/>
          <w:szCs w:val="24"/>
        </w:rPr>
      </w:pPr>
      <w:r w:rsidRPr="00EF6720">
        <w:rPr>
          <w:rFonts w:ascii="Times New Roman" w:hAnsi="Times New Roman" w:cs="Times New Roman"/>
          <w:noProof/>
          <w:sz w:val="24"/>
          <w:szCs w:val="24"/>
        </w:rPr>
        <w:drawing>
          <wp:inline distT="0" distB="0" distL="0" distR="0" wp14:anchorId="0B4BF4C8" wp14:editId="7BFA5D9E">
            <wp:extent cx="5341299" cy="426243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alphaModFix amt="99000"/>
                    </a:blip>
                    <a:srcRect/>
                    <a:stretch>
                      <a:fillRect/>
                    </a:stretch>
                  </pic:blipFill>
                  <pic:spPr>
                    <a:xfrm>
                      <a:off x="0" y="0"/>
                      <a:ext cx="5341299" cy="4262435"/>
                    </a:xfrm>
                    <a:prstGeom prst="rect">
                      <a:avLst/>
                    </a:prstGeom>
                    <a:ln/>
                  </pic:spPr>
                </pic:pic>
              </a:graphicData>
            </a:graphic>
          </wp:inline>
        </w:drawing>
      </w:r>
    </w:p>
    <w:p w14:paraId="01E7AD8F" w14:textId="58F01D5C" w:rsidR="009A12FF" w:rsidRPr="00CB45DA" w:rsidRDefault="009530C1" w:rsidP="00B9079E">
      <w:pPr>
        <w:shd w:val="clear" w:color="auto" w:fill="FFFFFF"/>
        <w:spacing w:before="0" w:after="0"/>
        <w:jc w:val="center"/>
        <w:rPr>
          <w:rFonts w:ascii="Times New Roman" w:eastAsia="Times New Roman" w:hAnsi="Times New Roman" w:cs="Times New Roman"/>
          <w:bCs/>
          <w:i/>
          <w:iCs/>
          <w:color w:val="0F1115"/>
          <w:sz w:val="24"/>
          <w:szCs w:val="24"/>
        </w:rPr>
      </w:pPr>
      <w:r w:rsidRPr="00CB45DA">
        <w:rPr>
          <w:rFonts w:ascii="Times New Roman" w:eastAsia="Times New Roman" w:hAnsi="Times New Roman" w:cs="Times New Roman"/>
          <w:bCs/>
          <w:i/>
          <w:iCs/>
          <w:color w:val="0F1115"/>
          <w:sz w:val="24"/>
          <w:szCs w:val="24"/>
        </w:rPr>
        <w:t>Source: Author’s own calculation using primary data.</w:t>
      </w:r>
    </w:p>
    <w:p w14:paraId="2FF9FA0D" w14:textId="366D7699" w:rsidR="009A12FF" w:rsidRPr="00EF6720" w:rsidRDefault="009530C1" w:rsidP="00B9079E">
      <w:pPr>
        <w:spacing w:before="0"/>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6. Discussion</w:t>
      </w:r>
    </w:p>
    <w:p w14:paraId="23FA99EC" w14:textId="633260ED" w:rsidR="009A12FF" w:rsidRDefault="009530C1" w:rsidP="00B9079E">
      <w:pPr>
        <w:spacing w:before="0"/>
        <w:rPr>
          <w:rFonts w:ascii="Times New Roman" w:eastAsia="Times New Roman" w:hAnsi="Times New Roman" w:cs="Times New Roman"/>
          <w:sz w:val="24"/>
          <w:szCs w:val="24"/>
        </w:rPr>
      </w:pPr>
      <w:r w:rsidRPr="00EF6720">
        <w:rPr>
          <w:rFonts w:ascii="Times New Roman" w:eastAsia="Times New Roman" w:hAnsi="Times New Roman" w:cs="Times New Roman"/>
          <w:sz w:val="24"/>
          <w:szCs w:val="24"/>
        </w:rPr>
        <w:t xml:space="preserve">The </w:t>
      </w:r>
      <w:r w:rsidR="00ED29C0">
        <w:rPr>
          <w:rFonts w:ascii="Times New Roman" w:eastAsia="Times New Roman" w:hAnsi="Times New Roman" w:cs="Times New Roman"/>
          <w:sz w:val="24"/>
          <w:szCs w:val="24"/>
        </w:rPr>
        <w:t>spillover</w:t>
      </w:r>
      <w:r w:rsidRPr="00EF6720">
        <w:rPr>
          <w:rFonts w:ascii="Times New Roman" w:eastAsia="Times New Roman" w:hAnsi="Times New Roman" w:cs="Times New Roman"/>
          <w:sz w:val="24"/>
          <w:szCs w:val="24"/>
        </w:rPr>
        <w:t xml:space="preserve"> effect of professional training on personal financial behavior was confirmed, as primary hypotheses were supported: medical students exhibited a significantly more risk-averse professional mindset than their engineering peers (H1), which in turn was negatively associated with their general financial risk tolerance (H2). </w:t>
      </w:r>
      <w:r w:rsidR="00620F54">
        <w:rPr>
          <w:rFonts w:ascii="Times New Roman" w:eastAsia="Times New Roman" w:hAnsi="Times New Roman" w:cs="Times New Roman"/>
          <w:sz w:val="24"/>
          <w:szCs w:val="24"/>
        </w:rPr>
        <w:t>Most importantly, the multi-group analysis showed that the positive link between financial risk tolerance and the desire to use high-risk Fintech was much weaker for the group of medical students (H-Multi-group).</w:t>
      </w:r>
      <w:r w:rsidRPr="00EF6720">
        <w:rPr>
          <w:rFonts w:ascii="Times New Roman" w:eastAsia="Times New Roman" w:hAnsi="Times New Roman" w:cs="Times New Roman"/>
          <w:sz w:val="24"/>
          <w:szCs w:val="24"/>
        </w:rPr>
        <w:t xml:space="preserve"> The theoretical contributions of this research bridge distinct domains of professional</w:t>
      </w:r>
      <w:r w:rsidR="0052131E">
        <w:rPr>
          <w:rFonts w:ascii="Times New Roman" w:eastAsia="Times New Roman" w:hAnsi="Times New Roman" w:cs="Times New Roman"/>
          <w:sz w:val="24"/>
          <w:szCs w:val="24"/>
        </w:rPr>
        <w:t>s and</w:t>
      </w:r>
      <w:r w:rsidRPr="00EF6720">
        <w:rPr>
          <w:rFonts w:ascii="Times New Roman" w:eastAsia="Times New Roman" w:hAnsi="Times New Roman" w:cs="Times New Roman"/>
          <w:sz w:val="24"/>
          <w:szCs w:val="24"/>
        </w:rPr>
        <w:t xml:space="preserve"> behavioral finance and technology adoption where predictive power is enhanced when </w:t>
      </w:r>
      <w:r w:rsidR="00ED29C0">
        <w:rPr>
          <w:rFonts w:ascii="Times New Roman" w:eastAsia="Times New Roman" w:hAnsi="Times New Roman" w:cs="Times New Roman"/>
          <w:sz w:val="24"/>
          <w:szCs w:val="24"/>
        </w:rPr>
        <w:t>contextualised</w:t>
      </w:r>
      <w:r w:rsidRPr="00EF6720">
        <w:rPr>
          <w:rFonts w:ascii="Times New Roman" w:eastAsia="Times New Roman" w:hAnsi="Times New Roman" w:cs="Times New Roman"/>
          <w:sz w:val="24"/>
          <w:szCs w:val="24"/>
        </w:rPr>
        <w:t xml:space="preserve"> by deep-seated psychological constructs [9]. "</w:t>
      </w:r>
      <w:r w:rsidR="0052131E" w:rsidRPr="00EF6720">
        <w:rPr>
          <w:rFonts w:ascii="Times New Roman" w:eastAsia="Times New Roman" w:hAnsi="Times New Roman" w:cs="Times New Roman"/>
          <w:sz w:val="24"/>
          <w:szCs w:val="24"/>
        </w:rPr>
        <w:t>One</w:t>
      </w:r>
      <w:r w:rsidRPr="00EF6720">
        <w:rPr>
          <w:rFonts w:ascii="Times New Roman" w:eastAsia="Times New Roman" w:hAnsi="Times New Roman" w:cs="Times New Roman"/>
          <w:sz w:val="24"/>
          <w:szCs w:val="24"/>
        </w:rPr>
        <w:t>-size-fits-all"</w:t>
      </w:r>
      <w:r w:rsidR="0052131E">
        <w:rPr>
          <w:rFonts w:ascii="Times New Roman" w:eastAsia="Times New Roman" w:hAnsi="Times New Roman" w:cs="Times New Roman"/>
          <w:sz w:val="24"/>
          <w:szCs w:val="24"/>
        </w:rPr>
        <w:t xml:space="preserve"> is not effective in case of different profession. Study also shows </w:t>
      </w:r>
      <w:r w:rsidRPr="00EF6720">
        <w:rPr>
          <w:rFonts w:ascii="Times New Roman" w:eastAsia="Times New Roman" w:hAnsi="Times New Roman" w:cs="Times New Roman"/>
          <w:sz w:val="24"/>
          <w:szCs w:val="24"/>
        </w:rPr>
        <w:t xml:space="preserve">more context-aware approach to </w:t>
      </w:r>
      <w:r w:rsidR="00ED29C0">
        <w:rPr>
          <w:rFonts w:ascii="Times New Roman" w:eastAsia="Times New Roman" w:hAnsi="Times New Roman" w:cs="Times New Roman"/>
          <w:sz w:val="24"/>
          <w:szCs w:val="24"/>
        </w:rPr>
        <w:t>theorising</w:t>
      </w:r>
      <w:r w:rsidRPr="00EF6720">
        <w:rPr>
          <w:rFonts w:ascii="Times New Roman" w:eastAsia="Times New Roman" w:hAnsi="Times New Roman" w:cs="Times New Roman"/>
          <w:sz w:val="24"/>
          <w:szCs w:val="24"/>
        </w:rPr>
        <w:t xml:space="preserve"> about technology adoption [21]. The findings also contribute to literature on professional identity formation, suggesting that the values and decision-making heuristics instilled during training are not confined to the workplace but permeate personal life domains [13, 14]. It shows that financial risk tolerance, often treated as a stable trait, can be systematically influenced by external socialization processes [15]. The "youth" segment is not monolithic</w:t>
      </w:r>
      <w:r w:rsidR="0052131E">
        <w:rPr>
          <w:rFonts w:ascii="Times New Roman" w:eastAsia="Times New Roman" w:hAnsi="Times New Roman" w:cs="Times New Roman"/>
          <w:sz w:val="24"/>
          <w:szCs w:val="24"/>
        </w:rPr>
        <w:t>.</w:t>
      </w:r>
      <w:r w:rsidRPr="00EF6720">
        <w:rPr>
          <w:rFonts w:ascii="Times New Roman" w:eastAsia="Times New Roman" w:hAnsi="Times New Roman" w:cs="Times New Roman"/>
          <w:sz w:val="24"/>
          <w:szCs w:val="24"/>
        </w:rPr>
        <w:t xml:space="preserve"> medical student and an engineering student of the same age possess fundamentally different </w:t>
      </w:r>
      <w:r w:rsidRPr="00EF6720">
        <w:rPr>
          <w:rFonts w:ascii="Times New Roman" w:eastAsia="Times New Roman" w:hAnsi="Times New Roman" w:cs="Times New Roman"/>
          <w:sz w:val="24"/>
          <w:szCs w:val="24"/>
        </w:rPr>
        <w:lastRenderedPageBreak/>
        <w:t xml:space="preserve">psychological orientations toward risk. Marketing for Fintech products must be tailored for the medical </w:t>
      </w:r>
      <w:r w:rsidR="0052131E">
        <w:rPr>
          <w:rFonts w:ascii="Times New Roman" w:eastAsia="Times New Roman" w:hAnsi="Times New Roman" w:cs="Times New Roman"/>
          <w:sz w:val="24"/>
          <w:szCs w:val="24"/>
        </w:rPr>
        <w:t>professionals should</w:t>
      </w:r>
      <w:r w:rsidRPr="00EF6720">
        <w:rPr>
          <w:rFonts w:ascii="Times New Roman" w:eastAsia="Times New Roman" w:hAnsi="Times New Roman" w:cs="Times New Roman"/>
          <w:sz w:val="24"/>
          <w:szCs w:val="24"/>
        </w:rPr>
        <w:t xml:space="preserve"> focusing on transparent risk management protocols and evidence-based performance data to build trust [16].</w:t>
      </w:r>
      <w:r w:rsidR="0052131E">
        <w:rPr>
          <w:rFonts w:ascii="Times New Roman" w:eastAsia="Times New Roman" w:hAnsi="Times New Roman" w:cs="Times New Roman"/>
          <w:sz w:val="24"/>
          <w:szCs w:val="24"/>
        </w:rPr>
        <w:t xml:space="preserve"> while</w:t>
      </w:r>
      <w:r w:rsidRPr="00EF6720">
        <w:rPr>
          <w:rFonts w:ascii="Times New Roman" w:eastAsia="Times New Roman" w:hAnsi="Times New Roman" w:cs="Times New Roman"/>
          <w:sz w:val="24"/>
          <w:szCs w:val="24"/>
        </w:rPr>
        <w:t xml:space="preserve"> </w:t>
      </w:r>
      <w:r w:rsidR="00620F54">
        <w:rPr>
          <w:rFonts w:ascii="Times New Roman" w:eastAsia="Times New Roman" w:hAnsi="Times New Roman" w:cs="Times New Roman"/>
          <w:sz w:val="24"/>
          <w:szCs w:val="24"/>
        </w:rPr>
        <w:t>Innovative and algorithmic robustness in Fintech products is required for engineering students</w:t>
      </w:r>
      <w:r w:rsidR="0052131E">
        <w:rPr>
          <w:rFonts w:ascii="Times New Roman" w:eastAsia="Times New Roman" w:hAnsi="Times New Roman" w:cs="Times New Roman"/>
          <w:sz w:val="24"/>
          <w:szCs w:val="24"/>
        </w:rPr>
        <w:t>.</w:t>
      </w:r>
      <w:r w:rsidRPr="00EF6720">
        <w:rPr>
          <w:rFonts w:ascii="Times New Roman" w:eastAsia="Times New Roman" w:hAnsi="Times New Roman" w:cs="Times New Roman"/>
          <w:sz w:val="24"/>
          <w:szCs w:val="24"/>
        </w:rPr>
        <w:t xml:space="preserve">Programs embedded within medical schools should incorporate principles of behavioral finance to help students </w:t>
      </w:r>
      <w:r w:rsidR="00ED29C0">
        <w:rPr>
          <w:rFonts w:ascii="Times New Roman" w:eastAsia="Times New Roman" w:hAnsi="Times New Roman" w:cs="Times New Roman"/>
          <w:sz w:val="24"/>
          <w:szCs w:val="24"/>
        </w:rPr>
        <w:t>recognise</w:t>
      </w:r>
      <w:r w:rsidRPr="00EF6720">
        <w:rPr>
          <w:rFonts w:ascii="Times New Roman" w:eastAsia="Times New Roman" w:hAnsi="Times New Roman" w:cs="Times New Roman"/>
          <w:sz w:val="24"/>
          <w:szCs w:val="24"/>
        </w:rPr>
        <w:t xml:space="preserve"> when their professional risk aversion is an asset and when it becomes a behavioral liability that could hinder long-term wealth creation [17]. Despite these contributions, the study is subject to limitations that must be acknowledged. </w:t>
      </w:r>
      <w:r w:rsidR="0052131E">
        <w:rPr>
          <w:rFonts w:ascii="Times New Roman" w:eastAsia="Times New Roman" w:hAnsi="Times New Roman" w:cs="Times New Roman"/>
          <w:sz w:val="24"/>
          <w:szCs w:val="24"/>
        </w:rPr>
        <w:t>F</w:t>
      </w:r>
      <w:r w:rsidRPr="00EF6720">
        <w:rPr>
          <w:rFonts w:ascii="Times New Roman" w:eastAsia="Times New Roman" w:hAnsi="Times New Roman" w:cs="Times New Roman"/>
          <w:sz w:val="24"/>
          <w:szCs w:val="24"/>
        </w:rPr>
        <w:t>actors like income stability may interact with their ingrained mindset [18]. A longitudinal study that tracks the same cohort of students from matriculation through their early careers would be invaluable to confirm the causal chain and observe the evolution of the spill-over effect [19]. Future research should also expand the scope to include other professions with distinct risk cultures, such as law (with its adversarial nature) or even the arts (with its tolerance for ambiguity), to build a more comprehensive model of professional spillover [20]. In conclusion, this study provides evidence that the psychological framework of an individual chosen profession can spill over to shape personal financial decisions by demonstrating that the professional risk aversion of medical students significantly moderates their adoption of Fintech.</w:t>
      </w:r>
    </w:p>
    <w:p w14:paraId="74085D1B" w14:textId="77777777" w:rsidR="002134F0" w:rsidRPr="00EF6720" w:rsidRDefault="002134F0" w:rsidP="00B9079E">
      <w:pPr>
        <w:spacing w:before="0"/>
        <w:rPr>
          <w:rFonts w:ascii="Times New Roman" w:eastAsia="Times New Roman" w:hAnsi="Times New Roman" w:cs="Times New Roman"/>
          <w:sz w:val="24"/>
          <w:szCs w:val="24"/>
        </w:rPr>
      </w:pPr>
    </w:p>
    <w:p w14:paraId="494BB7A2" w14:textId="7EEC37EF" w:rsidR="009A12FF" w:rsidRPr="00EF6720" w:rsidRDefault="009530C1" w:rsidP="00B9079E">
      <w:pPr>
        <w:spacing w:before="0"/>
        <w:ind w:left="567" w:hanging="567"/>
        <w:rPr>
          <w:rFonts w:ascii="Times New Roman" w:eastAsia="Times New Roman" w:hAnsi="Times New Roman" w:cs="Times New Roman"/>
          <w:b/>
          <w:sz w:val="24"/>
          <w:szCs w:val="24"/>
        </w:rPr>
      </w:pPr>
      <w:r w:rsidRPr="00EF6720">
        <w:rPr>
          <w:rFonts w:ascii="Times New Roman" w:eastAsia="Times New Roman" w:hAnsi="Times New Roman" w:cs="Times New Roman"/>
          <w:b/>
          <w:sz w:val="24"/>
          <w:szCs w:val="24"/>
        </w:rPr>
        <w:t xml:space="preserve">Reference List </w:t>
      </w:r>
    </w:p>
    <w:p w14:paraId="0E987691"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Croskerry P. Achieving quality in clinical decision making: Cognitive strategies and detection of bias. Acad Emerg Med. 2002;9(11):1184–1204. </w:t>
      </w:r>
      <w:hyperlink r:id="rId13" w:history="1">
        <w:r w:rsidRPr="00F67A26">
          <w:rPr>
            <w:rFonts w:ascii="Times New Roman" w:hAnsi="Times New Roman" w:cs="Times New Roman"/>
            <w:sz w:val="24"/>
            <w:szCs w:val="24"/>
          </w:rPr>
          <w:t xml:space="preserve"> </w:t>
        </w:r>
        <w:r w:rsidRPr="00F67A26">
          <w:rPr>
            <w:rStyle w:val="Hyperlink"/>
            <w:rFonts w:ascii="Times New Roman" w:hAnsi="Times New Roman" w:cs="Times New Roman"/>
            <w:sz w:val="24"/>
            <w:szCs w:val="24"/>
          </w:rPr>
          <w:t>https://doi:10.1197/aemj.9.11.1184</w:t>
        </w:r>
      </w:hyperlink>
    </w:p>
    <w:p w14:paraId="217928D1"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Pluskwik E, Leung E, Lillesve A. Growing entrepreneurial mindset in interdisciplinary student engineers: Experiences of a project-based engineering program </w:t>
      </w:r>
      <w:hyperlink r:id="rId14" w:history="1">
        <w:r w:rsidRPr="00F67A26">
          <w:rPr>
            <w:rFonts w:ascii="Times New Roman" w:hAnsi="Times New Roman" w:cs="Times New Roman"/>
            <w:sz w:val="24"/>
            <w:szCs w:val="24"/>
          </w:rPr>
          <w:t xml:space="preserve"> </w:t>
        </w:r>
        <w:r w:rsidRPr="00F67A26">
          <w:rPr>
            <w:rStyle w:val="Hyperlink"/>
            <w:rFonts w:ascii="Times New Roman" w:hAnsi="Times New Roman" w:cs="Times New Roman"/>
            <w:sz w:val="24"/>
            <w:szCs w:val="24"/>
          </w:rPr>
          <w:t>https://doi:cornerstone.lib.mnsu.edu/ie-fac-pubs/26/</w:t>
        </w:r>
      </w:hyperlink>
    </w:p>
    <w:p w14:paraId="401F9F03"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Koenig M, Le T, Ponce M. Financial risk tolerance and cryptocurrency adoption. Finance Res Lett. 2022;48:102877. </w:t>
      </w:r>
      <w:hyperlink r:id="rId15" w:history="1">
        <w:r w:rsidRPr="00F67A26">
          <w:rPr>
            <w:rStyle w:val="Hyperlink"/>
            <w:rFonts w:ascii="Times New Roman" w:hAnsi="Times New Roman" w:cs="Times New Roman"/>
            <w:sz w:val="24"/>
            <w:szCs w:val="24"/>
          </w:rPr>
          <w:t>https://doi:10.1016/j.frl.2022.102877</w:t>
        </w:r>
      </w:hyperlink>
    </w:p>
    <w:p w14:paraId="35EB26B2" w14:textId="77777777" w:rsidR="00536B16" w:rsidRPr="00F67A26" w:rsidRDefault="00536B16"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Ludmerer KM. Let me heal: the opportunity to preserve excellence in American medicine. Oxford University Press; 2014 Sep 1.  </w:t>
      </w:r>
      <w:r w:rsidRPr="00F67A26">
        <w:rPr>
          <w:rFonts w:ascii="Times New Roman" w:hAnsi="Times New Roman" w:cs="Times New Roman"/>
          <w:b/>
          <w:bCs/>
          <w:sz w:val="24"/>
          <w:szCs w:val="24"/>
        </w:rPr>
        <w:t>ISBN:</w:t>
      </w:r>
      <w:r w:rsidRPr="00F67A26">
        <w:rPr>
          <w:rFonts w:ascii="Times New Roman" w:hAnsi="Times New Roman" w:cs="Times New Roman"/>
          <w:sz w:val="24"/>
          <w:szCs w:val="24"/>
        </w:rPr>
        <w:t xml:space="preserve"> 978-0-19-974454-1</w:t>
      </w:r>
    </w:p>
    <w:p w14:paraId="377BD20D" w14:textId="62817211"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Carlson DS, Kacmar KM, Williams LJ. Construction and initial validation of a multidimensional measure of work-family conflict. J Vocat Behav. 2000;56(2):249–76. </w:t>
      </w:r>
      <w:hyperlink r:id="rId16" w:history="1">
        <w:r w:rsidR="00536B16" w:rsidRPr="00F67A26">
          <w:rPr>
            <w:rStyle w:val="Hyperlink"/>
            <w:rFonts w:ascii="Times New Roman" w:hAnsi="Times New Roman" w:cs="Times New Roman"/>
            <w:sz w:val="24"/>
            <w:szCs w:val="24"/>
          </w:rPr>
          <w:t>https://doi:10.1006/jvbe.1999.1713</w:t>
        </w:r>
      </w:hyperlink>
    </w:p>
    <w:p w14:paraId="24361644" w14:textId="562ECE20"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Grable JE, Lytton RH. Financial risk tolerance revisited: The development of a risk assessment instrument. Financ Serv Rev. 1999;8(3):163–81.</w:t>
      </w:r>
      <w:r w:rsidR="00E2575C" w:rsidRPr="00F67A26">
        <w:rPr>
          <w:rFonts w:ascii="Times New Roman" w:hAnsi="Times New Roman" w:cs="Times New Roman"/>
          <w:sz w:val="24"/>
          <w:szCs w:val="24"/>
        </w:rPr>
        <w:t xml:space="preserve"> </w:t>
      </w:r>
      <w:hyperlink r:id="rId17" w:tgtFrame="_blank" w:tooltip="Persistent link using digital object identifier" w:history="1">
        <w:r w:rsidR="00E2575C" w:rsidRPr="00F67A26">
          <w:rPr>
            <w:rStyle w:val="Hyperlink"/>
            <w:rFonts w:ascii="Times New Roman" w:hAnsi="Times New Roman" w:cs="Times New Roman"/>
            <w:sz w:val="24"/>
            <w:szCs w:val="24"/>
          </w:rPr>
          <w:t>https://doi.org/10.1016/S1057-0810(99)00041-4</w:t>
        </w:r>
      </w:hyperlink>
    </w:p>
    <w:p w14:paraId="4A00E480"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Turan A, Kara A, Koc M. What drives consumers’ intention to use mobile payment services? A study of UTAUT2 model. J Bus Res. 2021;133:298–307. </w:t>
      </w:r>
      <w:hyperlink r:id="rId18" w:history="1">
        <w:r w:rsidRPr="00F67A26">
          <w:rPr>
            <w:rStyle w:val="Hyperlink"/>
            <w:rFonts w:ascii="Times New Roman" w:hAnsi="Times New Roman" w:cs="Times New Roman"/>
            <w:sz w:val="24"/>
            <w:szCs w:val="24"/>
          </w:rPr>
          <w:t>https://doi:10.1016/j.jbusres.2021.04.060</w:t>
        </w:r>
      </w:hyperlink>
    </w:p>
    <w:p w14:paraId="1F4AEC60"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Gefen D, Karahanna E, Straub DW. Trust and TAM in online shopping: An integrated model. MIS Q. 2003;27(1):51–90. </w:t>
      </w:r>
      <w:hyperlink r:id="rId19" w:history="1">
        <w:r w:rsidRPr="00F67A26">
          <w:rPr>
            <w:rStyle w:val="Hyperlink"/>
            <w:rFonts w:ascii="Times New Roman" w:hAnsi="Times New Roman" w:cs="Times New Roman"/>
            <w:sz w:val="24"/>
            <w:szCs w:val="24"/>
          </w:rPr>
          <w:t>https://doi:10.2307/30036519</w:t>
        </w:r>
      </w:hyperlink>
    </w:p>
    <w:p w14:paraId="185AEB9B"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Venkatesh V, Thong JY, Xu X. Consumer acceptance and use of information technology: Extending the unified theory of acceptance and use of technology. MIS Q. 2012;36(1):157–78. </w:t>
      </w:r>
      <w:hyperlink r:id="rId20" w:history="1">
        <w:r w:rsidRPr="00F67A26">
          <w:rPr>
            <w:rStyle w:val="Hyperlink"/>
            <w:rFonts w:ascii="Times New Roman" w:hAnsi="Times New Roman" w:cs="Times New Roman"/>
            <w:sz w:val="24"/>
            <w:szCs w:val="24"/>
          </w:rPr>
          <w:t>https://doi:10.2307/41410412</w:t>
        </w:r>
      </w:hyperlink>
    </w:p>
    <w:p w14:paraId="730D4CC8"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lastRenderedPageBreak/>
        <w:t xml:space="preserve">Malaquias RF, Hwang Y. An empirical study on the influence of mobile application design elements on usability. Comput Human Behav. 2016;61:329–37 </w:t>
      </w:r>
      <w:hyperlink r:id="rId21" w:history="1">
        <w:r w:rsidRPr="00F67A26">
          <w:rPr>
            <w:rStyle w:val="Hyperlink"/>
            <w:rFonts w:ascii="Times New Roman" w:hAnsi="Times New Roman" w:cs="Times New Roman"/>
            <w:sz w:val="24"/>
            <w:szCs w:val="24"/>
          </w:rPr>
          <w:t>https://doi:d10.1016/j.chb.2016.03.046</w:t>
        </w:r>
      </w:hyperlink>
    </w:p>
    <w:p w14:paraId="60478CB1"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Gao J, Hu Y, Li H. The role of social media in cryptocurrency investment: An empirical study. Finance Res Lett. 2021;45:102164. </w:t>
      </w:r>
      <w:hyperlink r:id="rId22" w:history="1">
        <w:r w:rsidRPr="00F67A26">
          <w:rPr>
            <w:rStyle w:val="Hyperlink"/>
            <w:rFonts w:ascii="Times New Roman" w:hAnsi="Times New Roman" w:cs="Times New Roman"/>
            <w:sz w:val="24"/>
            <w:szCs w:val="24"/>
          </w:rPr>
          <w:t>https://doi:10.1016/j.frl.2021.102164</w:t>
        </w:r>
      </w:hyperlink>
    </w:p>
    <w:p w14:paraId="0EA6BA5F" w14:textId="3285F7E8" w:rsidR="008870CA"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Al-Jabari I, Ghazali E. The role of social influence in the adoption of digital payment services: A study of Jordanian university students. Int J Bus Manag. 2021;16(2):111–20.</w:t>
      </w:r>
      <w:r w:rsidR="008870CA" w:rsidRPr="00F67A26">
        <w:rPr>
          <w:rFonts w:ascii="Times New Roman" w:hAnsi="Times New Roman" w:cs="Times New Roman"/>
          <w:sz w:val="24"/>
          <w:szCs w:val="24"/>
        </w:rPr>
        <w:t xml:space="preserve"> </w:t>
      </w:r>
      <w:hyperlink r:id="rId23" w:history="1">
        <w:r w:rsidR="008870CA" w:rsidRPr="00F67A26">
          <w:rPr>
            <w:rStyle w:val="Hyperlink"/>
            <w:rFonts w:ascii="Times New Roman" w:hAnsi="Times New Roman" w:cs="Times New Roman"/>
            <w:sz w:val="24"/>
            <w:szCs w:val="24"/>
          </w:rPr>
          <w:t>https://www.proquest.com/openview/eb47c02f9cbb0b1f0f6f4f470b8d033a</w:t>
        </w:r>
      </w:hyperlink>
    </w:p>
    <w:p w14:paraId="2F1D8345" w14:textId="2C853DF5"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Hafferty FW. Beyond curriculum reform: Confronting medicine's hidden curriculum. Acad Med. 1998;73(4):403–7. </w:t>
      </w:r>
      <w:hyperlink r:id="rId24" w:history="1">
        <w:r w:rsidRPr="00F67A26">
          <w:rPr>
            <w:rStyle w:val="Hyperlink"/>
            <w:rFonts w:ascii="Times New Roman" w:hAnsi="Times New Roman" w:cs="Times New Roman"/>
            <w:sz w:val="24"/>
            <w:szCs w:val="24"/>
          </w:rPr>
          <w:t>https://doi:10.1097/00001888-199804000-00010</w:t>
        </w:r>
      </w:hyperlink>
    </w:p>
    <w:p w14:paraId="1A41B194"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Cruess RL, Cruess SR, Boudreau JD, Snell L, Steinert Y. A schematic representation of the process of professional identity formation. Acad Med. 2015;90(10):1339–44. </w:t>
      </w:r>
      <w:hyperlink r:id="rId25" w:history="1">
        <w:r w:rsidRPr="00F67A26">
          <w:rPr>
            <w:rStyle w:val="Hyperlink"/>
            <w:rFonts w:ascii="Times New Roman" w:hAnsi="Times New Roman" w:cs="Times New Roman"/>
            <w:sz w:val="24"/>
            <w:szCs w:val="24"/>
          </w:rPr>
          <w:t>https://doi:10.1097/ACM.0000000000000803</w:t>
        </w:r>
      </w:hyperlink>
    </w:p>
    <w:p w14:paraId="6546477E" w14:textId="2DAD748A"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Grable JE, Joo SH. A cross-disciplinary examination of financial risk tolerance. Consum Interests Annu. 2000;46:151–7.</w:t>
      </w:r>
      <w:r w:rsidR="008870CA" w:rsidRPr="00F67A26">
        <w:rPr>
          <w:rFonts w:ascii="Times New Roman" w:hAnsi="Times New Roman" w:cs="Times New Roman"/>
          <w:sz w:val="24"/>
          <w:szCs w:val="24"/>
        </w:rPr>
        <w:t xml:space="preserve"> </w:t>
      </w:r>
      <w:hyperlink r:id="rId26" w:history="1">
        <w:r w:rsidR="008870CA" w:rsidRPr="00F67A26">
          <w:rPr>
            <w:rStyle w:val="Hyperlink"/>
            <w:rFonts w:ascii="Times New Roman" w:hAnsi="Times New Roman" w:cs="Times New Roman"/>
            <w:sz w:val="24"/>
            <w:szCs w:val="24"/>
          </w:rPr>
          <w:t>https://link.springer.com/chapter/10.1007/978-3-319-28887-1_2</w:t>
        </w:r>
      </w:hyperlink>
    </w:p>
    <w:p w14:paraId="5431869D"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Gao L, Waechter KA. Examining the role of initial trust in mobile banking adoption. J Comput Inf Syst. 2017;57(4):329–40. </w:t>
      </w:r>
      <w:hyperlink r:id="rId27" w:history="1">
        <w:r w:rsidRPr="00F67A26">
          <w:rPr>
            <w:rStyle w:val="Hyperlink"/>
            <w:rFonts w:ascii="Times New Roman" w:hAnsi="Times New Roman" w:cs="Times New Roman"/>
            <w:sz w:val="24"/>
            <w:szCs w:val="24"/>
          </w:rPr>
          <w:t>https://doi:10.1080/08874417.2016.1201823</w:t>
        </w:r>
      </w:hyperlink>
    </w:p>
    <w:p w14:paraId="0B0606B6" w14:textId="2C270F35"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Mandell L, Klein LS. The impact of financial literacy education on subsequent financial behavior. J Financ Couns Plan. 2009;20(1):15–24.</w:t>
      </w:r>
      <w:r w:rsidR="008870CA" w:rsidRPr="00F67A26">
        <w:rPr>
          <w:rFonts w:ascii="Times New Roman" w:hAnsi="Times New Roman" w:cs="Times New Roman"/>
          <w:sz w:val="24"/>
          <w:szCs w:val="24"/>
        </w:rPr>
        <w:t xml:space="preserve"> </w:t>
      </w:r>
      <w:hyperlink r:id="rId28" w:history="1">
        <w:r w:rsidR="008870CA" w:rsidRPr="00F67A26">
          <w:rPr>
            <w:rStyle w:val="Hyperlink"/>
            <w:rFonts w:ascii="Times New Roman" w:hAnsi="Times New Roman" w:cs="Times New Roman"/>
            <w:sz w:val="24"/>
            <w:szCs w:val="24"/>
          </w:rPr>
          <w:t>https://files.eric.ed.gov/fulltext/EJ859556.pdf</w:t>
        </w:r>
      </w:hyperlink>
    </w:p>
    <w:p w14:paraId="013C2726" w14:textId="38CAA5E0"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Kline RB. Principles and practice of structural equation modeling. 4th ed. New York (NY): Guilford Press; 2015</w:t>
      </w:r>
      <w:r w:rsidR="008870CA" w:rsidRPr="00F67A26">
        <w:rPr>
          <w:rFonts w:ascii="Times New Roman" w:hAnsi="Times New Roman" w:cs="Times New Roman"/>
          <w:sz w:val="24"/>
          <w:szCs w:val="24"/>
        </w:rPr>
        <w:t xml:space="preserve"> </w:t>
      </w:r>
      <w:hyperlink r:id="rId29" w:history="1">
        <w:r w:rsidR="008870CA" w:rsidRPr="00F67A26">
          <w:rPr>
            <w:rStyle w:val="Hyperlink"/>
            <w:rFonts w:ascii="Times New Roman" w:hAnsi="Times New Roman" w:cs="Times New Roman"/>
            <w:sz w:val="24"/>
            <w:szCs w:val="24"/>
          </w:rPr>
          <w:t>https://www.google.co.in/books/edition/Principles_and_Practice_of_Structural_Eq/t2CvEAAAQBAJ?hl=en&amp;gbpv=0</w:t>
        </w:r>
      </w:hyperlink>
    </w:p>
    <w:p w14:paraId="7BB684AA" w14:textId="77777777" w:rsidR="004848F3" w:rsidRPr="00F67A26" w:rsidRDefault="004848F3" w:rsidP="00F67A26">
      <w:pPr>
        <w:numPr>
          <w:ilvl w:val="0"/>
          <w:numId w:val="5"/>
        </w:numPr>
        <w:spacing w:before="0" w:after="0" w:line="276" w:lineRule="auto"/>
        <w:rPr>
          <w:rFonts w:ascii="Times New Roman" w:hAnsi="Times New Roman" w:cs="Times New Roman"/>
          <w:sz w:val="24"/>
          <w:szCs w:val="24"/>
        </w:rPr>
      </w:pPr>
      <w:r w:rsidRPr="00F67A26">
        <w:rPr>
          <w:rFonts w:ascii="Times New Roman" w:hAnsi="Times New Roman" w:cs="Times New Roman"/>
          <w:sz w:val="24"/>
          <w:szCs w:val="24"/>
        </w:rPr>
        <w:t xml:space="preserve">Ployhart RE, Vandenberg RJ. Longitudinal research: The theory, design, and analysis of change. J Manage. 2010;36(1):94–120. </w:t>
      </w:r>
      <w:hyperlink r:id="rId30" w:history="1">
        <w:r w:rsidRPr="00F67A26">
          <w:rPr>
            <w:rStyle w:val="Hyperlink"/>
            <w:rFonts w:ascii="Times New Roman" w:hAnsi="Times New Roman" w:cs="Times New Roman"/>
            <w:sz w:val="24"/>
            <w:szCs w:val="24"/>
          </w:rPr>
          <w:t>https://doi:10.1177/0149206309352110</w:t>
        </w:r>
      </w:hyperlink>
    </w:p>
    <w:p w14:paraId="39CB4450" w14:textId="379A6280" w:rsidR="00165B5F" w:rsidRPr="00F67A26" w:rsidRDefault="004848F3" w:rsidP="00F67A26">
      <w:pPr>
        <w:numPr>
          <w:ilvl w:val="0"/>
          <w:numId w:val="5"/>
        </w:numPr>
        <w:spacing w:before="0" w:after="0" w:line="276" w:lineRule="auto"/>
        <w:rPr>
          <w:rFonts w:ascii="Times New Roman" w:hAnsi="Times New Roman" w:cs="Times New Roman"/>
          <w:b/>
          <w:bCs/>
          <w:sz w:val="24"/>
          <w:szCs w:val="24"/>
        </w:rPr>
      </w:pPr>
      <w:r w:rsidRPr="00F67A26">
        <w:rPr>
          <w:rFonts w:ascii="Times New Roman" w:hAnsi="Times New Roman" w:cs="Times New Roman"/>
          <w:sz w:val="24"/>
          <w:szCs w:val="24"/>
        </w:rPr>
        <w:t>Schein EH. Organizational culture and leadership. 4th ed. San Francisco (CA): Jossey-Bass; 2010.</w:t>
      </w:r>
      <w:r w:rsidR="008870CA" w:rsidRPr="00F67A26">
        <w:rPr>
          <w:rFonts w:ascii="Times New Roman" w:hAnsi="Times New Roman" w:cs="Times New Roman"/>
          <w:sz w:val="24"/>
          <w:szCs w:val="24"/>
        </w:rPr>
        <w:t xml:space="preserve"> </w:t>
      </w:r>
      <w:r w:rsidR="002134F0" w:rsidRPr="00F67A26">
        <w:rPr>
          <w:rFonts w:ascii="Times New Roman" w:hAnsi="Times New Roman" w:cs="Times New Roman"/>
          <w:b/>
          <w:bCs/>
          <w:sz w:val="24"/>
          <w:szCs w:val="24"/>
        </w:rPr>
        <w:t>ISBN:</w:t>
      </w:r>
      <w:r w:rsidR="002134F0" w:rsidRPr="00F67A26">
        <w:rPr>
          <w:rFonts w:ascii="Times New Roman" w:hAnsi="Times New Roman" w:cs="Times New Roman"/>
          <w:sz w:val="24"/>
          <w:szCs w:val="24"/>
        </w:rPr>
        <w:t xml:space="preserve"> 978-0-470-19060-9</w:t>
      </w:r>
    </w:p>
    <w:p w14:paraId="45B24DE2" w14:textId="77777777" w:rsidR="002134F0" w:rsidRPr="002134F0" w:rsidRDefault="002134F0" w:rsidP="002134F0">
      <w:pPr>
        <w:spacing w:before="0" w:after="160" w:line="278" w:lineRule="auto"/>
        <w:rPr>
          <w:b/>
          <w:bCs/>
        </w:rPr>
      </w:pPr>
    </w:p>
    <w:p w14:paraId="4DCD87BE" w14:textId="77777777" w:rsidR="002134F0" w:rsidRPr="002134F0" w:rsidRDefault="002134F0" w:rsidP="002134F0">
      <w:pPr>
        <w:spacing w:before="0" w:after="160" w:line="278" w:lineRule="auto"/>
        <w:rPr>
          <w:rFonts w:ascii="Times New Roman" w:hAnsi="Times New Roman" w:cs="Times New Roman"/>
          <w:sz w:val="24"/>
          <w:szCs w:val="24"/>
        </w:rPr>
      </w:pPr>
      <w:r w:rsidRPr="002134F0">
        <w:rPr>
          <w:rFonts w:ascii="Times New Roman" w:hAnsi="Times New Roman" w:cs="Times New Roman"/>
          <w:b/>
          <w:bCs/>
          <w:sz w:val="24"/>
          <w:szCs w:val="24"/>
        </w:rPr>
        <w:t>Conflict of interest</w:t>
      </w:r>
      <w:r w:rsidRPr="002134F0">
        <w:rPr>
          <w:rFonts w:ascii="Times New Roman" w:hAnsi="Times New Roman" w:cs="Times New Roman"/>
          <w:sz w:val="24"/>
          <w:szCs w:val="24"/>
        </w:rPr>
        <w:t xml:space="preserve"> We do not have any conflict of interest.</w:t>
      </w:r>
    </w:p>
    <w:p w14:paraId="390B40A5" w14:textId="268E1D6D" w:rsidR="002134F0" w:rsidRPr="002134F0" w:rsidRDefault="002134F0" w:rsidP="002134F0">
      <w:pPr>
        <w:spacing w:before="0" w:after="160" w:line="278" w:lineRule="auto"/>
        <w:rPr>
          <w:rStyle w:val="Emphasis"/>
          <w:rFonts w:ascii="Times New Roman" w:hAnsi="Times New Roman" w:cs="Times New Roman"/>
          <w:i w:val="0"/>
          <w:iCs w:val="0"/>
          <w:sz w:val="24"/>
          <w:szCs w:val="24"/>
        </w:rPr>
      </w:pPr>
      <w:r w:rsidRPr="002134F0">
        <w:rPr>
          <w:rFonts w:ascii="Times New Roman" w:hAnsi="Times New Roman" w:cs="Times New Roman"/>
          <w:b/>
          <w:bCs/>
          <w:sz w:val="24"/>
          <w:szCs w:val="24"/>
        </w:rPr>
        <w:t>Data availability statement</w:t>
      </w:r>
      <w:r w:rsidRPr="002134F0">
        <w:rPr>
          <w:rFonts w:ascii="Times New Roman" w:hAnsi="Times New Roman" w:cs="Times New Roman"/>
          <w:sz w:val="24"/>
          <w:szCs w:val="24"/>
        </w:rPr>
        <w:t xml:space="preserve"> We confirm that the data supporting the findings of the study will be shared upon reasonable request.</w:t>
      </w:r>
    </w:p>
    <w:sectPr w:rsidR="002134F0" w:rsidRPr="002134F0">
      <w:pgSz w:w="11906" w:h="16838"/>
      <w:pgMar w:top="1440" w:right="1440" w:bottom="1440"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B6E"/>
    <w:multiLevelType w:val="multilevel"/>
    <w:tmpl w:val="D08C17E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D96101"/>
    <w:multiLevelType w:val="hybridMultilevel"/>
    <w:tmpl w:val="D22ED3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A03742"/>
    <w:multiLevelType w:val="hybridMultilevel"/>
    <w:tmpl w:val="228CA028"/>
    <w:lvl w:ilvl="0" w:tplc="D4986572">
      <w:start w:val="1"/>
      <w:numFmt w:val="decimal"/>
      <w:lvlText w:val="%1."/>
      <w:lvlJc w:val="left"/>
      <w:pPr>
        <w:ind w:left="0" w:hanging="640"/>
      </w:pPr>
      <w:rPr>
        <w:rFonts w:hint="default"/>
      </w:rPr>
    </w:lvl>
    <w:lvl w:ilvl="1" w:tplc="40090019" w:tentative="1">
      <w:start w:val="1"/>
      <w:numFmt w:val="lowerLetter"/>
      <w:lvlText w:val="%2."/>
      <w:lvlJc w:val="left"/>
      <w:pPr>
        <w:ind w:left="440" w:hanging="360"/>
      </w:pPr>
    </w:lvl>
    <w:lvl w:ilvl="2" w:tplc="4009001B" w:tentative="1">
      <w:start w:val="1"/>
      <w:numFmt w:val="lowerRoman"/>
      <w:lvlText w:val="%3."/>
      <w:lvlJc w:val="right"/>
      <w:pPr>
        <w:ind w:left="1160" w:hanging="180"/>
      </w:pPr>
    </w:lvl>
    <w:lvl w:ilvl="3" w:tplc="4009000F" w:tentative="1">
      <w:start w:val="1"/>
      <w:numFmt w:val="decimal"/>
      <w:lvlText w:val="%4."/>
      <w:lvlJc w:val="left"/>
      <w:pPr>
        <w:ind w:left="1880" w:hanging="360"/>
      </w:pPr>
    </w:lvl>
    <w:lvl w:ilvl="4" w:tplc="40090019" w:tentative="1">
      <w:start w:val="1"/>
      <w:numFmt w:val="lowerLetter"/>
      <w:lvlText w:val="%5."/>
      <w:lvlJc w:val="left"/>
      <w:pPr>
        <w:ind w:left="2600" w:hanging="360"/>
      </w:pPr>
    </w:lvl>
    <w:lvl w:ilvl="5" w:tplc="4009001B" w:tentative="1">
      <w:start w:val="1"/>
      <w:numFmt w:val="lowerRoman"/>
      <w:lvlText w:val="%6."/>
      <w:lvlJc w:val="right"/>
      <w:pPr>
        <w:ind w:left="3320" w:hanging="180"/>
      </w:pPr>
    </w:lvl>
    <w:lvl w:ilvl="6" w:tplc="4009000F" w:tentative="1">
      <w:start w:val="1"/>
      <w:numFmt w:val="decimal"/>
      <w:lvlText w:val="%7."/>
      <w:lvlJc w:val="left"/>
      <w:pPr>
        <w:ind w:left="4040" w:hanging="360"/>
      </w:pPr>
    </w:lvl>
    <w:lvl w:ilvl="7" w:tplc="40090019" w:tentative="1">
      <w:start w:val="1"/>
      <w:numFmt w:val="lowerLetter"/>
      <w:lvlText w:val="%8."/>
      <w:lvlJc w:val="left"/>
      <w:pPr>
        <w:ind w:left="4760" w:hanging="360"/>
      </w:pPr>
    </w:lvl>
    <w:lvl w:ilvl="8" w:tplc="4009001B" w:tentative="1">
      <w:start w:val="1"/>
      <w:numFmt w:val="lowerRoman"/>
      <w:lvlText w:val="%9."/>
      <w:lvlJc w:val="right"/>
      <w:pPr>
        <w:ind w:left="5480" w:hanging="180"/>
      </w:pPr>
    </w:lvl>
  </w:abstractNum>
  <w:abstractNum w:abstractNumId="3" w15:restartNumberingAfterBreak="0">
    <w:nsid w:val="58672E04"/>
    <w:multiLevelType w:val="multilevel"/>
    <w:tmpl w:val="388827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687D3F"/>
    <w:multiLevelType w:val="hybridMultilevel"/>
    <w:tmpl w:val="7548C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6482145">
    <w:abstractNumId w:val="3"/>
  </w:num>
  <w:num w:numId="2" w16cid:durableId="13580972">
    <w:abstractNumId w:val="4"/>
  </w:num>
  <w:num w:numId="3" w16cid:durableId="5405025">
    <w:abstractNumId w:val="1"/>
  </w:num>
  <w:num w:numId="4" w16cid:durableId="1155805179">
    <w:abstractNumId w:val="2"/>
  </w:num>
  <w:num w:numId="5" w16cid:durableId="141454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FF"/>
    <w:rsid w:val="00030D91"/>
    <w:rsid w:val="00055CE2"/>
    <w:rsid w:val="000B76C4"/>
    <w:rsid w:val="000C2750"/>
    <w:rsid w:val="0012443A"/>
    <w:rsid w:val="00152ECC"/>
    <w:rsid w:val="00165B5F"/>
    <w:rsid w:val="00172A82"/>
    <w:rsid w:val="0019418D"/>
    <w:rsid w:val="001C5FC2"/>
    <w:rsid w:val="001F0EAC"/>
    <w:rsid w:val="002044AE"/>
    <w:rsid w:val="002134F0"/>
    <w:rsid w:val="00250E33"/>
    <w:rsid w:val="00293753"/>
    <w:rsid w:val="00327577"/>
    <w:rsid w:val="00332F44"/>
    <w:rsid w:val="00367B4C"/>
    <w:rsid w:val="003B1A0E"/>
    <w:rsid w:val="004848F3"/>
    <w:rsid w:val="004905CC"/>
    <w:rsid w:val="004B4CA5"/>
    <w:rsid w:val="004D1303"/>
    <w:rsid w:val="004E26EB"/>
    <w:rsid w:val="0052131E"/>
    <w:rsid w:val="00536B16"/>
    <w:rsid w:val="00570B4C"/>
    <w:rsid w:val="00591D51"/>
    <w:rsid w:val="00603977"/>
    <w:rsid w:val="00620F54"/>
    <w:rsid w:val="0067184C"/>
    <w:rsid w:val="00682326"/>
    <w:rsid w:val="00707161"/>
    <w:rsid w:val="00726213"/>
    <w:rsid w:val="00787E55"/>
    <w:rsid w:val="007E2FD6"/>
    <w:rsid w:val="00816E70"/>
    <w:rsid w:val="00816EBF"/>
    <w:rsid w:val="0086104E"/>
    <w:rsid w:val="00882F51"/>
    <w:rsid w:val="0088512F"/>
    <w:rsid w:val="008870CA"/>
    <w:rsid w:val="008E2A81"/>
    <w:rsid w:val="00906729"/>
    <w:rsid w:val="00930E28"/>
    <w:rsid w:val="009530C1"/>
    <w:rsid w:val="009678E2"/>
    <w:rsid w:val="009A12FF"/>
    <w:rsid w:val="00AA4EA4"/>
    <w:rsid w:val="00AC4C3F"/>
    <w:rsid w:val="00AE1E37"/>
    <w:rsid w:val="00B06DCE"/>
    <w:rsid w:val="00B9079E"/>
    <w:rsid w:val="00BB2141"/>
    <w:rsid w:val="00C04D66"/>
    <w:rsid w:val="00C20F4C"/>
    <w:rsid w:val="00C61827"/>
    <w:rsid w:val="00CB45DA"/>
    <w:rsid w:val="00CD687B"/>
    <w:rsid w:val="00D51FF9"/>
    <w:rsid w:val="00D65730"/>
    <w:rsid w:val="00DA5B13"/>
    <w:rsid w:val="00DB44FF"/>
    <w:rsid w:val="00DF6D6E"/>
    <w:rsid w:val="00E03961"/>
    <w:rsid w:val="00E2575C"/>
    <w:rsid w:val="00EA7F95"/>
    <w:rsid w:val="00ED29C0"/>
    <w:rsid w:val="00EF1054"/>
    <w:rsid w:val="00EF2ADC"/>
    <w:rsid w:val="00EF6720"/>
    <w:rsid w:val="00F67A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0609"/>
  <w15:docId w15:val="{B4AE23D9-412C-4CB4-8D2B-4D6CF53C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before="2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before="0" w:after="0"/>
    </w:pPr>
    <w:tblPr>
      <w:tblStyleRowBandSize w:val="1"/>
      <w:tblStyleColBandSize w:val="1"/>
      <w:tblCellMar>
        <w:top w:w="0" w:type="dxa"/>
        <w:left w:w="108" w:type="dxa"/>
        <w:bottom w:w="0" w:type="dxa"/>
        <w:right w:w="108" w:type="dxa"/>
      </w:tblCellMar>
    </w:tblPr>
  </w:style>
  <w:style w:type="table" w:customStyle="1" w:styleId="a0">
    <w:basedOn w:val="TableNormal0"/>
    <w:pPr>
      <w:spacing w:before="0" w:after="0"/>
    </w:pPr>
    <w:tblPr>
      <w:tblStyleRowBandSize w:val="1"/>
      <w:tblStyleColBandSize w:val="1"/>
      <w:tblCellMar>
        <w:top w:w="0" w:type="dxa"/>
        <w:left w:w="108" w:type="dxa"/>
        <w:bottom w:w="0" w:type="dxa"/>
        <w:right w:w="108" w:type="dxa"/>
      </w:tblCellMar>
    </w:tblPr>
  </w:style>
  <w:style w:type="table" w:customStyle="1" w:styleId="a1">
    <w:basedOn w:val="TableNormal0"/>
    <w:pPr>
      <w:spacing w:before="0" w:after="0"/>
    </w:pPr>
    <w:tblPr>
      <w:tblStyleRowBandSize w:val="1"/>
      <w:tblStyleColBandSize w:val="1"/>
      <w:tblCellMar>
        <w:top w:w="0" w:type="dxa"/>
        <w:left w:w="108" w:type="dxa"/>
        <w:bottom w:w="0" w:type="dxa"/>
        <w:right w:w="108" w:type="dxa"/>
      </w:tblCellMar>
    </w:tblPr>
  </w:style>
  <w:style w:type="table" w:customStyle="1" w:styleId="a2">
    <w:basedOn w:val="TableNormal0"/>
    <w:pPr>
      <w:spacing w:before="0" w:after="0"/>
    </w:pPr>
    <w:tblPr>
      <w:tblStyleRowBandSize w:val="1"/>
      <w:tblStyleColBandSize w:val="1"/>
      <w:tblCellMar>
        <w:top w:w="0" w:type="dxa"/>
        <w:left w:w="108" w:type="dxa"/>
        <w:bottom w:w="0" w:type="dxa"/>
        <w:right w:w="108" w:type="dxa"/>
      </w:tblCellMar>
    </w:tblPr>
  </w:style>
  <w:style w:type="table" w:customStyle="1" w:styleId="a3">
    <w:basedOn w:val="TableNormal0"/>
    <w:pPr>
      <w:spacing w:before="0" w:after="0"/>
    </w:pPr>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EF6720"/>
    <w:pPr>
      <w:ind w:left="720"/>
      <w:contextualSpacing/>
    </w:pPr>
  </w:style>
  <w:style w:type="character" w:styleId="Emphasis">
    <w:name w:val="Emphasis"/>
    <w:basedOn w:val="DefaultParagraphFont"/>
    <w:uiPriority w:val="20"/>
    <w:qFormat/>
    <w:rsid w:val="002044AE"/>
    <w:rPr>
      <w:i/>
      <w:iCs/>
    </w:rPr>
  </w:style>
  <w:style w:type="paragraph" w:styleId="NormalWeb">
    <w:name w:val="Normal (Web)"/>
    <w:basedOn w:val="Normal"/>
    <w:uiPriority w:val="99"/>
    <w:semiHidden/>
    <w:unhideWhenUsed/>
    <w:rsid w:val="00DF6D6E"/>
    <w:pPr>
      <w:spacing w:before="100" w:beforeAutospacing="1" w:after="100" w:afterAutospacing="1"/>
      <w:jc w:val="left"/>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72A82"/>
    <w:rPr>
      <w:color w:val="666666"/>
    </w:rPr>
  </w:style>
  <w:style w:type="character" w:styleId="Hyperlink">
    <w:name w:val="Hyperlink"/>
    <w:basedOn w:val="DefaultParagraphFont"/>
    <w:uiPriority w:val="99"/>
    <w:unhideWhenUsed/>
    <w:rsid w:val="004848F3"/>
    <w:rPr>
      <w:color w:val="0000FF" w:themeColor="hyperlink"/>
      <w:u w:val="single"/>
    </w:rPr>
  </w:style>
  <w:style w:type="character" w:styleId="UnresolvedMention">
    <w:name w:val="Unresolved Mention"/>
    <w:basedOn w:val="DefaultParagraphFont"/>
    <w:uiPriority w:val="99"/>
    <w:semiHidden/>
    <w:unhideWhenUsed/>
    <w:rsid w:val="00536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82470">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877-8907" TargetMode="External"/><Relationship Id="rId13" Type="http://schemas.openxmlformats.org/officeDocument/2006/relationships/hyperlink" Target="https://10.1197/aemj.9.11.1184" TargetMode="External"/><Relationship Id="rId18" Type="http://schemas.openxmlformats.org/officeDocument/2006/relationships/hyperlink" Target="https://doi:10.1016/j.jbusres.2021.04.060" TargetMode="External"/><Relationship Id="rId26" Type="http://schemas.openxmlformats.org/officeDocument/2006/relationships/hyperlink" Target="https://link.springer.com/chapter/10.1007/978-3-319-28887-1_2" TargetMode="External"/><Relationship Id="rId3" Type="http://schemas.openxmlformats.org/officeDocument/2006/relationships/styles" Target="styles.xml"/><Relationship Id="rId21" Type="http://schemas.openxmlformats.org/officeDocument/2006/relationships/hyperlink" Target="https://doi:d10.1016/j.chb.2016.03.046" TargetMode="External"/><Relationship Id="rId7" Type="http://schemas.openxmlformats.org/officeDocument/2006/relationships/hyperlink" Target="https://orcid.org/0000-0002-5851-6259" TargetMode="External"/><Relationship Id="rId12" Type="http://schemas.openxmlformats.org/officeDocument/2006/relationships/image" Target="media/image2.png"/><Relationship Id="rId17" Type="http://schemas.openxmlformats.org/officeDocument/2006/relationships/hyperlink" Target="https://doi.org/10.1016/S1057-0810(99)00041-4" TargetMode="External"/><Relationship Id="rId25" Type="http://schemas.openxmlformats.org/officeDocument/2006/relationships/hyperlink" Target="https://doi:10.1097/ACM.0000000000000803" TargetMode="External"/><Relationship Id="rId2" Type="http://schemas.openxmlformats.org/officeDocument/2006/relationships/numbering" Target="numbering.xml"/><Relationship Id="rId16" Type="http://schemas.openxmlformats.org/officeDocument/2006/relationships/hyperlink" Target="https://doi:10.1006/jvbe.1999.1713" TargetMode="External"/><Relationship Id="rId20" Type="http://schemas.openxmlformats.org/officeDocument/2006/relationships/hyperlink" Target="https://doi:10.2307/41410412" TargetMode="External"/><Relationship Id="rId29" Type="http://schemas.openxmlformats.org/officeDocument/2006/relationships/hyperlink" Target="https://www.google.co.in/books/edition/Principles_and_Practice_of_Structural_Eq/t2CvEAAAQBAJ?hl=en&amp;gbpv=0" TargetMode="External"/><Relationship Id="rId1" Type="http://schemas.openxmlformats.org/officeDocument/2006/relationships/customXml" Target="../customXml/item1.xml"/><Relationship Id="rId6" Type="http://schemas.openxmlformats.org/officeDocument/2006/relationships/hyperlink" Target="mailto:saurabh33.singh@gmail.com" TargetMode="External"/><Relationship Id="rId11" Type="http://schemas.openxmlformats.org/officeDocument/2006/relationships/image" Target="media/image1.png"/><Relationship Id="rId24" Type="http://schemas.openxmlformats.org/officeDocument/2006/relationships/hyperlink" Target="https://doi:10.1097/00001888-199804000-000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10.1016/j.frl.2022.102877" TargetMode="External"/><Relationship Id="rId23" Type="http://schemas.openxmlformats.org/officeDocument/2006/relationships/hyperlink" Target="https://www.proquest.com/openview/eb47c02f9cbb0b1f0f6f4f470b8d033a" TargetMode="External"/><Relationship Id="rId28" Type="http://schemas.openxmlformats.org/officeDocument/2006/relationships/hyperlink" Target="https://files.eric.ed.gov/fulltext/EJ859556.pdf" TargetMode="External"/><Relationship Id="rId10" Type="http://schemas.openxmlformats.org/officeDocument/2006/relationships/hyperlink" Target="https://orcid.org/0000-0001-9486-7235" TargetMode="External"/><Relationship Id="rId19" Type="http://schemas.openxmlformats.org/officeDocument/2006/relationships/hyperlink" Target="https://doi:10.2307/300365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6714-6851" TargetMode="External"/><Relationship Id="rId14" Type="http://schemas.openxmlformats.org/officeDocument/2006/relationships/hyperlink" Target="https://cornerstone.lib.mnsu.edu/ie-fac-pubs/26/" TargetMode="External"/><Relationship Id="rId22" Type="http://schemas.openxmlformats.org/officeDocument/2006/relationships/hyperlink" Target="https://doi:10.1016/j.frl.2021.102164" TargetMode="External"/><Relationship Id="rId27" Type="http://schemas.openxmlformats.org/officeDocument/2006/relationships/hyperlink" Target="https://doi:10.1080/08874417.2016.1201823" TargetMode="External"/><Relationship Id="rId30" Type="http://schemas.openxmlformats.org/officeDocument/2006/relationships/hyperlink" Target="https://doi:10.1177/0149206309352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8" Type="http://schemas.microsoft.com/office/2011/relationships/webextension" Target="webextension8.xml"/><Relationship Id="rId3" Type="http://schemas.microsoft.com/office/2011/relationships/webextension" Target="webextension3.xml"/><Relationship Id="rId7" Type="http://schemas.microsoft.com/office/2011/relationships/webextension" Target="webextension7.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 Id="rId9" Type="http://schemas.microsoft.com/office/2011/relationships/webextension" Target="webextension9.xml"/></Relationships>
</file>

<file path=word/webextensions/taskpanes.xml><?xml version="1.0" encoding="utf-8"?>
<wetp:taskpanes xmlns:wetp="http://schemas.microsoft.com/office/webextensions/taskpanes/2010/11">
  <wetp:taskpane dockstate="right" visibility="0" width="420" row="2">
    <wetp:webextensionref xmlns:r="http://schemas.openxmlformats.org/officeDocument/2006/relationships" r:id="rId1"/>
  </wetp:taskpane>
  <wetp:taskpane dockstate="right" visibility="0" width="1" row="3">
    <wetp:webextensionref xmlns:r="http://schemas.openxmlformats.org/officeDocument/2006/relationships" r:id="rId2"/>
  </wetp:taskpane>
  <wetp:taskpane dockstate="right" visibility="0" width="525" row="4">
    <wetp:webextensionref xmlns:r="http://schemas.openxmlformats.org/officeDocument/2006/relationships" r:id="rId3"/>
  </wetp:taskpane>
  <wetp:taskpane dockstate="right" visibility="0" width="525" row="5">
    <wetp:webextensionref xmlns:r="http://schemas.openxmlformats.org/officeDocument/2006/relationships" r:id="rId4"/>
  </wetp:taskpane>
  <wetp:taskpane dockstate="right" visibility="0" width="525" row="6">
    <wetp:webextensionref xmlns:r="http://schemas.openxmlformats.org/officeDocument/2006/relationships" r:id="rId5"/>
  </wetp:taskpane>
  <wetp:taskpane dockstate="right" visibility="0" width="525" row="7">
    <wetp:webextensionref xmlns:r="http://schemas.openxmlformats.org/officeDocument/2006/relationships" r:id="rId6"/>
  </wetp:taskpane>
  <wetp:taskpane dockstate="right" visibility="0" width="525" row="8">
    <wetp:webextensionref xmlns:r="http://schemas.openxmlformats.org/officeDocument/2006/relationships" r:id="rId7"/>
  </wetp:taskpane>
  <wetp:taskpane dockstate="right" visibility="0" width="525" row="9">
    <wetp:webextensionref xmlns:r="http://schemas.openxmlformats.org/officeDocument/2006/relationships" r:id="rId8"/>
  </wetp:taskpane>
  <wetp:taskpane dockstate="right" visibility="0" width="479" row="1">
    <wetp:webextensionref xmlns:r="http://schemas.openxmlformats.org/officeDocument/2006/relationships" r:id="rId9"/>
  </wetp:taskpane>
</wetp:taskpanes>
</file>

<file path=word/webextensions/webextension1.xml><?xml version="1.0" encoding="utf-8"?>
<we:webextension xmlns:we="http://schemas.microsoft.com/office/webextensions/webextension/2010/11" id="{0816C85A-2FC5-495A-93C4-1901653D6E38}">
  <we:reference id="wa200000368" version="1.0.0.0" store="en-US" storeType="OMEX"/>
  <we:alternateReferences>
    <we:reference id="WA200000368" version="1.0.0.0" store="" storeType="OMEX"/>
  </we:alternateReferences>
  <we:properties>
    <we:property name="documentId" value="&quot;871ca2e6b12b009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F116A248-93C5-4E06-A885-75BF77212EAC}">
  <we:reference id="wa200005826" version="1.9.0.0" store="en-US" storeType="OMEX"/>
  <we:alternateReferences>
    <we:reference id="WA200005826" version="1.9.0.0" store="WA200005826"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BE64A4C0-98B9-40DD-8BE8-6F00117DCB9B}">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AFAD8D3-E487-4E8D-A1D1-6211CB5CB644}">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F0928650-945E-47B7-B8E6-7C94F9F4DC30}">
  <we:reference id="wa200005121" version="1.2.0.0" store="en-US" storeType="OMEX"/>
  <we:alternateReferences>
    <we:reference id="WA200005121" version="1.2.0.0" store="WA200005121"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E620476B-B8FB-4530-8342-A9A44A0E8328}">
  <we:reference id="wa200005983" version="2.3.0.0" store="en-US" storeType="OMEX"/>
  <we:alternateReferences>
    <we:reference id="WA200005983" version="2.3.0.0" store="WA200005983" storeType="OMEX"/>
  </we:alternateReferences>
  <we:properties/>
  <we:bindings/>
  <we:snapshot xmlns:r="http://schemas.openxmlformats.org/officeDocument/2006/relationships"/>
</we:webextension>
</file>

<file path=word/webextensions/webextension7.xml><?xml version="1.0" encoding="utf-8"?>
<we:webextension xmlns:we="http://schemas.microsoft.com/office/webextensions/webextension/2010/11" id="{FE7913CA-E9E1-4A41-8BA9-58796EDC1528}">
  <we:reference id="wa104380256" version="1.1.0.0" store="en-US" storeType="OMEX"/>
  <we:alternateReferences>
    <we:reference id="wa104380256" version="1.1.0.0" store="wa104380256" storeType="OMEX"/>
  </we:alternateReferences>
  <we:properties/>
  <we:bindings/>
  <we:snapshot xmlns:r="http://schemas.openxmlformats.org/officeDocument/2006/relationships"/>
</we:webextension>
</file>

<file path=word/webextensions/webextension8.xml><?xml version="1.0" encoding="utf-8"?>
<we:webextension xmlns:we="http://schemas.microsoft.com/office/webextensions/webextension/2010/11" id="{E09F1726-E5BC-49E3-903F-7A70D4C2B3C3}">
  <we:reference id="wa102920437" version="1.3.1.1" store="en-US" storeType="OMEX"/>
  <we:alternateReferences>
    <we:reference id="WA102920437" version="1.3.1.1" store="WA102920437" storeType="OMEX"/>
  </we:alternateReferences>
  <we:properties/>
  <we:bindings/>
  <we:snapshot xmlns:r="http://schemas.openxmlformats.org/officeDocument/2006/relationships"/>
</we:webextension>
</file>

<file path=word/webextensions/webextension9.xml><?xml version="1.0" encoding="utf-8"?>
<we:webextension xmlns:we="http://schemas.microsoft.com/office/webextensions/webextension/2010/11" id="{2FC3067D-4820-4069-85E6-B020D48426A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404336205"/>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AB0D-81AC-4791-8B44-38CD4A83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3781</TotalTime>
  <Pages>10</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Dr. Saurabh Singh</cp:lastModifiedBy>
  <cp:revision>54</cp:revision>
  <dcterms:created xsi:type="dcterms:W3CDTF">2025-11-03T10:06:00Z</dcterms:created>
  <dcterms:modified xsi:type="dcterms:W3CDTF">2026-01-10T07:12:00Z</dcterms:modified>
</cp:coreProperties>
</file>