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C587" w14:textId="77777777" w:rsidR="00133959" w:rsidRPr="00133959" w:rsidRDefault="00133959" w:rsidP="00133959">
      <w:pPr>
        <w:spacing w:line="480" w:lineRule="auto"/>
        <w:jc w:val="center"/>
        <w:rPr>
          <w:b/>
          <w:bCs/>
          <w:sz w:val="22"/>
          <w:szCs w:val="22"/>
        </w:rPr>
      </w:pPr>
      <w:bookmarkStart w:id="0" w:name="_Hlk218854429"/>
      <w:bookmarkEnd w:id="0"/>
      <w:r w:rsidRPr="00133959">
        <w:rPr>
          <w:rFonts w:eastAsia="Verdana"/>
          <w:b/>
          <w:sz w:val="22"/>
          <w:szCs w:val="22"/>
          <w:lang w:bidi="en-US"/>
        </w:rPr>
        <w:t>Forensic Criteria for Digital Evidence Reliability in Pre-Trial Investigation</w:t>
      </w:r>
    </w:p>
    <w:p w14:paraId="0FB5FCA5" w14:textId="77777777" w:rsidR="00133959" w:rsidRDefault="00133959" w:rsidP="00133959">
      <w:pPr>
        <w:spacing w:line="480" w:lineRule="auto"/>
        <w:jc w:val="center"/>
        <w:rPr>
          <w:rFonts w:eastAsia="Verdana"/>
          <w:b/>
          <w:sz w:val="22"/>
          <w:szCs w:val="22"/>
          <w:lang w:bidi="en-US"/>
        </w:rPr>
      </w:pPr>
      <w:r>
        <w:rPr>
          <w:rFonts w:eastAsia="Verdana"/>
          <w:b/>
          <w:sz w:val="22"/>
          <w:szCs w:val="22"/>
          <w:lang w:bidi="en-US"/>
        </w:rPr>
        <w:br w:type="page"/>
      </w:r>
    </w:p>
    <w:p w14:paraId="5D1280FD" w14:textId="1F9419FF" w:rsidR="002F227C" w:rsidRPr="00133959" w:rsidRDefault="00000000" w:rsidP="00133959">
      <w:pPr>
        <w:spacing w:line="480" w:lineRule="auto"/>
        <w:jc w:val="center"/>
        <w:rPr>
          <w:b/>
          <w:bCs/>
          <w:sz w:val="22"/>
          <w:szCs w:val="22"/>
        </w:rPr>
      </w:pPr>
      <w:r w:rsidRPr="00133959">
        <w:rPr>
          <w:rFonts w:eastAsia="Verdana"/>
          <w:b/>
          <w:sz w:val="22"/>
          <w:szCs w:val="22"/>
          <w:lang w:bidi="en-US"/>
        </w:rPr>
        <w:lastRenderedPageBreak/>
        <w:t>Forensic Criteria for Digital Evidence Reliability in Pre-Trial Investigation</w:t>
      </w:r>
    </w:p>
    <w:p w14:paraId="29EB5AE7" w14:textId="77777777" w:rsidR="002F227C" w:rsidRPr="00133959" w:rsidRDefault="002F227C" w:rsidP="00133959">
      <w:pPr>
        <w:spacing w:line="480" w:lineRule="auto"/>
        <w:jc w:val="both"/>
        <w:rPr>
          <w:sz w:val="22"/>
          <w:szCs w:val="22"/>
        </w:rPr>
      </w:pPr>
    </w:p>
    <w:p w14:paraId="57AD92AB" w14:textId="77777777" w:rsidR="00481540" w:rsidRPr="00133959" w:rsidRDefault="00481540" w:rsidP="00133959">
      <w:pPr>
        <w:spacing w:line="480" w:lineRule="auto"/>
        <w:rPr>
          <w:b/>
          <w:sz w:val="22"/>
          <w:szCs w:val="22"/>
        </w:rPr>
      </w:pPr>
      <w:r w:rsidRPr="00133959">
        <w:rPr>
          <w:b/>
          <w:sz w:val="22"/>
          <w:szCs w:val="22"/>
        </w:rPr>
        <w:t>Serhii Holovkin</w:t>
      </w:r>
    </w:p>
    <w:p w14:paraId="1F412FAE" w14:textId="31E24572" w:rsidR="00481540" w:rsidRPr="00133959" w:rsidRDefault="00481540" w:rsidP="00133959">
      <w:pPr>
        <w:spacing w:line="480" w:lineRule="auto"/>
        <w:jc w:val="both"/>
        <w:rPr>
          <w:sz w:val="22"/>
          <w:szCs w:val="22"/>
        </w:rPr>
      </w:pPr>
      <w:r w:rsidRPr="00133959">
        <w:rPr>
          <w:sz w:val="22"/>
          <w:szCs w:val="22"/>
        </w:rPr>
        <w:t xml:space="preserve">PhD in </w:t>
      </w:r>
      <w:r w:rsidRPr="00133959">
        <w:rPr>
          <w:sz w:val="22"/>
          <w:szCs w:val="22"/>
          <w:lang w:val="uk-UA"/>
        </w:rPr>
        <w:t>Juridical Sciences</w:t>
      </w:r>
      <w:r w:rsidRPr="00133959">
        <w:rPr>
          <w:sz w:val="22"/>
          <w:szCs w:val="22"/>
        </w:rPr>
        <w:t>,</w:t>
      </w:r>
      <w:r w:rsidRPr="00133959">
        <w:rPr>
          <w:sz w:val="22"/>
          <w:szCs w:val="22"/>
          <w:lang w:val="uk-UA"/>
        </w:rPr>
        <w:t xml:space="preserve"> </w:t>
      </w:r>
      <w:r w:rsidR="0065585C" w:rsidRPr="00133959">
        <w:rPr>
          <w:sz w:val="22"/>
          <w:szCs w:val="22"/>
        </w:rPr>
        <w:t>Senior Research Officer,</w:t>
      </w:r>
      <w:r w:rsidR="0065585C" w:rsidRPr="00133959">
        <w:rPr>
          <w:sz w:val="22"/>
          <w:szCs w:val="22"/>
          <w:lang w:val="uk-UA"/>
        </w:rPr>
        <w:t xml:space="preserve"> </w:t>
      </w:r>
      <w:r w:rsidR="002344B1" w:rsidRPr="00133959">
        <w:rPr>
          <w:sz w:val="22"/>
          <w:szCs w:val="22"/>
          <w:lang w:val="uk-UA"/>
        </w:rPr>
        <w:t>Associate Professor</w:t>
      </w:r>
      <w:r w:rsidRPr="00133959">
        <w:rPr>
          <w:sz w:val="22"/>
          <w:szCs w:val="22"/>
        </w:rPr>
        <w:t>,</w:t>
      </w:r>
      <w:r w:rsidRPr="00133959">
        <w:rPr>
          <w:sz w:val="22"/>
          <w:szCs w:val="22"/>
          <w:lang w:val="uk-UA"/>
        </w:rPr>
        <w:t xml:space="preserve"> Department of Criminal Procedure and Criminalistics, Faculty of Training Specialists for Pre-Trial Investigation Bodies</w:t>
      </w:r>
      <w:r w:rsidR="002344B1" w:rsidRPr="00133959">
        <w:rPr>
          <w:sz w:val="22"/>
          <w:szCs w:val="22"/>
        </w:rPr>
        <w:t xml:space="preserve">, </w:t>
      </w:r>
      <w:r w:rsidRPr="00133959">
        <w:rPr>
          <w:sz w:val="22"/>
          <w:szCs w:val="22"/>
          <w:lang w:val="uk-UA"/>
        </w:rPr>
        <w:t>National Police of Ukraine,</w:t>
      </w:r>
      <w:r w:rsidRPr="00133959">
        <w:rPr>
          <w:sz w:val="22"/>
          <w:szCs w:val="22"/>
        </w:rPr>
        <w:t xml:space="preserve"> </w:t>
      </w:r>
      <w:r w:rsidRPr="00133959">
        <w:rPr>
          <w:sz w:val="22"/>
          <w:szCs w:val="22"/>
          <w:lang w:val="uk-UA"/>
        </w:rPr>
        <w:t>Donetsk State University of Internal Affairs</w:t>
      </w:r>
      <w:r w:rsidRPr="00133959">
        <w:rPr>
          <w:sz w:val="22"/>
          <w:szCs w:val="22"/>
        </w:rPr>
        <w:t xml:space="preserve">, </w:t>
      </w:r>
      <w:r w:rsidRPr="00133959">
        <w:rPr>
          <w:sz w:val="22"/>
          <w:szCs w:val="22"/>
          <w:lang w:val="uk-UA"/>
        </w:rPr>
        <w:t>Kropyvnytskyi</w:t>
      </w:r>
      <w:r w:rsidRPr="00133959">
        <w:rPr>
          <w:sz w:val="22"/>
          <w:szCs w:val="22"/>
        </w:rPr>
        <w:t xml:space="preserve">, </w:t>
      </w:r>
      <w:r w:rsidR="0065585C" w:rsidRPr="00133959">
        <w:rPr>
          <w:sz w:val="22"/>
          <w:szCs w:val="22"/>
        </w:rPr>
        <w:t>Ukraine.</w:t>
      </w:r>
    </w:p>
    <w:p w14:paraId="306320B3" w14:textId="5EB79337" w:rsidR="00981586" w:rsidRPr="00133959" w:rsidRDefault="0065585C" w:rsidP="00133959">
      <w:pPr>
        <w:spacing w:line="480" w:lineRule="auto"/>
        <w:jc w:val="both"/>
        <w:rPr>
          <w:sz w:val="22"/>
          <w:szCs w:val="22"/>
        </w:rPr>
      </w:pPr>
      <w:r w:rsidRPr="00133959">
        <w:rPr>
          <w:sz w:val="22"/>
          <w:szCs w:val="22"/>
        </w:rPr>
        <w:t xml:space="preserve">E-mail: </w:t>
      </w:r>
      <w:r w:rsidR="004F2799" w:rsidRPr="00133959">
        <w:rPr>
          <w:bCs/>
          <w:sz w:val="22"/>
          <w:szCs w:val="22"/>
        </w:rPr>
        <w:t>serhiiholivkin@gmail.com</w:t>
      </w:r>
    </w:p>
    <w:p w14:paraId="68A4F18B" w14:textId="7919EA40" w:rsidR="00981586" w:rsidRPr="00133959" w:rsidRDefault="00D07A88" w:rsidP="00133959">
      <w:pPr>
        <w:spacing w:line="480" w:lineRule="auto"/>
        <w:jc w:val="both"/>
        <w:rPr>
          <w:sz w:val="22"/>
          <w:szCs w:val="22"/>
        </w:rPr>
      </w:pPr>
      <w:r w:rsidRPr="00133959">
        <w:rPr>
          <w:sz w:val="22"/>
          <w:szCs w:val="22"/>
        </w:rPr>
        <w:t xml:space="preserve">ORCID: </w:t>
      </w:r>
      <w:r w:rsidR="0065585C" w:rsidRPr="00133959">
        <w:rPr>
          <w:sz w:val="22"/>
          <w:szCs w:val="22"/>
        </w:rPr>
        <w:t>https://orcid.org/0000-0002-3204-2286</w:t>
      </w:r>
    </w:p>
    <w:p w14:paraId="36920D27" w14:textId="77777777" w:rsidR="00981586" w:rsidRPr="00133959" w:rsidRDefault="00981586" w:rsidP="00133959">
      <w:pPr>
        <w:spacing w:line="480" w:lineRule="auto"/>
        <w:jc w:val="both"/>
        <w:rPr>
          <w:sz w:val="22"/>
          <w:szCs w:val="22"/>
        </w:rPr>
      </w:pPr>
    </w:p>
    <w:p w14:paraId="51BDEAD3" w14:textId="3C9BD49B" w:rsidR="00D07A88" w:rsidRPr="00133959" w:rsidRDefault="00D07A88" w:rsidP="00133959">
      <w:pPr>
        <w:spacing w:line="480" w:lineRule="auto"/>
        <w:rPr>
          <w:b/>
          <w:sz w:val="22"/>
          <w:szCs w:val="22"/>
        </w:rPr>
      </w:pPr>
      <w:r w:rsidRPr="00133959">
        <w:rPr>
          <w:b/>
          <w:sz w:val="22"/>
          <w:szCs w:val="22"/>
        </w:rPr>
        <w:t>Dina Drobenko</w:t>
      </w:r>
    </w:p>
    <w:p w14:paraId="47F1C0FA" w14:textId="46A61430" w:rsidR="00D07A88" w:rsidRPr="00133959" w:rsidRDefault="002344B1" w:rsidP="00133959">
      <w:pPr>
        <w:spacing w:line="480" w:lineRule="auto"/>
        <w:jc w:val="both"/>
        <w:rPr>
          <w:sz w:val="22"/>
          <w:szCs w:val="22"/>
        </w:rPr>
      </w:pPr>
      <w:r w:rsidRPr="00133959">
        <w:rPr>
          <w:sz w:val="22"/>
          <w:szCs w:val="22"/>
          <w:lang w:val="uk-UA"/>
        </w:rPr>
        <w:t>Senior Lecturer</w:t>
      </w:r>
      <w:r w:rsidR="00D07A88" w:rsidRPr="00133959">
        <w:rPr>
          <w:sz w:val="22"/>
          <w:szCs w:val="22"/>
        </w:rPr>
        <w:t>, Department of Criminal Procedure and Criminalistics, Faculty for the Training of Specialists for Pre-Trial Investigation Bodies</w:t>
      </w:r>
      <w:r w:rsidRPr="00133959">
        <w:rPr>
          <w:sz w:val="22"/>
          <w:szCs w:val="22"/>
        </w:rPr>
        <w:t>,</w:t>
      </w:r>
      <w:r w:rsidR="00D07A88" w:rsidRPr="00133959">
        <w:rPr>
          <w:sz w:val="22"/>
          <w:szCs w:val="22"/>
        </w:rPr>
        <w:t xml:space="preserve"> National Police of Ukraine, Donetsk State University of Internal Affairs,</w:t>
      </w:r>
      <w:r w:rsidR="00D07A88" w:rsidRPr="00133959">
        <w:rPr>
          <w:sz w:val="22"/>
          <w:szCs w:val="22"/>
          <w:lang w:val="uk-UA"/>
        </w:rPr>
        <w:t xml:space="preserve"> Kropyvnytskyi</w:t>
      </w:r>
      <w:r w:rsidR="00D07A88" w:rsidRPr="00133959">
        <w:rPr>
          <w:sz w:val="22"/>
          <w:szCs w:val="22"/>
        </w:rPr>
        <w:t>, Ukraine.</w:t>
      </w:r>
    </w:p>
    <w:p w14:paraId="1701B7F8" w14:textId="2F5A9BB3" w:rsidR="00981586" w:rsidRPr="00133959" w:rsidRDefault="00D07A88" w:rsidP="00133959">
      <w:pPr>
        <w:spacing w:line="480" w:lineRule="auto"/>
        <w:jc w:val="both"/>
        <w:rPr>
          <w:sz w:val="22"/>
          <w:szCs w:val="22"/>
        </w:rPr>
      </w:pPr>
      <w:r w:rsidRPr="00133959">
        <w:rPr>
          <w:sz w:val="22"/>
          <w:szCs w:val="22"/>
        </w:rPr>
        <w:t>E-mail:</w:t>
      </w:r>
      <w:r w:rsidR="00F319A4" w:rsidRPr="00133959">
        <w:rPr>
          <w:sz w:val="22"/>
          <w:szCs w:val="22"/>
        </w:rPr>
        <w:t xml:space="preserve"> d.drobenko@gmail.com</w:t>
      </w:r>
    </w:p>
    <w:p w14:paraId="433F0B28" w14:textId="25FA42D4" w:rsidR="00981586" w:rsidRPr="00133959" w:rsidRDefault="00D07A88" w:rsidP="00133959">
      <w:pPr>
        <w:spacing w:line="480" w:lineRule="auto"/>
        <w:jc w:val="both"/>
        <w:rPr>
          <w:sz w:val="22"/>
          <w:szCs w:val="22"/>
        </w:rPr>
      </w:pPr>
      <w:r w:rsidRPr="00133959">
        <w:rPr>
          <w:sz w:val="22"/>
          <w:szCs w:val="22"/>
        </w:rPr>
        <w:t xml:space="preserve">ORCID: </w:t>
      </w:r>
      <w:r w:rsidR="00D4271F" w:rsidRPr="00133959">
        <w:rPr>
          <w:sz w:val="22"/>
          <w:szCs w:val="22"/>
        </w:rPr>
        <w:t>https://orcid.org/0009-0005-9950-6283</w:t>
      </w:r>
    </w:p>
    <w:p w14:paraId="485A77ED" w14:textId="77777777" w:rsidR="00981586" w:rsidRPr="00133959" w:rsidRDefault="00981586" w:rsidP="00133959">
      <w:pPr>
        <w:spacing w:line="480" w:lineRule="auto"/>
        <w:jc w:val="both"/>
        <w:rPr>
          <w:sz w:val="22"/>
          <w:szCs w:val="22"/>
        </w:rPr>
      </w:pPr>
    </w:p>
    <w:p w14:paraId="58508D90" w14:textId="77777777" w:rsidR="008C2E19" w:rsidRPr="00133959" w:rsidRDefault="008C2E19" w:rsidP="00133959">
      <w:pPr>
        <w:spacing w:line="480" w:lineRule="auto"/>
        <w:jc w:val="both"/>
        <w:rPr>
          <w:sz w:val="22"/>
          <w:szCs w:val="22"/>
        </w:rPr>
      </w:pPr>
      <w:r w:rsidRPr="00133959">
        <w:rPr>
          <w:b/>
          <w:bCs/>
          <w:sz w:val="22"/>
          <w:szCs w:val="22"/>
        </w:rPr>
        <w:t>Maryna</w:t>
      </w:r>
      <w:r w:rsidRPr="00133959">
        <w:rPr>
          <w:sz w:val="22"/>
          <w:szCs w:val="22"/>
        </w:rPr>
        <w:t xml:space="preserve"> </w:t>
      </w:r>
      <w:r w:rsidRPr="00133959">
        <w:rPr>
          <w:b/>
          <w:bCs/>
          <w:sz w:val="22"/>
          <w:szCs w:val="22"/>
        </w:rPr>
        <w:t>Kulyk</w:t>
      </w:r>
    </w:p>
    <w:p w14:paraId="225B01F2" w14:textId="77777777" w:rsidR="002344B1" w:rsidRPr="00133959" w:rsidRDefault="008C2E19" w:rsidP="00133959">
      <w:pPr>
        <w:spacing w:line="480" w:lineRule="auto"/>
        <w:jc w:val="both"/>
        <w:rPr>
          <w:sz w:val="22"/>
          <w:szCs w:val="22"/>
        </w:rPr>
      </w:pPr>
      <w:r w:rsidRPr="00133959">
        <w:rPr>
          <w:sz w:val="22"/>
          <w:szCs w:val="22"/>
        </w:rPr>
        <w:t>PhD in</w:t>
      </w:r>
      <w:r w:rsidR="009655DE" w:rsidRPr="00133959">
        <w:rPr>
          <w:sz w:val="22"/>
          <w:szCs w:val="22"/>
        </w:rPr>
        <w:t xml:space="preserve"> </w:t>
      </w:r>
      <w:r w:rsidR="002344B1" w:rsidRPr="00133959">
        <w:rPr>
          <w:sz w:val="22"/>
          <w:szCs w:val="22"/>
        </w:rPr>
        <w:t>Legal Sciences, Associate Professor</w:t>
      </w:r>
      <w:r w:rsidRPr="00133959">
        <w:rPr>
          <w:sz w:val="22"/>
          <w:szCs w:val="22"/>
        </w:rPr>
        <w:t>, Professor of Criminal Procedure</w:t>
      </w:r>
      <w:r w:rsidR="009655DE" w:rsidRPr="00133959">
        <w:rPr>
          <w:sz w:val="22"/>
          <w:szCs w:val="22"/>
        </w:rPr>
        <w:t>,</w:t>
      </w:r>
      <w:r w:rsidRPr="00133959">
        <w:rPr>
          <w:sz w:val="22"/>
          <w:szCs w:val="22"/>
        </w:rPr>
        <w:t xml:space="preserve"> National Academy of Internal Affairs, </w:t>
      </w:r>
      <w:r w:rsidR="002344B1" w:rsidRPr="00133959">
        <w:rPr>
          <w:sz w:val="22"/>
          <w:szCs w:val="22"/>
        </w:rPr>
        <w:t>Kyiv, Ukraine.</w:t>
      </w:r>
    </w:p>
    <w:p w14:paraId="6A6E9F5A" w14:textId="0E2E15D9" w:rsidR="009655DE" w:rsidRPr="00133959" w:rsidRDefault="009655DE" w:rsidP="00133959">
      <w:pPr>
        <w:spacing w:line="480" w:lineRule="auto"/>
        <w:jc w:val="both"/>
        <w:rPr>
          <w:sz w:val="22"/>
          <w:szCs w:val="22"/>
        </w:rPr>
      </w:pPr>
      <w:r w:rsidRPr="00133959">
        <w:rPr>
          <w:sz w:val="22"/>
          <w:szCs w:val="22"/>
        </w:rPr>
        <w:t>E-mail: kulyk_m@ukr.net</w:t>
      </w:r>
    </w:p>
    <w:p w14:paraId="0CCBF158" w14:textId="0818C26E" w:rsidR="00981586" w:rsidRPr="00133959" w:rsidRDefault="009655DE" w:rsidP="00133959">
      <w:pPr>
        <w:spacing w:line="480" w:lineRule="auto"/>
        <w:jc w:val="both"/>
        <w:rPr>
          <w:sz w:val="22"/>
          <w:szCs w:val="22"/>
        </w:rPr>
      </w:pPr>
      <w:r w:rsidRPr="00133959">
        <w:rPr>
          <w:sz w:val="22"/>
          <w:szCs w:val="22"/>
        </w:rPr>
        <w:t>ORCID: https://orcid.org/0000-0003-1373-6749</w:t>
      </w:r>
    </w:p>
    <w:p w14:paraId="37D4509F" w14:textId="77777777" w:rsidR="00981586" w:rsidRPr="00133959" w:rsidRDefault="00981586" w:rsidP="00133959">
      <w:pPr>
        <w:spacing w:line="480" w:lineRule="auto"/>
        <w:jc w:val="both"/>
        <w:rPr>
          <w:sz w:val="22"/>
          <w:szCs w:val="22"/>
        </w:rPr>
      </w:pPr>
    </w:p>
    <w:p w14:paraId="2BB427F7" w14:textId="1A988334" w:rsidR="00981586" w:rsidRPr="00133959" w:rsidRDefault="00747ED4" w:rsidP="00133959">
      <w:pPr>
        <w:spacing w:line="480" w:lineRule="auto"/>
        <w:jc w:val="both"/>
        <w:rPr>
          <w:sz w:val="22"/>
          <w:szCs w:val="22"/>
        </w:rPr>
      </w:pPr>
      <w:r w:rsidRPr="00133959">
        <w:rPr>
          <w:b/>
          <w:sz w:val="22"/>
          <w:szCs w:val="22"/>
        </w:rPr>
        <w:t xml:space="preserve">Vadym Butenko </w:t>
      </w:r>
    </w:p>
    <w:p w14:paraId="4E2A2119" w14:textId="7720FD04" w:rsidR="00747ED4" w:rsidRPr="00133959" w:rsidRDefault="00747ED4" w:rsidP="00133959">
      <w:pPr>
        <w:spacing w:line="480" w:lineRule="auto"/>
        <w:jc w:val="both"/>
        <w:rPr>
          <w:sz w:val="22"/>
          <w:szCs w:val="22"/>
        </w:rPr>
      </w:pPr>
      <w:r w:rsidRPr="00133959">
        <w:rPr>
          <w:sz w:val="22"/>
          <w:szCs w:val="22"/>
        </w:rPr>
        <w:t xml:space="preserve">PhD in Legal Sciences, </w:t>
      </w:r>
      <w:r w:rsidR="002344B1" w:rsidRPr="00133959">
        <w:rPr>
          <w:sz w:val="22"/>
          <w:szCs w:val="22"/>
        </w:rPr>
        <w:t>Associate Professor</w:t>
      </w:r>
      <w:r w:rsidRPr="00133959">
        <w:rPr>
          <w:sz w:val="22"/>
          <w:szCs w:val="22"/>
        </w:rPr>
        <w:t>, Department of Civil Law and Interna</w:t>
      </w:r>
      <w:r w:rsidR="002344B1" w:rsidRPr="00133959">
        <w:rPr>
          <w:sz w:val="22"/>
          <w:szCs w:val="22"/>
        </w:rPr>
        <w:t>tio</w:t>
      </w:r>
      <w:r w:rsidRPr="00133959">
        <w:rPr>
          <w:sz w:val="22"/>
          <w:szCs w:val="22"/>
        </w:rPr>
        <w:t>nal Law</w:t>
      </w:r>
      <w:r w:rsidR="002344B1" w:rsidRPr="00133959">
        <w:rPr>
          <w:sz w:val="22"/>
          <w:szCs w:val="22"/>
        </w:rPr>
        <w:t>,</w:t>
      </w:r>
      <w:r w:rsidRPr="00133959">
        <w:rPr>
          <w:sz w:val="22"/>
          <w:szCs w:val="22"/>
        </w:rPr>
        <w:t xml:space="preserve"> Interregional Academy of Personnel Management, Kyiv, Ukraine.</w:t>
      </w:r>
    </w:p>
    <w:p w14:paraId="4ACF2089" w14:textId="03E458C4" w:rsidR="00747ED4" w:rsidRPr="00133959" w:rsidRDefault="00747ED4" w:rsidP="00133959">
      <w:pPr>
        <w:spacing w:line="480" w:lineRule="auto"/>
        <w:jc w:val="both"/>
        <w:rPr>
          <w:sz w:val="22"/>
          <w:szCs w:val="22"/>
        </w:rPr>
      </w:pPr>
      <w:r w:rsidRPr="00133959">
        <w:rPr>
          <w:sz w:val="22"/>
          <w:szCs w:val="22"/>
        </w:rPr>
        <w:t>E-mail:</w:t>
      </w:r>
      <w:r w:rsidR="004D721E" w:rsidRPr="00133959">
        <w:rPr>
          <w:sz w:val="22"/>
          <w:szCs w:val="22"/>
        </w:rPr>
        <w:t xml:space="preserve"> </w:t>
      </w:r>
      <w:r w:rsidR="008D2428" w:rsidRPr="00133959">
        <w:rPr>
          <w:sz w:val="22"/>
          <w:szCs w:val="22"/>
        </w:rPr>
        <w:t>b</w:t>
      </w:r>
      <w:r w:rsidR="004D721E" w:rsidRPr="00133959">
        <w:rPr>
          <w:sz w:val="22"/>
          <w:szCs w:val="22"/>
        </w:rPr>
        <w:t>utenko</w:t>
      </w:r>
      <w:r w:rsidR="008D2428" w:rsidRPr="00133959">
        <w:rPr>
          <w:sz w:val="22"/>
          <w:szCs w:val="22"/>
        </w:rPr>
        <w:t>_v</w:t>
      </w:r>
      <w:r w:rsidR="004D721E" w:rsidRPr="00133959">
        <w:rPr>
          <w:sz w:val="22"/>
          <w:szCs w:val="22"/>
        </w:rPr>
        <w:t>@gmail.com</w:t>
      </w:r>
    </w:p>
    <w:p w14:paraId="7146B6B6" w14:textId="1594AE3D" w:rsidR="00747ED4" w:rsidRPr="00133959" w:rsidRDefault="004D721E" w:rsidP="00133959">
      <w:pPr>
        <w:spacing w:line="480" w:lineRule="auto"/>
        <w:jc w:val="both"/>
        <w:rPr>
          <w:sz w:val="22"/>
          <w:szCs w:val="22"/>
        </w:rPr>
      </w:pPr>
      <w:r w:rsidRPr="00133959">
        <w:rPr>
          <w:sz w:val="22"/>
          <w:szCs w:val="22"/>
        </w:rPr>
        <w:t>ORCID: https://orcid.org/0009-0006-0836-2120</w:t>
      </w:r>
    </w:p>
    <w:p w14:paraId="4D8AD7DD" w14:textId="77777777" w:rsidR="00981586" w:rsidRPr="00133959" w:rsidRDefault="00981586" w:rsidP="00133959">
      <w:pPr>
        <w:spacing w:line="480" w:lineRule="auto"/>
        <w:jc w:val="both"/>
        <w:rPr>
          <w:sz w:val="22"/>
          <w:szCs w:val="22"/>
        </w:rPr>
      </w:pPr>
    </w:p>
    <w:p w14:paraId="3792DF00" w14:textId="5444D637" w:rsidR="004D721E" w:rsidRPr="00133959" w:rsidRDefault="008D2428" w:rsidP="00133959">
      <w:pPr>
        <w:spacing w:line="480" w:lineRule="auto"/>
        <w:jc w:val="both"/>
        <w:rPr>
          <w:sz w:val="22"/>
          <w:szCs w:val="22"/>
        </w:rPr>
      </w:pPr>
      <w:r w:rsidRPr="00133959">
        <w:rPr>
          <w:b/>
          <w:sz w:val="22"/>
          <w:szCs w:val="22"/>
        </w:rPr>
        <w:lastRenderedPageBreak/>
        <w:t xml:space="preserve">Assol Shulzhenko </w:t>
      </w:r>
    </w:p>
    <w:p w14:paraId="48699CA2" w14:textId="0C0FBC3C" w:rsidR="004D721E" w:rsidRPr="00133959" w:rsidRDefault="008D2428" w:rsidP="00133959">
      <w:pPr>
        <w:spacing w:line="480" w:lineRule="auto"/>
        <w:jc w:val="both"/>
        <w:rPr>
          <w:sz w:val="22"/>
          <w:szCs w:val="22"/>
        </w:rPr>
      </w:pPr>
      <w:r w:rsidRPr="00133959">
        <w:rPr>
          <w:sz w:val="22"/>
          <w:szCs w:val="22"/>
          <w:lang w:val="uk-UA"/>
        </w:rPr>
        <w:t xml:space="preserve">Doctor of </w:t>
      </w:r>
      <w:r w:rsidR="002344B1" w:rsidRPr="00133959">
        <w:rPr>
          <w:sz w:val="22"/>
          <w:szCs w:val="22"/>
        </w:rPr>
        <w:t>P</w:t>
      </w:r>
      <w:r w:rsidRPr="00133959">
        <w:rPr>
          <w:sz w:val="22"/>
          <w:szCs w:val="22"/>
          <w:lang w:val="uk-UA"/>
        </w:rPr>
        <w:t>hilosophy</w:t>
      </w:r>
      <w:r w:rsidRPr="00133959">
        <w:rPr>
          <w:sz w:val="22"/>
          <w:szCs w:val="22"/>
        </w:rPr>
        <w:t>, Associate Professor of the Department of Justice and Philosophy,</w:t>
      </w:r>
      <w:r w:rsidRPr="00133959">
        <w:rPr>
          <w:sz w:val="22"/>
          <w:szCs w:val="22"/>
          <w:lang w:val="uk-UA"/>
        </w:rPr>
        <w:t xml:space="preserve"> Sumy National Agrarian University</w:t>
      </w:r>
      <w:r w:rsidR="00CD3712" w:rsidRPr="00133959">
        <w:rPr>
          <w:sz w:val="22"/>
          <w:szCs w:val="22"/>
        </w:rPr>
        <w:t>, Sumy, Ukraine.</w:t>
      </w:r>
    </w:p>
    <w:p w14:paraId="2FA6E90E" w14:textId="47DA605C" w:rsidR="004D721E" w:rsidRPr="00133959" w:rsidRDefault="008D2428" w:rsidP="00133959">
      <w:pPr>
        <w:spacing w:line="480" w:lineRule="auto"/>
        <w:jc w:val="both"/>
        <w:rPr>
          <w:sz w:val="22"/>
          <w:szCs w:val="22"/>
        </w:rPr>
      </w:pPr>
      <w:r w:rsidRPr="00133959">
        <w:rPr>
          <w:sz w:val="22"/>
          <w:szCs w:val="22"/>
        </w:rPr>
        <w:t>E-mail: assol_shulzhenko@ukr.net</w:t>
      </w:r>
    </w:p>
    <w:p w14:paraId="1FB97202" w14:textId="1296A9B9" w:rsidR="004D721E" w:rsidRPr="00133959" w:rsidRDefault="007664D8" w:rsidP="00133959">
      <w:pPr>
        <w:spacing w:line="480" w:lineRule="auto"/>
        <w:jc w:val="both"/>
        <w:rPr>
          <w:sz w:val="22"/>
          <w:szCs w:val="22"/>
        </w:rPr>
      </w:pPr>
      <w:r w:rsidRPr="00133959">
        <w:rPr>
          <w:sz w:val="22"/>
          <w:szCs w:val="22"/>
        </w:rPr>
        <w:t xml:space="preserve">ORCID: </w:t>
      </w:r>
      <w:r w:rsidR="008D2428" w:rsidRPr="00133959">
        <w:rPr>
          <w:sz w:val="22"/>
          <w:szCs w:val="22"/>
        </w:rPr>
        <w:t>https://orcid.org/0000-0002-1272-9638</w:t>
      </w:r>
    </w:p>
    <w:p w14:paraId="22F4CBC5" w14:textId="39A19D41" w:rsidR="00133959" w:rsidRDefault="00133959" w:rsidP="00133959">
      <w:pPr>
        <w:spacing w:line="480" w:lineRule="auto"/>
        <w:jc w:val="both"/>
        <w:rPr>
          <w:sz w:val="22"/>
          <w:szCs w:val="22"/>
        </w:rPr>
      </w:pPr>
      <w:r>
        <w:rPr>
          <w:sz w:val="22"/>
          <w:szCs w:val="22"/>
        </w:rPr>
        <w:br w:type="page"/>
      </w:r>
    </w:p>
    <w:p w14:paraId="450B2676" w14:textId="47A4FB78" w:rsidR="002F227C" w:rsidRPr="00133959" w:rsidRDefault="00582765" w:rsidP="00133959">
      <w:pPr>
        <w:spacing w:line="480" w:lineRule="auto"/>
        <w:jc w:val="both"/>
        <w:rPr>
          <w:sz w:val="22"/>
          <w:szCs w:val="22"/>
        </w:rPr>
      </w:pPr>
      <w:r w:rsidRPr="00133959">
        <w:rPr>
          <w:rFonts w:eastAsia="Verdana"/>
          <w:b/>
          <w:sz w:val="22"/>
          <w:szCs w:val="22"/>
          <w:lang w:bidi="en-US"/>
        </w:rPr>
        <w:lastRenderedPageBreak/>
        <w:t>Abstract</w:t>
      </w:r>
    </w:p>
    <w:p w14:paraId="57CF4ED6" w14:textId="77777777" w:rsidR="002F227C" w:rsidRPr="00133959" w:rsidRDefault="00000000" w:rsidP="00133959">
      <w:pPr>
        <w:spacing w:line="480" w:lineRule="auto"/>
        <w:jc w:val="both"/>
        <w:rPr>
          <w:sz w:val="22"/>
          <w:szCs w:val="22"/>
        </w:rPr>
      </w:pPr>
      <w:r w:rsidRPr="00133959">
        <w:rPr>
          <w:sz w:val="22"/>
          <w:szCs w:val="22"/>
        </w:rPr>
        <w:t>The increasing reliance on digital evidence in pre-trial criminal investigations exposes significant legal risks stemming from the absence of clearly operationalized criteria for assessing its reliability. This study aims to substantiate legally grounded forensic medical criteria for determining the reliability of digital evidence at the pre-trial stage of criminal proceedings. The research employs doctrinal legal analysis, procedural reconstruction of digital evidence handling and adversarial modelling based on documented investigative practice. It identifies and systematizes a set of procedural and forensic criteria, including procedural legality, continuity of custody, integrity, authenticity and technical verifiability. These criteria collectively define the legal reliability of digital evidence throughout its entire life cycle. Digital evidence may be considered reliable only when all of the above requirements are satisfied during the pre-trial investigation. The findings provide a foundation for future standard-setting, the enhancement of investigative practices and the harmonization of judicial approaches to assessing digital evidence.</w:t>
      </w:r>
    </w:p>
    <w:p w14:paraId="47105D01" w14:textId="2B01AE18" w:rsidR="002F227C" w:rsidRPr="00133959" w:rsidRDefault="00000000" w:rsidP="00133959">
      <w:pPr>
        <w:spacing w:line="480" w:lineRule="auto"/>
        <w:jc w:val="both"/>
        <w:rPr>
          <w:rFonts w:eastAsia="Book Antiqua"/>
          <w:sz w:val="22"/>
          <w:szCs w:val="22"/>
          <w:lang w:bidi="en-US"/>
        </w:rPr>
      </w:pPr>
      <w:r w:rsidRPr="00133959">
        <w:rPr>
          <w:rFonts w:eastAsia="Book Antiqua"/>
          <w:b/>
          <w:sz w:val="22"/>
          <w:szCs w:val="22"/>
          <w:lang w:bidi="en-US"/>
        </w:rPr>
        <w:t xml:space="preserve">Keywords: </w:t>
      </w:r>
      <w:r w:rsidRPr="00133959">
        <w:rPr>
          <w:rFonts w:eastAsia="Book Antiqua"/>
          <w:sz w:val="22"/>
          <w:szCs w:val="22"/>
          <w:lang w:bidi="en-US"/>
        </w:rPr>
        <w:t>digital evidence</w:t>
      </w:r>
      <w:r w:rsidR="009E69C7" w:rsidRPr="00133959">
        <w:rPr>
          <w:rFonts w:eastAsia="Book Antiqua"/>
          <w:sz w:val="22"/>
          <w:szCs w:val="22"/>
          <w:lang w:bidi="en-US"/>
        </w:rPr>
        <w:t>,</w:t>
      </w:r>
      <w:r w:rsidRPr="00133959">
        <w:rPr>
          <w:rFonts w:eastAsia="Book Antiqua"/>
          <w:sz w:val="22"/>
          <w:szCs w:val="22"/>
          <w:lang w:bidi="en-US"/>
        </w:rPr>
        <w:t xml:space="preserve"> reliability of evidence</w:t>
      </w:r>
      <w:r w:rsidR="009E69C7" w:rsidRPr="00133959">
        <w:rPr>
          <w:rFonts w:eastAsia="Book Antiqua"/>
          <w:sz w:val="22"/>
          <w:szCs w:val="22"/>
          <w:lang w:bidi="en-US"/>
        </w:rPr>
        <w:t>,</w:t>
      </w:r>
      <w:r w:rsidRPr="00133959">
        <w:rPr>
          <w:rFonts w:eastAsia="Book Antiqua"/>
          <w:sz w:val="22"/>
          <w:szCs w:val="22"/>
          <w:lang w:bidi="en-US"/>
        </w:rPr>
        <w:t xml:space="preserve"> pre-trial investigation</w:t>
      </w:r>
      <w:r w:rsidR="009E69C7" w:rsidRPr="00133959">
        <w:rPr>
          <w:rFonts w:eastAsia="Book Antiqua"/>
          <w:sz w:val="22"/>
          <w:szCs w:val="22"/>
          <w:lang w:bidi="en-US"/>
        </w:rPr>
        <w:t>,</w:t>
      </w:r>
      <w:r w:rsidRPr="00133959">
        <w:rPr>
          <w:rFonts w:eastAsia="Book Antiqua"/>
          <w:sz w:val="22"/>
          <w:szCs w:val="22"/>
          <w:lang w:bidi="en-US"/>
        </w:rPr>
        <w:t xml:space="preserve"> criminal procedural </w:t>
      </w:r>
      <w:r w:rsidRPr="00133959">
        <w:rPr>
          <w:sz w:val="22"/>
          <w:szCs w:val="22"/>
        </w:rPr>
        <w:t>safeguards</w:t>
      </w:r>
      <w:r w:rsidR="009E69C7" w:rsidRPr="00133959">
        <w:rPr>
          <w:rFonts w:eastAsia="Book Antiqua"/>
          <w:sz w:val="22"/>
          <w:szCs w:val="22"/>
          <w:lang w:bidi="en-US"/>
        </w:rPr>
        <w:t>,</w:t>
      </w:r>
      <w:r w:rsidRPr="00133959">
        <w:rPr>
          <w:rFonts w:eastAsia="Book Antiqua"/>
          <w:sz w:val="22"/>
          <w:szCs w:val="22"/>
          <w:lang w:bidi="en-US"/>
        </w:rPr>
        <w:t xml:space="preserve"> forensic medical assessment.</w:t>
      </w:r>
    </w:p>
    <w:p w14:paraId="59CCD377" w14:textId="77777777" w:rsidR="002F227C" w:rsidRPr="00133959" w:rsidRDefault="002F227C" w:rsidP="00133959">
      <w:pPr>
        <w:spacing w:line="480" w:lineRule="auto"/>
        <w:ind w:firstLine="709"/>
        <w:jc w:val="both"/>
        <w:rPr>
          <w:sz w:val="22"/>
          <w:szCs w:val="22"/>
        </w:rPr>
      </w:pPr>
    </w:p>
    <w:p w14:paraId="21D96FD9" w14:textId="6E89FEEC" w:rsidR="002F227C" w:rsidRPr="00133959" w:rsidRDefault="009E69C7" w:rsidP="00133959">
      <w:pPr>
        <w:spacing w:line="480" w:lineRule="auto"/>
        <w:jc w:val="both"/>
        <w:rPr>
          <w:rFonts w:eastAsia="Book Antiqua"/>
          <w:b/>
          <w:sz w:val="22"/>
          <w:szCs w:val="22"/>
        </w:rPr>
      </w:pPr>
      <w:r w:rsidRPr="00133959">
        <w:rPr>
          <w:rFonts w:eastAsia="Book Antiqua"/>
          <w:b/>
          <w:sz w:val="22"/>
          <w:szCs w:val="22"/>
          <w:lang w:bidi="en-US"/>
        </w:rPr>
        <w:t>Introduction</w:t>
      </w:r>
    </w:p>
    <w:p w14:paraId="2DA495B9" w14:textId="46E9C772" w:rsidR="002F227C" w:rsidRPr="00133959" w:rsidRDefault="00000000" w:rsidP="00133959">
      <w:pPr>
        <w:spacing w:line="480" w:lineRule="auto"/>
        <w:ind w:firstLine="709"/>
        <w:jc w:val="both"/>
        <w:rPr>
          <w:iCs/>
          <w:sz w:val="22"/>
          <w:szCs w:val="22"/>
        </w:rPr>
      </w:pPr>
      <w:r w:rsidRPr="00133959">
        <w:rPr>
          <w:rFonts w:eastAsia="SimSun"/>
          <w:sz w:val="22"/>
          <w:szCs w:val="22"/>
        </w:rPr>
        <w:t xml:space="preserve">Digital evidence has fundamentally transformed modern criminal justice systems, particularly at the pre-trial investigation stage. The large-scale digitalization of social interactions, public administration and everyday communication has generated an unprecedented volume of information in digital form (Romaniuk &amp; Ablamskyi, 2024). In criminal proceedings, this information is increasingly relied upon. It encompasses data derived from mobile devices, social media platforms, cloud services, electronic communications and surveillance systems </w:t>
      </w:r>
      <w:r w:rsidRPr="00133959">
        <w:rPr>
          <w:rFonts w:eastAsia="Verdana"/>
          <w:sz w:val="22"/>
          <w:szCs w:val="22"/>
          <w:lang w:bidi="en-US"/>
        </w:rPr>
        <w:t>(United Nations Office on Drugs and Crime, 20</w:t>
      </w:r>
      <w:r w:rsidR="002E401A" w:rsidRPr="00133959">
        <w:rPr>
          <w:rFonts w:eastAsia="Verdana"/>
          <w:sz w:val="22"/>
          <w:szCs w:val="22"/>
          <w:lang w:bidi="en-US"/>
        </w:rPr>
        <w:t>19</w:t>
      </w:r>
      <w:r w:rsidRPr="00133959">
        <w:rPr>
          <w:rFonts w:eastAsia="Verdana"/>
          <w:sz w:val="22"/>
          <w:szCs w:val="22"/>
          <w:lang w:bidi="en-US"/>
        </w:rPr>
        <w:t>).</w:t>
      </w:r>
      <w:r w:rsidR="00C811A6" w:rsidRPr="00133959">
        <w:rPr>
          <w:rFonts w:eastAsia="Verdana"/>
          <w:sz w:val="22"/>
          <w:szCs w:val="22"/>
          <w:lang w:bidi="en-US"/>
        </w:rPr>
        <w:t xml:space="preserve"> </w:t>
      </w:r>
    </w:p>
    <w:p w14:paraId="1E10B566" w14:textId="7BC8FB68" w:rsidR="002F227C" w:rsidRPr="00133959" w:rsidRDefault="00000000" w:rsidP="00133959">
      <w:pPr>
        <w:spacing w:line="480" w:lineRule="auto"/>
        <w:ind w:firstLine="709"/>
        <w:jc w:val="both"/>
        <w:rPr>
          <w:rFonts w:eastAsia="Verdana"/>
          <w:sz w:val="22"/>
          <w:szCs w:val="22"/>
          <w:lang w:bidi="en-US"/>
        </w:rPr>
      </w:pPr>
      <w:r w:rsidRPr="00133959">
        <w:rPr>
          <w:sz w:val="22"/>
          <w:szCs w:val="22"/>
        </w:rPr>
        <w:t xml:space="preserve">Such </w:t>
      </w:r>
      <w:r w:rsidR="00615635" w:rsidRPr="00133959">
        <w:rPr>
          <w:sz w:val="22"/>
          <w:szCs w:val="22"/>
        </w:rPr>
        <w:t>“</w:t>
      </w:r>
      <w:r w:rsidRPr="00133959">
        <w:rPr>
          <w:sz w:val="22"/>
          <w:szCs w:val="22"/>
        </w:rPr>
        <w:t>digital traces</w:t>
      </w:r>
      <w:r w:rsidR="00615635" w:rsidRPr="00133959">
        <w:rPr>
          <w:sz w:val="22"/>
          <w:szCs w:val="22"/>
        </w:rPr>
        <w:t>”</w:t>
      </w:r>
      <w:r w:rsidRPr="00133959">
        <w:rPr>
          <w:sz w:val="22"/>
          <w:szCs w:val="22"/>
        </w:rPr>
        <w:t xml:space="preserve"> more and more often shape investigative strategies and influence prosecutorial decision-making at the early stages of criminal proceedings (</w:t>
      </w:r>
      <w:r w:rsidR="00986F33" w:rsidRPr="00133959">
        <w:rPr>
          <w:rFonts w:eastAsia="Book Antiqua"/>
          <w:bCs/>
          <w:sz w:val="22"/>
          <w:szCs w:val="22"/>
        </w:rPr>
        <w:t>Masaar</w:t>
      </w:r>
      <w:r w:rsidRPr="00133959">
        <w:rPr>
          <w:sz w:val="22"/>
          <w:szCs w:val="22"/>
        </w:rPr>
        <w:t xml:space="preserve">, 2025). At the same time, the growing reliance on digital evidence has exposed significant legal and forensic challenges, </w:t>
      </w:r>
      <w:r w:rsidRPr="00133959">
        <w:rPr>
          <w:sz w:val="22"/>
          <w:szCs w:val="22"/>
        </w:rPr>
        <w:lastRenderedPageBreak/>
        <w:t xml:space="preserve">primarily in terms of its reliability and compliance with due process guarantees </w:t>
      </w:r>
      <w:r w:rsidRPr="00133959">
        <w:rPr>
          <w:rFonts w:eastAsia="Verdana"/>
          <w:sz w:val="22"/>
          <w:szCs w:val="22"/>
          <w:lang w:bidi="en-US"/>
        </w:rPr>
        <w:t xml:space="preserve"> (Lytvyn et al., 2022</w:t>
      </w:r>
      <w:r w:rsidR="00A55545" w:rsidRPr="00133959">
        <w:rPr>
          <w:rFonts w:eastAsia="Verdana"/>
          <w:sz w:val="22"/>
          <w:szCs w:val="22"/>
          <w:lang w:bidi="en-US"/>
        </w:rPr>
        <w:t xml:space="preserve">; </w:t>
      </w:r>
      <w:r w:rsidR="00A55545" w:rsidRPr="00133959">
        <w:rPr>
          <w:rFonts w:eastAsia="Book Antiqua"/>
          <w:bCs/>
          <w:sz w:val="22"/>
          <w:szCs w:val="22"/>
        </w:rPr>
        <w:t>Martinengo et al., 2024</w:t>
      </w:r>
      <w:r w:rsidRPr="00133959">
        <w:rPr>
          <w:rFonts w:eastAsia="Verdana"/>
          <w:sz w:val="22"/>
          <w:szCs w:val="22"/>
          <w:lang w:bidi="en-US"/>
        </w:rPr>
        <w:t>).</w:t>
      </w:r>
    </w:p>
    <w:p w14:paraId="020BBFB5" w14:textId="77777777" w:rsidR="002F227C" w:rsidRPr="00133959" w:rsidRDefault="00000000" w:rsidP="00133959">
      <w:pPr>
        <w:spacing w:line="480" w:lineRule="auto"/>
        <w:ind w:firstLine="709"/>
        <w:jc w:val="both"/>
        <w:rPr>
          <w:rFonts w:eastAsia="Verdana"/>
          <w:sz w:val="22"/>
          <w:szCs w:val="22"/>
          <w:lang w:bidi="en-US"/>
        </w:rPr>
      </w:pPr>
      <w:r w:rsidRPr="00133959">
        <w:rPr>
          <w:sz w:val="22"/>
          <w:szCs w:val="22"/>
        </w:rPr>
        <w:t xml:space="preserve">Unlike physical evidence, digital evidence is intangible, easily reproducible as well as technologically dependent. Its evidentiary value is not inherent (Supreme Court of Ukraine, 2025). Rather, it is constructed through processes of collection, preservation, analysis and documentation. Accordingly, the admissibility and probative value of digital evidence depend not only on technical accuracy but also on strict compliance with criminal procedural requirements </w:t>
      </w:r>
      <w:r w:rsidRPr="00133959">
        <w:rPr>
          <w:rFonts w:eastAsia="Verdana"/>
          <w:sz w:val="22"/>
          <w:szCs w:val="22"/>
          <w:lang w:bidi="en-US"/>
        </w:rPr>
        <w:t>(Yermachenko, 2023).</w:t>
      </w:r>
    </w:p>
    <w:p w14:paraId="17C63855" w14:textId="3F059D6B" w:rsidR="002F227C" w:rsidRPr="00133959" w:rsidRDefault="00000000" w:rsidP="00133959">
      <w:pPr>
        <w:spacing w:line="480" w:lineRule="auto"/>
        <w:ind w:firstLine="709"/>
        <w:jc w:val="both"/>
        <w:rPr>
          <w:sz w:val="22"/>
          <w:szCs w:val="22"/>
        </w:rPr>
      </w:pPr>
      <w:r w:rsidRPr="00133959">
        <w:rPr>
          <w:sz w:val="22"/>
          <w:szCs w:val="22"/>
        </w:rPr>
        <w:t xml:space="preserve">These requirements include </w:t>
      </w:r>
      <w:r w:rsidRPr="00133959">
        <w:rPr>
          <w:rFonts w:eastAsia="Verdana"/>
          <w:sz w:val="22"/>
          <w:szCs w:val="22"/>
          <w:lang w:bidi="en-US"/>
        </w:rPr>
        <w:t>legal</w:t>
      </w:r>
      <w:r w:rsidRPr="00133959">
        <w:rPr>
          <w:sz w:val="22"/>
          <w:szCs w:val="22"/>
        </w:rPr>
        <w:t xml:space="preserve"> authorization, continuity of custody, transparency of processing and institutional accountability (Kiener-Manu, 2026). Procedural violations at the pre-trial stage are often difficult or impossible to remedy during trial, Hence, it increases the risk of infringing the right to a fair trial and undermining the principle of legal certainty (Bérubé et al., 2025). These risks are further intensified by the growing complexity of investigative environments. Digital evidence is frequently created, stored or processed across multiple technical systems and jurisdictions, often involving third-party service providers and automated technologies (Lasagni, 2025).</w:t>
      </w:r>
    </w:p>
    <w:p w14:paraId="2A6BC37D" w14:textId="77777777" w:rsidR="002F227C" w:rsidRPr="00133959" w:rsidRDefault="00000000" w:rsidP="00133959">
      <w:pPr>
        <w:spacing w:line="480" w:lineRule="auto"/>
        <w:ind w:firstLine="709"/>
        <w:jc w:val="both"/>
        <w:rPr>
          <w:iCs/>
          <w:sz w:val="22"/>
          <w:szCs w:val="22"/>
        </w:rPr>
      </w:pPr>
      <w:r w:rsidRPr="00133959">
        <w:rPr>
          <w:sz w:val="22"/>
          <w:szCs w:val="22"/>
        </w:rPr>
        <w:t>Such a multi-</w:t>
      </w:r>
      <w:r w:rsidRPr="00133959">
        <w:rPr>
          <w:rFonts w:eastAsia="Verdana"/>
          <w:sz w:val="22"/>
          <w:szCs w:val="22"/>
          <w:lang w:bidi="en-US"/>
        </w:rPr>
        <w:t xml:space="preserve">level </w:t>
      </w:r>
      <w:r w:rsidRPr="00133959">
        <w:rPr>
          <w:sz w:val="22"/>
          <w:szCs w:val="22"/>
        </w:rPr>
        <w:t xml:space="preserve">structure challenges traditional doctrines of evidence and exposes gaps within existing legal frameworks. Criminal procedure law typically regulates the admissibility and evaluation of evidence at trial. Also, it provides limited guidance on ensuring and assessing the reliability of digital evidence during the pre-trial stage </w:t>
      </w:r>
      <w:r w:rsidRPr="00133959">
        <w:rPr>
          <w:rFonts w:eastAsia="Verdana"/>
          <w:sz w:val="22"/>
          <w:szCs w:val="22"/>
          <w:lang w:bidi="en-US"/>
        </w:rPr>
        <w:t xml:space="preserve">(Shchokin et al., 2023). </w:t>
      </w:r>
    </w:p>
    <w:p w14:paraId="03375C25" w14:textId="32A1AA5F" w:rsidR="002F227C" w:rsidRPr="00133959" w:rsidRDefault="00000000" w:rsidP="00133959">
      <w:pPr>
        <w:spacing w:line="480" w:lineRule="auto"/>
        <w:ind w:firstLine="709"/>
        <w:jc w:val="both"/>
        <w:rPr>
          <w:sz w:val="22"/>
          <w:szCs w:val="22"/>
        </w:rPr>
      </w:pPr>
      <w:r w:rsidRPr="00133959">
        <w:rPr>
          <w:sz w:val="22"/>
          <w:szCs w:val="22"/>
        </w:rPr>
        <w:t>As a result, reliability is often reduced to technical integrity or authenticity, overlooking its independent procedural and legal dimensions (</w:t>
      </w:r>
      <w:r w:rsidR="008676C3" w:rsidRPr="00133959">
        <w:rPr>
          <w:rFonts w:eastAsia="Book Antiqua"/>
          <w:bCs/>
          <w:sz w:val="22"/>
          <w:szCs w:val="22"/>
        </w:rPr>
        <w:t>Naik &amp; Agarwal</w:t>
      </w:r>
      <w:r w:rsidRPr="00133959">
        <w:rPr>
          <w:sz w:val="22"/>
          <w:szCs w:val="22"/>
        </w:rPr>
        <w:t>, 2026). Despite substantial scholarly attention to digital forensics and evidentiary admissibility, no unified legal framework conceptualizes reliability as an autonomous forensic and procedural category at the pre-trial stage. Existing approaches tend to rely on implicit, retrospective or technology-centered assessments. They can offer only limited methodological guidance for investigators, prosecutors and defense counsel in early decision-making. Moreover, the imbalance of procedural capacities between investigative authorities and the defense remains insufficiently examined. Nevertheless, such asymmetry significantly affects the practical ability to verify and challenge the reliability of digital evidence before the case is brought before a court.</w:t>
      </w:r>
    </w:p>
    <w:p w14:paraId="7DD6A0B9" w14:textId="77777777" w:rsidR="002F227C" w:rsidRPr="00133959" w:rsidRDefault="00000000" w:rsidP="00133959">
      <w:pPr>
        <w:spacing w:line="480" w:lineRule="auto"/>
        <w:ind w:firstLine="709"/>
        <w:jc w:val="both"/>
        <w:rPr>
          <w:sz w:val="22"/>
          <w:szCs w:val="22"/>
        </w:rPr>
      </w:pPr>
      <w:r w:rsidRPr="00133959">
        <w:rPr>
          <w:sz w:val="22"/>
          <w:szCs w:val="22"/>
        </w:rPr>
        <w:lastRenderedPageBreak/>
        <w:t>The study stems from the hypothesis that digital evidence cannot be regarded as reliable in pre-trial criminal investigations unless its reliability is established in accordance with legally binding forensic medical criteria. These criteria include procedural legality, continuity of processing (chain of custody), transparency of contextual conditions, technical verifiability and institutional accountability. Accordingly, reliability is not conceived as a static attribute of digital data. Rather, it is understood as a dynamic legal status formed through compliance with procedural guarantees throughout the investigative process.</w:t>
      </w:r>
    </w:p>
    <w:p w14:paraId="2DE0DCA3" w14:textId="77777777" w:rsidR="002F227C" w:rsidRPr="00133959" w:rsidRDefault="00000000" w:rsidP="00133959">
      <w:pPr>
        <w:spacing w:line="480" w:lineRule="auto"/>
        <w:ind w:firstLine="709"/>
        <w:jc w:val="both"/>
        <w:rPr>
          <w:sz w:val="22"/>
          <w:szCs w:val="22"/>
        </w:rPr>
      </w:pPr>
      <w:r w:rsidRPr="00133959">
        <w:rPr>
          <w:rFonts w:eastAsia="Verdana"/>
          <w:i/>
          <w:iCs/>
          <w:sz w:val="22"/>
          <w:szCs w:val="22"/>
          <w:lang w:bidi="en-US"/>
        </w:rPr>
        <w:t>Scientific novelty</w:t>
      </w:r>
      <w:r w:rsidRPr="00133959">
        <w:rPr>
          <w:rFonts w:eastAsia="Verdana"/>
          <w:sz w:val="22"/>
          <w:szCs w:val="22"/>
          <w:lang w:bidi="en-US"/>
        </w:rPr>
        <w:t>. T</w:t>
      </w:r>
      <w:r w:rsidRPr="00133959">
        <w:rPr>
          <w:sz w:val="22"/>
          <w:szCs w:val="22"/>
        </w:rPr>
        <w:t xml:space="preserve">he study develops a legally grounded forensic concept of the reliability of digital evidence that functions autonomously from the categories of admissibility and technical accuracy. The research proposes a systematized model of forensic medical criteria applicable at the pre-trial stage due to integration of criminal procedural norms, evidentiary doctrine and the practice of digital forensic medical examination. </w:t>
      </w:r>
    </w:p>
    <w:p w14:paraId="267D1456" w14:textId="77777777" w:rsidR="002F227C" w:rsidRPr="00133959" w:rsidRDefault="00000000" w:rsidP="00133959">
      <w:pPr>
        <w:spacing w:line="480" w:lineRule="auto"/>
        <w:ind w:firstLine="709"/>
        <w:jc w:val="both"/>
        <w:rPr>
          <w:sz w:val="22"/>
          <w:szCs w:val="22"/>
        </w:rPr>
      </w:pPr>
      <w:r w:rsidRPr="00133959">
        <w:rPr>
          <w:sz w:val="22"/>
          <w:szCs w:val="22"/>
        </w:rPr>
        <w:t>The purpose of this research is to formulate legally grounded forensic medical standards for determining the reliability of digital evidence prior to judicial review. In doing so, it seeks to strengthen procedural fairness, enhance legal certainty and improve the protection of human rights within digitalized criminal justice .</w:t>
      </w:r>
    </w:p>
    <w:p w14:paraId="2781E6C8" w14:textId="77777777" w:rsidR="002F227C" w:rsidRPr="00133959" w:rsidRDefault="00000000" w:rsidP="00133959">
      <w:pPr>
        <w:spacing w:line="480" w:lineRule="auto"/>
        <w:ind w:firstLine="709"/>
        <w:jc w:val="both"/>
        <w:rPr>
          <w:sz w:val="22"/>
          <w:szCs w:val="22"/>
        </w:rPr>
      </w:pPr>
      <w:r w:rsidRPr="00133959">
        <w:rPr>
          <w:sz w:val="22"/>
          <w:szCs w:val="22"/>
        </w:rPr>
        <w:t>To address this aim, the study pursues the following goals:</w:t>
      </w:r>
    </w:p>
    <w:p w14:paraId="3D7F61B2" w14:textId="77777777" w:rsidR="002F227C" w:rsidRPr="00133959" w:rsidRDefault="00000000" w:rsidP="00133959">
      <w:pPr>
        <w:spacing w:line="480" w:lineRule="auto"/>
        <w:ind w:firstLine="709"/>
        <w:jc w:val="both"/>
        <w:rPr>
          <w:iCs/>
          <w:sz w:val="22"/>
          <w:szCs w:val="22"/>
        </w:rPr>
      </w:pPr>
      <w:r w:rsidRPr="00133959">
        <w:rPr>
          <w:rFonts w:eastAsia="Verdana"/>
          <w:sz w:val="22"/>
          <w:szCs w:val="22"/>
          <w:lang w:bidi="en-US"/>
        </w:rPr>
        <w:t xml:space="preserve">1) To determine </w:t>
      </w:r>
      <w:r w:rsidRPr="00133959">
        <w:rPr>
          <w:sz w:val="22"/>
          <w:szCs w:val="22"/>
        </w:rPr>
        <w:t xml:space="preserve">the legal nature of the digital evidence reliability as a </w:t>
      </w:r>
      <w:r w:rsidRPr="00133959">
        <w:rPr>
          <w:rFonts w:eastAsia="Verdana"/>
          <w:sz w:val="22"/>
          <w:szCs w:val="22"/>
          <w:lang w:bidi="en-US"/>
        </w:rPr>
        <w:t>separate</w:t>
      </w:r>
      <w:r w:rsidRPr="00133959">
        <w:rPr>
          <w:sz w:val="22"/>
          <w:szCs w:val="22"/>
        </w:rPr>
        <w:t xml:space="preserve"> forensic medical and procedural category at the pre-trial </w:t>
      </w:r>
      <w:r w:rsidRPr="00133959">
        <w:rPr>
          <w:rFonts w:eastAsia="Verdana"/>
          <w:sz w:val="22"/>
          <w:szCs w:val="22"/>
          <w:lang w:bidi="en-US"/>
        </w:rPr>
        <w:t>investigation.</w:t>
      </w:r>
    </w:p>
    <w:p w14:paraId="5AD3B7BD" w14:textId="77777777" w:rsidR="002F227C" w:rsidRPr="00133959" w:rsidRDefault="00000000" w:rsidP="00133959">
      <w:pPr>
        <w:spacing w:line="480" w:lineRule="auto"/>
        <w:ind w:firstLine="709"/>
        <w:jc w:val="both"/>
        <w:rPr>
          <w:iCs/>
          <w:sz w:val="22"/>
          <w:szCs w:val="22"/>
        </w:rPr>
      </w:pPr>
      <w:r w:rsidRPr="00133959">
        <w:rPr>
          <w:rFonts w:eastAsia="Verdana"/>
          <w:sz w:val="22"/>
          <w:szCs w:val="22"/>
          <w:lang w:bidi="en-US"/>
        </w:rPr>
        <w:t xml:space="preserve">2) </w:t>
      </w:r>
      <w:r w:rsidRPr="00133959">
        <w:rPr>
          <w:sz w:val="22"/>
          <w:szCs w:val="22"/>
        </w:rPr>
        <w:t>To analyze the interaction between procedural legality, chain of custody and technical authentication in the formation of reliable digital evidence</w:t>
      </w:r>
      <w:r w:rsidRPr="00133959">
        <w:rPr>
          <w:rFonts w:eastAsia="Verdana"/>
          <w:sz w:val="22"/>
          <w:szCs w:val="22"/>
          <w:lang w:bidi="en-US"/>
        </w:rPr>
        <w:t>.</w:t>
      </w:r>
    </w:p>
    <w:p w14:paraId="073CB1D8" w14:textId="77777777" w:rsidR="002F227C" w:rsidRPr="00133959" w:rsidRDefault="00000000" w:rsidP="00133959">
      <w:pPr>
        <w:spacing w:line="480" w:lineRule="auto"/>
        <w:ind w:firstLine="709"/>
        <w:jc w:val="both"/>
        <w:rPr>
          <w:sz w:val="22"/>
          <w:szCs w:val="22"/>
        </w:rPr>
      </w:pPr>
      <w:r w:rsidRPr="00133959">
        <w:rPr>
          <w:rFonts w:eastAsia="Verdana"/>
          <w:sz w:val="22"/>
          <w:szCs w:val="22"/>
          <w:lang w:bidi="en-US"/>
        </w:rPr>
        <w:t xml:space="preserve">3) </w:t>
      </w:r>
      <w:r w:rsidRPr="00133959">
        <w:rPr>
          <w:sz w:val="22"/>
          <w:szCs w:val="22"/>
        </w:rPr>
        <w:t>To identify systemic risks and legal consequences arising from the absence of standardized reliability criteria in pre-trial investigations.</w:t>
      </w:r>
    </w:p>
    <w:p w14:paraId="3E7F5953" w14:textId="77777777" w:rsidR="002F227C" w:rsidRPr="00133959" w:rsidRDefault="002F227C" w:rsidP="00133959">
      <w:pPr>
        <w:spacing w:line="480" w:lineRule="auto"/>
        <w:ind w:firstLine="709"/>
        <w:jc w:val="both"/>
        <w:rPr>
          <w:i/>
          <w:sz w:val="22"/>
          <w:szCs w:val="22"/>
        </w:rPr>
      </w:pPr>
    </w:p>
    <w:p w14:paraId="3692A549" w14:textId="016C77D4" w:rsidR="002F227C" w:rsidRPr="00133959" w:rsidRDefault="00000000" w:rsidP="00133959">
      <w:pPr>
        <w:spacing w:line="480" w:lineRule="auto"/>
        <w:jc w:val="both"/>
        <w:rPr>
          <w:rFonts w:eastAsia="Book Antiqua"/>
          <w:b/>
          <w:sz w:val="22"/>
          <w:szCs w:val="22"/>
        </w:rPr>
      </w:pPr>
      <w:r w:rsidRPr="00133959">
        <w:rPr>
          <w:rFonts w:eastAsia="Book Antiqua"/>
          <w:b/>
          <w:sz w:val="22"/>
          <w:szCs w:val="22"/>
          <w:lang w:bidi="en-US"/>
        </w:rPr>
        <w:t>Literature review</w:t>
      </w:r>
    </w:p>
    <w:p w14:paraId="32DBBD15" w14:textId="77777777" w:rsidR="002F227C" w:rsidRPr="00133959" w:rsidRDefault="00000000" w:rsidP="00133959">
      <w:pPr>
        <w:spacing w:line="480" w:lineRule="auto"/>
        <w:ind w:firstLine="709"/>
        <w:jc w:val="both"/>
        <w:rPr>
          <w:sz w:val="22"/>
          <w:szCs w:val="22"/>
        </w:rPr>
      </w:pPr>
      <w:r w:rsidRPr="00133959">
        <w:rPr>
          <w:sz w:val="22"/>
          <w:szCs w:val="22"/>
        </w:rPr>
        <w:t xml:space="preserve">Digital evidence has evolved from a marginal evidentiary category into a central component of contemporary criminal justice systems. Early legal scholarship primarily addressed the issue of admissibility, focusing on whether electronically stored information could be accepted by courts under </w:t>
      </w:r>
      <w:r w:rsidRPr="00133959">
        <w:rPr>
          <w:sz w:val="22"/>
          <w:szCs w:val="22"/>
        </w:rPr>
        <w:lastRenderedPageBreak/>
        <w:t>traditional rules of evidence. However, more recent research has shifted toward examining the reliability of digital evidence. Scholars increasingly emphasize procedural compliance, contextual interpretation and the conditions under which digital data may be consudered credible in criminal proceedings. It is widely recognized that digital data are inherently unstable, easily reproducible  and embedded in complex socio-technical environments. Basically, the above are characteristics that fundamentally distinguish them from physical evidence and significantly complicate their evidentiary assessment.</w:t>
      </w:r>
    </w:p>
    <w:p w14:paraId="32F1A71F" w14:textId="77777777" w:rsidR="002F227C" w:rsidRPr="00133959" w:rsidRDefault="00000000" w:rsidP="00133959">
      <w:pPr>
        <w:spacing w:line="480" w:lineRule="auto"/>
        <w:ind w:firstLine="709"/>
        <w:jc w:val="both"/>
        <w:rPr>
          <w:sz w:val="22"/>
          <w:szCs w:val="22"/>
        </w:rPr>
      </w:pPr>
      <w:r w:rsidRPr="00133959">
        <w:rPr>
          <w:sz w:val="22"/>
          <w:szCs w:val="22"/>
        </w:rPr>
        <w:t>Angel et al. (2024) conceptualize digital evidence as a developing form of proof that cannot be evaluated solely through traditional evidentiary standards. They underscore the importance of forensic criteria, including authenticity, integrity and contextual reliability. Notably, the scholars highlight the decisive role of the pre-trial stage in shaping the trajectory of criminal proceedings. Nevertheless, their analysis remains largely centered on admissibility and judicial recognition of evidence at trial. Instead, the present study builds upon this foundation but shifts the analytical focus to the pre-trial phase, conceptualizing reliability as an autonomous procedural and legal condition formed prior to judicial evaluation.</w:t>
      </w:r>
    </w:p>
    <w:p w14:paraId="7BA51797" w14:textId="429E6F88" w:rsidR="002F227C" w:rsidRPr="00133959" w:rsidRDefault="00000000" w:rsidP="00133959">
      <w:pPr>
        <w:spacing w:line="480" w:lineRule="auto"/>
        <w:ind w:firstLine="709"/>
        <w:jc w:val="both"/>
        <w:rPr>
          <w:sz w:val="22"/>
          <w:szCs w:val="22"/>
        </w:rPr>
      </w:pPr>
      <w:r w:rsidRPr="00133959">
        <w:rPr>
          <w:sz w:val="22"/>
          <w:szCs w:val="22"/>
        </w:rPr>
        <w:t xml:space="preserve">Stoykova (2024) advances the concept of a </w:t>
      </w:r>
      <w:r w:rsidR="00615635" w:rsidRPr="00133959">
        <w:rPr>
          <w:sz w:val="22"/>
          <w:szCs w:val="22"/>
        </w:rPr>
        <w:t>“</w:t>
      </w:r>
      <w:r w:rsidRPr="00133959">
        <w:rPr>
          <w:sz w:val="22"/>
          <w:szCs w:val="22"/>
        </w:rPr>
        <w:t>right to procedural precision</w:t>
      </w:r>
      <w:r w:rsidR="00615635" w:rsidRPr="00133959">
        <w:rPr>
          <w:sz w:val="22"/>
          <w:szCs w:val="22"/>
        </w:rPr>
        <w:t>”</w:t>
      </w:r>
      <w:r w:rsidRPr="00133959">
        <w:rPr>
          <w:sz w:val="22"/>
          <w:szCs w:val="22"/>
        </w:rPr>
        <w:t>, arguing that the reliability of digital evidence depends on demonstrable procedural correctness throughout its life cycle. The managerial-oriented model integrates legal norms with technical standards and emphasizes the irreversible consequences of procedural errors committed during evidence collection. Despite the strength of her regulatory recommendations, the approach does not operationalize reliability through clearly defined forensic criteria applicable to investigative practice. The present study addresses this gap by transforming procedural accuracy into a structured system of legally grounded forensic criteria tailored to the pre-trial stage.</w:t>
      </w:r>
    </w:p>
    <w:p w14:paraId="0786F910" w14:textId="77777777" w:rsidR="002F227C" w:rsidRPr="00133959" w:rsidRDefault="00000000" w:rsidP="00133959">
      <w:pPr>
        <w:spacing w:line="480" w:lineRule="auto"/>
        <w:ind w:firstLine="709"/>
        <w:jc w:val="both"/>
        <w:rPr>
          <w:sz w:val="22"/>
          <w:szCs w:val="22"/>
        </w:rPr>
      </w:pPr>
      <w:r w:rsidRPr="00133959">
        <w:rPr>
          <w:sz w:val="22"/>
          <w:szCs w:val="22"/>
        </w:rPr>
        <w:t xml:space="preserve">Casino et al. (2022) examine the challenges of cross-border digital investigations, identifying jurisdictional fragmentation and procedural asymmetries as significant threats to evidentiary reliability. They demonstrate that digital evidence may remain formally admissible while losing practical reliability due to inconsistencies between legal and forensic standards. However, their analysis primarily concentrates on international cooperation. This article complements the researchers’ findings by </w:t>
      </w:r>
      <w:r w:rsidRPr="00133959">
        <w:rPr>
          <w:sz w:val="22"/>
          <w:szCs w:val="22"/>
        </w:rPr>
        <w:lastRenderedPageBreak/>
        <w:t>proposing reliability criteria capable of operating across jurisdictions. These criteria are grounded in shared procedural principles rather than limited to technological harmonization.</w:t>
      </w:r>
    </w:p>
    <w:p w14:paraId="600DA25E" w14:textId="77777777" w:rsidR="002F227C" w:rsidRPr="00133959" w:rsidRDefault="00000000" w:rsidP="00133959">
      <w:pPr>
        <w:spacing w:line="480" w:lineRule="auto"/>
        <w:ind w:firstLine="709"/>
        <w:jc w:val="both"/>
        <w:rPr>
          <w:sz w:val="22"/>
          <w:szCs w:val="22"/>
        </w:rPr>
      </w:pPr>
      <w:r w:rsidRPr="00133959">
        <w:rPr>
          <w:sz w:val="22"/>
          <w:szCs w:val="22"/>
        </w:rPr>
        <w:t>Technical vulnerabilities in coping with digital evidence are examined by Gruber et al. (2023). These scholars analyze the risks of evidentiary contamination resulting from improper data handling, the use of flawed forensic tools or unpredictable system interactions. Whereas their study is grounded in forensic science, it reveals significant legal implications. In particular, across situations where procedural documentation fails to accurately reflect actual data transformations. Existing research, however, tends to treat contamination primarily as a technical malfunction. In contrast, the present article reconceptualizes contamination as a procedural and legal violation. Thus it is treated as one that directly undermines the legal reliability of digital evidence at the pre-trial stage.</w:t>
      </w:r>
    </w:p>
    <w:p w14:paraId="061ADBE6" w14:textId="6B798495" w:rsidR="002F227C" w:rsidRPr="00133959" w:rsidRDefault="00000000" w:rsidP="00133959">
      <w:pPr>
        <w:spacing w:line="480" w:lineRule="auto"/>
        <w:ind w:firstLine="709"/>
        <w:jc w:val="both"/>
        <w:rPr>
          <w:sz w:val="22"/>
          <w:szCs w:val="22"/>
        </w:rPr>
      </w:pPr>
      <w:r w:rsidRPr="00133959">
        <w:rPr>
          <w:sz w:val="22"/>
          <w:szCs w:val="22"/>
        </w:rPr>
        <w:t xml:space="preserve">Emerging technologies further complicate the assessment of digital evidence reliability. In this light, </w:t>
      </w:r>
      <w:r w:rsidR="00C56E5B" w:rsidRPr="00133959">
        <w:rPr>
          <w:rFonts w:eastAsia="Book Antiqua"/>
          <w:bCs/>
          <w:sz w:val="22"/>
          <w:szCs w:val="22"/>
        </w:rPr>
        <w:t>Dufeniuk</w:t>
      </w:r>
      <w:r w:rsidR="00C56E5B" w:rsidRPr="00133959">
        <w:rPr>
          <w:sz w:val="22"/>
          <w:szCs w:val="22"/>
        </w:rPr>
        <w:t xml:space="preserve"> </w:t>
      </w:r>
      <w:r w:rsidRPr="00133959">
        <w:rPr>
          <w:sz w:val="22"/>
          <w:szCs w:val="22"/>
        </w:rPr>
        <w:t>et al. (2024) explore the use of 3D technologies and advanced visualization tools in criminal investigations, highlighting their potential to enhance the clarity and comprehensibility of evidence. At the same time, they acknowledge risks related to reconstruction accuracy, interpretative bias, and methodological transparency. However, their analysis remains largely focused on technological innovation rather than procedural safeguards. This study argues that technological advancement alone cannot guarantee evidentiary reliability. Instead, reliability requires legally enshrined forensic criteria governing the use of such technologies at the pre-trial stage.</w:t>
      </w:r>
    </w:p>
    <w:p w14:paraId="4F72C1AC" w14:textId="657CAF69" w:rsidR="002F227C" w:rsidRPr="00133959" w:rsidRDefault="00000000" w:rsidP="00133959">
      <w:pPr>
        <w:spacing w:line="480" w:lineRule="auto"/>
        <w:ind w:firstLine="709"/>
        <w:jc w:val="both"/>
        <w:rPr>
          <w:sz w:val="22"/>
          <w:szCs w:val="22"/>
        </w:rPr>
      </w:pPr>
      <w:r w:rsidRPr="00133959">
        <w:rPr>
          <w:sz w:val="22"/>
          <w:szCs w:val="22"/>
        </w:rPr>
        <w:t xml:space="preserve">The management of the chain of custody is widely recognized as a critical determinant of evidentiary reliability. For example, </w:t>
      </w:r>
      <w:r w:rsidR="00083521" w:rsidRPr="00133959">
        <w:rPr>
          <w:rFonts w:eastAsia="Book Antiqua"/>
          <w:bCs/>
          <w:sz w:val="22"/>
          <w:szCs w:val="22"/>
        </w:rPr>
        <w:t>Loffi</w:t>
      </w:r>
      <w:r w:rsidRPr="00133959">
        <w:rPr>
          <w:sz w:val="22"/>
          <w:szCs w:val="22"/>
        </w:rPr>
        <w:t xml:space="preserve"> et al. (2025) examine blockchain-based solutions designed to ensure the integrity and transparency of evidence handling. The scholars maintain that such technologies may enhance traceability and data integrity. However, significant legal uncertainties remain concerning their procedural legitimacy and compatibility with criminal procedural law. The present study shares these concerns, emphasizing that mechanisms ensuring technological integrity cannot substitute for procedural legality and institutional accountability.</w:t>
      </w:r>
    </w:p>
    <w:p w14:paraId="007CC964" w14:textId="5AFD2130" w:rsidR="002F227C" w:rsidRPr="00133959" w:rsidRDefault="00000000" w:rsidP="00133959">
      <w:pPr>
        <w:spacing w:line="480" w:lineRule="auto"/>
        <w:ind w:firstLine="709"/>
        <w:jc w:val="both"/>
        <w:rPr>
          <w:sz w:val="22"/>
          <w:szCs w:val="22"/>
        </w:rPr>
      </w:pPr>
      <w:r w:rsidRPr="00133959">
        <w:rPr>
          <w:sz w:val="22"/>
          <w:szCs w:val="22"/>
        </w:rPr>
        <w:t xml:space="preserve">Finally, defense-oriented </w:t>
      </w:r>
      <w:r w:rsidRPr="00133959">
        <w:rPr>
          <w:rFonts w:eastAsia="Verdana"/>
          <w:sz w:val="22"/>
          <w:szCs w:val="22"/>
          <w:lang w:bidi="en-US"/>
        </w:rPr>
        <w:t xml:space="preserve">approaches </w:t>
      </w:r>
      <w:r w:rsidRPr="00133959">
        <w:rPr>
          <w:sz w:val="22"/>
          <w:szCs w:val="22"/>
        </w:rPr>
        <w:t xml:space="preserve">highlight structural imbalances in the evaluation of digital evidence. For instance, Wilson-Kovacs et al. (2023) demonstrate that defense counsel frequently lack access to specialized forensic tools and technical expertise, significantly constraining their ability to </w:t>
      </w:r>
      <w:r w:rsidRPr="00133959">
        <w:rPr>
          <w:sz w:val="22"/>
          <w:szCs w:val="22"/>
        </w:rPr>
        <w:lastRenderedPageBreak/>
        <w:t>effectively challenge digital evidence at the pre-trial stage. In addition, Al-Billeh et al. (2024) extend this concern to the international and human rights context, warning that reliance on unreliable digital evidence may have particularly severe consequences in cases involving serious criminal charges. Although the existing literature clearly identifies the problem, it offers relatively few concrete procedural solutions. The present article addresses this gap by proposing legally grounded reliability criteria that enable digital evidence to be challenged at the pre-trial stage from a procedural and legal, rather than purely technical perspective.</w:t>
      </w:r>
    </w:p>
    <w:p w14:paraId="4E46B601" w14:textId="77777777" w:rsidR="002F227C" w:rsidRPr="00133959" w:rsidRDefault="00000000" w:rsidP="00133959">
      <w:pPr>
        <w:spacing w:line="480" w:lineRule="auto"/>
        <w:ind w:firstLine="709"/>
        <w:jc w:val="both"/>
        <w:rPr>
          <w:sz w:val="22"/>
          <w:szCs w:val="22"/>
        </w:rPr>
      </w:pPr>
      <w:r w:rsidRPr="00133959">
        <w:rPr>
          <w:sz w:val="22"/>
          <w:szCs w:val="22"/>
        </w:rPr>
        <w:t>Despite the substantial body of research on digital evidence, contemporary scholarship reveals a significant conceptual gap regarding the interpretation of reliability at the pre-trial stage of criminal proceedings. Existing studies predominantly focus on technical accuracy or judicial admissibility, while the procedural formation of reliability prior to trial remains insufficiently theorized. Consequently, reliability is often reduced to integrity or authenticity and is not conceptualized as a dynamic procedural and forensic status formed through legally significant investigative actions throughout the life cycle of digital evidence. This limitation constrains the ability of parties to evaluate and contest digital evidence before judicial review. It therefore justifies the need for a study aimed at defining legally sound reliability criteria, directly supporting the objectives and hypothesis advanced in this research.</w:t>
      </w:r>
    </w:p>
    <w:p w14:paraId="09C11272" w14:textId="77777777" w:rsidR="002F227C" w:rsidRPr="00133959" w:rsidRDefault="002F227C" w:rsidP="00133959">
      <w:pPr>
        <w:spacing w:line="480" w:lineRule="auto"/>
        <w:ind w:firstLine="709"/>
        <w:jc w:val="both"/>
        <w:rPr>
          <w:sz w:val="22"/>
          <w:szCs w:val="22"/>
        </w:rPr>
      </w:pPr>
    </w:p>
    <w:p w14:paraId="4EED4254" w14:textId="33F08178" w:rsidR="002F227C" w:rsidRPr="00133959" w:rsidRDefault="00F5072C" w:rsidP="00133959">
      <w:pPr>
        <w:spacing w:line="480" w:lineRule="auto"/>
        <w:jc w:val="both"/>
        <w:rPr>
          <w:rFonts w:eastAsia="Book Antiqua"/>
          <w:b/>
          <w:sz w:val="22"/>
          <w:szCs w:val="22"/>
        </w:rPr>
      </w:pPr>
      <w:r w:rsidRPr="00133959">
        <w:rPr>
          <w:rFonts w:eastAsia="Book Antiqua"/>
          <w:b/>
          <w:sz w:val="22"/>
          <w:szCs w:val="22"/>
          <w:lang w:bidi="en-US"/>
        </w:rPr>
        <w:t>Methods</w:t>
      </w:r>
    </w:p>
    <w:p w14:paraId="7F168314" w14:textId="5D3FB067" w:rsidR="002F227C" w:rsidRPr="00133959" w:rsidRDefault="00000000" w:rsidP="00133959">
      <w:pPr>
        <w:shd w:val="clear" w:color="auto" w:fill="FFFFFF"/>
        <w:spacing w:line="480" w:lineRule="auto"/>
        <w:jc w:val="both"/>
        <w:rPr>
          <w:b/>
          <w:i/>
          <w:sz w:val="22"/>
          <w:szCs w:val="22"/>
        </w:rPr>
      </w:pPr>
      <w:r w:rsidRPr="00133959">
        <w:rPr>
          <w:rFonts w:eastAsia="Verdana"/>
          <w:b/>
          <w:i/>
          <w:sz w:val="22"/>
          <w:szCs w:val="22"/>
          <w:lang w:bidi="en-US"/>
        </w:rPr>
        <w:t>Research procedure</w:t>
      </w:r>
    </w:p>
    <w:p w14:paraId="1DAF8C0E" w14:textId="77777777" w:rsidR="002F227C" w:rsidRPr="00133959" w:rsidRDefault="00000000" w:rsidP="00133959">
      <w:pPr>
        <w:shd w:val="clear" w:color="auto" w:fill="FFFFFF"/>
        <w:spacing w:line="480" w:lineRule="auto"/>
        <w:ind w:firstLine="709"/>
        <w:jc w:val="both"/>
        <w:rPr>
          <w:sz w:val="22"/>
          <w:szCs w:val="22"/>
        </w:rPr>
      </w:pPr>
      <w:r w:rsidRPr="00133959">
        <w:rPr>
          <w:sz w:val="22"/>
          <w:szCs w:val="22"/>
        </w:rPr>
        <w:t>The study was designed as a forensic research project aimed at developing and validating standards for assessing the reliability of digital evidence during pre-trial investigations. The research design combined doctrinal legal analysis with applied forensic reconstruction and evaluative testing. The methodology comprised three interrelated stages: (1) doctrinal analysis of procedural norms and standards, (2) empirical reconstruction of digital evidence handling, and (3) validation of the proposed criteria through adversarial modeling.</w:t>
      </w:r>
    </w:p>
    <w:p w14:paraId="729CBD3D" w14:textId="77777777" w:rsidR="002F227C" w:rsidRPr="00133959" w:rsidRDefault="00000000" w:rsidP="00133959">
      <w:pPr>
        <w:shd w:val="clear" w:color="auto" w:fill="FFFFFF"/>
        <w:spacing w:line="480" w:lineRule="auto"/>
        <w:ind w:firstLine="709"/>
        <w:jc w:val="both"/>
        <w:rPr>
          <w:sz w:val="22"/>
          <w:szCs w:val="22"/>
        </w:rPr>
      </w:pPr>
      <w:r w:rsidRPr="00133959">
        <w:rPr>
          <w:sz w:val="22"/>
          <w:szCs w:val="22"/>
        </w:rPr>
        <w:t xml:space="preserve">In the first stage, criminal procedural rules governing the collection, preservation, and use of digital evidence were systematically analyzed. This included national legislation, relevant judicial practice, and applicable international standards. Particular attention was paid to procedural </w:t>
      </w:r>
      <w:r w:rsidRPr="00133959">
        <w:rPr>
          <w:sz w:val="22"/>
          <w:szCs w:val="22"/>
        </w:rPr>
        <w:lastRenderedPageBreak/>
        <w:t>requirements concerning lawful acquisition, continuity of custody, documentation, and admissibility. The review was conducted with reference to authoritative sources, including the Budapest Convention on Cybercrime and United Nations standards on digital evidence management. This doctrinal analysis provided the normative foundation for conceptualizing reliability as a procedural and legal construct rather than a purely technical characteristic.</w:t>
      </w:r>
    </w:p>
    <w:p w14:paraId="0214CA4B" w14:textId="0AC00977" w:rsidR="002F227C" w:rsidRPr="00133959" w:rsidRDefault="00000000" w:rsidP="00133959">
      <w:pPr>
        <w:shd w:val="clear" w:color="auto" w:fill="FFFFFF"/>
        <w:spacing w:line="480" w:lineRule="auto"/>
        <w:ind w:firstLine="709"/>
        <w:jc w:val="both"/>
        <w:rPr>
          <w:sz w:val="22"/>
          <w:szCs w:val="22"/>
        </w:rPr>
      </w:pPr>
      <w:r w:rsidRPr="00133959">
        <w:rPr>
          <w:sz w:val="22"/>
          <w:szCs w:val="22"/>
        </w:rPr>
        <w:t>The second stage involved the controlled reconstruction of common scenarios for obtaining digital evidence during pre-trial investigations. These scenarios included the seizure of digital devices, acquisition of data from remote servers, collection of cloud-based information, interception of electronic communications, and voluntary disclosure of digital materials. The scenarios were reproduced in a controlled environment using authentic procedural documentation and technical logs derived from investigative practice between 2019 and 2024. This reconstruction enabled the modeling of the full life cycle of digital evidence</w:t>
      </w:r>
      <w:r w:rsidR="00A55545" w:rsidRPr="00133959">
        <w:rPr>
          <w:sz w:val="22"/>
          <w:szCs w:val="22"/>
        </w:rPr>
        <w:t xml:space="preserve"> – </w:t>
      </w:r>
      <w:r w:rsidRPr="00133959">
        <w:rPr>
          <w:sz w:val="22"/>
          <w:szCs w:val="22"/>
        </w:rPr>
        <w:t>from acquisition to procedural submission</w:t>
      </w:r>
      <w:r w:rsidR="006C7C9D" w:rsidRPr="00133959">
        <w:rPr>
          <w:sz w:val="22"/>
          <w:szCs w:val="22"/>
        </w:rPr>
        <w:t xml:space="preserve"> – </w:t>
      </w:r>
      <w:r w:rsidRPr="00133959">
        <w:rPr>
          <w:sz w:val="22"/>
          <w:szCs w:val="22"/>
        </w:rPr>
        <w:t>thereby identifying procedural vulnerabilities and critical risk points.</w:t>
      </w:r>
    </w:p>
    <w:p w14:paraId="72A15FE8" w14:textId="77777777" w:rsidR="002F227C" w:rsidRPr="00133959" w:rsidRDefault="00000000" w:rsidP="00133959">
      <w:pPr>
        <w:shd w:val="clear" w:color="auto" w:fill="FFFFFF"/>
        <w:spacing w:line="480" w:lineRule="auto"/>
        <w:ind w:firstLine="709"/>
        <w:jc w:val="both"/>
        <w:rPr>
          <w:sz w:val="22"/>
          <w:szCs w:val="22"/>
        </w:rPr>
      </w:pPr>
      <w:r w:rsidRPr="00133959">
        <w:rPr>
          <w:sz w:val="22"/>
          <w:szCs w:val="22"/>
        </w:rPr>
        <w:t>The third stage consisted of testing the proposed forensic criteria through adversarial modeling. In each reconstructed scenario, the digital evidence was subjected to simulated defense challenges, including allegations of procedural irregularities, breaches in the chain of custody, and evidentiary contamination. The objective was to determine whether the proposed criteria provided sufficient legal justification to withstand exclusion motions and whether they could reliably distinguish between legitimate procedural transformations and unlawful manipulation.</w:t>
      </w:r>
    </w:p>
    <w:p w14:paraId="33E93E1F" w14:textId="77777777" w:rsidR="002F227C" w:rsidRPr="00133959" w:rsidRDefault="002F227C" w:rsidP="00133959">
      <w:pPr>
        <w:shd w:val="clear" w:color="auto" w:fill="FFFFFF"/>
        <w:spacing w:line="480" w:lineRule="auto"/>
        <w:ind w:firstLine="709"/>
        <w:jc w:val="both"/>
        <w:rPr>
          <w:rFonts w:eastAsia="Verdana"/>
          <w:sz w:val="22"/>
          <w:szCs w:val="22"/>
          <w:lang w:bidi="en-US"/>
        </w:rPr>
      </w:pPr>
    </w:p>
    <w:p w14:paraId="1600F8F7" w14:textId="2CA39A02" w:rsidR="002F227C" w:rsidRPr="00133959" w:rsidRDefault="00000000" w:rsidP="00133959">
      <w:pPr>
        <w:shd w:val="clear" w:color="auto" w:fill="FFFFFF"/>
        <w:spacing w:line="480" w:lineRule="auto"/>
        <w:jc w:val="both"/>
        <w:rPr>
          <w:b/>
          <w:i/>
          <w:sz w:val="22"/>
          <w:szCs w:val="22"/>
        </w:rPr>
      </w:pPr>
      <w:r w:rsidRPr="00133959">
        <w:rPr>
          <w:rFonts w:eastAsia="Verdana"/>
          <w:b/>
          <w:i/>
          <w:sz w:val="22"/>
          <w:szCs w:val="22"/>
          <w:lang w:bidi="en-US"/>
        </w:rPr>
        <w:t>Sample formation</w:t>
      </w:r>
    </w:p>
    <w:p w14:paraId="3E5BDD12" w14:textId="77777777" w:rsidR="002F227C" w:rsidRPr="00133959" w:rsidRDefault="00000000" w:rsidP="00133959">
      <w:pPr>
        <w:shd w:val="clear" w:color="auto" w:fill="FFFFFF"/>
        <w:spacing w:line="480" w:lineRule="auto"/>
        <w:ind w:firstLine="709"/>
        <w:jc w:val="both"/>
        <w:rPr>
          <w:sz w:val="22"/>
          <w:szCs w:val="22"/>
        </w:rPr>
      </w:pPr>
      <w:r w:rsidRPr="00133959">
        <w:rPr>
          <w:sz w:val="22"/>
          <w:szCs w:val="22"/>
        </w:rPr>
        <w:t xml:space="preserve">The study sample comprised 72 instances of digital evidence representing a diverse range of procedural and technical configurations. Cases were selected on the basis of comprehensive documentation, the availability of technical metadata confirming data integrity and compliance with procedural legality as well as established investigative practices. Cases involving classified information or ongoing investigations were excluded for ethical and legal reasons. The sample was organized into six categories: (1) personal digital devices, (2) service provider servers, (3) cloud storage systems, (4) network traffic and metadata, (5) surveillance systems, (6) voluntarily provided digital materials. The </w:t>
      </w:r>
      <w:r w:rsidRPr="00133959">
        <w:rPr>
          <w:sz w:val="22"/>
          <w:szCs w:val="22"/>
        </w:rPr>
        <w:lastRenderedPageBreak/>
        <w:t xml:space="preserve">sample size was considered sufficient to </w:t>
      </w:r>
      <w:r w:rsidRPr="00133959">
        <w:rPr>
          <w:rFonts w:eastAsia="Verdana"/>
          <w:sz w:val="22"/>
          <w:szCs w:val="22"/>
          <w:lang w:bidi="en-US"/>
        </w:rPr>
        <w:t xml:space="preserve">cover </w:t>
      </w:r>
      <w:r w:rsidRPr="00133959">
        <w:rPr>
          <w:sz w:val="22"/>
          <w:szCs w:val="22"/>
        </w:rPr>
        <w:t xml:space="preserve">recurring procedural patterns and </w:t>
      </w:r>
      <w:r w:rsidRPr="00133959">
        <w:rPr>
          <w:rFonts w:eastAsia="Verdana"/>
          <w:sz w:val="22"/>
          <w:szCs w:val="22"/>
          <w:lang w:bidi="en-US"/>
        </w:rPr>
        <w:t xml:space="preserve">guarantee </w:t>
      </w:r>
      <w:r w:rsidRPr="00133959">
        <w:rPr>
          <w:sz w:val="22"/>
          <w:szCs w:val="22"/>
        </w:rPr>
        <w:t>analytical saturation in terms of the key characteristics relevant to evidence reliability.</w:t>
      </w:r>
    </w:p>
    <w:p w14:paraId="653CBE00" w14:textId="77777777" w:rsidR="002F227C" w:rsidRPr="00133959" w:rsidRDefault="002F227C" w:rsidP="00133959">
      <w:pPr>
        <w:shd w:val="clear" w:color="auto" w:fill="FFFFFF"/>
        <w:spacing w:line="480" w:lineRule="auto"/>
        <w:ind w:firstLine="709"/>
        <w:jc w:val="both"/>
        <w:rPr>
          <w:rFonts w:eastAsia="Verdana"/>
          <w:sz w:val="22"/>
          <w:szCs w:val="22"/>
          <w:lang w:bidi="en-US"/>
        </w:rPr>
      </w:pPr>
    </w:p>
    <w:p w14:paraId="6651E442" w14:textId="1B580829" w:rsidR="002F227C" w:rsidRPr="00133959" w:rsidRDefault="00000000" w:rsidP="00133959">
      <w:pPr>
        <w:shd w:val="clear" w:color="auto" w:fill="FFFFFF"/>
        <w:spacing w:line="480" w:lineRule="auto"/>
        <w:jc w:val="both"/>
        <w:rPr>
          <w:b/>
          <w:i/>
          <w:sz w:val="22"/>
          <w:szCs w:val="22"/>
        </w:rPr>
      </w:pPr>
      <w:r w:rsidRPr="00133959">
        <w:rPr>
          <w:rFonts w:eastAsia="Verdana"/>
          <w:b/>
          <w:i/>
          <w:sz w:val="22"/>
          <w:szCs w:val="22"/>
          <w:lang w:bidi="en-US"/>
        </w:rPr>
        <w:t>Methods</w:t>
      </w:r>
    </w:p>
    <w:p w14:paraId="6EAEA525" w14:textId="77777777" w:rsidR="002F227C" w:rsidRPr="00133959" w:rsidRDefault="00000000" w:rsidP="00133959">
      <w:pPr>
        <w:spacing w:line="480" w:lineRule="auto"/>
        <w:ind w:firstLine="709"/>
        <w:jc w:val="both"/>
        <w:rPr>
          <w:sz w:val="22"/>
          <w:szCs w:val="22"/>
        </w:rPr>
      </w:pPr>
      <w:r w:rsidRPr="00133959">
        <w:rPr>
          <w:sz w:val="22"/>
          <w:szCs w:val="22"/>
        </w:rPr>
        <w:t>The study employed an integrated combination of legal and forensic methods. The legal component comprised doctrinal analysis of criminal procedural norms, comparative examination of relevant international standards and interpretative analysis of judicial practice to determine the legal requirements governing the digital evidence reliability. The forensic component included procedural reconstruction, integrity verification through hash-based validation as well as simulations of chain-of-custody continuity. Reconstruction and verification techniques were applied to identify procedural vulnerabilities and assess the practical applicability of the proposed reliability criteria within realistic investigative contexts.</w:t>
      </w:r>
    </w:p>
    <w:p w14:paraId="3D026F3B" w14:textId="77777777" w:rsidR="002F227C" w:rsidRPr="00133959" w:rsidRDefault="002F227C" w:rsidP="00133959">
      <w:pPr>
        <w:spacing w:line="480" w:lineRule="auto"/>
        <w:ind w:firstLine="709"/>
        <w:jc w:val="both"/>
        <w:rPr>
          <w:rFonts w:eastAsia="Verdana"/>
          <w:sz w:val="22"/>
          <w:szCs w:val="22"/>
          <w:lang w:bidi="en-US"/>
        </w:rPr>
      </w:pPr>
    </w:p>
    <w:p w14:paraId="21720EC4" w14:textId="1B3DC0AC" w:rsidR="002F227C" w:rsidRPr="00133959" w:rsidRDefault="00000000" w:rsidP="00133959">
      <w:pPr>
        <w:spacing w:line="480" w:lineRule="auto"/>
        <w:jc w:val="both"/>
        <w:rPr>
          <w:b/>
          <w:bCs/>
          <w:i/>
          <w:iCs/>
          <w:sz w:val="22"/>
          <w:szCs w:val="22"/>
        </w:rPr>
      </w:pPr>
      <w:r w:rsidRPr="00133959">
        <w:rPr>
          <w:rFonts w:eastAsia="Verdana"/>
          <w:b/>
          <w:i/>
          <w:iCs/>
          <w:sz w:val="22"/>
          <w:szCs w:val="22"/>
          <w:lang w:bidi="en-US"/>
        </w:rPr>
        <w:t xml:space="preserve">Tools </w:t>
      </w:r>
    </w:p>
    <w:p w14:paraId="2FAD30FF" w14:textId="77777777" w:rsidR="002F227C" w:rsidRPr="00133959" w:rsidRDefault="00000000" w:rsidP="00133959">
      <w:pPr>
        <w:spacing w:line="480" w:lineRule="auto"/>
        <w:ind w:firstLine="709"/>
        <w:jc w:val="both"/>
        <w:rPr>
          <w:sz w:val="22"/>
          <w:szCs w:val="22"/>
        </w:rPr>
      </w:pPr>
      <w:r w:rsidRPr="00133959">
        <w:rPr>
          <w:rFonts w:eastAsia="Verdana"/>
          <w:sz w:val="22"/>
          <w:szCs w:val="22"/>
          <w:lang w:bidi="en-US"/>
        </w:rPr>
        <w:t>Computer data was analyzed using EnCase Forensic, FTK, and Autopsy, and information from mobile devices was analyzed through Cellebrite UFED and Oxygen Forensic Detective. Analysis of network communications was carried out in Wireshark. Cloud modules were used to access remote storages. Each tool generated a report and an audit log. Integrity was ensured by SHA-256 (built-in generators, OpenSSL, HashCalc) with hash fixation at all stages.</w:t>
      </w:r>
    </w:p>
    <w:p w14:paraId="223D7E88" w14:textId="77777777" w:rsidR="002F227C" w:rsidRPr="00133959" w:rsidRDefault="002F227C" w:rsidP="00133959">
      <w:pPr>
        <w:spacing w:line="480" w:lineRule="auto"/>
        <w:ind w:firstLine="709"/>
        <w:jc w:val="both"/>
        <w:rPr>
          <w:sz w:val="22"/>
          <w:szCs w:val="22"/>
        </w:rPr>
      </w:pPr>
    </w:p>
    <w:p w14:paraId="2C2BDD5B" w14:textId="2C2A7645" w:rsidR="002F227C" w:rsidRPr="00133959" w:rsidRDefault="00F5072C" w:rsidP="00133959">
      <w:pPr>
        <w:spacing w:line="480" w:lineRule="auto"/>
        <w:jc w:val="both"/>
        <w:rPr>
          <w:rFonts w:eastAsia="Book Antiqua"/>
          <w:b/>
          <w:sz w:val="22"/>
          <w:szCs w:val="22"/>
        </w:rPr>
      </w:pPr>
      <w:r w:rsidRPr="00133959">
        <w:rPr>
          <w:rFonts w:eastAsia="Book Antiqua"/>
          <w:b/>
          <w:sz w:val="22"/>
          <w:szCs w:val="22"/>
          <w:lang w:bidi="en-US"/>
        </w:rPr>
        <w:t>Results</w:t>
      </w:r>
    </w:p>
    <w:p w14:paraId="29D7BD82" w14:textId="7407F2BB" w:rsidR="002F227C" w:rsidRPr="00133959" w:rsidRDefault="00000000" w:rsidP="00133959">
      <w:pPr>
        <w:spacing w:line="480" w:lineRule="auto"/>
        <w:jc w:val="both"/>
        <w:rPr>
          <w:rFonts w:eastAsia="Book Antiqua"/>
          <w:b/>
          <w:i/>
          <w:iCs/>
          <w:sz w:val="22"/>
          <w:szCs w:val="22"/>
        </w:rPr>
      </w:pPr>
      <w:r w:rsidRPr="00133959">
        <w:rPr>
          <w:rFonts w:eastAsia="Book Antiqua"/>
          <w:b/>
          <w:i/>
          <w:iCs/>
          <w:sz w:val="22"/>
          <w:szCs w:val="22"/>
          <w:lang w:bidi="en-US"/>
        </w:rPr>
        <w:t xml:space="preserve">Procedural reconstruction of the digital evidence collection </w:t>
      </w:r>
    </w:p>
    <w:p w14:paraId="548DE8B6" w14:textId="77777777" w:rsidR="002F227C" w:rsidRPr="00133959" w:rsidRDefault="00000000" w:rsidP="00133959">
      <w:pPr>
        <w:spacing w:line="480" w:lineRule="auto"/>
        <w:ind w:firstLine="709"/>
        <w:jc w:val="both"/>
        <w:rPr>
          <w:rFonts w:eastAsia="Book Antiqua"/>
          <w:sz w:val="22"/>
          <w:szCs w:val="22"/>
          <w:lang w:bidi="en-US"/>
        </w:rPr>
      </w:pPr>
      <w:r w:rsidRPr="00133959">
        <w:rPr>
          <w:rFonts w:eastAsia="Book Antiqua"/>
          <w:sz w:val="22"/>
          <w:szCs w:val="22"/>
          <w:lang w:bidi="en-US"/>
        </w:rPr>
        <w:t xml:space="preserve">As a result of the procedural reconstruction, six procedural forms of digital evidence collection were identified, corresponding to separate legal categories: personal devices, service provider servers, cloud storage systems, network metadata, surveillance systems and voluntary materials. All forms have a common procedural configuration: explicit permission, legal actions, documented transfer and fixation. Procedural complexity increases with the degree of external control and the remoteness of the </w:t>
      </w:r>
      <w:r w:rsidRPr="00133959">
        <w:rPr>
          <w:rFonts w:eastAsia="Book Antiqua"/>
          <w:sz w:val="22"/>
          <w:szCs w:val="22"/>
          <w:lang w:bidi="en-US"/>
        </w:rPr>
        <w:lastRenderedPageBreak/>
        <w:t>source. Table 1 demonstrates the procedural structure that ensures the reliability and admissibility of digital evidence.</w:t>
      </w:r>
    </w:p>
    <w:p w14:paraId="12D6024B" w14:textId="77777777" w:rsidR="00F5072C" w:rsidRPr="00133959" w:rsidRDefault="00F5072C" w:rsidP="00133959">
      <w:pPr>
        <w:spacing w:line="480" w:lineRule="auto"/>
        <w:ind w:firstLine="709"/>
        <w:jc w:val="both"/>
        <w:rPr>
          <w:rFonts w:eastAsia="Book Antiqua"/>
          <w:bCs/>
          <w:sz w:val="22"/>
          <w:szCs w:val="22"/>
        </w:rPr>
      </w:pPr>
    </w:p>
    <w:p w14:paraId="632568B4" w14:textId="77777777" w:rsidR="002F227C" w:rsidRPr="00133959" w:rsidRDefault="00000000" w:rsidP="00133959">
      <w:pPr>
        <w:spacing w:line="480" w:lineRule="auto"/>
        <w:jc w:val="both"/>
        <w:rPr>
          <w:rFonts w:eastAsia="Book Antiqua"/>
          <w:bCs/>
          <w:sz w:val="22"/>
          <w:szCs w:val="22"/>
        </w:rPr>
      </w:pPr>
      <w:r w:rsidRPr="00133959">
        <w:rPr>
          <w:rFonts w:eastAsia="Book Antiqua"/>
          <w:bCs/>
          <w:sz w:val="22"/>
          <w:szCs w:val="22"/>
          <w:lang w:bidi="en-US"/>
        </w:rPr>
        <w:t>Table 1. Sequence of actions when obtaining digital evidence</w:t>
      </w:r>
    </w:p>
    <w:tbl>
      <w:tblPr>
        <w:tblStyle w:val="TableGrid"/>
        <w:tblW w:w="0" w:type="auto"/>
        <w:tblLook w:val="04A0" w:firstRow="1" w:lastRow="0" w:firstColumn="1" w:lastColumn="0" w:noHBand="0" w:noVBand="1"/>
      </w:tblPr>
      <w:tblGrid>
        <w:gridCol w:w="2671"/>
        <w:gridCol w:w="1884"/>
        <w:gridCol w:w="2377"/>
        <w:gridCol w:w="2084"/>
      </w:tblGrid>
      <w:tr w:rsidR="00133959" w:rsidRPr="00133959" w14:paraId="50DF7BA0" w14:textId="77777777" w:rsidTr="00615635">
        <w:tc>
          <w:tcPr>
            <w:tcW w:w="2830" w:type="dxa"/>
            <w:tcMar>
              <w:top w:w="28" w:type="dxa"/>
              <w:left w:w="57" w:type="dxa"/>
              <w:bottom w:w="28" w:type="dxa"/>
              <w:right w:w="57" w:type="dxa"/>
            </w:tcMar>
          </w:tcPr>
          <w:p w14:paraId="2D2EB262" w14:textId="77777777" w:rsidR="002F227C" w:rsidRPr="00133959" w:rsidRDefault="00000000" w:rsidP="00133959">
            <w:pPr>
              <w:jc w:val="center"/>
              <w:rPr>
                <w:rFonts w:eastAsia="Book Antiqua"/>
                <w:b/>
                <w:sz w:val="22"/>
                <w:szCs w:val="22"/>
              </w:rPr>
            </w:pPr>
            <w:r w:rsidRPr="00133959">
              <w:rPr>
                <w:rFonts w:eastAsia="Book Antiqua"/>
                <w:b/>
                <w:sz w:val="22"/>
                <w:szCs w:val="22"/>
                <w:lang w:bidi="en-US"/>
              </w:rPr>
              <w:t>Evidence category</w:t>
            </w:r>
          </w:p>
        </w:tc>
        <w:tc>
          <w:tcPr>
            <w:tcW w:w="1984" w:type="dxa"/>
            <w:tcMar>
              <w:top w:w="28" w:type="dxa"/>
              <w:left w:w="57" w:type="dxa"/>
              <w:bottom w:w="28" w:type="dxa"/>
              <w:right w:w="57" w:type="dxa"/>
            </w:tcMar>
          </w:tcPr>
          <w:p w14:paraId="737E3024" w14:textId="77777777" w:rsidR="002F227C" w:rsidRPr="00133959" w:rsidRDefault="00000000" w:rsidP="00133959">
            <w:pPr>
              <w:jc w:val="center"/>
              <w:rPr>
                <w:rFonts w:eastAsia="Book Antiqua"/>
                <w:b/>
                <w:sz w:val="22"/>
                <w:szCs w:val="22"/>
              </w:rPr>
            </w:pPr>
            <w:r w:rsidRPr="00133959">
              <w:rPr>
                <w:rFonts w:eastAsia="Book Antiqua"/>
                <w:b/>
                <w:sz w:val="22"/>
                <w:szCs w:val="22"/>
                <w:lang w:bidi="en-US"/>
              </w:rPr>
              <w:t>Total procedural acts</w:t>
            </w:r>
          </w:p>
        </w:tc>
        <w:tc>
          <w:tcPr>
            <w:tcW w:w="2552" w:type="dxa"/>
            <w:tcMar>
              <w:top w:w="28" w:type="dxa"/>
              <w:left w:w="57" w:type="dxa"/>
              <w:bottom w:w="28" w:type="dxa"/>
              <w:right w:w="57" w:type="dxa"/>
            </w:tcMar>
          </w:tcPr>
          <w:p w14:paraId="4B09CD6A" w14:textId="77777777" w:rsidR="002F227C" w:rsidRPr="00133959" w:rsidRDefault="00000000" w:rsidP="00133959">
            <w:pPr>
              <w:jc w:val="center"/>
              <w:rPr>
                <w:rFonts w:eastAsia="Book Antiqua"/>
                <w:b/>
                <w:sz w:val="22"/>
                <w:szCs w:val="22"/>
              </w:rPr>
            </w:pPr>
            <w:r w:rsidRPr="00133959">
              <w:rPr>
                <w:rFonts w:eastAsia="Book Antiqua"/>
                <w:b/>
                <w:sz w:val="22"/>
                <w:szCs w:val="22"/>
                <w:lang w:bidi="en-US"/>
              </w:rPr>
              <w:t>Legally relevant access points</w:t>
            </w:r>
          </w:p>
        </w:tc>
        <w:tc>
          <w:tcPr>
            <w:tcW w:w="2262" w:type="dxa"/>
            <w:tcMar>
              <w:top w:w="28" w:type="dxa"/>
              <w:left w:w="57" w:type="dxa"/>
              <w:bottom w:w="28" w:type="dxa"/>
              <w:right w:w="57" w:type="dxa"/>
            </w:tcMar>
          </w:tcPr>
          <w:p w14:paraId="521A2A8E" w14:textId="77777777" w:rsidR="002F227C" w:rsidRPr="00133959" w:rsidRDefault="00000000" w:rsidP="00133959">
            <w:pPr>
              <w:jc w:val="center"/>
              <w:rPr>
                <w:rFonts w:eastAsia="Book Antiqua"/>
                <w:b/>
                <w:sz w:val="22"/>
                <w:szCs w:val="22"/>
              </w:rPr>
            </w:pPr>
            <w:r w:rsidRPr="00133959">
              <w:rPr>
                <w:rFonts w:eastAsia="Book Antiqua"/>
                <w:b/>
                <w:sz w:val="22"/>
                <w:szCs w:val="22"/>
                <w:lang w:bidi="en-US"/>
              </w:rPr>
              <w:t>Third-party control</w:t>
            </w:r>
          </w:p>
        </w:tc>
      </w:tr>
      <w:tr w:rsidR="00133959" w:rsidRPr="00133959" w14:paraId="634B77B1" w14:textId="77777777" w:rsidTr="00615635">
        <w:tc>
          <w:tcPr>
            <w:tcW w:w="2830" w:type="dxa"/>
            <w:tcMar>
              <w:top w:w="28" w:type="dxa"/>
              <w:left w:w="57" w:type="dxa"/>
              <w:bottom w:w="28" w:type="dxa"/>
              <w:right w:w="57" w:type="dxa"/>
            </w:tcMar>
          </w:tcPr>
          <w:p w14:paraId="28969480"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Personal devices</w:t>
            </w:r>
          </w:p>
        </w:tc>
        <w:tc>
          <w:tcPr>
            <w:tcW w:w="1984" w:type="dxa"/>
            <w:tcMar>
              <w:top w:w="28" w:type="dxa"/>
              <w:left w:w="57" w:type="dxa"/>
              <w:bottom w:w="28" w:type="dxa"/>
              <w:right w:w="57" w:type="dxa"/>
            </w:tcMar>
          </w:tcPr>
          <w:p w14:paraId="33CBB124"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w:t>
            </w:r>
          </w:p>
        </w:tc>
        <w:tc>
          <w:tcPr>
            <w:tcW w:w="2552" w:type="dxa"/>
            <w:tcMar>
              <w:top w:w="28" w:type="dxa"/>
              <w:left w:w="57" w:type="dxa"/>
              <w:bottom w:w="28" w:type="dxa"/>
              <w:right w:w="57" w:type="dxa"/>
            </w:tcMar>
          </w:tcPr>
          <w:p w14:paraId="28578639"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Limited</w:t>
            </w:r>
          </w:p>
        </w:tc>
        <w:tc>
          <w:tcPr>
            <w:tcW w:w="2262" w:type="dxa"/>
            <w:tcMar>
              <w:top w:w="28" w:type="dxa"/>
              <w:left w:w="57" w:type="dxa"/>
              <w:bottom w:w="28" w:type="dxa"/>
              <w:right w:w="57" w:type="dxa"/>
            </w:tcMar>
          </w:tcPr>
          <w:p w14:paraId="40C511DF"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Absent</w:t>
            </w:r>
          </w:p>
        </w:tc>
      </w:tr>
      <w:tr w:rsidR="00133959" w:rsidRPr="00133959" w14:paraId="7D24D686" w14:textId="77777777" w:rsidTr="00615635">
        <w:tc>
          <w:tcPr>
            <w:tcW w:w="2830" w:type="dxa"/>
            <w:tcMar>
              <w:top w:w="28" w:type="dxa"/>
              <w:left w:w="57" w:type="dxa"/>
              <w:bottom w:w="28" w:type="dxa"/>
              <w:right w:w="57" w:type="dxa"/>
            </w:tcMar>
          </w:tcPr>
          <w:p w14:paraId="613BBFC7"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Service provider servers</w:t>
            </w:r>
          </w:p>
        </w:tc>
        <w:tc>
          <w:tcPr>
            <w:tcW w:w="1984" w:type="dxa"/>
            <w:tcMar>
              <w:top w:w="28" w:type="dxa"/>
              <w:left w:w="57" w:type="dxa"/>
              <w:bottom w:w="28" w:type="dxa"/>
              <w:right w:w="57" w:type="dxa"/>
            </w:tcMar>
          </w:tcPr>
          <w:p w14:paraId="4C392682"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w:t>
            </w:r>
          </w:p>
        </w:tc>
        <w:tc>
          <w:tcPr>
            <w:tcW w:w="2552" w:type="dxa"/>
            <w:tcMar>
              <w:top w:w="28" w:type="dxa"/>
              <w:left w:w="57" w:type="dxa"/>
              <w:bottom w:w="28" w:type="dxa"/>
              <w:right w:w="57" w:type="dxa"/>
            </w:tcMar>
          </w:tcPr>
          <w:p w14:paraId="478734AC"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Multiple</w:t>
            </w:r>
          </w:p>
        </w:tc>
        <w:tc>
          <w:tcPr>
            <w:tcW w:w="2262" w:type="dxa"/>
            <w:tcMar>
              <w:top w:w="28" w:type="dxa"/>
              <w:left w:w="57" w:type="dxa"/>
              <w:bottom w:w="28" w:type="dxa"/>
              <w:right w:w="57" w:type="dxa"/>
            </w:tcMar>
          </w:tcPr>
          <w:p w14:paraId="28FC9675"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Present</w:t>
            </w:r>
          </w:p>
        </w:tc>
      </w:tr>
      <w:tr w:rsidR="00133959" w:rsidRPr="00133959" w14:paraId="180E19C0" w14:textId="77777777" w:rsidTr="00615635">
        <w:tc>
          <w:tcPr>
            <w:tcW w:w="2830" w:type="dxa"/>
            <w:tcMar>
              <w:top w:w="28" w:type="dxa"/>
              <w:left w:w="57" w:type="dxa"/>
              <w:bottom w:w="28" w:type="dxa"/>
              <w:right w:w="57" w:type="dxa"/>
            </w:tcMar>
          </w:tcPr>
          <w:p w14:paraId="0946D296"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Cloud storage systems</w:t>
            </w:r>
          </w:p>
        </w:tc>
        <w:tc>
          <w:tcPr>
            <w:tcW w:w="1984" w:type="dxa"/>
            <w:tcMar>
              <w:top w:w="28" w:type="dxa"/>
              <w:left w:w="57" w:type="dxa"/>
              <w:bottom w:w="28" w:type="dxa"/>
              <w:right w:w="57" w:type="dxa"/>
            </w:tcMar>
          </w:tcPr>
          <w:p w14:paraId="7D097A5D"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w:t>
            </w:r>
          </w:p>
        </w:tc>
        <w:tc>
          <w:tcPr>
            <w:tcW w:w="2552" w:type="dxa"/>
            <w:tcMar>
              <w:top w:w="28" w:type="dxa"/>
              <w:left w:w="57" w:type="dxa"/>
              <w:bottom w:w="28" w:type="dxa"/>
              <w:right w:w="57" w:type="dxa"/>
            </w:tcMar>
          </w:tcPr>
          <w:p w14:paraId="6FA832A0"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Multiple</w:t>
            </w:r>
          </w:p>
        </w:tc>
        <w:tc>
          <w:tcPr>
            <w:tcW w:w="2262" w:type="dxa"/>
            <w:tcMar>
              <w:top w:w="28" w:type="dxa"/>
              <w:left w:w="57" w:type="dxa"/>
              <w:bottom w:w="28" w:type="dxa"/>
              <w:right w:w="57" w:type="dxa"/>
            </w:tcMar>
          </w:tcPr>
          <w:p w14:paraId="22AB133F"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Present</w:t>
            </w:r>
          </w:p>
        </w:tc>
      </w:tr>
      <w:tr w:rsidR="00133959" w:rsidRPr="00133959" w14:paraId="03E35E09" w14:textId="77777777" w:rsidTr="00615635">
        <w:tc>
          <w:tcPr>
            <w:tcW w:w="2830" w:type="dxa"/>
            <w:tcMar>
              <w:top w:w="28" w:type="dxa"/>
              <w:left w:w="57" w:type="dxa"/>
              <w:bottom w:w="28" w:type="dxa"/>
              <w:right w:w="57" w:type="dxa"/>
            </w:tcMar>
          </w:tcPr>
          <w:p w14:paraId="6FFEA7A0"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Network traffic/metadata</w:t>
            </w:r>
          </w:p>
        </w:tc>
        <w:tc>
          <w:tcPr>
            <w:tcW w:w="1984" w:type="dxa"/>
            <w:tcMar>
              <w:top w:w="28" w:type="dxa"/>
              <w:left w:w="57" w:type="dxa"/>
              <w:bottom w:w="28" w:type="dxa"/>
              <w:right w:w="57" w:type="dxa"/>
            </w:tcMar>
          </w:tcPr>
          <w:p w14:paraId="17718CE7"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w:t>
            </w:r>
          </w:p>
        </w:tc>
        <w:tc>
          <w:tcPr>
            <w:tcW w:w="2552" w:type="dxa"/>
            <w:tcMar>
              <w:top w:w="28" w:type="dxa"/>
              <w:left w:w="57" w:type="dxa"/>
              <w:bottom w:w="28" w:type="dxa"/>
              <w:right w:w="57" w:type="dxa"/>
            </w:tcMar>
          </w:tcPr>
          <w:p w14:paraId="7A37436B"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Distributed</w:t>
            </w:r>
          </w:p>
        </w:tc>
        <w:tc>
          <w:tcPr>
            <w:tcW w:w="2262" w:type="dxa"/>
            <w:tcMar>
              <w:top w:w="28" w:type="dxa"/>
              <w:left w:w="57" w:type="dxa"/>
              <w:bottom w:w="28" w:type="dxa"/>
              <w:right w:w="57" w:type="dxa"/>
            </w:tcMar>
          </w:tcPr>
          <w:p w14:paraId="35226758"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Present</w:t>
            </w:r>
          </w:p>
        </w:tc>
      </w:tr>
      <w:tr w:rsidR="00133959" w:rsidRPr="00133959" w14:paraId="7AF9A915" w14:textId="77777777" w:rsidTr="00615635">
        <w:tc>
          <w:tcPr>
            <w:tcW w:w="2830" w:type="dxa"/>
            <w:tcMar>
              <w:top w:w="28" w:type="dxa"/>
              <w:left w:w="57" w:type="dxa"/>
              <w:bottom w:w="28" w:type="dxa"/>
              <w:right w:w="57" w:type="dxa"/>
            </w:tcMar>
          </w:tcPr>
          <w:p w14:paraId="449B2230"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Surveillance systems</w:t>
            </w:r>
          </w:p>
        </w:tc>
        <w:tc>
          <w:tcPr>
            <w:tcW w:w="1984" w:type="dxa"/>
            <w:tcMar>
              <w:top w:w="28" w:type="dxa"/>
              <w:left w:w="57" w:type="dxa"/>
              <w:bottom w:w="28" w:type="dxa"/>
              <w:right w:w="57" w:type="dxa"/>
            </w:tcMar>
          </w:tcPr>
          <w:p w14:paraId="0E7B57A5"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Low</w:t>
            </w:r>
          </w:p>
        </w:tc>
        <w:tc>
          <w:tcPr>
            <w:tcW w:w="2552" w:type="dxa"/>
            <w:tcMar>
              <w:top w:w="28" w:type="dxa"/>
              <w:left w:w="57" w:type="dxa"/>
              <w:bottom w:w="28" w:type="dxa"/>
              <w:right w:w="57" w:type="dxa"/>
            </w:tcMar>
          </w:tcPr>
          <w:p w14:paraId="2CDDFE01"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Fixed</w:t>
            </w:r>
          </w:p>
        </w:tc>
        <w:tc>
          <w:tcPr>
            <w:tcW w:w="2262" w:type="dxa"/>
            <w:tcMar>
              <w:top w:w="28" w:type="dxa"/>
              <w:left w:w="57" w:type="dxa"/>
              <w:bottom w:w="28" w:type="dxa"/>
              <w:right w:w="57" w:type="dxa"/>
            </w:tcMar>
          </w:tcPr>
          <w:p w14:paraId="5B663485"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Absent</w:t>
            </w:r>
          </w:p>
        </w:tc>
      </w:tr>
      <w:tr w:rsidR="00133959" w:rsidRPr="00133959" w14:paraId="27094F14" w14:textId="77777777" w:rsidTr="00615635">
        <w:tc>
          <w:tcPr>
            <w:tcW w:w="2830" w:type="dxa"/>
            <w:tcMar>
              <w:top w:w="28" w:type="dxa"/>
              <w:left w:w="57" w:type="dxa"/>
              <w:bottom w:w="28" w:type="dxa"/>
              <w:right w:w="57" w:type="dxa"/>
            </w:tcMar>
          </w:tcPr>
          <w:p w14:paraId="56D87181"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Voluntary materials</w:t>
            </w:r>
          </w:p>
        </w:tc>
        <w:tc>
          <w:tcPr>
            <w:tcW w:w="1984" w:type="dxa"/>
            <w:tcMar>
              <w:top w:w="28" w:type="dxa"/>
              <w:left w:w="57" w:type="dxa"/>
              <w:bottom w:w="28" w:type="dxa"/>
              <w:right w:w="57" w:type="dxa"/>
            </w:tcMar>
          </w:tcPr>
          <w:p w14:paraId="48874AD6"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Low</w:t>
            </w:r>
          </w:p>
        </w:tc>
        <w:tc>
          <w:tcPr>
            <w:tcW w:w="2552" w:type="dxa"/>
            <w:tcMar>
              <w:top w:w="28" w:type="dxa"/>
              <w:left w:w="57" w:type="dxa"/>
              <w:bottom w:w="28" w:type="dxa"/>
              <w:right w:w="57" w:type="dxa"/>
            </w:tcMar>
          </w:tcPr>
          <w:p w14:paraId="094EDFF1"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Single</w:t>
            </w:r>
          </w:p>
        </w:tc>
        <w:tc>
          <w:tcPr>
            <w:tcW w:w="2262" w:type="dxa"/>
            <w:tcMar>
              <w:top w:w="28" w:type="dxa"/>
              <w:left w:w="57" w:type="dxa"/>
              <w:bottom w:w="28" w:type="dxa"/>
              <w:right w:w="57" w:type="dxa"/>
            </w:tcMar>
          </w:tcPr>
          <w:p w14:paraId="31F1DF1E"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Absent</w:t>
            </w:r>
          </w:p>
        </w:tc>
      </w:tr>
    </w:tbl>
    <w:p w14:paraId="2B2B6931" w14:textId="5D9BD389" w:rsidR="002F227C" w:rsidRPr="00133959" w:rsidRDefault="00000000" w:rsidP="00133959">
      <w:pPr>
        <w:spacing w:line="480" w:lineRule="auto"/>
        <w:jc w:val="both"/>
        <w:rPr>
          <w:rFonts w:eastAsia="Book Antiqua"/>
          <w:bCs/>
          <w:sz w:val="22"/>
          <w:szCs w:val="22"/>
        </w:rPr>
      </w:pPr>
      <w:r w:rsidRPr="00133959">
        <w:rPr>
          <w:rFonts w:eastAsia="Book Antiqua"/>
          <w:sz w:val="22"/>
          <w:szCs w:val="22"/>
          <w:lang w:bidi="en-US"/>
        </w:rPr>
        <w:t>Source: developed by the author based on data from the Supreme Court of Ukraine (202</w:t>
      </w:r>
      <w:r w:rsidR="002E401A" w:rsidRPr="00133959">
        <w:rPr>
          <w:rFonts w:eastAsia="Book Antiqua"/>
          <w:sz w:val="22"/>
          <w:szCs w:val="22"/>
          <w:lang w:bidi="en-US"/>
        </w:rPr>
        <w:t>4</w:t>
      </w:r>
      <w:r w:rsidRPr="00133959">
        <w:rPr>
          <w:rFonts w:eastAsia="Book Antiqua"/>
          <w:sz w:val="22"/>
          <w:szCs w:val="22"/>
          <w:lang w:bidi="en-US"/>
        </w:rPr>
        <w:t>), Forensic Focus (2021)</w:t>
      </w:r>
    </w:p>
    <w:p w14:paraId="3B6F35BF" w14:textId="77777777" w:rsidR="002F227C" w:rsidRPr="00133959" w:rsidRDefault="002F227C" w:rsidP="00133959">
      <w:pPr>
        <w:spacing w:line="480" w:lineRule="auto"/>
        <w:ind w:firstLine="709"/>
        <w:jc w:val="both"/>
        <w:rPr>
          <w:rFonts w:eastAsia="Book Antiqua"/>
          <w:bCs/>
          <w:sz w:val="22"/>
          <w:szCs w:val="22"/>
        </w:rPr>
      </w:pPr>
    </w:p>
    <w:p w14:paraId="346DBC06" w14:textId="159B498B" w:rsidR="002F227C" w:rsidRDefault="00000000" w:rsidP="00133959">
      <w:pPr>
        <w:spacing w:line="480" w:lineRule="auto"/>
        <w:ind w:firstLine="709"/>
        <w:jc w:val="both"/>
        <w:rPr>
          <w:rFonts w:eastAsia="Book Antiqua"/>
          <w:sz w:val="22"/>
          <w:szCs w:val="22"/>
          <w:lang w:bidi="en-US"/>
        </w:rPr>
      </w:pPr>
      <w:r w:rsidRPr="00133959">
        <w:rPr>
          <w:rFonts w:eastAsia="Book Antiqua"/>
          <w:sz w:val="22"/>
          <w:szCs w:val="22"/>
          <w:lang w:bidi="en-US"/>
        </w:rPr>
        <w:t xml:space="preserve">Overall, Table 1 illustrates how the reliability of digital evidence is determined structurally, in part through process configuration (rather than simply based on technical quality). It also contains a comparative legal diagram that illustrates how specific types of evidence lead to different burdens related to procedure, risks regarding the storage of evidence, and problems regarding the admissibility of evidence for trial. This </w:t>
      </w:r>
      <w:r w:rsidR="00615635" w:rsidRPr="00133959">
        <w:rPr>
          <w:rFonts w:eastAsia="Book Antiqua"/>
          <w:sz w:val="22"/>
          <w:szCs w:val="22"/>
          <w:lang w:bidi="en-US"/>
        </w:rPr>
        <w:t>“</w:t>
      </w:r>
      <w:r w:rsidRPr="00133959">
        <w:rPr>
          <w:rFonts w:eastAsia="Book Antiqua"/>
          <w:sz w:val="22"/>
          <w:szCs w:val="22"/>
          <w:lang w:bidi="en-US"/>
        </w:rPr>
        <w:t>procedural trace</w:t>
      </w:r>
      <w:r w:rsidR="00615635" w:rsidRPr="00133959">
        <w:rPr>
          <w:rFonts w:eastAsia="Book Antiqua"/>
          <w:sz w:val="22"/>
          <w:szCs w:val="22"/>
          <w:lang w:bidi="en-US"/>
        </w:rPr>
        <w:t>”</w:t>
      </w:r>
      <w:r w:rsidRPr="00133959">
        <w:rPr>
          <w:rFonts w:eastAsia="Book Antiqua"/>
          <w:sz w:val="22"/>
          <w:szCs w:val="22"/>
          <w:lang w:bidi="en-US"/>
        </w:rPr>
        <w:t xml:space="preserve"> explains the existence of different classes of digital evidence. Some of them constantly require additional legal protection measures to ensure reliability. Instead, other types of digital evidence achieve reliability through structural simplicity and/or consistent procedural conditions.</w:t>
      </w:r>
    </w:p>
    <w:p w14:paraId="62BB179D" w14:textId="77777777" w:rsidR="00133959" w:rsidRDefault="00133959" w:rsidP="00133959">
      <w:pPr>
        <w:spacing w:line="480" w:lineRule="auto"/>
        <w:jc w:val="both"/>
        <w:rPr>
          <w:rFonts w:eastAsia="Book Antiqua"/>
          <w:bCs/>
          <w:sz w:val="22"/>
          <w:szCs w:val="22"/>
        </w:rPr>
      </w:pPr>
    </w:p>
    <w:p w14:paraId="70D311A3" w14:textId="4828DD35" w:rsidR="002F227C" w:rsidRPr="00133959" w:rsidRDefault="00000000" w:rsidP="00133959">
      <w:pPr>
        <w:spacing w:line="480" w:lineRule="auto"/>
        <w:jc w:val="both"/>
        <w:rPr>
          <w:rFonts w:eastAsia="Book Antiqua"/>
          <w:b/>
          <w:i/>
          <w:iCs/>
          <w:sz w:val="22"/>
          <w:szCs w:val="22"/>
        </w:rPr>
      </w:pPr>
      <w:r w:rsidRPr="00133959">
        <w:rPr>
          <w:rFonts w:eastAsia="Book Antiqua"/>
          <w:b/>
          <w:i/>
          <w:iCs/>
          <w:sz w:val="22"/>
          <w:szCs w:val="22"/>
          <w:lang w:bidi="en-US"/>
        </w:rPr>
        <w:t xml:space="preserve">Reproducing the </w:t>
      </w:r>
      <w:r w:rsidR="00615635" w:rsidRPr="00133959">
        <w:rPr>
          <w:rFonts w:eastAsia="Book Antiqua"/>
          <w:b/>
          <w:i/>
          <w:iCs/>
          <w:sz w:val="22"/>
          <w:szCs w:val="22"/>
          <w:lang w:bidi="en-US"/>
        </w:rPr>
        <w:t>“</w:t>
      </w:r>
      <w:r w:rsidRPr="00133959">
        <w:rPr>
          <w:rFonts w:eastAsia="Book Antiqua"/>
          <w:b/>
          <w:i/>
          <w:iCs/>
          <w:sz w:val="22"/>
          <w:szCs w:val="22"/>
          <w:lang w:bidi="en-US"/>
        </w:rPr>
        <w:t>life cycle</w:t>
      </w:r>
      <w:r w:rsidR="00615635" w:rsidRPr="00133959">
        <w:rPr>
          <w:rFonts w:eastAsia="Book Antiqua"/>
          <w:b/>
          <w:i/>
          <w:iCs/>
          <w:sz w:val="22"/>
          <w:szCs w:val="22"/>
          <w:lang w:bidi="en-US"/>
        </w:rPr>
        <w:t>”</w:t>
      </w:r>
      <w:r w:rsidRPr="00133959">
        <w:rPr>
          <w:rFonts w:eastAsia="Book Antiqua"/>
          <w:b/>
          <w:i/>
          <w:iCs/>
          <w:sz w:val="22"/>
          <w:szCs w:val="22"/>
          <w:lang w:bidi="en-US"/>
        </w:rPr>
        <w:t xml:space="preserve"> of digital evidence</w:t>
      </w:r>
    </w:p>
    <w:p w14:paraId="6C5883C9" w14:textId="77777777" w:rsidR="002F227C" w:rsidRPr="00133959" w:rsidRDefault="00000000" w:rsidP="00133959">
      <w:pPr>
        <w:spacing w:line="480" w:lineRule="auto"/>
        <w:ind w:firstLine="709"/>
        <w:jc w:val="both"/>
        <w:rPr>
          <w:rFonts w:eastAsia="Book Antiqua"/>
          <w:bCs/>
          <w:sz w:val="22"/>
          <w:szCs w:val="22"/>
        </w:rPr>
      </w:pPr>
      <w:bookmarkStart w:id="1" w:name="OLE_LINK5"/>
      <w:r w:rsidRPr="00133959">
        <w:rPr>
          <w:rFonts w:eastAsia="Book Antiqua"/>
          <w:sz w:val="22"/>
          <w:szCs w:val="22"/>
          <w:lang w:bidi="en-US"/>
        </w:rPr>
        <w:t>The reproduction of the life cycle of the evidence base made it possible to control all stages of the case consideration and document legal actions from case acquisition to its submission to the court. Most of the lawful actions regarding the admissibility and reliability of evidence were recorded at the stages of preservation and transfer. Figure 1 shows the distribution of procedures between stages of the digital evidence life cycle, as well as the level of procedural activity, without technical procedures.</w:t>
      </w:r>
    </w:p>
    <w:p w14:paraId="1AC4B3AD" w14:textId="77777777" w:rsidR="002F227C" w:rsidRPr="00133959" w:rsidRDefault="002F227C" w:rsidP="00133959">
      <w:pPr>
        <w:spacing w:line="480" w:lineRule="auto"/>
        <w:ind w:firstLine="709"/>
        <w:jc w:val="both"/>
        <w:rPr>
          <w:rFonts w:eastAsia="Book Antiqua"/>
          <w:bCs/>
          <w:sz w:val="22"/>
          <w:szCs w:val="22"/>
        </w:rPr>
      </w:pPr>
    </w:p>
    <w:p w14:paraId="072DBEDB" w14:textId="77777777" w:rsidR="002F227C" w:rsidRPr="00133959" w:rsidRDefault="00000000" w:rsidP="00133959">
      <w:pPr>
        <w:spacing w:line="480" w:lineRule="auto"/>
        <w:jc w:val="center"/>
        <w:rPr>
          <w:rFonts w:eastAsia="Book Antiqua"/>
          <w:bCs/>
          <w:iCs/>
          <w:sz w:val="22"/>
          <w:szCs w:val="22"/>
        </w:rPr>
      </w:pPr>
      <w:r w:rsidRPr="00133959">
        <w:rPr>
          <w:rFonts w:eastAsia="Verdana"/>
          <w:iCs/>
          <w:noProof/>
          <w:sz w:val="22"/>
          <w:szCs w:val="22"/>
          <w:lang w:bidi="en-US"/>
        </w:rPr>
        <w:lastRenderedPageBreak/>
        <w:drawing>
          <wp:inline distT="0" distB="0" distL="0" distR="0" wp14:anchorId="6CDC32E6" wp14:editId="32132924">
            <wp:extent cx="5670550" cy="2197100"/>
            <wp:effectExtent l="0" t="0" r="6350" b="12700"/>
            <wp:docPr id="64831927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F8438" w14:textId="77777777"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Figure 1. Distribution of legally significant actions throughout the lifecycle of digital evidence</w:t>
      </w:r>
    </w:p>
    <w:p w14:paraId="658015B5" w14:textId="2AE33B80"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 xml:space="preserve">Source: developed by the author based on data from Meinheit (2025), </w:t>
      </w:r>
      <w:r w:rsidR="00A55545" w:rsidRPr="00133959">
        <w:rPr>
          <w:rFonts w:eastAsia="Book Antiqua"/>
          <w:bCs/>
          <w:sz w:val="22"/>
          <w:szCs w:val="22"/>
        </w:rPr>
        <w:t xml:space="preserve">MindMeister (2026), </w:t>
      </w:r>
      <w:r w:rsidR="005A2C02" w:rsidRPr="00133959">
        <w:rPr>
          <w:rFonts w:eastAsia="Book Antiqua"/>
          <w:bCs/>
          <w:sz w:val="22"/>
          <w:szCs w:val="22"/>
        </w:rPr>
        <w:t>Loux</w:t>
      </w:r>
      <w:r w:rsidRPr="00133959">
        <w:rPr>
          <w:rFonts w:eastAsia="Book Antiqua"/>
          <w:iCs/>
          <w:sz w:val="22"/>
          <w:szCs w:val="22"/>
          <w:lang w:bidi="en-US"/>
        </w:rPr>
        <w:t xml:space="preserve"> (2026)</w:t>
      </w:r>
    </w:p>
    <w:p w14:paraId="7DCDB7E3" w14:textId="77777777" w:rsidR="002F227C" w:rsidRPr="00133959" w:rsidRDefault="002F227C" w:rsidP="00133959">
      <w:pPr>
        <w:spacing w:line="480" w:lineRule="auto"/>
        <w:ind w:firstLine="709"/>
        <w:jc w:val="center"/>
        <w:rPr>
          <w:rFonts w:eastAsia="Book Antiqua"/>
          <w:bCs/>
          <w:i/>
          <w:iCs/>
          <w:sz w:val="22"/>
          <w:szCs w:val="22"/>
        </w:rPr>
      </w:pPr>
    </w:p>
    <w:p w14:paraId="581483C9" w14:textId="77777777" w:rsidR="002F227C" w:rsidRPr="00133959" w:rsidRDefault="00000000" w:rsidP="00133959">
      <w:pPr>
        <w:spacing w:line="480" w:lineRule="auto"/>
        <w:ind w:firstLine="709"/>
        <w:jc w:val="both"/>
        <w:rPr>
          <w:rFonts w:eastAsia="SimSun"/>
          <w:sz w:val="22"/>
          <w:szCs w:val="22"/>
        </w:rPr>
      </w:pPr>
      <w:r w:rsidRPr="00133959">
        <w:rPr>
          <w:rFonts w:eastAsia="SimSun"/>
          <w:sz w:val="22"/>
          <w:szCs w:val="22"/>
        </w:rPr>
        <w:t xml:space="preserve">The distribution of legal risks and procedural responsibilities highlights an uneven allocation of legally significant actions throughout the life cycle of digital evidence. Reliability depends not only on the initial </w:t>
      </w:r>
      <w:r w:rsidRPr="00133959">
        <w:rPr>
          <w:rFonts w:eastAsia="Book Antiqua"/>
          <w:sz w:val="22"/>
          <w:szCs w:val="22"/>
          <w:lang w:bidi="en-US"/>
        </w:rPr>
        <w:t xml:space="preserve">acquisition </w:t>
      </w:r>
      <w:r w:rsidRPr="00133959">
        <w:rPr>
          <w:rFonts w:eastAsia="SimSun"/>
          <w:sz w:val="22"/>
          <w:szCs w:val="22"/>
        </w:rPr>
        <w:t>of evidence but also, and often more critically, on actions taken during preservation and transfer. The continuity and integrity of data are essential for ensuring admissibility in court even before formal proceedings begin. Consequently, the reliability of digital evidence should be understood as a dynamic legal state, shaped by the cumulative effect of successive procedural actions.</w:t>
      </w:r>
    </w:p>
    <w:bookmarkEnd w:id="1"/>
    <w:p w14:paraId="2D627C95" w14:textId="77777777" w:rsidR="00133959" w:rsidRDefault="00133959" w:rsidP="00133959">
      <w:pPr>
        <w:spacing w:line="480" w:lineRule="auto"/>
        <w:jc w:val="both"/>
        <w:rPr>
          <w:rFonts w:eastAsia="Book Antiqua"/>
          <w:sz w:val="22"/>
          <w:szCs w:val="22"/>
          <w:lang w:bidi="en-US"/>
        </w:rPr>
      </w:pPr>
    </w:p>
    <w:p w14:paraId="2610ADD5" w14:textId="3E85C850" w:rsidR="002F227C" w:rsidRPr="00133959" w:rsidRDefault="00000000" w:rsidP="00133959">
      <w:pPr>
        <w:spacing w:line="480" w:lineRule="auto"/>
        <w:jc w:val="both"/>
        <w:rPr>
          <w:rFonts w:eastAsia="Book Antiqua"/>
          <w:b/>
          <w:i/>
          <w:iCs/>
          <w:sz w:val="22"/>
          <w:szCs w:val="22"/>
        </w:rPr>
      </w:pPr>
      <w:r w:rsidRPr="00133959">
        <w:rPr>
          <w:rFonts w:eastAsia="Book Antiqua"/>
          <w:b/>
          <w:i/>
          <w:iCs/>
          <w:sz w:val="22"/>
          <w:szCs w:val="22"/>
          <w:lang w:bidi="en-US"/>
        </w:rPr>
        <w:t>Assessment of aggregate reliability taking into account legal criteria</w:t>
      </w:r>
    </w:p>
    <w:p w14:paraId="68E988DC" w14:textId="77777777" w:rsidR="002F227C" w:rsidRPr="00133959" w:rsidRDefault="00000000" w:rsidP="00133959">
      <w:pPr>
        <w:spacing w:line="480" w:lineRule="auto"/>
        <w:ind w:firstLine="709"/>
        <w:jc w:val="both"/>
        <w:rPr>
          <w:rFonts w:eastAsia="Book Antiqua"/>
          <w:sz w:val="22"/>
          <w:szCs w:val="22"/>
          <w:lang w:bidi="en-US"/>
        </w:rPr>
      </w:pPr>
      <w:r w:rsidRPr="00133959">
        <w:rPr>
          <w:rFonts w:eastAsia="Book Antiqua"/>
          <w:sz w:val="22"/>
          <w:szCs w:val="22"/>
          <w:lang w:bidi="en-US"/>
        </w:rPr>
        <w:t>For each case, the Comprehensive Reliability Index (CRI) was determined according to five criteria: continuity, integrity, technical verifiability, authenticity, procedural legality. The CRI indicators in Table 2 are based on a generalized assessment of the legislative weight of these criteria and reflect the degree of digital evidence reliability according to the legislative logic. CRI is a legal tool without the use of statistics, designed for pre-trial assessment of procedural reliability.</w:t>
      </w:r>
    </w:p>
    <w:p w14:paraId="6C34B9F0" w14:textId="77777777" w:rsidR="00971C87" w:rsidRPr="00133959" w:rsidRDefault="00971C87" w:rsidP="00133959">
      <w:pPr>
        <w:spacing w:line="480" w:lineRule="auto"/>
        <w:ind w:firstLine="709"/>
        <w:jc w:val="both"/>
        <w:rPr>
          <w:rFonts w:eastAsia="Book Antiqua"/>
          <w:bCs/>
          <w:sz w:val="22"/>
          <w:szCs w:val="22"/>
        </w:rPr>
      </w:pPr>
    </w:p>
    <w:p w14:paraId="623460DF" w14:textId="77777777" w:rsidR="002F227C" w:rsidRPr="00133959" w:rsidRDefault="00000000" w:rsidP="00133959">
      <w:pPr>
        <w:keepNext/>
        <w:spacing w:line="480" w:lineRule="auto"/>
        <w:jc w:val="both"/>
        <w:rPr>
          <w:rFonts w:eastAsia="Book Antiqua"/>
          <w:bCs/>
          <w:sz w:val="22"/>
          <w:szCs w:val="22"/>
        </w:rPr>
      </w:pPr>
      <w:r w:rsidRPr="00133959">
        <w:rPr>
          <w:rFonts w:eastAsia="Book Antiqua"/>
          <w:bCs/>
          <w:sz w:val="22"/>
          <w:szCs w:val="22"/>
          <w:lang w:bidi="en-US"/>
        </w:rPr>
        <w:lastRenderedPageBreak/>
        <w:t>Table 2. Cumulative indicators of reliability by category of evidence</w:t>
      </w:r>
    </w:p>
    <w:tbl>
      <w:tblPr>
        <w:tblStyle w:val="TableGrid"/>
        <w:tblW w:w="0" w:type="auto"/>
        <w:tblLook w:val="04A0" w:firstRow="1" w:lastRow="0" w:firstColumn="1" w:lastColumn="0" w:noHBand="0" w:noVBand="1"/>
      </w:tblPr>
      <w:tblGrid>
        <w:gridCol w:w="3018"/>
        <w:gridCol w:w="2993"/>
        <w:gridCol w:w="3005"/>
      </w:tblGrid>
      <w:tr w:rsidR="00133959" w:rsidRPr="00133959" w14:paraId="360C1284" w14:textId="77777777" w:rsidTr="00971C87">
        <w:tc>
          <w:tcPr>
            <w:tcW w:w="3209" w:type="dxa"/>
            <w:tcMar>
              <w:top w:w="28" w:type="dxa"/>
              <w:left w:w="57" w:type="dxa"/>
              <w:bottom w:w="28" w:type="dxa"/>
              <w:right w:w="57" w:type="dxa"/>
            </w:tcMar>
          </w:tcPr>
          <w:p w14:paraId="0E753C02" w14:textId="77777777" w:rsidR="002F227C" w:rsidRPr="00133959" w:rsidRDefault="00000000" w:rsidP="00133959">
            <w:pPr>
              <w:keepNext/>
              <w:jc w:val="center"/>
              <w:rPr>
                <w:rFonts w:eastAsia="Book Antiqua"/>
                <w:b/>
                <w:sz w:val="22"/>
                <w:szCs w:val="22"/>
              </w:rPr>
            </w:pPr>
            <w:r w:rsidRPr="00133959">
              <w:rPr>
                <w:rFonts w:eastAsia="Book Antiqua"/>
                <w:b/>
                <w:sz w:val="22"/>
                <w:szCs w:val="22"/>
                <w:lang w:bidi="en-US"/>
              </w:rPr>
              <w:t>Evidence category</w:t>
            </w:r>
          </w:p>
        </w:tc>
        <w:tc>
          <w:tcPr>
            <w:tcW w:w="3209" w:type="dxa"/>
            <w:tcMar>
              <w:top w:w="28" w:type="dxa"/>
              <w:left w:w="57" w:type="dxa"/>
              <w:bottom w:w="28" w:type="dxa"/>
              <w:right w:w="57" w:type="dxa"/>
            </w:tcMar>
          </w:tcPr>
          <w:p w14:paraId="428BC8E8" w14:textId="77777777" w:rsidR="002F227C" w:rsidRPr="00133959" w:rsidRDefault="00000000" w:rsidP="00133959">
            <w:pPr>
              <w:keepNext/>
              <w:jc w:val="center"/>
              <w:rPr>
                <w:rFonts w:eastAsia="Book Antiqua"/>
                <w:b/>
                <w:sz w:val="22"/>
                <w:szCs w:val="22"/>
              </w:rPr>
            </w:pPr>
            <w:r w:rsidRPr="00133959">
              <w:rPr>
                <w:rFonts w:eastAsia="Book Antiqua"/>
                <w:b/>
                <w:sz w:val="22"/>
                <w:szCs w:val="22"/>
                <w:lang w:bidi="en-US"/>
              </w:rPr>
              <w:t>Mean CRI</w:t>
            </w:r>
          </w:p>
        </w:tc>
        <w:tc>
          <w:tcPr>
            <w:tcW w:w="3210" w:type="dxa"/>
            <w:tcMar>
              <w:top w:w="28" w:type="dxa"/>
              <w:left w:w="57" w:type="dxa"/>
              <w:bottom w:w="28" w:type="dxa"/>
              <w:right w:w="57" w:type="dxa"/>
            </w:tcMar>
          </w:tcPr>
          <w:p w14:paraId="07A73E42" w14:textId="77777777" w:rsidR="002F227C" w:rsidRPr="00133959" w:rsidRDefault="00000000" w:rsidP="00133959">
            <w:pPr>
              <w:keepNext/>
              <w:jc w:val="center"/>
              <w:rPr>
                <w:rFonts w:eastAsia="Book Antiqua"/>
                <w:b/>
                <w:sz w:val="22"/>
                <w:szCs w:val="22"/>
              </w:rPr>
            </w:pPr>
            <w:r w:rsidRPr="00133959">
              <w:rPr>
                <w:rFonts w:eastAsia="Book Antiqua"/>
                <w:b/>
                <w:sz w:val="22"/>
                <w:szCs w:val="22"/>
                <w:lang w:bidi="en-US"/>
              </w:rPr>
              <w:t>Range</w:t>
            </w:r>
          </w:p>
        </w:tc>
      </w:tr>
      <w:tr w:rsidR="00133959" w:rsidRPr="00133959" w14:paraId="20D73288" w14:textId="77777777" w:rsidTr="00971C87">
        <w:tc>
          <w:tcPr>
            <w:tcW w:w="3209" w:type="dxa"/>
            <w:tcMar>
              <w:top w:w="28" w:type="dxa"/>
              <w:left w:w="57" w:type="dxa"/>
              <w:bottom w:w="28" w:type="dxa"/>
              <w:right w:w="57" w:type="dxa"/>
            </w:tcMar>
          </w:tcPr>
          <w:p w14:paraId="082F0FB3" w14:textId="77777777" w:rsidR="002F227C" w:rsidRPr="00133959" w:rsidRDefault="00000000" w:rsidP="00133959">
            <w:pPr>
              <w:keepNext/>
              <w:jc w:val="center"/>
              <w:rPr>
                <w:rFonts w:eastAsia="Book Antiqua"/>
                <w:bCs/>
                <w:sz w:val="22"/>
                <w:szCs w:val="22"/>
              </w:rPr>
            </w:pPr>
            <w:r w:rsidRPr="00133959">
              <w:rPr>
                <w:rFonts w:eastAsia="Book Antiqua"/>
                <w:sz w:val="22"/>
                <w:szCs w:val="22"/>
                <w:lang w:bidi="en-US"/>
              </w:rPr>
              <w:t>Personal devices</w:t>
            </w:r>
          </w:p>
        </w:tc>
        <w:tc>
          <w:tcPr>
            <w:tcW w:w="3209" w:type="dxa"/>
            <w:tcMar>
              <w:top w:w="28" w:type="dxa"/>
              <w:left w:w="57" w:type="dxa"/>
              <w:bottom w:w="28" w:type="dxa"/>
              <w:right w:w="57" w:type="dxa"/>
            </w:tcMar>
          </w:tcPr>
          <w:p w14:paraId="1079ECEB" w14:textId="77777777" w:rsidR="002F227C" w:rsidRPr="00133959" w:rsidRDefault="00000000" w:rsidP="00133959">
            <w:pPr>
              <w:keepNext/>
              <w:jc w:val="center"/>
              <w:rPr>
                <w:rFonts w:eastAsia="Book Antiqua"/>
                <w:bCs/>
                <w:sz w:val="22"/>
                <w:szCs w:val="22"/>
              </w:rPr>
            </w:pPr>
            <w:r w:rsidRPr="00133959">
              <w:rPr>
                <w:rFonts w:eastAsia="Book Antiqua"/>
                <w:sz w:val="22"/>
                <w:szCs w:val="22"/>
                <w:lang w:bidi="en-US"/>
              </w:rPr>
              <w:t>High</w:t>
            </w:r>
          </w:p>
        </w:tc>
        <w:tc>
          <w:tcPr>
            <w:tcW w:w="3210" w:type="dxa"/>
            <w:tcMar>
              <w:top w:w="28" w:type="dxa"/>
              <w:left w:w="57" w:type="dxa"/>
              <w:bottom w:w="28" w:type="dxa"/>
              <w:right w:w="57" w:type="dxa"/>
            </w:tcMar>
          </w:tcPr>
          <w:p w14:paraId="3082B143" w14:textId="77777777" w:rsidR="002F227C" w:rsidRPr="00133959" w:rsidRDefault="00000000" w:rsidP="00133959">
            <w:pPr>
              <w:keepNext/>
              <w:jc w:val="center"/>
              <w:rPr>
                <w:rFonts w:eastAsia="Book Antiqua"/>
                <w:bCs/>
                <w:sz w:val="22"/>
                <w:szCs w:val="22"/>
              </w:rPr>
            </w:pPr>
            <w:r w:rsidRPr="00133959">
              <w:rPr>
                <w:rFonts w:eastAsia="Book Antiqua"/>
                <w:sz w:val="22"/>
                <w:szCs w:val="22"/>
                <w:lang w:bidi="en-US"/>
              </w:rPr>
              <w:t>Moderate–High</w:t>
            </w:r>
          </w:p>
        </w:tc>
      </w:tr>
      <w:tr w:rsidR="00133959" w:rsidRPr="00133959" w14:paraId="08DEFBC5" w14:textId="77777777" w:rsidTr="00971C87">
        <w:tc>
          <w:tcPr>
            <w:tcW w:w="3209" w:type="dxa"/>
            <w:tcMar>
              <w:top w:w="28" w:type="dxa"/>
              <w:left w:w="57" w:type="dxa"/>
              <w:bottom w:w="28" w:type="dxa"/>
              <w:right w:w="57" w:type="dxa"/>
            </w:tcMar>
          </w:tcPr>
          <w:p w14:paraId="7ABA410D"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Provider servers</w:t>
            </w:r>
          </w:p>
        </w:tc>
        <w:tc>
          <w:tcPr>
            <w:tcW w:w="3209" w:type="dxa"/>
            <w:tcMar>
              <w:top w:w="28" w:type="dxa"/>
              <w:left w:w="57" w:type="dxa"/>
              <w:bottom w:w="28" w:type="dxa"/>
              <w:right w:w="57" w:type="dxa"/>
            </w:tcMar>
          </w:tcPr>
          <w:p w14:paraId="565E9206"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w:t>
            </w:r>
          </w:p>
        </w:tc>
        <w:tc>
          <w:tcPr>
            <w:tcW w:w="3210" w:type="dxa"/>
            <w:tcMar>
              <w:top w:w="28" w:type="dxa"/>
              <w:left w:w="57" w:type="dxa"/>
              <w:bottom w:w="28" w:type="dxa"/>
              <w:right w:w="57" w:type="dxa"/>
            </w:tcMar>
          </w:tcPr>
          <w:p w14:paraId="0514C53A"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Low–High</w:t>
            </w:r>
          </w:p>
        </w:tc>
      </w:tr>
      <w:tr w:rsidR="00133959" w:rsidRPr="00133959" w14:paraId="50CBED9F" w14:textId="77777777" w:rsidTr="00971C87">
        <w:tc>
          <w:tcPr>
            <w:tcW w:w="3209" w:type="dxa"/>
            <w:tcMar>
              <w:top w:w="28" w:type="dxa"/>
              <w:left w:w="57" w:type="dxa"/>
              <w:bottom w:w="28" w:type="dxa"/>
              <w:right w:w="57" w:type="dxa"/>
            </w:tcMar>
          </w:tcPr>
          <w:p w14:paraId="6D6D62CB"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Cloud storage systems</w:t>
            </w:r>
          </w:p>
        </w:tc>
        <w:tc>
          <w:tcPr>
            <w:tcW w:w="3209" w:type="dxa"/>
            <w:tcMar>
              <w:top w:w="28" w:type="dxa"/>
              <w:left w:w="57" w:type="dxa"/>
              <w:bottom w:w="28" w:type="dxa"/>
              <w:right w:w="57" w:type="dxa"/>
            </w:tcMar>
          </w:tcPr>
          <w:p w14:paraId="187408B9"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w:t>
            </w:r>
          </w:p>
        </w:tc>
        <w:tc>
          <w:tcPr>
            <w:tcW w:w="3210" w:type="dxa"/>
            <w:tcMar>
              <w:top w:w="28" w:type="dxa"/>
              <w:left w:w="57" w:type="dxa"/>
              <w:bottom w:w="28" w:type="dxa"/>
              <w:right w:w="57" w:type="dxa"/>
            </w:tcMar>
          </w:tcPr>
          <w:p w14:paraId="367F682A"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Low–High</w:t>
            </w:r>
          </w:p>
        </w:tc>
      </w:tr>
      <w:tr w:rsidR="00133959" w:rsidRPr="00133959" w14:paraId="593BD2B1" w14:textId="77777777" w:rsidTr="00971C87">
        <w:tc>
          <w:tcPr>
            <w:tcW w:w="3209" w:type="dxa"/>
            <w:tcMar>
              <w:top w:w="28" w:type="dxa"/>
              <w:left w:w="57" w:type="dxa"/>
              <w:bottom w:w="28" w:type="dxa"/>
              <w:right w:w="57" w:type="dxa"/>
            </w:tcMar>
          </w:tcPr>
          <w:p w14:paraId="3A67C8D9"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Network metadata</w:t>
            </w:r>
          </w:p>
        </w:tc>
        <w:tc>
          <w:tcPr>
            <w:tcW w:w="3209" w:type="dxa"/>
            <w:tcMar>
              <w:top w:w="28" w:type="dxa"/>
              <w:left w:w="57" w:type="dxa"/>
              <w:bottom w:w="28" w:type="dxa"/>
              <w:right w:w="57" w:type="dxa"/>
            </w:tcMar>
          </w:tcPr>
          <w:p w14:paraId="3A910FBD"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 – High</w:t>
            </w:r>
          </w:p>
        </w:tc>
        <w:tc>
          <w:tcPr>
            <w:tcW w:w="3210" w:type="dxa"/>
            <w:tcMar>
              <w:top w:w="28" w:type="dxa"/>
              <w:left w:w="57" w:type="dxa"/>
              <w:bottom w:w="28" w:type="dxa"/>
              <w:right w:w="57" w:type="dxa"/>
            </w:tcMar>
          </w:tcPr>
          <w:p w14:paraId="6A159681"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Moderate–High</w:t>
            </w:r>
          </w:p>
        </w:tc>
      </w:tr>
      <w:tr w:rsidR="00133959" w:rsidRPr="00133959" w14:paraId="6D9341BB" w14:textId="77777777" w:rsidTr="00971C87">
        <w:tc>
          <w:tcPr>
            <w:tcW w:w="3209" w:type="dxa"/>
            <w:tcMar>
              <w:top w:w="28" w:type="dxa"/>
              <w:left w:w="57" w:type="dxa"/>
              <w:bottom w:w="28" w:type="dxa"/>
              <w:right w:w="57" w:type="dxa"/>
            </w:tcMar>
          </w:tcPr>
          <w:p w14:paraId="670EA57E"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Surveillance systems</w:t>
            </w:r>
          </w:p>
        </w:tc>
        <w:tc>
          <w:tcPr>
            <w:tcW w:w="3209" w:type="dxa"/>
            <w:tcMar>
              <w:top w:w="28" w:type="dxa"/>
              <w:left w:w="57" w:type="dxa"/>
              <w:bottom w:w="28" w:type="dxa"/>
              <w:right w:w="57" w:type="dxa"/>
            </w:tcMar>
          </w:tcPr>
          <w:p w14:paraId="37EFC0C5"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w:t>
            </w:r>
          </w:p>
        </w:tc>
        <w:tc>
          <w:tcPr>
            <w:tcW w:w="3210" w:type="dxa"/>
            <w:tcMar>
              <w:top w:w="28" w:type="dxa"/>
              <w:left w:w="57" w:type="dxa"/>
              <w:bottom w:w="28" w:type="dxa"/>
              <w:right w:w="57" w:type="dxa"/>
            </w:tcMar>
          </w:tcPr>
          <w:p w14:paraId="03C311EC"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High–High</w:t>
            </w:r>
          </w:p>
        </w:tc>
      </w:tr>
      <w:tr w:rsidR="00133959" w:rsidRPr="00133959" w14:paraId="6B1FC704" w14:textId="77777777" w:rsidTr="00971C87">
        <w:tc>
          <w:tcPr>
            <w:tcW w:w="3209" w:type="dxa"/>
            <w:tcMar>
              <w:top w:w="28" w:type="dxa"/>
              <w:left w:w="57" w:type="dxa"/>
              <w:bottom w:w="28" w:type="dxa"/>
              <w:right w:w="57" w:type="dxa"/>
            </w:tcMar>
          </w:tcPr>
          <w:p w14:paraId="454D8936"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Voluntary materials</w:t>
            </w:r>
          </w:p>
        </w:tc>
        <w:tc>
          <w:tcPr>
            <w:tcW w:w="3209" w:type="dxa"/>
            <w:tcMar>
              <w:top w:w="28" w:type="dxa"/>
              <w:left w:w="57" w:type="dxa"/>
              <w:bottom w:w="28" w:type="dxa"/>
              <w:right w:w="57" w:type="dxa"/>
            </w:tcMar>
          </w:tcPr>
          <w:p w14:paraId="4A95B435"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High</w:t>
            </w:r>
          </w:p>
        </w:tc>
        <w:tc>
          <w:tcPr>
            <w:tcW w:w="3210" w:type="dxa"/>
            <w:tcMar>
              <w:top w:w="28" w:type="dxa"/>
              <w:left w:w="57" w:type="dxa"/>
              <w:bottom w:w="28" w:type="dxa"/>
              <w:right w:w="57" w:type="dxa"/>
            </w:tcMar>
          </w:tcPr>
          <w:p w14:paraId="6C2F3C0E" w14:textId="77777777" w:rsidR="002F227C" w:rsidRPr="00133959" w:rsidRDefault="00000000" w:rsidP="00133959">
            <w:pPr>
              <w:jc w:val="center"/>
              <w:rPr>
                <w:rFonts w:eastAsia="Book Antiqua"/>
                <w:bCs/>
                <w:sz w:val="22"/>
                <w:szCs w:val="22"/>
              </w:rPr>
            </w:pPr>
            <w:r w:rsidRPr="00133959">
              <w:rPr>
                <w:rFonts w:eastAsia="Book Antiqua"/>
                <w:sz w:val="22"/>
                <w:szCs w:val="22"/>
                <w:lang w:bidi="en-US"/>
              </w:rPr>
              <w:t>Moderate–High</w:t>
            </w:r>
          </w:p>
        </w:tc>
      </w:tr>
    </w:tbl>
    <w:p w14:paraId="3D22CDE1" w14:textId="6C15D1DE" w:rsidR="002F227C" w:rsidRPr="00133959" w:rsidRDefault="00000000" w:rsidP="00133959">
      <w:pPr>
        <w:spacing w:line="480" w:lineRule="auto"/>
        <w:jc w:val="both"/>
        <w:rPr>
          <w:rFonts w:eastAsia="Book Antiqua"/>
          <w:bCs/>
          <w:sz w:val="22"/>
          <w:szCs w:val="22"/>
        </w:rPr>
      </w:pPr>
      <w:bookmarkStart w:id="2" w:name="OLE_LINK4"/>
      <w:r w:rsidRPr="00133959">
        <w:rPr>
          <w:rFonts w:eastAsia="Book Antiqua"/>
          <w:sz w:val="22"/>
          <w:szCs w:val="22"/>
          <w:lang w:bidi="en-US"/>
        </w:rPr>
        <w:t>Source: developed by the author based on Forensic Focus data (2021)</w:t>
      </w:r>
    </w:p>
    <w:bookmarkEnd w:id="2"/>
    <w:p w14:paraId="7B40FA17" w14:textId="77777777" w:rsidR="002F227C" w:rsidRPr="00133959" w:rsidRDefault="002F227C" w:rsidP="00133959">
      <w:pPr>
        <w:spacing w:line="480" w:lineRule="auto"/>
        <w:ind w:firstLine="709"/>
        <w:jc w:val="both"/>
        <w:rPr>
          <w:rFonts w:eastAsia="Book Antiqua"/>
          <w:bCs/>
          <w:sz w:val="22"/>
          <w:szCs w:val="22"/>
        </w:rPr>
      </w:pPr>
    </w:p>
    <w:p w14:paraId="06C73DE5" w14:textId="77777777" w:rsidR="002F227C" w:rsidRPr="00133959" w:rsidRDefault="00000000" w:rsidP="00133959">
      <w:pPr>
        <w:spacing w:line="480" w:lineRule="auto"/>
        <w:ind w:firstLine="709"/>
        <w:jc w:val="both"/>
        <w:rPr>
          <w:rFonts w:eastAsia="SimSun"/>
          <w:sz w:val="22"/>
          <w:szCs w:val="22"/>
        </w:rPr>
      </w:pPr>
      <w:r w:rsidRPr="00133959">
        <w:rPr>
          <w:rFonts w:eastAsia="Book Antiqua"/>
          <w:sz w:val="22"/>
          <w:szCs w:val="22"/>
          <w:lang w:bidi="en-US"/>
        </w:rPr>
        <w:t xml:space="preserve">As can be seen, the Table shows that the reliability of digital evidence mainly depends on how the procedures are established, rather than on the technological capabilities of obtaining them. </w:t>
      </w:r>
      <w:r w:rsidRPr="00133959">
        <w:rPr>
          <w:rFonts w:eastAsia="SimSun"/>
          <w:sz w:val="22"/>
          <w:szCs w:val="22"/>
        </w:rPr>
        <w:t>Categories in which evidence remains in a controlled environment and is rarely transferred between participants with clearly defined procedural responsibilities have the least legal variation and demonstrate the highest reliability. In contrast, categories involving third-party oversight, multiple actors with access to the evidence, or frequent changes in the sequence of preservation are characterized by significant legal uncertainty and a higher potential for variability. Importantly, the main conclusion is that none of these categories are inherently unreliable. Rather, the reliability of digital evidence is maintained when all, or nearly all, procedural safeguards are fully observed during the pre-trial stage.</w:t>
      </w:r>
    </w:p>
    <w:p w14:paraId="741ACB3E" w14:textId="77777777" w:rsidR="00971C87" w:rsidRPr="00133959" w:rsidRDefault="00971C87" w:rsidP="00133959">
      <w:pPr>
        <w:spacing w:line="480" w:lineRule="auto"/>
        <w:ind w:firstLine="709"/>
        <w:jc w:val="both"/>
        <w:rPr>
          <w:rFonts w:eastAsia="Book Antiqua"/>
          <w:sz w:val="22"/>
          <w:szCs w:val="22"/>
          <w:lang w:bidi="en-US"/>
        </w:rPr>
      </w:pPr>
    </w:p>
    <w:p w14:paraId="249E1F48" w14:textId="76536270" w:rsidR="002F227C" w:rsidRPr="00133959" w:rsidRDefault="00000000" w:rsidP="005A5EA1">
      <w:pPr>
        <w:spacing w:line="480" w:lineRule="auto"/>
        <w:jc w:val="both"/>
        <w:rPr>
          <w:rFonts w:eastAsia="Book Antiqua"/>
          <w:b/>
          <w:sz w:val="22"/>
          <w:szCs w:val="22"/>
        </w:rPr>
      </w:pPr>
      <w:r w:rsidRPr="00133959">
        <w:rPr>
          <w:rFonts w:eastAsia="Book Antiqua"/>
          <w:b/>
          <w:sz w:val="22"/>
          <w:szCs w:val="22"/>
          <w:lang w:bidi="en-US"/>
        </w:rPr>
        <w:t>Encryption integrity verification</w:t>
      </w:r>
    </w:p>
    <w:p w14:paraId="6122E39F" w14:textId="77777777" w:rsidR="002F227C" w:rsidRPr="00133959" w:rsidRDefault="00000000" w:rsidP="00133959">
      <w:pPr>
        <w:spacing w:line="480" w:lineRule="auto"/>
        <w:ind w:firstLine="709"/>
        <w:jc w:val="both"/>
        <w:rPr>
          <w:rFonts w:eastAsia="Book Antiqua"/>
          <w:sz w:val="22"/>
          <w:szCs w:val="22"/>
          <w:lang w:bidi="en-US"/>
        </w:rPr>
      </w:pPr>
      <w:r w:rsidRPr="00133959">
        <w:rPr>
          <w:rFonts w:eastAsia="SimSun"/>
          <w:sz w:val="22"/>
          <w:szCs w:val="22"/>
        </w:rPr>
        <w:t>The integrity of digital evidence was evaluated using hash verification, which produced a two-digit legal result for each item of evidence. The hash coefficient (HCR) was calculated as the proportion of matching hashes across the stages of acquisition, transfer, and submission of documents. Table 3 presents the results of this verification in terms of their legislative qualification regarding the integrity of digital evidence. This analysis does not assess the technical performance of the systems themselves. It rather focuses on the implications of hash verification results for the procedural status and admissibility of evidence in court.</w:t>
      </w:r>
    </w:p>
    <w:p w14:paraId="726C1A10" w14:textId="77777777" w:rsidR="00971C87" w:rsidRPr="00133959" w:rsidRDefault="00971C87" w:rsidP="00133959">
      <w:pPr>
        <w:spacing w:line="480" w:lineRule="auto"/>
        <w:ind w:firstLine="709"/>
        <w:jc w:val="both"/>
        <w:rPr>
          <w:rFonts w:eastAsia="Book Antiqua"/>
          <w:b/>
          <w:sz w:val="22"/>
          <w:szCs w:val="22"/>
          <w:lang w:bidi="en-US"/>
        </w:rPr>
      </w:pPr>
    </w:p>
    <w:p w14:paraId="12833C22" w14:textId="77F44E48" w:rsidR="002F227C" w:rsidRPr="005A5EA1" w:rsidRDefault="00000000" w:rsidP="005A5EA1">
      <w:pPr>
        <w:keepNext/>
        <w:spacing w:line="480" w:lineRule="auto"/>
        <w:jc w:val="both"/>
        <w:rPr>
          <w:rFonts w:eastAsia="Book Antiqua"/>
          <w:bCs/>
          <w:sz w:val="22"/>
          <w:szCs w:val="22"/>
        </w:rPr>
      </w:pPr>
      <w:r w:rsidRPr="005A5EA1">
        <w:rPr>
          <w:rFonts w:eastAsia="Book Antiqua"/>
          <w:bCs/>
          <w:sz w:val="22"/>
          <w:szCs w:val="22"/>
          <w:lang w:bidi="en-US"/>
        </w:rPr>
        <w:lastRenderedPageBreak/>
        <w:t>Table 3. Sequence of hash functions and their status from the legislative point of view</w:t>
      </w:r>
    </w:p>
    <w:tbl>
      <w:tblPr>
        <w:tblStyle w:val="TableGrid"/>
        <w:tblW w:w="0" w:type="auto"/>
        <w:tblLook w:val="04A0" w:firstRow="1" w:lastRow="0" w:firstColumn="1" w:lastColumn="0" w:noHBand="0" w:noVBand="1"/>
      </w:tblPr>
      <w:tblGrid>
        <w:gridCol w:w="3005"/>
        <w:gridCol w:w="2326"/>
        <w:gridCol w:w="3685"/>
      </w:tblGrid>
      <w:tr w:rsidR="00133959" w:rsidRPr="00133959" w14:paraId="72A75049" w14:textId="77777777" w:rsidTr="00C811A6">
        <w:tc>
          <w:tcPr>
            <w:tcW w:w="3209" w:type="dxa"/>
            <w:tcMar>
              <w:top w:w="28" w:type="dxa"/>
              <w:left w:w="57" w:type="dxa"/>
              <w:bottom w:w="28" w:type="dxa"/>
              <w:right w:w="57" w:type="dxa"/>
            </w:tcMar>
          </w:tcPr>
          <w:p w14:paraId="4FA69102" w14:textId="77777777" w:rsidR="002F227C" w:rsidRPr="00133959" w:rsidRDefault="00000000" w:rsidP="005A5EA1">
            <w:pPr>
              <w:keepNext/>
              <w:jc w:val="center"/>
              <w:rPr>
                <w:rFonts w:eastAsia="Book Antiqua"/>
                <w:b/>
                <w:sz w:val="22"/>
                <w:szCs w:val="22"/>
              </w:rPr>
            </w:pPr>
            <w:r w:rsidRPr="00133959">
              <w:rPr>
                <w:rFonts w:eastAsia="Book Antiqua"/>
                <w:b/>
                <w:sz w:val="22"/>
                <w:szCs w:val="22"/>
                <w:lang w:bidi="en-US"/>
              </w:rPr>
              <w:t>Evidence category</w:t>
            </w:r>
          </w:p>
        </w:tc>
        <w:tc>
          <w:tcPr>
            <w:tcW w:w="2456" w:type="dxa"/>
            <w:tcMar>
              <w:top w:w="28" w:type="dxa"/>
              <w:left w:w="57" w:type="dxa"/>
              <w:bottom w:w="28" w:type="dxa"/>
              <w:right w:w="57" w:type="dxa"/>
            </w:tcMar>
          </w:tcPr>
          <w:p w14:paraId="4415DD75" w14:textId="77777777" w:rsidR="002F227C" w:rsidRPr="00133959" w:rsidRDefault="00000000" w:rsidP="005A5EA1">
            <w:pPr>
              <w:keepNext/>
              <w:jc w:val="center"/>
              <w:rPr>
                <w:rFonts w:eastAsia="Book Antiqua"/>
                <w:b/>
                <w:sz w:val="22"/>
                <w:szCs w:val="22"/>
              </w:rPr>
            </w:pPr>
            <w:r w:rsidRPr="00133959">
              <w:rPr>
                <w:rFonts w:eastAsia="Book Antiqua"/>
                <w:b/>
                <w:sz w:val="22"/>
                <w:szCs w:val="22"/>
                <w:lang w:bidi="en-US"/>
              </w:rPr>
              <w:t>Hash consistency</w:t>
            </w:r>
          </w:p>
        </w:tc>
        <w:tc>
          <w:tcPr>
            <w:tcW w:w="3963" w:type="dxa"/>
            <w:tcMar>
              <w:top w:w="28" w:type="dxa"/>
              <w:left w:w="57" w:type="dxa"/>
              <w:bottom w:w="28" w:type="dxa"/>
              <w:right w:w="57" w:type="dxa"/>
            </w:tcMar>
          </w:tcPr>
          <w:p w14:paraId="15DDA248" w14:textId="77777777" w:rsidR="002F227C" w:rsidRPr="00133959" w:rsidRDefault="00000000" w:rsidP="005A5EA1">
            <w:pPr>
              <w:keepNext/>
              <w:jc w:val="center"/>
              <w:rPr>
                <w:rFonts w:eastAsia="Book Antiqua"/>
                <w:b/>
                <w:sz w:val="22"/>
                <w:szCs w:val="22"/>
              </w:rPr>
            </w:pPr>
            <w:r w:rsidRPr="00133959">
              <w:rPr>
                <w:rFonts w:eastAsia="Book Antiqua"/>
                <w:b/>
                <w:sz w:val="22"/>
                <w:szCs w:val="22"/>
                <w:lang w:bidi="en-US"/>
              </w:rPr>
              <w:t>Legal implication</w:t>
            </w:r>
          </w:p>
        </w:tc>
      </w:tr>
      <w:tr w:rsidR="00133959" w:rsidRPr="00133959" w14:paraId="7AE295CA" w14:textId="77777777" w:rsidTr="00C811A6">
        <w:tc>
          <w:tcPr>
            <w:tcW w:w="3209" w:type="dxa"/>
            <w:tcMar>
              <w:top w:w="28" w:type="dxa"/>
              <w:left w:w="57" w:type="dxa"/>
              <w:bottom w:w="28" w:type="dxa"/>
              <w:right w:w="57" w:type="dxa"/>
            </w:tcMar>
          </w:tcPr>
          <w:p w14:paraId="17C00033" w14:textId="77777777" w:rsidR="002F227C" w:rsidRPr="00133959" w:rsidRDefault="00000000" w:rsidP="005A5EA1">
            <w:pPr>
              <w:keepNext/>
              <w:jc w:val="center"/>
              <w:rPr>
                <w:rFonts w:eastAsia="Book Antiqua"/>
                <w:bCs/>
                <w:sz w:val="22"/>
                <w:szCs w:val="22"/>
              </w:rPr>
            </w:pPr>
            <w:r w:rsidRPr="00133959">
              <w:rPr>
                <w:rFonts w:eastAsia="Book Antiqua"/>
                <w:sz w:val="22"/>
                <w:szCs w:val="22"/>
                <w:lang w:bidi="en-US"/>
              </w:rPr>
              <w:t>Personal devices</w:t>
            </w:r>
          </w:p>
        </w:tc>
        <w:tc>
          <w:tcPr>
            <w:tcW w:w="2456" w:type="dxa"/>
            <w:tcMar>
              <w:top w:w="28" w:type="dxa"/>
              <w:left w:w="57" w:type="dxa"/>
              <w:bottom w:w="28" w:type="dxa"/>
              <w:right w:w="57" w:type="dxa"/>
            </w:tcMar>
          </w:tcPr>
          <w:p w14:paraId="3BD46BC9" w14:textId="77777777" w:rsidR="002F227C" w:rsidRPr="00133959" w:rsidRDefault="00000000" w:rsidP="005A5EA1">
            <w:pPr>
              <w:keepNext/>
              <w:jc w:val="center"/>
              <w:rPr>
                <w:rFonts w:eastAsia="Book Antiqua"/>
                <w:bCs/>
                <w:sz w:val="22"/>
                <w:szCs w:val="22"/>
              </w:rPr>
            </w:pPr>
            <w:r w:rsidRPr="00133959">
              <w:rPr>
                <w:rFonts w:eastAsia="Book Antiqua"/>
                <w:sz w:val="22"/>
                <w:szCs w:val="22"/>
                <w:lang w:bidi="en-US"/>
              </w:rPr>
              <w:t>Full</w:t>
            </w:r>
          </w:p>
        </w:tc>
        <w:tc>
          <w:tcPr>
            <w:tcW w:w="3963" w:type="dxa"/>
            <w:tcMar>
              <w:top w:w="28" w:type="dxa"/>
              <w:left w:w="57" w:type="dxa"/>
              <w:bottom w:w="28" w:type="dxa"/>
              <w:right w:w="57" w:type="dxa"/>
            </w:tcMar>
          </w:tcPr>
          <w:p w14:paraId="5F37CDE4" w14:textId="77777777" w:rsidR="002F227C" w:rsidRPr="00133959" w:rsidRDefault="00000000" w:rsidP="005A5EA1">
            <w:pPr>
              <w:keepNext/>
              <w:jc w:val="center"/>
              <w:rPr>
                <w:rFonts w:eastAsia="Book Antiqua"/>
                <w:bCs/>
                <w:sz w:val="22"/>
                <w:szCs w:val="22"/>
              </w:rPr>
            </w:pPr>
            <w:r w:rsidRPr="00133959">
              <w:rPr>
                <w:rFonts w:eastAsia="Book Antiqua"/>
                <w:sz w:val="22"/>
                <w:szCs w:val="22"/>
                <w:lang w:bidi="en-US"/>
              </w:rPr>
              <w:t>Legally preserved</w:t>
            </w:r>
          </w:p>
        </w:tc>
      </w:tr>
      <w:tr w:rsidR="00133959" w:rsidRPr="00133959" w14:paraId="7CFB991E" w14:textId="77777777" w:rsidTr="00C811A6">
        <w:tc>
          <w:tcPr>
            <w:tcW w:w="3209" w:type="dxa"/>
            <w:tcMar>
              <w:top w:w="28" w:type="dxa"/>
              <w:left w:w="57" w:type="dxa"/>
              <w:bottom w:w="28" w:type="dxa"/>
              <w:right w:w="57" w:type="dxa"/>
            </w:tcMar>
          </w:tcPr>
          <w:p w14:paraId="61997126"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Provider servers</w:t>
            </w:r>
          </w:p>
        </w:tc>
        <w:tc>
          <w:tcPr>
            <w:tcW w:w="2456" w:type="dxa"/>
            <w:tcMar>
              <w:top w:w="28" w:type="dxa"/>
              <w:left w:w="57" w:type="dxa"/>
              <w:bottom w:w="28" w:type="dxa"/>
              <w:right w:w="57" w:type="dxa"/>
            </w:tcMar>
          </w:tcPr>
          <w:p w14:paraId="5696A7EE"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Partial</w:t>
            </w:r>
          </w:p>
        </w:tc>
        <w:tc>
          <w:tcPr>
            <w:tcW w:w="3963" w:type="dxa"/>
            <w:tcMar>
              <w:top w:w="28" w:type="dxa"/>
              <w:left w:w="57" w:type="dxa"/>
              <w:bottom w:w="28" w:type="dxa"/>
              <w:right w:w="57" w:type="dxa"/>
            </w:tcMar>
          </w:tcPr>
          <w:p w14:paraId="6CB5293A"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Documented procedural justification</w:t>
            </w:r>
          </w:p>
        </w:tc>
      </w:tr>
      <w:tr w:rsidR="00133959" w:rsidRPr="00133959" w14:paraId="4C62D9F6" w14:textId="77777777" w:rsidTr="00C811A6">
        <w:tc>
          <w:tcPr>
            <w:tcW w:w="3209" w:type="dxa"/>
            <w:tcMar>
              <w:top w:w="28" w:type="dxa"/>
              <w:left w:w="57" w:type="dxa"/>
              <w:bottom w:w="28" w:type="dxa"/>
              <w:right w:w="57" w:type="dxa"/>
            </w:tcMar>
          </w:tcPr>
          <w:p w14:paraId="5B2E0843"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Cloud storage systems</w:t>
            </w:r>
          </w:p>
        </w:tc>
        <w:tc>
          <w:tcPr>
            <w:tcW w:w="2456" w:type="dxa"/>
            <w:tcMar>
              <w:top w:w="28" w:type="dxa"/>
              <w:left w:w="57" w:type="dxa"/>
              <w:bottom w:w="28" w:type="dxa"/>
              <w:right w:w="57" w:type="dxa"/>
            </w:tcMar>
          </w:tcPr>
          <w:p w14:paraId="0FFFCFA1"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Partial</w:t>
            </w:r>
          </w:p>
        </w:tc>
        <w:tc>
          <w:tcPr>
            <w:tcW w:w="3963" w:type="dxa"/>
            <w:tcMar>
              <w:top w:w="28" w:type="dxa"/>
              <w:left w:w="57" w:type="dxa"/>
              <w:bottom w:w="28" w:type="dxa"/>
              <w:right w:w="57" w:type="dxa"/>
            </w:tcMar>
          </w:tcPr>
          <w:p w14:paraId="63CD0C6F"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Documented procedural justification</w:t>
            </w:r>
          </w:p>
        </w:tc>
      </w:tr>
      <w:tr w:rsidR="00133959" w:rsidRPr="00133959" w14:paraId="6B53DFD7" w14:textId="77777777" w:rsidTr="00C811A6">
        <w:tc>
          <w:tcPr>
            <w:tcW w:w="3209" w:type="dxa"/>
            <w:tcMar>
              <w:top w:w="28" w:type="dxa"/>
              <w:left w:w="57" w:type="dxa"/>
              <w:bottom w:w="28" w:type="dxa"/>
              <w:right w:w="57" w:type="dxa"/>
            </w:tcMar>
          </w:tcPr>
          <w:p w14:paraId="075091D4"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Network metadata</w:t>
            </w:r>
          </w:p>
        </w:tc>
        <w:tc>
          <w:tcPr>
            <w:tcW w:w="2456" w:type="dxa"/>
            <w:tcMar>
              <w:top w:w="28" w:type="dxa"/>
              <w:left w:w="57" w:type="dxa"/>
              <w:bottom w:w="28" w:type="dxa"/>
              <w:right w:w="57" w:type="dxa"/>
            </w:tcMar>
          </w:tcPr>
          <w:p w14:paraId="38F7353A"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Full</w:t>
            </w:r>
          </w:p>
        </w:tc>
        <w:tc>
          <w:tcPr>
            <w:tcW w:w="3963" w:type="dxa"/>
            <w:tcMar>
              <w:top w:w="28" w:type="dxa"/>
              <w:left w:w="57" w:type="dxa"/>
              <w:bottom w:w="28" w:type="dxa"/>
              <w:right w:w="57" w:type="dxa"/>
            </w:tcMar>
          </w:tcPr>
          <w:p w14:paraId="7EC1C949"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Legally preserved</w:t>
            </w:r>
          </w:p>
        </w:tc>
      </w:tr>
      <w:tr w:rsidR="00133959" w:rsidRPr="00133959" w14:paraId="557A6C14" w14:textId="77777777" w:rsidTr="00C811A6">
        <w:tc>
          <w:tcPr>
            <w:tcW w:w="3209" w:type="dxa"/>
            <w:tcMar>
              <w:top w:w="28" w:type="dxa"/>
              <w:left w:w="57" w:type="dxa"/>
              <w:bottom w:w="28" w:type="dxa"/>
              <w:right w:w="57" w:type="dxa"/>
            </w:tcMar>
          </w:tcPr>
          <w:p w14:paraId="0BBF31B8"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Surveillance systems</w:t>
            </w:r>
          </w:p>
        </w:tc>
        <w:tc>
          <w:tcPr>
            <w:tcW w:w="2456" w:type="dxa"/>
            <w:tcMar>
              <w:top w:w="28" w:type="dxa"/>
              <w:left w:w="57" w:type="dxa"/>
              <w:bottom w:w="28" w:type="dxa"/>
              <w:right w:w="57" w:type="dxa"/>
            </w:tcMar>
          </w:tcPr>
          <w:p w14:paraId="40E32800"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Full</w:t>
            </w:r>
          </w:p>
        </w:tc>
        <w:tc>
          <w:tcPr>
            <w:tcW w:w="3963" w:type="dxa"/>
            <w:tcMar>
              <w:top w:w="28" w:type="dxa"/>
              <w:left w:w="57" w:type="dxa"/>
              <w:bottom w:w="28" w:type="dxa"/>
              <w:right w:w="57" w:type="dxa"/>
            </w:tcMar>
          </w:tcPr>
          <w:p w14:paraId="65825EC4"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Legally preserved</w:t>
            </w:r>
          </w:p>
        </w:tc>
      </w:tr>
      <w:tr w:rsidR="00133959" w:rsidRPr="00133959" w14:paraId="15ABB5E3" w14:textId="77777777" w:rsidTr="00C811A6">
        <w:tc>
          <w:tcPr>
            <w:tcW w:w="3209" w:type="dxa"/>
            <w:tcMar>
              <w:top w:w="28" w:type="dxa"/>
              <w:left w:w="57" w:type="dxa"/>
              <w:bottom w:w="28" w:type="dxa"/>
              <w:right w:w="57" w:type="dxa"/>
            </w:tcMar>
          </w:tcPr>
          <w:p w14:paraId="5491242A"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Voluntary materials</w:t>
            </w:r>
          </w:p>
        </w:tc>
        <w:tc>
          <w:tcPr>
            <w:tcW w:w="2456" w:type="dxa"/>
            <w:tcMar>
              <w:top w:w="28" w:type="dxa"/>
              <w:left w:w="57" w:type="dxa"/>
              <w:bottom w:w="28" w:type="dxa"/>
              <w:right w:w="57" w:type="dxa"/>
            </w:tcMar>
          </w:tcPr>
          <w:p w14:paraId="5F25447C"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Full</w:t>
            </w:r>
          </w:p>
        </w:tc>
        <w:tc>
          <w:tcPr>
            <w:tcW w:w="3963" w:type="dxa"/>
            <w:tcMar>
              <w:top w:w="28" w:type="dxa"/>
              <w:left w:w="57" w:type="dxa"/>
              <w:bottom w:w="28" w:type="dxa"/>
              <w:right w:w="57" w:type="dxa"/>
            </w:tcMar>
          </w:tcPr>
          <w:p w14:paraId="33C13219"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Legally preserved</w:t>
            </w:r>
          </w:p>
        </w:tc>
      </w:tr>
    </w:tbl>
    <w:p w14:paraId="776D7FE8" w14:textId="5ADC657D" w:rsidR="002F227C" w:rsidRPr="00133959" w:rsidRDefault="00000000" w:rsidP="00133959">
      <w:pPr>
        <w:spacing w:line="480" w:lineRule="auto"/>
        <w:jc w:val="both"/>
        <w:rPr>
          <w:rFonts w:eastAsia="Book Antiqua"/>
          <w:bCs/>
          <w:sz w:val="22"/>
          <w:szCs w:val="22"/>
        </w:rPr>
      </w:pPr>
      <w:r w:rsidRPr="00133959">
        <w:rPr>
          <w:rFonts w:eastAsia="Book Antiqua"/>
          <w:sz w:val="22"/>
          <w:szCs w:val="22"/>
          <w:lang w:bidi="en-US"/>
        </w:rPr>
        <w:t xml:space="preserve">Source: developed by the author based on data </w:t>
      </w:r>
      <w:r w:rsidR="00C55C45" w:rsidRPr="00133959">
        <w:rPr>
          <w:rFonts w:eastAsia="Book Antiqua"/>
          <w:bCs/>
          <w:sz w:val="22"/>
          <w:szCs w:val="22"/>
        </w:rPr>
        <w:t>Mossé Cyber Security Institute</w:t>
      </w:r>
      <w:r w:rsidR="00971C87" w:rsidRPr="00133959">
        <w:rPr>
          <w:rFonts w:eastAsia="Book Antiqua"/>
          <w:i/>
          <w:sz w:val="22"/>
          <w:szCs w:val="22"/>
          <w:lang w:bidi="en-US"/>
        </w:rPr>
        <w:t xml:space="preserve"> </w:t>
      </w:r>
      <w:r w:rsidRPr="00133959">
        <w:rPr>
          <w:rFonts w:eastAsia="Book Antiqua"/>
          <w:sz w:val="22"/>
          <w:szCs w:val="22"/>
          <w:lang w:bidi="en-US"/>
        </w:rPr>
        <w:t>(2023)</w:t>
      </w:r>
    </w:p>
    <w:p w14:paraId="3ED0DB32" w14:textId="77777777" w:rsidR="002F227C" w:rsidRPr="00133959" w:rsidRDefault="002F227C" w:rsidP="00133959">
      <w:pPr>
        <w:spacing w:line="480" w:lineRule="auto"/>
        <w:ind w:firstLine="709"/>
        <w:jc w:val="both"/>
        <w:rPr>
          <w:rFonts w:eastAsia="Book Antiqua"/>
          <w:bCs/>
          <w:sz w:val="22"/>
          <w:szCs w:val="22"/>
        </w:rPr>
      </w:pPr>
    </w:p>
    <w:p w14:paraId="6D75E700" w14:textId="77777777" w:rsidR="002F227C" w:rsidRPr="00133959" w:rsidRDefault="00000000" w:rsidP="00133959">
      <w:pPr>
        <w:spacing w:line="480" w:lineRule="auto"/>
        <w:ind w:firstLine="709"/>
        <w:jc w:val="both"/>
        <w:rPr>
          <w:sz w:val="22"/>
          <w:szCs w:val="22"/>
        </w:rPr>
      </w:pPr>
      <w:r w:rsidRPr="00133959">
        <w:rPr>
          <w:sz w:val="22"/>
          <w:szCs w:val="22"/>
        </w:rPr>
        <w:t xml:space="preserve">The overriding methodological insight is presented in Table 3. The integration of digital evidence into criminal proceedings should be understood as a contextual legal concept rather than an unconditional (technical) condition. The table demonstrates that full correspondence of hash codes across all elements of evidence ensures the preservation of its integrity. However, even incomplete hash correspondence, when supported by proper documentation and </w:t>
      </w:r>
      <w:r w:rsidRPr="00133959">
        <w:rPr>
          <w:rFonts w:eastAsia="Book Antiqua"/>
          <w:sz w:val="22"/>
          <w:szCs w:val="22"/>
          <w:lang w:bidi="en-US"/>
        </w:rPr>
        <w:t xml:space="preserve">compliance with </w:t>
      </w:r>
      <w:r w:rsidRPr="00133959">
        <w:rPr>
          <w:sz w:val="22"/>
          <w:szCs w:val="22"/>
        </w:rPr>
        <w:t>legal procedures, provides the court or investigator with a legally valid confirmation of integrity, rather than a ground for rejecting the evidence.</w:t>
      </w:r>
    </w:p>
    <w:p w14:paraId="5F2BE309" w14:textId="77777777" w:rsidR="002F227C" w:rsidRPr="00133959" w:rsidRDefault="00000000" w:rsidP="00133959">
      <w:pPr>
        <w:spacing w:line="480" w:lineRule="auto"/>
        <w:ind w:firstLine="709"/>
        <w:jc w:val="both"/>
        <w:rPr>
          <w:sz w:val="22"/>
          <w:szCs w:val="22"/>
        </w:rPr>
      </w:pPr>
      <w:r w:rsidRPr="00133959">
        <w:rPr>
          <w:sz w:val="22"/>
          <w:szCs w:val="22"/>
        </w:rPr>
        <w:t xml:space="preserve">Thus, hash verification functions as a legitimate procedural filter, enabling courts and investigators to differentiate between </w:t>
      </w:r>
      <w:r w:rsidRPr="00133959">
        <w:rPr>
          <w:rFonts w:eastAsia="Book Antiqua"/>
          <w:sz w:val="22"/>
          <w:szCs w:val="22"/>
          <w:lang w:bidi="en-US"/>
        </w:rPr>
        <w:t xml:space="preserve">illegal </w:t>
      </w:r>
      <w:r w:rsidRPr="00133959">
        <w:rPr>
          <w:sz w:val="22"/>
          <w:szCs w:val="22"/>
        </w:rPr>
        <w:t>procedural alterations that compromise admissibility and legitimate procedural transformations that preserve the reliability of evidence. This distinction is particularly significant for digital evidence, where procedural transparency holds greater weight than technical immutability as the defining legal criterion at the pre-trial stage.</w:t>
      </w:r>
    </w:p>
    <w:p w14:paraId="31B1A9CF" w14:textId="77777777" w:rsidR="002F227C" w:rsidRPr="00133959" w:rsidRDefault="002F227C" w:rsidP="00133959">
      <w:pPr>
        <w:spacing w:line="480" w:lineRule="auto"/>
        <w:ind w:firstLine="709"/>
        <w:jc w:val="both"/>
        <w:rPr>
          <w:rFonts w:eastAsia="Book Antiqua"/>
          <w:sz w:val="22"/>
          <w:szCs w:val="22"/>
          <w:lang w:bidi="en-US"/>
        </w:rPr>
      </w:pPr>
    </w:p>
    <w:p w14:paraId="07CC465D" w14:textId="6A6EDA6D" w:rsidR="002F227C" w:rsidRPr="00133959" w:rsidRDefault="00000000" w:rsidP="005A5EA1">
      <w:pPr>
        <w:spacing w:line="480" w:lineRule="auto"/>
        <w:jc w:val="both"/>
        <w:rPr>
          <w:rFonts w:eastAsia="Book Antiqua"/>
          <w:b/>
          <w:i/>
          <w:iCs/>
          <w:sz w:val="22"/>
          <w:szCs w:val="22"/>
        </w:rPr>
      </w:pPr>
      <w:r w:rsidRPr="00133959">
        <w:rPr>
          <w:rFonts w:eastAsia="Book Antiqua"/>
          <w:b/>
          <w:i/>
          <w:iCs/>
          <w:sz w:val="22"/>
          <w:szCs w:val="22"/>
          <w:lang w:bidi="en-US"/>
        </w:rPr>
        <w:t>Results of ensuring the continuity of the logistics chain</w:t>
      </w:r>
    </w:p>
    <w:p w14:paraId="42B4214C" w14:textId="38E4B16D" w:rsidR="002F227C" w:rsidRPr="00133959" w:rsidRDefault="00000000" w:rsidP="00133959">
      <w:pPr>
        <w:spacing w:line="480" w:lineRule="auto"/>
        <w:ind w:firstLine="709"/>
        <w:jc w:val="both"/>
        <w:rPr>
          <w:rFonts w:eastAsia="Book Antiqua"/>
          <w:sz w:val="22"/>
          <w:szCs w:val="22"/>
        </w:rPr>
      </w:pPr>
      <w:r w:rsidRPr="00133959">
        <w:rPr>
          <w:rFonts w:eastAsia="SimSun"/>
          <w:sz w:val="22"/>
          <w:szCs w:val="22"/>
        </w:rPr>
        <w:t xml:space="preserve">In the course of modeling the principle of continuity of content, three types of violations were identified: </w:t>
      </w:r>
      <w:r w:rsidRPr="00133959">
        <w:rPr>
          <w:rStyle w:val="Strong"/>
          <w:rFonts w:eastAsia="SimSun"/>
          <w:b w:val="0"/>
          <w:bCs w:val="0"/>
          <w:sz w:val="22"/>
          <w:szCs w:val="22"/>
        </w:rPr>
        <w:t>temporal</w:t>
      </w:r>
      <w:r w:rsidRPr="00133959">
        <w:rPr>
          <w:rFonts w:eastAsia="SimSun"/>
          <w:sz w:val="22"/>
          <w:szCs w:val="22"/>
        </w:rPr>
        <w:t xml:space="preserve">, subject and </w:t>
      </w:r>
      <w:r w:rsidRPr="00133959">
        <w:rPr>
          <w:rStyle w:val="Strong"/>
          <w:rFonts w:eastAsia="SimSun"/>
          <w:b w:val="0"/>
          <w:bCs w:val="0"/>
          <w:sz w:val="22"/>
          <w:szCs w:val="22"/>
        </w:rPr>
        <w:t>functional</w:t>
      </w:r>
      <w:r w:rsidRPr="00133959">
        <w:rPr>
          <w:rFonts w:eastAsia="SimSun"/>
          <w:sz w:val="22"/>
          <w:szCs w:val="22"/>
        </w:rPr>
        <w:t>. These violations were classified according to their frequency to assess their relative impact on the legal construction of continuity. Incidents were recorded at each stage of the digital evidence storage chain (Fig</w:t>
      </w:r>
      <w:r w:rsidR="00C811A6" w:rsidRPr="00133959">
        <w:rPr>
          <w:rFonts w:eastAsia="SimSun"/>
          <w:sz w:val="22"/>
          <w:szCs w:val="22"/>
        </w:rPr>
        <w:t>ure</w:t>
      </w:r>
      <w:r w:rsidRPr="00133959">
        <w:rPr>
          <w:rFonts w:eastAsia="SimSun"/>
          <w:sz w:val="22"/>
          <w:szCs w:val="22"/>
        </w:rPr>
        <w:t xml:space="preserve"> 2). Continuity is conceptualized as the conditional legal reliability of evidence throughout its life cycle, from initial collection to submission in court.</w:t>
      </w:r>
    </w:p>
    <w:p w14:paraId="04CE1616" w14:textId="77777777" w:rsidR="002F227C" w:rsidRPr="00133959" w:rsidRDefault="00000000" w:rsidP="00133959">
      <w:pPr>
        <w:spacing w:line="480" w:lineRule="auto"/>
        <w:jc w:val="center"/>
        <w:rPr>
          <w:rFonts w:eastAsia="Book Antiqua"/>
          <w:bCs/>
          <w:iCs/>
          <w:sz w:val="22"/>
          <w:szCs w:val="22"/>
        </w:rPr>
      </w:pPr>
      <w:r w:rsidRPr="00133959">
        <w:rPr>
          <w:rFonts w:eastAsia="Verdana"/>
          <w:iCs/>
          <w:noProof/>
          <w:sz w:val="22"/>
          <w:szCs w:val="22"/>
          <w:lang w:bidi="en-US"/>
        </w:rPr>
        <w:lastRenderedPageBreak/>
        <w:drawing>
          <wp:inline distT="0" distB="0" distL="0" distR="0" wp14:anchorId="5AC9104C" wp14:editId="2D2559DB">
            <wp:extent cx="5740400" cy="2120265"/>
            <wp:effectExtent l="0" t="0" r="12700" b="13335"/>
            <wp:docPr id="170975273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31F54C" w14:textId="77777777"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Figure 2. Distribution of integrity violations according to their types</w:t>
      </w:r>
    </w:p>
    <w:p w14:paraId="249C645D" w14:textId="7263C96C"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Source: developed by the author based on data from Cantelli-Forti</w:t>
      </w:r>
      <w:r w:rsidR="00C811A6" w:rsidRPr="00133959">
        <w:rPr>
          <w:rFonts w:eastAsia="Book Antiqua"/>
          <w:iCs/>
          <w:sz w:val="22"/>
          <w:szCs w:val="22"/>
          <w:lang w:bidi="en-US"/>
        </w:rPr>
        <w:t xml:space="preserve"> et al. </w:t>
      </w:r>
      <w:r w:rsidRPr="00133959">
        <w:rPr>
          <w:rFonts w:eastAsia="Book Antiqua"/>
          <w:iCs/>
          <w:sz w:val="22"/>
          <w:szCs w:val="22"/>
          <w:lang w:bidi="en-US"/>
        </w:rPr>
        <w:t xml:space="preserve">(2025), </w:t>
      </w:r>
      <w:r w:rsidR="00127B11" w:rsidRPr="00133959">
        <w:rPr>
          <w:rFonts w:eastAsia="Book Antiqua"/>
          <w:bCs/>
          <w:sz w:val="22"/>
          <w:szCs w:val="22"/>
        </w:rPr>
        <w:t>Griffiths</w:t>
      </w:r>
      <w:r w:rsidRPr="00133959">
        <w:rPr>
          <w:rFonts w:eastAsia="Book Antiqua"/>
          <w:iCs/>
          <w:sz w:val="22"/>
          <w:szCs w:val="22"/>
          <w:lang w:bidi="en-US"/>
        </w:rPr>
        <w:t xml:space="preserve"> (2026)</w:t>
      </w:r>
      <w:r w:rsidR="00A55545" w:rsidRPr="00133959">
        <w:rPr>
          <w:rFonts w:eastAsia="Book Antiqua"/>
          <w:iCs/>
          <w:sz w:val="22"/>
          <w:szCs w:val="22"/>
          <w:lang w:bidi="en-US"/>
        </w:rPr>
        <w:t xml:space="preserve">, </w:t>
      </w:r>
      <w:r w:rsidR="00A55545" w:rsidRPr="00133959">
        <w:rPr>
          <w:rFonts w:eastAsia="Book Antiqua"/>
          <w:bCs/>
          <w:sz w:val="22"/>
          <w:szCs w:val="22"/>
        </w:rPr>
        <w:t>Lucoveis et al. (2023)</w:t>
      </w:r>
    </w:p>
    <w:p w14:paraId="1EC31216" w14:textId="77777777" w:rsidR="002F227C" w:rsidRPr="00133959" w:rsidRDefault="002F227C" w:rsidP="00133959">
      <w:pPr>
        <w:spacing w:line="480" w:lineRule="auto"/>
        <w:ind w:firstLine="709"/>
        <w:jc w:val="both"/>
        <w:rPr>
          <w:rFonts w:eastAsia="Book Antiqua"/>
          <w:bCs/>
          <w:sz w:val="22"/>
          <w:szCs w:val="22"/>
        </w:rPr>
      </w:pPr>
    </w:p>
    <w:p w14:paraId="3C99A8B7" w14:textId="77777777" w:rsidR="002F227C" w:rsidRPr="00133959" w:rsidRDefault="00000000" w:rsidP="00133959">
      <w:pPr>
        <w:spacing w:line="480" w:lineRule="auto"/>
        <w:ind w:firstLine="709"/>
        <w:jc w:val="both"/>
        <w:rPr>
          <w:rFonts w:eastAsia="Book Antiqua"/>
          <w:sz w:val="22"/>
          <w:szCs w:val="22"/>
          <w:lang w:bidi="en-US"/>
        </w:rPr>
      </w:pPr>
      <w:r w:rsidRPr="00133959">
        <w:rPr>
          <w:rFonts w:eastAsia="Book Antiqua"/>
          <w:sz w:val="22"/>
          <w:szCs w:val="22"/>
          <w:lang w:bidi="en-US"/>
        </w:rPr>
        <w:t>The data shown in Figure 2 indicate that functional continuity is the main legal risk factor for managing digital evidence during criminal proceedings at the investigation stage. The reason for this is that temporal and subject continuity can be ensured through formal procedural rules. At the same time, functional continuity may require greater procedural vigilance due to the dynamic nature of the digital evidence processing. Thus, continuity should not be considered as a single legal requirement, but as a set of legal obligations. The fulfillment of the said obligations depends on transparent documentation of all legally significant transformations of digital evidence.</w:t>
      </w:r>
    </w:p>
    <w:p w14:paraId="1F89E825" w14:textId="77777777" w:rsidR="00A37BCF" w:rsidRPr="00133959" w:rsidRDefault="00A37BCF" w:rsidP="00133959">
      <w:pPr>
        <w:spacing w:line="480" w:lineRule="auto"/>
        <w:ind w:firstLine="709"/>
        <w:jc w:val="both"/>
        <w:rPr>
          <w:rFonts w:eastAsia="Book Antiqua"/>
          <w:bCs/>
          <w:sz w:val="22"/>
          <w:szCs w:val="22"/>
        </w:rPr>
      </w:pPr>
    </w:p>
    <w:p w14:paraId="6DEA3C56" w14:textId="089B9B87" w:rsidR="002F227C" w:rsidRPr="00133959" w:rsidRDefault="00000000" w:rsidP="005A5EA1">
      <w:pPr>
        <w:spacing w:line="480" w:lineRule="auto"/>
        <w:jc w:val="both"/>
        <w:rPr>
          <w:rFonts w:eastAsia="Book Antiqua"/>
          <w:b/>
          <w:i/>
          <w:iCs/>
          <w:sz w:val="22"/>
          <w:szCs w:val="22"/>
        </w:rPr>
      </w:pPr>
      <w:r w:rsidRPr="00133959">
        <w:rPr>
          <w:rFonts w:eastAsia="Book Antiqua"/>
          <w:b/>
          <w:i/>
          <w:iCs/>
          <w:sz w:val="22"/>
          <w:szCs w:val="22"/>
          <w:lang w:bidi="en-US"/>
        </w:rPr>
        <w:t xml:space="preserve">Procedural results of the </w:t>
      </w:r>
      <w:r w:rsidR="00615635" w:rsidRPr="00133959">
        <w:rPr>
          <w:rFonts w:eastAsia="Book Antiqua"/>
          <w:b/>
          <w:i/>
          <w:iCs/>
          <w:sz w:val="22"/>
          <w:szCs w:val="22"/>
          <w:lang w:bidi="en-US"/>
        </w:rPr>
        <w:t>“</w:t>
      </w:r>
      <w:r w:rsidRPr="00133959">
        <w:rPr>
          <w:rFonts w:eastAsia="Book Antiqua"/>
          <w:b/>
          <w:i/>
          <w:iCs/>
          <w:sz w:val="22"/>
          <w:szCs w:val="22"/>
          <w:lang w:bidi="en-US"/>
        </w:rPr>
        <w:t>stress test</w:t>
      </w:r>
      <w:r w:rsidR="00615635" w:rsidRPr="00133959">
        <w:rPr>
          <w:rFonts w:eastAsia="Book Antiqua"/>
          <w:b/>
          <w:i/>
          <w:iCs/>
          <w:sz w:val="22"/>
          <w:szCs w:val="22"/>
          <w:lang w:bidi="en-US"/>
        </w:rPr>
        <w:t>”</w:t>
      </w:r>
    </w:p>
    <w:p w14:paraId="4E199080" w14:textId="2C7EA8E3" w:rsidR="002F227C" w:rsidRPr="00133959" w:rsidRDefault="00000000" w:rsidP="00133959">
      <w:pPr>
        <w:spacing w:line="480" w:lineRule="auto"/>
        <w:ind w:firstLine="709"/>
        <w:jc w:val="both"/>
        <w:rPr>
          <w:rFonts w:eastAsia="SimSun"/>
          <w:sz w:val="22"/>
          <w:szCs w:val="22"/>
        </w:rPr>
      </w:pPr>
      <w:r w:rsidRPr="00133959">
        <w:rPr>
          <w:rFonts w:eastAsia="SimSun"/>
          <w:sz w:val="22"/>
          <w:szCs w:val="22"/>
        </w:rPr>
        <w:t xml:space="preserve">To evaluate how effectively digital evidence copes with legal challenges, disputes and potential exceptions before and during litigation, four distinct categories of electronic evidence were examined. In this context, the term </w:t>
      </w:r>
      <w:r w:rsidR="00615635" w:rsidRPr="00133959">
        <w:rPr>
          <w:rStyle w:val="Strong"/>
          <w:rFonts w:eastAsia="SimSun"/>
          <w:b w:val="0"/>
          <w:bCs w:val="0"/>
          <w:sz w:val="22"/>
          <w:szCs w:val="22"/>
        </w:rPr>
        <w:t>“</w:t>
      </w:r>
      <w:r w:rsidRPr="00133959">
        <w:rPr>
          <w:rStyle w:val="Strong"/>
          <w:rFonts w:eastAsia="SimSun"/>
          <w:b w:val="0"/>
          <w:bCs w:val="0"/>
          <w:sz w:val="22"/>
          <w:szCs w:val="22"/>
        </w:rPr>
        <w:t>sustainability</w:t>
      </w:r>
      <w:r w:rsidR="00615635" w:rsidRPr="00133959">
        <w:rPr>
          <w:rStyle w:val="Strong"/>
          <w:rFonts w:eastAsia="SimSun"/>
          <w:b w:val="0"/>
          <w:bCs w:val="0"/>
          <w:sz w:val="22"/>
          <w:szCs w:val="22"/>
        </w:rPr>
        <w:t>”</w:t>
      </w:r>
      <w:r w:rsidRPr="00133959">
        <w:rPr>
          <w:rFonts w:eastAsia="SimSun"/>
          <w:sz w:val="22"/>
          <w:szCs w:val="22"/>
        </w:rPr>
        <w:t xml:space="preserve"> refers to a procedural property, reflecting the extent to which a particular type of evidence retains its legal validity when challenged for alleged unlawfulness, unreliability or manipulation. Moreover, sustainability encompasses the capacity of evidence to resist procedural deficiencies throughout its life cycle.</w:t>
      </w:r>
    </w:p>
    <w:p w14:paraId="2085BA52" w14:textId="77777777" w:rsidR="00A37BCF" w:rsidRPr="00133959" w:rsidRDefault="00A37BCF" w:rsidP="00133959">
      <w:pPr>
        <w:spacing w:line="480" w:lineRule="auto"/>
        <w:ind w:firstLine="709"/>
        <w:jc w:val="both"/>
        <w:rPr>
          <w:rFonts w:eastAsia="Book Antiqua"/>
          <w:sz w:val="22"/>
          <w:szCs w:val="22"/>
          <w:lang w:bidi="en-US"/>
        </w:rPr>
      </w:pPr>
    </w:p>
    <w:p w14:paraId="45C94FA6" w14:textId="77777777" w:rsidR="002F227C" w:rsidRPr="00133959" w:rsidRDefault="00000000" w:rsidP="005A5EA1">
      <w:pPr>
        <w:keepNext/>
        <w:spacing w:line="480" w:lineRule="auto"/>
        <w:jc w:val="both"/>
        <w:rPr>
          <w:rFonts w:eastAsia="Book Antiqua"/>
          <w:bCs/>
          <w:sz w:val="22"/>
          <w:szCs w:val="22"/>
        </w:rPr>
      </w:pPr>
      <w:r w:rsidRPr="00133959">
        <w:rPr>
          <w:rFonts w:eastAsia="Book Antiqua"/>
          <w:bCs/>
          <w:sz w:val="22"/>
          <w:szCs w:val="22"/>
          <w:lang w:bidi="en-US"/>
        </w:rPr>
        <w:lastRenderedPageBreak/>
        <w:t>Table 4. Characteristics of countering procedural requirements</w:t>
      </w:r>
    </w:p>
    <w:tbl>
      <w:tblPr>
        <w:tblStyle w:val="TableGrid"/>
        <w:tblW w:w="0" w:type="auto"/>
        <w:tblLook w:val="04A0" w:firstRow="1" w:lastRow="0" w:firstColumn="1" w:lastColumn="0" w:noHBand="0" w:noVBand="1"/>
      </w:tblPr>
      <w:tblGrid>
        <w:gridCol w:w="4513"/>
        <w:gridCol w:w="4503"/>
      </w:tblGrid>
      <w:tr w:rsidR="00133959" w:rsidRPr="00133959" w14:paraId="654095C7" w14:textId="77777777" w:rsidTr="00A37BCF">
        <w:tc>
          <w:tcPr>
            <w:tcW w:w="4814" w:type="dxa"/>
            <w:tcMar>
              <w:top w:w="28" w:type="dxa"/>
              <w:left w:w="57" w:type="dxa"/>
              <w:bottom w:w="28" w:type="dxa"/>
              <w:right w:w="57" w:type="dxa"/>
            </w:tcMar>
          </w:tcPr>
          <w:p w14:paraId="57016247" w14:textId="77777777" w:rsidR="002F227C" w:rsidRPr="00133959" w:rsidRDefault="00000000" w:rsidP="005A5EA1">
            <w:pPr>
              <w:keepNext/>
              <w:jc w:val="center"/>
              <w:rPr>
                <w:rFonts w:eastAsia="Book Antiqua"/>
                <w:b/>
                <w:bCs/>
                <w:sz w:val="22"/>
                <w:szCs w:val="22"/>
              </w:rPr>
            </w:pPr>
            <w:r w:rsidRPr="00133959">
              <w:rPr>
                <w:rFonts w:eastAsia="Book Antiqua"/>
                <w:b/>
                <w:sz w:val="22"/>
                <w:szCs w:val="22"/>
                <w:lang w:bidi="en-US"/>
              </w:rPr>
              <w:t>Evidence category</w:t>
            </w:r>
          </w:p>
        </w:tc>
        <w:tc>
          <w:tcPr>
            <w:tcW w:w="4814" w:type="dxa"/>
            <w:tcMar>
              <w:top w:w="28" w:type="dxa"/>
              <w:left w:w="57" w:type="dxa"/>
              <w:bottom w:w="28" w:type="dxa"/>
              <w:right w:w="57" w:type="dxa"/>
            </w:tcMar>
          </w:tcPr>
          <w:p w14:paraId="6B2428DD" w14:textId="77777777" w:rsidR="002F227C" w:rsidRPr="00133959" w:rsidRDefault="00000000" w:rsidP="005A5EA1">
            <w:pPr>
              <w:keepNext/>
              <w:jc w:val="center"/>
              <w:rPr>
                <w:rFonts w:eastAsia="Book Antiqua"/>
                <w:b/>
                <w:bCs/>
                <w:sz w:val="22"/>
                <w:szCs w:val="22"/>
              </w:rPr>
            </w:pPr>
            <w:r w:rsidRPr="00133959">
              <w:rPr>
                <w:rFonts w:eastAsia="Book Antiqua"/>
                <w:b/>
                <w:sz w:val="22"/>
                <w:szCs w:val="22"/>
                <w:lang w:bidi="en-US"/>
              </w:rPr>
              <w:t>Resistance level</w:t>
            </w:r>
          </w:p>
        </w:tc>
      </w:tr>
      <w:tr w:rsidR="00133959" w:rsidRPr="00133959" w14:paraId="080F46FA" w14:textId="77777777" w:rsidTr="00A37BCF">
        <w:tc>
          <w:tcPr>
            <w:tcW w:w="4814" w:type="dxa"/>
            <w:tcMar>
              <w:top w:w="28" w:type="dxa"/>
              <w:left w:w="57" w:type="dxa"/>
              <w:bottom w:w="28" w:type="dxa"/>
              <w:right w:w="57" w:type="dxa"/>
            </w:tcMar>
          </w:tcPr>
          <w:p w14:paraId="79BED7EB" w14:textId="77777777" w:rsidR="002F227C" w:rsidRPr="00133959" w:rsidRDefault="00000000" w:rsidP="005A5EA1">
            <w:pPr>
              <w:keepNext/>
              <w:jc w:val="center"/>
              <w:rPr>
                <w:rFonts w:eastAsia="Book Antiqua"/>
                <w:bCs/>
                <w:sz w:val="22"/>
                <w:szCs w:val="22"/>
              </w:rPr>
            </w:pPr>
            <w:r w:rsidRPr="00133959">
              <w:rPr>
                <w:rFonts w:eastAsia="Book Antiqua"/>
                <w:sz w:val="22"/>
                <w:szCs w:val="22"/>
                <w:lang w:bidi="en-US"/>
              </w:rPr>
              <w:t>Personal devices</w:t>
            </w:r>
          </w:p>
        </w:tc>
        <w:tc>
          <w:tcPr>
            <w:tcW w:w="4814" w:type="dxa"/>
            <w:tcMar>
              <w:top w:w="28" w:type="dxa"/>
              <w:left w:w="57" w:type="dxa"/>
              <w:bottom w:w="28" w:type="dxa"/>
              <w:right w:w="57" w:type="dxa"/>
            </w:tcMar>
          </w:tcPr>
          <w:p w14:paraId="296E5067" w14:textId="77777777" w:rsidR="002F227C" w:rsidRPr="00133959" w:rsidRDefault="00000000" w:rsidP="005A5EA1">
            <w:pPr>
              <w:keepNext/>
              <w:jc w:val="center"/>
              <w:rPr>
                <w:rFonts w:eastAsia="Book Antiqua"/>
                <w:bCs/>
                <w:sz w:val="22"/>
                <w:szCs w:val="22"/>
              </w:rPr>
            </w:pPr>
            <w:r w:rsidRPr="00133959">
              <w:rPr>
                <w:rFonts w:eastAsia="Book Antiqua"/>
                <w:sz w:val="22"/>
                <w:szCs w:val="22"/>
                <w:lang w:bidi="en-US"/>
              </w:rPr>
              <w:t>Strong</w:t>
            </w:r>
          </w:p>
        </w:tc>
      </w:tr>
      <w:tr w:rsidR="00133959" w:rsidRPr="00133959" w14:paraId="00DF186B" w14:textId="77777777" w:rsidTr="00A37BCF">
        <w:tc>
          <w:tcPr>
            <w:tcW w:w="4814" w:type="dxa"/>
            <w:tcMar>
              <w:top w:w="28" w:type="dxa"/>
              <w:left w:w="57" w:type="dxa"/>
              <w:bottom w:w="28" w:type="dxa"/>
              <w:right w:w="57" w:type="dxa"/>
            </w:tcMar>
          </w:tcPr>
          <w:p w14:paraId="4D22AA34"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Provider servers</w:t>
            </w:r>
          </w:p>
        </w:tc>
        <w:tc>
          <w:tcPr>
            <w:tcW w:w="4814" w:type="dxa"/>
            <w:tcMar>
              <w:top w:w="28" w:type="dxa"/>
              <w:left w:w="57" w:type="dxa"/>
              <w:bottom w:w="28" w:type="dxa"/>
              <w:right w:w="57" w:type="dxa"/>
            </w:tcMar>
          </w:tcPr>
          <w:p w14:paraId="45E86E5F"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Moderate</w:t>
            </w:r>
          </w:p>
        </w:tc>
      </w:tr>
      <w:tr w:rsidR="00133959" w:rsidRPr="00133959" w14:paraId="155B4582" w14:textId="77777777" w:rsidTr="00A37BCF">
        <w:tc>
          <w:tcPr>
            <w:tcW w:w="4814" w:type="dxa"/>
            <w:tcMar>
              <w:top w:w="28" w:type="dxa"/>
              <w:left w:w="57" w:type="dxa"/>
              <w:bottom w:w="28" w:type="dxa"/>
              <w:right w:w="57" w:type="dxa"/>
            </w:tcMar>
          </w:tcPr>
          <w:p w14:paraId="09B8758D"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Cloud storage systems</w:t>
            </w:r>
          </w:p>
        </w:tc>
        <w:tc>
          <w:tcPr>
            <w:tcW w:w="4814" w:type="dxa"/>
            <w:tcMar>
              <w:top w:w="28" w:type="dxa"/>
              <w:left w:w="57" w:type="dxa"/>
              <w:bottom w:w="28" w:type="dxa"/>
              <w:right w:w="57" w:type="dxa"/>
            </w:tcMar>
          </w:tcPr>
          <w:p w14:paraId="048249F1"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Moderate</w:t>
            </w:r>
          </w:p>
        </w:tc>
      </w:tr>
      <w:tr w:rsidR="00133959" w:rsidRPr="00133959" w14:paraId="40B54D11" w14:textId="77777777" w:rsidTr="00A37BCF">
        <w:tc>
          <w:tcPr>
            <w:tcW w:w="4814" w:type="dxa"/>
            <w:tcMar>
              <w:top w:w="28" w:type="dxa"/>
              <w:left w:w="57" w:type="dxa"/>
              <w:bottom w:w="28" w:type="dxa"/>
              <w:right w:w="57" w:type="dxa"/>
            </w:tcMar>
          </w:tcPr>
          <w:p w14:paraId="698648BB"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Network metadata</w:t>
            </w:r>
          </w:p>
        </w:tc>
        <w:tc>
          <w:tcPr>
            <w:tcW w:w="4814" w:type="dxa"/>
            <w:tcMar>
              <w:top w:w="28" w:type="dxa"/>
              <w:left w:w="57" w:type="dxa"/>
              <w:bottom w:w="28" w:type="dxa"/>
              <w:right w:w="57" w:type="dxa"/>
            </w:tcMar>
          </w:tcPr>
          <w:p w14:paraId="5FA10E7A"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Strong</w:t>
            </w:r>
          </w:p>
        </w:tc>
      </w:tr>
      <w:tr w:rsidR="00133959" w:rsidRPr="00133959" w14:paraId="7B8DC4F8" w14:textId="77777777" w:rsidTr="00A37BCF">
        <w:tc>
          <w:tcPr>
            <w:tcW w:w="4814" w:type="dxa"/>
            <w:tcMar>
              <w:top w:w="28" w:type="dxa"/>
              <w:left w:w="57" w:type="dxa"/>
              <w:bottom w:w="28" w:type="dxa"/>
              <w:right w:w="57" w:type="dxa"/>
            </w:tcMar>
          </w:tcPr>
          <w:p w14:paraId="065A4A7D"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Surveillance systems</w:t>
            </w:r>
          </w:p>
        </w:tc>
        <w:tc>
          <w:tcPr>
            <w:tcW w:w="4814" w:type="dxa"/>
            <w:tcMar>
              <w:top w:w="28" w:type="dxa"/>
              <w:left w:w="57" w:type="dxa"/>
              <w:bottom w:w="28" w:type="dxa"/>
              <w:right w:w="57" w:type="dxa"/>
            </w:tcMar>
          </w:tcPr>
          <w:p w14:paraId="50E8518F"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Very Strong</w:t>
            </w:r>
          </w:p>
        </w:tc>
      </w:tr>
      <w:tr w:rsidR="00133959" w:rsidRPr="00133959" w14:paraId="3816FF16" w14:textId="77777777" w:rsidTr="00A37BCF">
        <w:tc>
          <w:tcPr>
            <w:tcW w:w="4814" w:type="dxa"/>
            <w:tcMar>
              <w:top w:w="28" w:type="dxa"/>
              <w:left w:w="57" w:type="dxa"/>
              <w:bottom w:w="28" w:type="dxa"/>
              <w:right w:w="57" w:type="dxa"/>
            </w:tcMar>
          </w:tcPr>
          <w:p w14:paraId="08CA5F20"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Voluntary materials</w:t>
            </w:r>
          </w:p>
        </w:tc>
        <w:tc>
          <w:tcPr>
            <w:tcW w:w="4814" w:type="dxa"/>
            <w:tcMar>
              <w:top w:w="28" w:type="dxa"/>
              <w:left w:w="57" w:type="dxa"/>
              <w:bottom w:w="28" w:type="dxa"/>
              <w:right w:w="57" w:type="dxa"/>
            </w:tcMar>
          </w:tcPr>
          <w:p w14:paraId="56AFFA02" w14:textId="77777777" w:rsidR="002F227C" w:rsidRPr="00133959" w:rsidRDefault="00000000" w:rsidP="005A5EA1">
            <w:pPr>
              <w:jc w:val="center"/>
              <w:rPr>
                <w:rFonts w:eastAsia="Book Antiqua"/>
                <w:bCs/>
                <w:sz w:val="22"/>
                <w:szCs w:val="22"/>
              </w:rPr>
            </w:pPr>
            <w:r w:rsidRPr="00133959">
              <w:rPr>
                <w:rFonts w:eastAsia="Book Antiqua"/>
                <w:sz w:val="22"/>
                <w:szCs w:val="22"/>
                <w:lang w:bidi="en-US"/>
              </w:rPr>
              <w:t>Very Strong</w:t>
            </w:r>
          </w:p>
        </w:tc>
      </w:tr>
    </w:tbl>
    <w:p w14:paraId="6544B918" w14:textId="20828B4B" w:rsidR="002F227C" w:rsidRPr="00133959" w:rsidRDefault="00000000" w:rsidP="00133959">
      <w:pPr>
        <w:spacing w:line="480" w:lineRule="auto"/>
        <w:jc w:val="both"/>
        <w:rPr>
          <w:rFonts w:eastAsia="Book Antiqua"/>
          <w:bCs/>
          <w:sz w:val="22"/>
          <w:szCs w:val="22"/>
        </w:rPr>
      </w:pPr>
      <w:r w:rsidRPr="00133959">
        <w:rPr>
          <w:rFonts w:eastAsia="Book Antiqua"/>
          <w:sz w:val="22"/>
          <w:szCs w:val="22"/>
          <w:lang w:bidi="en-US"/>
        </w:rPr>
        <w:t xml:space="preserve">Source: developed by the author based on data from </w:t>
      </w:r>
      <w:r w:rsidR="005A2C02" w:rsidRPr="00133959">
        <w:rPr>
          <w:rFonts w:eastAsia="Book Antiqua"/>
          <w:bCs/>
          <w:sz w:val="22"/>
          <w:szCs w:val="22"/>
        </w:rPr>
        <w:t>Loux</w:t>
      </w:r>
      <w:r w:rsidR="005A2C02" w:rsidRPr="00133959">
        <w:rPr>
          <w:rFonts w:eastAsia="Book Antiqua"/>
          <w:sz w:val="22"/>
          <w:szCs w:val="22"/>
          <w:lang w:bidi="en-US"/>
        </w:rPr>
        <w:t xml:space="preserve"> </w:t>
      </w:r>
      <w:r w:rsidRPr="00133959">
        <w:rPr>
          <w:rFonts w:eastAsia="Book Antiqua"/>
          <w:sz w:val="22"/>
          <w:szCs w:val="22"/>
          <w:lang w:bidi="en-US"/>
        </w:rPr>
        <w:t>(2026), Champlain College Online (2026)</w:t>
      </w:r>
    </w:p>
    <w:p w14:paraId="187DC036" w14:textId="77777777" w:rsidR="002F227C" w:rsidRPr="00133959" w:rsidRDefault="002F227C" w:rsidP="00133959">
      <w:pPr>
        <w:spacing w:line="480" w:lineRule="auto"/>
        <w:ind w:firstLine="709"/>
        <w:jc w:val="both"/>
        <w:rPr>
          <w:rFonts w:eastAsia="Book Antiqua"/>
          <w:bCs/>
          <w:sz w:val="22"/>
          <w:szCs w:val="22"/>
        </w:rPr>
      </w:pPr>
    </w:p>
    <w:p w14:paraId="2B43A013" w14:textId="77777777" w:rsidR="002F227C" w:rsidRPr="00133959" w:rsidRDefault="00000000" w:rsidP="00133959">
      <w:pPr>
        <w:spacing w:line="480" w:lineRule="auto"/>
        <w:ind w:firstLine="709"/>
        <w:jc w:val="both"/>
        <w:rPr>
          <w:rFonts w:eastAsia="SimSun"/>
          <w:sz w:val="22"/>
          <w:szCs w:val="22"/>
        </w:rPr>
      </w:pPr>
      <w:r w:rsidRPr="00133959">
        <w:rPr>
          <w:rFonts w:eastAsia="SimSun"/>
          <w:sz w:val="22"/>
          <w:szCs w:val="22"/>
        </w:rPr>
        <w:t xml:space="preserve">Table 4 demonstrates that the </w:t>
      </w:r>
      <w:r w:rsidRPr="00133959">
        <w:rPr>
          <w:rFonts w:eastAsia="Book Antiqua"/>
          <w:sz w:val="22"/>
          <w:szCs w:val="22"/>
          <w:lang w:bidi="en-US"/>
        </w:rPr>
        <w:t>resistance to procedural use of digital evidence</w:t>
      </w:r>
      <w:r w:rsidRPr="00133959">
        <w:rPr>
          <w:rFonts w:eastAsia="SimSun"/>
          <w:sz w:val="22"/>
          <w:szCs w:val="22"/>
        </w:rPr>
        <w:t xml:space="preserve"> does not depend on the </w:t>
      </w:r>
      <w:r w:rsidRPr="00133959">
        <w:rPr>
          <w:rFonts w:eastAsia="Book Antiqua"/>
          <w:sz w:val="22"/>
          <w:szCs w:val="22"/>
          <w:lang w:bidi="en-US"/>
        </w:rPr>
        <w:t xml:space="preserve">level </w:t>
      </w:r>
      <w:r w:rsidRPr="00133959">
        <w:rPr>
          <w:rFonts w:eastAsia="SimSun"/>
          <w:sz w:val="22"/>
          <w:szCs w:val="22"/>
        </w:rPr>
        <w:t>of technology employed. Instead, it is determined by the degree of procedural formalization, the thoroughness of documentation and the extent of institutional control over all stages of evidence handling. Thus, Table 4 supports the conclusion that the admissibility of digital evidence is less a function of its digital nature and more a reflection of the procedural environment in which it was collected, stored, and introduced into criminal proceedings.</w:t>
      </w:r>
    </w:p>
    <w:p w14:paraId="43EE4179" w14:textId="77777777" w:rsidR="00A37BCF" w:rsidRPr="00133959" w:rsidRDefault="00A37BCF" w:rsidP="00133959">
      <w:pPr>
        <w:spacing w:line="480" w:lineRule="auto"/>
        <w:ind w:firstLine="709"/>
        <w:jc w:val="both"/>
        <w:rPr>
          <w:rFonts w:eastAsia="Book Antiqua"/>
          <w:sz w:val="22"/>
          <w:szCs w:val="22"/>
          <w:lang w:bidi="en-US"/>
        </w:rPr>
      </w:pPr>
    </w:p>
    <w:p w14:paraId="5C60C52E" w14:textId="2652993F" w:rsidR="002F227C" w:rsidRPr="00133959" w:rsidRDefault="00000000" w:rsidP="005A5EA1">
      <w:pPr>
        <w:spacing w:line="480" w:lineRule="auto"/>
        <w:jc w:val="both"/>
        <w:rPr>
          <w:rFonts w:eastAsia="Book Antiqua"/>
          <w:b/>
          <w:i/>
          <w:iCs/>
          <w:sz w:val="22"/>
          <w:szCs w:val="22"/>
        </w:rPr>
      </w:pPr>
      <w:r w:rsidRPr="00133959">
        <w:rPr>
          <w:rFonts w:eastAsia="Book Antiqua"/>
          <w:b/>
          <w:i/>
          <w:iCs/>
          <w:sz w:val="22"/>
          <w:szCs w:val="22"/>
          <w:lang w:bidi="en-US"/>
        </w:rPr>
        <w:t>Comprehensive legal profile of authenticity</w:t>
      </w:r>
    </w:p>
    <w:p w14:paraId="07794C1B" w14:textId="77777777" w:rsidR="002F227C" w:rsidRPr="00133959" w:rsidRDefault="00000000" w:rsidP="00133959">
      <w:pPr>
        <w:spacing w:line="480" w:lineRule="auto"/>
        <w:ind w:firstLine="709"/>
        <w:jc w:val="both"/>
        <w:rPr>
          <w:rFonts w:eastAsia="SimSun"/>
          <w:sz w:val="22"/>
          <w:szCs w:val="22"/>
        </w:rPr>
      </w:pPr>
      <w:bookmarkStart w:id="3" w:name="OLE_LINK6"/>
      <w:r w:rsidRPr="00133959">
        <w:rPr>
          <w:rFonts w:eastAsia="SimSun"/>
          <w:sz w:val="22"/>
          <w:szCs w:val="22"/>
        </w:rPr>
        <w:t>The legal reliability of digital evidence (Figure 3) is illustrated as a combined profile using a radar diagram that integrates multiple procedural and legal factors into a single model. This figure does not assess the technical accuracy of digital evidence. Rather, it demonstrates how these legal factors collectively contribute to the overall reliability of evidence within the criminal justice system. Each axis of the radar chart represents a distinct legal factor and the size of the plotted area reflects the cumulative strength of the evidence as a whole, rather than evaluating separately each individual factor.</w:t>
      </w:r>
    </w:p>
    <w:p w14:paraId="79579C63" w14:textId="77777777" w:rsidR="00A37BCF" w:rsidRPr="00133959" w:rsidRDefault="00A37BCF" w:rsidP="00133959">
      <w:pPr>
        <w:spacing w:line="480" w:lineRule="auto"/>
        <w:ind w:firstLine="709"/>
        <w:jc w:val="both"/>
        <w:rPr>
          <w:rFonts w:eastAsia="Book Antiqua"/>
          <w:sz w:val="22"/>
          <w:szCs w:val="22"/>
          <w:lang w:bidi="en-US"/>
        </w:rPr>
      </w:pPr>
    </w:p>
    <w:p w14:paraId="53696BD8" w14:textId="77777777" w:rsidR="002F227C" w:rsidRPr="00133959" w:rsidRDefault="00000000" w:rsidP="00133959">
      <w:pPr>
        <w:spacing w:line="480" w:lineRule="auto"/>
        <w:jc w:val="center"/>
        <w:rPr>
          <w:rFonts w:eastAsia="Book Antiqua"/>
          <w:bCs/>
          <w:iCs/>
          <w:sz w:val="22"/>
          <w:szCs w:val="22"/>
        </w:rPr>
      </w:pPr>
      <w:r w:rsidRPr="00133959">
        <w:rPr>
          <w:rFonts w:eastAsia="Verdana"/>
          <w:iCs/>
          <w:noProof/>
          <w:sz w:val="22"/>
          <w:szCs w:val="22"/>
          <w:lang w:bidi="en-US"/>
        </w:rPr>
        <w:lastRenderedPageBreak/>
        <w:drawing>
          <wp:inline distT="0" distB="0" distL="0" distR="0" wp14:anchorId="36375479" wp14:editId="7D04686C">
            <wp:extent cx="5746750" cy="2635885"/>
            <wp:effectExtent l="0" t="0" r="6350" b="12065"/>
            <wp:docPr id="96854537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5B149D" w14:textId="77777777"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Figure 3. Radar diagram of complex legal reliability</w:t>
      </w:r>
    </w:p>
    <w:p w14:paraId="57328807" w14:textId="24A19DD4" w:rsidR="002F227C" w:rsidRPr="00133959" w:rsidRDefault="00000000" w:rsidP="00133959">
      <w:pPr>
        <w:spacing w:line="480" w:lineRule="auto"/>
        <w:jc w:val="center"/>
        <w:rPr>
          <w:rFonts w:eastAsia="Book Antiqua"/>
          <w:bCs/>
          <w:iCs/>
          <w:sz w:val="22"/>
          <w:szCs w:val="22"/>
        </w:rPr>
      </w:pPr>
      <w:r w:rsidRPr="00133959">
        <w:rPr>
          <w:rFonts w:eastAsia="Book Antiqua"/>
          <w:iCs/>
          <w:sz w:val="22"/>
          <w:szCs w:val="22"/>
          <w:lang w:bidi="en-US"/>
        </w:rPr>
        <w:t xml:space="preserve">Source: developed by the author based on </w:t>
      </w:r>
      <w:r w:rsidR="00E522EE" w:rsidRPr="00133959">
        <w:rPr>
          <w:rFonts w:eastAsia="Book Antiqua"/>
          <w:bCs/>
          <w:sz w:val="22"/>
          <w:szCs w:val="22"/>
        </w:rPr>
        <w:t>Europol, Eurojust, &amp; European Judicial Network</w:t>
      </w:r>
      <w:r w:rsidR="00E522EE" w:rsidRPr="00133959">
        <w:rPr>
          <w:rFonts w:eastAsia="Book Antiqua"/>
          <w:iCs/>
          <w:sz w:val="22"/>
          <w:szCs w:val="22"/>
          <w:lang w:bidi="en-US"/>
        </w:rPr>
        <w:t xml:space="preserve"> </w:t>
      </w:r>
      <w:r w:rsidRPr="00133959">
        <w:rPr>
          <w:rFonts w:eastAsia="Book Antiqua"/>
          <w:iCs/>
          <w:sz w:val="22"/>
          <w:szCs w:val="22"/>
          <w:lang w:bidi="en-US"/>
        </w:rPr>
        <w:t xml:space="preserve">(2024), </w:t>
      </w:r>
      <w:r w:rsidR="00C7481A" w:rsidRPr="00133959">
        <w:rPr>
          <w:rFonts w:eastAsia="Book Antiqua"/>
          <w:bCs/>
          <w:sz w:val="22"/>
          <w:szCs w:val="22"/>
        </w:rPr>
        <w:t>Prescott</w:t>
      </w:r>
      <w:r w:rsidRPr="00133959">
        <w:rPr>
          <w:rFonts w:eastAsia="Book Antiqua"/>
          <w:iCs/>
          <w:sz w:val="22"/>
          <w:szCs w:val="22"/>
          <w:lang w:bidi="en-US"/>
        </w:rPr>
        <w:t xml:space="preserve"> (2026)</w:t>
      </w:r>
    </w:p>
    <w:p w14:paraId="489948D6" w14:textId="77777777" w:rsidR="002F227C" w:rsidRPr="00133959" w:rsidRDefault="002F227C" w:rsidP="00133959">
      <w:pPr>
        <w:spacing w:line="480" w:lineRule="auto"/>
        <w:ind w:firstLine="709"/>
        <w:jc w:val="both"/>
        <w:rPr>
          <w:rFonts w:eastAsia="Book Antiqua"/>
          <w:bCs/>
          <w:sz w:val="22"/>
          <w:szCs w:val="22"/>
        </w:rPr>
      </w:pPr>
    </w:p>
    <w:p w14:paraId="3B8C20D8" w14:textId="77777777" w:rsidR="002F227C" w:rsidRPr="00133959" w:rsidRDefault="00000000" w:rsidP="00133959">
      <w:pPr>
        <w:spacing w:line="480" w:lineRule="auto"/>
        <w:ind w:firstLine="709"/>
        <w:jc w:val="both"/>
        <w:rPr>
          <w:rFonts w:eastAsia="Book Antiqua"/>
          <w:bCs/>
          <w:sz w:val="22"/>
          <w:szCs w:val="22"/>
        </w:rPr>
      </w:pPr>
      <w:r w:rsidRPr="00133959">
        <w:rPr>
          <w:rFonts w:eastAsia="Book Antiqua"/>
          <w:sz w:val="22"/>
          <w:szCs w:val="22"/>
          <w:lang w:bidi="en-US"/>
        </w:rPr>
        <w:t>The data in the figure demonstrate that the reliability of digital evidence is a complex procedural concept that is the result of a combination of legality, continuity, integrity, authenticity and guarantees of contradiction established by law and confirmed in practice. In addition to visually validating the doctrine that courts are required to assess the reliability of digital evidence through a multifaceted and balanced assessment, rather than just evaluating individual technological factors, the radar diagram demonstrates a practical approach to evaluating abstract evidentiary principles. In fact, it serves as a conceptual intermediary between abstract doctrines and their practical application. Given the above, the diagram is a useful tool for doctrinal analysis in legal science.</w:t>
      </w:r>
    </w:p>
    <w:bookmarkEnd w:id="3"/>
    <w:p w14:paraId="09D4D5EA" w14:textId="77777777" w:rsidR="002F227C" w:rsidRPr="00133959" w:rsidRDefault="002F227C" w:rsidP="00133959">
      <w:pPr>
        <w:spacing w:line="480" w:lineRule="auto"/>
        <w:ind w:firstLine="709"/>
        <w:jc w:val="both"/>
        <w:rPr>
          <w:rFonts w:eastAsia="Book Antiqua"/>
          <w:bCs/>
          <w:sz w:val="22"/>
          <w:szCs w:val="22"/>
        </w:rPr>
      </w:pPr>
    </w:p>
    <w:p w14:paraId="451F2482" w14:textId="4D1EED05" w:rsidR="002F227C" w:rsidRPr="00133959" w:rsidRDefault="00A37BCF" w:rsidP="005A5EA1">
      <w:pPr>
        <w:spacing w:line="480" w:lineRule="auto"/>
        <w:jc w:val="both"/>
        <w:rPr>
          <w:rFonts w:eastAsia="Book Antiqua"/>
          <w:b/>
          <w:sz w:val="22"/>
          <w:szCs w:val="22"/>
          <w:lang w:bidi="en-US"/>
        </w:rPr>
      </w:pPr>
      <w:r w:rsidRPr="00133959">
        <w:rPr>
          <w:rFonts w:eastAsia="Book Antiqua"/>
          <w:b/>
          <w:sz w:val="22"/>
          <w:szCs w:val="22"/>
          <w:lang w:bidi="en-US"/>
        </w:rPr>
        <w:t>Discussion</w:t>
      </w:r>
    </w:p>
    <w:p w14:paraId="56C87966" w14:textId="77777777" w:rsidR="002F227C" w:rsidRPr="00133959" w:rsidRDefault="00000000" w:rsidP="00133959">
      <w:pPr>
        <w:spacing w:line="480" w:lineRule="auto"/>
        <w:ind w:firstLine="709"/>
        <w:jc w:val="both"/>
        <w:rPr>
          <w:sz w:val="22"/>
          <w:szCs w:val="22"/>
        </w:rPr>
      </w:pPr>
      <w:r w:rsidRPr="00133959">
        <w:rPr>
          <w:sz w:val="22"/>
          <w:szCs w:val="22"/>
        </w:rPr>
        <w:t xml:space="preserve">The study corroborates the central hypothesis: the reliability of digital evidence in the pre-trial process is determined by the interplay between technological data processing and strict </w:t>
      </w:r>
      <w:r w:rsidRPr="00133959">
        <w:rPr>
          <w:rFonts w:eastAsia="Book Antiqua"/>
          <w:sz w:val="22"/>
          <w:szCs w:val="22"/>
          <w:lang w:bidi="en-US"/>
        </w:rPr>
        <w:t>compliance with</w:t>
      </w:r>
      <w:r w:rsidRPr="00133959">
        <w:rPr>
          <w:sz w:val="22"/>
          <w:szCs w:val="22"/>
        </w:rPr>
        <w:t xml:space="preserve"> legal investigative procedures. Reliability is not an inherent property of the evidence itself. Digital evidence is considered legally reliable only when its origin, integrity, contextual relevance and </w:t>
      </w:r>
      <w:r w:rsidRPr="00133959">
        <w:rPr>
          <w:sz w:val="22"/>
          <w:szCs w:val="22"/>
        </w:rPr>
        <w:lastRenderedPageBreak/>
        <w:t>documented procedural history within an accountable framework are established. In the absence of compliance with all forensic criteria for reliability, digital evidence loses its evidentiary value in court.</w:t>
      </w:r>
    </w:p>
    <w:p w14:paraId="63E626A7" w14:textId="77777777" w:rsidR="002F227C" w:rsidRPr="00133959" w:rsidRDefault="00000000" w:rsidP="00133959">
      <w:pPr>
        <w:spacing w:line="480" w:lineRule="auto"/>
        <w:ind w:firstLine="709"/>
        <w:jc w:val="both"/>
        <w:rPr>
          <w:sz w:val="22"/>
          <w:szCs w:val="22"/>
        </w:rPr>
      </w:pPr>
      <w:r w:rsidRPr="00133959">
        <w:rPr>
          <w:sz w:val="22"/>
          <w:szCs w:val="22"/>
        </w:rPr>
        <w:t>The results are partially consistent with existing empirical research but significantly expand the legal and theoretical foundation. For example, Miller (2022) emphasizes the growing role of digital evidence and the variability in qualifications among investigators and prosecutors. This study builds on Miller’s analysis by proposing normatively robust standards that function independently of individual competence and address systemic vulnerabilities in pre-trial investigations. Next, Angel et al. (2024) conceptualize digital evidence as a valid form of proof and focus on its procedural recognition in court. However, their analysis is largely limited to trial-stage admissibility. In contrast, this study shifts the focus to the pre-trial phase, demonstrating that reliability is established before trial through investigators’ decisions regarding the storage, documentation and interpretation of digital data.</w:t>
      </w:r>
    </w:p>
    <w:p w14:paraId="0F65C464" w14:textId="10C3A944" w:rsidR="002F227C" w:rsidRPr="00133959" w:rsidRDefault="00000000" w:rsidP="00133959">
      <w:pPr>
        <w:spacing w:line="480" w:lineRule="auto"/>
        <w:ind w:firstLine="709"/>
        <w:jc w:val="both"/>
        <w:rPr>
          <w:sz w:val="22"/>
          <w:szCs w:val="22"/>
        </w:rPr>
      </w:pPr>
      <w:r w:rsidRPr="00133959">
        <w:rPr>
          <w:sz w:val="22"/>
          <w:szCs w:val="22"/>
        </w:rPr>
        <w:t xml:space="preserve">The study also extends Stoykova’s (2024) concept of the </w:t>
      </w:r>
      <w:r w:rsidR="00615635" w:rsidRPr="00133959">
        <w:rPr>
          <w:sz w:val="22"/>
          <w:szCs w:val="22"/>
        </w:rPr>
        <w:t>“</w:t>
      </w:r>
      <w:r w:rsidRPr="00133959">
        <w:rPr>
          <w:sz w:val="22"/>
          <w:szCs w:val="22"/>
        </w:rPr>
        <w:t>right to procedural precision</w:t>
      </w:r>
      <w:r w:rsidR="00615635" w:rsidRPr="00133959">
        <w:rPr>
          <w:sz w:val="22"/>
          <w:szCs w:val="22"/>
        </w:rPr>
        <w:t>”</w:t>
      </w:r>
      <w:r w:rsidRPr="00133959">
        <w:rPr>
          <w:sz w:val="22"/>
          <w:szCs w:val="22"/>
        </w:rPr>
        <w:t xml:space="preserve">. While the researcher develops a managerial model of procedural guarantees, the present study operationalizes this concept through specific forensic standards applied in investigative practice. Procedural accuracy is treated as an objectively evaluable standard rather than an abstract notion. Finally, the results challenge technology-centric perspectives. For example, </w:t>
      </w:r>
      <w:r w:rsidR="00EA3227" w:rsidRPr="00133959">
        <w:rPr>
          <w:rFonts w:eastAsia="Book Antiqua"/>
          <w:bCs/>
          <w:sz w:val="22"/>
          <w:szCs w:val="22"/>
        </w:rPr>
        <w:t>Dufeniuk</w:t>
      </w:r>
      <w:r w:rsidR="00EA3227" w:rsidRPr="00133959">
        <w:rPr>
          <w:sz w:val="22"/>
          <w:szCs w:val="22"/>
        </w:rPr>
        <w:t xml:space="preserve"> </w:t>
      </w:r>
      <w:r w:rsidRPr="00133959">
        <w:rPr>
          <w:sz w:val="22"/>
          <w:szCs w:val="22"/>
        </w:rPr>
        <w:t xml:space="preserve">et al. (2024) argue that 3D technologies improve the quality of evidence compared with traditional methods. This study demonstrates that high-quality digital evidence does not, in itself, ensure legal reliability. The distinction arises from differing research emphases: Obviously, </w:t>
      </w:r>
      <w:r w:rsidR="00EA3227" w:rsidRPr="00133959">
        <w:rPr>
          <w:rFonts w:eastAsia="Book Antiqua"/>
          <w:bCs/>
          <w:sz w:val="22"/>
          <w:szCs w:val="22"/>
        </w:rPr>
        <w:t>Dufeniuk</w:t>
      </w:r>
      <w:r w:rsidR="00EA3227" w:rsidRPr="00133959">
        <w:rPr>
          <w:sz w:val="22"/>
          <w:szCs w:val="22"/>
        </w:rPr>
        <w:t xml:space="preserve"> </w:t>
      </w:r>
      <w:r w:rsidRPr="00133959">
        <w:rPr>
          <w:sz w:val="22"/>
          <w:szCs w:val="22"/>
        </w:rPr>
        <w:t>et al. focus on technical capabilities, whereas the present study emphasizes procedural errors, misinterpretation and risks of data contamination as decisive factors for legal reliability.</w:t>
      </w:r>
    </w:p>
    <w:p w14:paraId="4E2BDD22" w14:textId="77777777" w:rsidR="002F227C" w:rsidRPr="00133959" w:rsidRDefault="00000000" w:rsidP="00133959">
      <w:pPr>
        <w:spacing w:line="480" w:lineRule="auto"/>
        <w:ind w:firstLine="709"/>
        <w:jc w:val="both"/>
        <w:rPr>
          <w:sz w:val="22"/>
          <w:szCs w:val="22"/>
        </w:rPr>
      </w:pPr>
      <w:r w:rsidRPr="00133959">
        <w:rPr>
          <w:sz w:val="22"/>
          <w:szCs w:val="22"/>
        </w:rPr>
        <w:t xml:space="preserve">Gruber et al. (2023) demonstrated that even minor procedural errors can irreparably damage the chain of evidence. This study confirms that finding, emphasizing that contamination of digital evidence should not be seen only as a technical risk but as a violation of due process that undermines the presumption of credibility. These results </w:t>
      </w:r>
      <w:r w:rsidRPr="00133959">
        <w:rPr>
          <w:rFonts w:eastAsia="Book Antiqua"/>
          <w:sz w:val="22"/>
          <w:szCs w:val="22"/>
          <w:lang w:bidi="en-US"/>
        </w:rPr>
        <w:t>are consistent w</w:t>
      </w:r>
      <w:r w:rsidRPr="00133959">
        <w:rPr>
          <w:sz w:val="22"/>
          <w:szCs w:val="22"/>
        </w:rPr>
        <w:t>ith the conclusions made by Casino et al. (2022) regarding the fragmentation and legal asymmetry in cross-border investigations. The forensic criteria proposed in this study provide neutral reliability across jurisdictions by prioritizing procedural transparency and traceability.</w:t>
      </w:r>
    </w:p>
    <w:p w14:paraId="03CF5306" w14:textId="77777777" w:rsidR="002F227C" w:rsidRPr="00133959" w:rsidRDefault="00000000" w:rsidP="00133959">
      <w:pPr>
        <w:spacing w:line="480" w:lineRule="auto"/>
        <w:ind w:firstLine="709"/>
        <w:jc w:val="both"/>
        <w:rPr>
          <w:sz w:val="22"/>
          <w:szCs w:val="22"/>
        </w:rPr>
      </w:pPr>
      <w:r w:rsidRPr="00133959">
        <w:rPr>
          <w:sz w:val="22"/>
          <w:szCs w:val="22"/>
        </w:rPr>
        <w:lastRenderedPageBreak/>
        <w:t xml:space="preserve">While blockchain technologies, reviewed by Loffi et al. (2025), have been suggested as potential tools for preserving evidence integrity, they cannot replace the legal responsibility of investigators. Such technologies fail to address issues such as unlawful seizure, excessive collection or violations of the right to defense. Wilson-Kovacs et al. (2023) highlight the unequal access to forensic expertise available to defense counsel. This study </w:t>
      </w:r>
      <w:r w:rsidRPr="00133959">
        <w:rPr>
          <w:rFonts w:eastAsia="Book Antiqua"/>
          <w:sz w:val="22"/>
          <w:szCs w:val="22"/>
          <w:lang w:bidi="en-US"/>
        </w:rPr>
        <w:t xml:space="preserve">elaborates on </w:t>
      </w:r>
      <w:r w:rsidRPr="00133959">
        <w:rPr>
          <w:sz w:val="22"/>
          <w:szCs w:val="22"/>
        </w:rPr>
        <w:t xml:space="preserve">that argument by demonstrating that well-defined criteria for the reliability of forensic assessments contribute to procedural fairness, enabling challenges to digital evidence on a legal basis, not merely a technical one. Additionally, Al-Billeh et al. (2024) confirm that unreliable digital evidence poses significant risks to human rights, particularly in cases involving crimes against humanity. The proposed criteria aim to ensure the accuracy of evidence and protect individual rights, reducing the risk of digital footprints influencing proceedings without </w:t>
      </w:r>
      <w:r w:rsidRPr="00133959">
        <w:rPr>
          <w:rFonts w:eastAsia="Book Antiqua"/>
          <w:sz w:val="22"/>
          <w:szCs w:val="22"/>
          <w:lang w:bidi="en-US"/>
        </w:rPr>
        <w:t>due diligence.</w:t>
      </w:r>
    </w:p>
    <w:p w14:paraId="43B0AF59" w14:textId="77777777" w:rsidR="002F227C" w:rsidRPr="00133959" w:rsidRDefault="00000000" w:rsidP="00133959">
      <w:pPr>
        <w:spacing w:line="480" w:lineRule="auto"/>
        <w:ind w:firstLine="709"/>
        <w:jc w:val="both"/>
        <w:rPr>
          <w:sz w:val="22"/>
          <w:szCs w:val="22"/>
        </w:rPr>
      </w:pPr>
      <w:r w:rsidRPr="00133959">
        <w:rPr>
          <w:sz w:val="22"/>
          <w:szCs w:val="22"/>
        </w:rPr>
        <w:t xml:space="preserve">The overriding theoretical contribution of this study lies in the development of a </w:t>
      </w:r>
      <w:r w:rsidRPr="00133959">
        <w:rPr>
          <w:rStyle w:val="Strong"/>
          <w:b w:val="0"/>
          <w:bCs w:val="0"/>
          <w:sz w:val="22"/>
          <w:szCs w:val="22"/>
        </w:rPr>
        <w:t>legal-forensic concept of the reliability of digital evidence</w:t>
      </w:r>
      <w:r w:rsidRPr="00133959">
        <w:rPr>
          <w:sz w:val="22"/>
          <w:szCs w:val="22"/>
        </w:rPr>
        <w:t>, distinct from its technical counterpart. By defining reliability as an independent legal-forensic category, this study establishes a doctrinal model grounded in the principles of legality, procedural consistency as well as contextual verifiability. From the practical perspective, the proposed criteria will serve as a guide for investigators, prosecutors and defense attorneys. Furthermore, they will also provide legislators with a foundation for creating legal standards for evaluating digital evidence.</w:t>
      </w:r>
    </w:p>
    <w:p w14:paraId="6C43BC93" w14:textId="77777777" w:rsidR="002F227C" w:rsidRPr="00133959" w:rsidRDefault="002F227C" w:rsidP="00133959">
      <w:pPr>
        <w:spacing w:line="480" w:lineRule="auto"/>
        <w:ind w:firstLine="709"/>
        <w:jc w:val="both"/>
        <w:rPr>
          <w:rFonts w:eastAsia="Book Antiqua"/>
          <w:sz w:val="22"/>
          <w:szCs w:val="22"/>
          <w:lang w:bidi="en-US"/>
        </w:rPr>
      </w:pPr>
    </w:p>
    <w:p w14:paraId="6FBFE031" w14:textId="2B580E52" w:rsidR="002F227C" w:rsidRPr="00133959" w:rsidRDefault="00A37BCF" w:rsidP="005A5EA1">
      <w:pPr>
        <w:tabs>
          <w:tab w:val="left" w:pos="567"/>
        </w:tabs>
        <w:spacing w:line="480" w:lineRule="auto"/>
        <w:jc w:val="both"/>
        <w:rPr>
          <w:b/>
          <w:bCs/>
          <w:i/>
          <w:iCs/>
          <w:sz w:val="22"/>
          <w:szCs w:val="22"/>
        </w:rPr>
      </w:pPr>
      <w:r w:rsidRPr="00133959">
        <w:rPr>
          <w:rFonts w:eastAsia="Verdana"/>
          <w:b/>
          <w:i/>
          <w:iCs/>
          <w:sz w:val="22"/>
          <w:szCs w:val="22"/>
          <w:lang w:bidi="en-US"/>
        </w:rPr>
        <w:t>Limitations</w:t>
      </w:r>
    </w:p>
    <w:p w14:paraId="2F08996F" w14:textId="77777777" w:rsidR="002F227C" w:rsidRPr="00133959" w:rsidRDefault="00000000" w:rsidP="00133959">
      <w:pPr>
        <w:tabs>
          <w:tab w:val="left" w:pos="567"/>
        </w:tabs>
        <w:spacing w:line="480" w:lineRule="auto"/>
        <w:ind w:firstLine="709"/>
        <w:jc w:val="both"/>
        <w:rPr>
          <w:sz w:val="22"/>
          <w:szCs w:val="22"/>
        </w:rPr>
      </w:pPr>
      <w:r w:rsidRPr="00133959">
        <w:rPr>
          <w:sz w:val="22"/>
          <w:szCs w:val="22"/>
        </w:rPr>
        <w:t xml:space="preserve">The proposed forensic criteria for assessing the reliability of digital evidence at the pre-trial stage of criminal proceedings possess significant conceptual and practical value. Nevertheless, several important limitations should be taken into consideration. </w:t>
      </w:r>
    </w:p>
    <w:p w14:paraId="77F304DF" w14:textId="77777777" w:rsidR="002F227C" w:rsidRPr="00133959" w:rsidRDefault="00000000" w:rsidP="00133959">
      <w:pPr>
        <w:pStyle w:val="NormalWeb"/>
        <w:spacing w:before="0" w:beforeAutospacing="0" w:after="0" w:afterAutospacing="0" w:line="480" w:lineRule="auto"/>
        <w:ind w:firstLine="709"/>
        <w:jc w:val="both"/>
        <w:rPr>
          <w:sz w:val="22"/>
          <w:szCs w:val="22"/>
        </w:rPr>
      </w:pPr>
      <w:r w:rsidRPr="00133959">
        <w:rPr>
          <w:sz w:val="22"/>
          <w:szCs w:val="22"/>
        </w:rPr>
        <w:t xml:space="preserve">First, the study is grounded primarily in normative and doctrinal legal analysis, complemented by the examination of selected forensic practices. While normative analysis provides a coherent framework for defining legal standards and evidentiary principles, the practical component does not fully capture the diversity of operational challenges encountered by investigative authorities across different jurisdictions. Variations in institutional capacity, technological infrastructure and procedural </w:t>
      </w:r>
      <w:r w:rsidRPr="00133959">
        <w:rPr>
          <w:sz w:val="22"/>
          <w:szCs w:val="22"/>
        </w:rPr>
        <w:lastRenderedPageBreak/>
        <w:t>traditions may influence the ways in which digital evidence is collected, preserved and evaluated. These contextual differences limit the universal applicability of the proposed criteria. Second, the research focuses exclusively on the pre-trial stage of criminal proceedings, where evidentiary assessment is preliminary and often conducted under conditions of urgency, incomplete information and evolving investigative hypotheses. Consequently, the reliability criteria advanced in this article may be interpreted or applied differently during judicial review, particularly in light of adversarial objections and competing expert opinions. Third, the study does not fully account for the rapid pace of technological development. Emerging forms of digital evidence generated by artificial intelligence systems, decentralized platforms, encrypted networks as well as anonymized communication technologies present new challenges that may not be entirely addressed by the proposed framework. The speed of technological innovation may exceed the adaptability of relatively stable legal criteria, thereby potentially limiting their long-term applicability. Fourth, the article intentionally refrains from detailed analysis of jurisdiction-specific rules of evidence, such as admissibility standards, exclusionary doctrines or national standards of proof. On the one hand, this approach enhances the conceptual generality of the study, while on the other hand it reduces the potential for the findings to be directly implemented in particular national legal systems without contextual adaptation.</w:t>
      </w:r>
    </w:p>
    <w:p w14:paraId="410EDF24" w14:textId="77777777" w:rsidR="002F227C" w:rsidRPr="00133959" w:rsidRDefault="00000000" w:rsidP="00133959">
      <w:pPr>
        <w:pStyle w:val="NormalWeb"/>
        <w:spacing w:before="0" w:beforeAutospacing="0" w:after="0" w:afterAutospacing="0" w:line="480" w:lineRule="auto"/>
        <w:ind w:firstLine="709"/>
        <w:jc w:val="both"/>
        <w:rPr>
          <w:sz w:val="22"/>
          <w:szCs w:val="22"/>
        </w:rPr>
      </w:pPr>
      <w:r w:rsidRPr="00133959">
        <w:rPr>
          <w:sz w:val="22"/>
          <w:szCs w:val="22"/>
        </w:rPr>
        <w:t>Finally, ethical and human rights considerations, particularly those relating to privacy, data protection, proportionality, are addressed primarily through general legal principles rather than through an in-depth examination of concrete case studies. In view of the above, the study does not fully explore how investigative effectiveness and the protection of fundamental rights are balanced in specific procedural contexts.</w:t>
      </w:r>
    </w:p>
    <w:p w14:paraId="729332EE" w14:textId="77777777" w:rsidR="002F227C" w:rsidRPr="00133959" w:rsidRDefault="002F227C" w:rsidP="00133959">
      <w:pPr>
        <w:tabs>
          <w:tab w:val="left" w:pos="567"/>
        </w:tabs>
        <w:spacing w:line="480" w:lineRule="auto"/>
        <w:ind w:firstLine="709"/>
        <w:jc w:val="both"/>
        <w:rPr>
          <w:sz w:val="22"/>
          <w:szCs w:val="22"/>
        </w:rPr>
      </w:pPr>
    </w:p>
    <w:p w14:paraId="1415BFE9" w14:textId="2B5EE23F" w:rsidR="002F227C" w:rsidRPr="00133959" w:rsidRDefault="00A37BCF" w:rsidP="005A5EA1">
      <w:pPr>
        <w:tabs>
          <w:tab w:val="left" w:pos="567"/>
        </w:tabs>
        <w:spacing w:line="480" w:lineRule="auto"/>
        <w:jc w:val="both"/>
        <w:rPr>
          <w:rFonts w:eastAsia="Verdana"/>
          <w:b/>
          <w:i/>
          <w:iCs/>
          <w:sz w:val="22"/>
          <w:szCs w:val="22"/>
          <w:lang w:bidi="en-US"/>
        </w:rPr>
      </w:pPr>
      <w:r w:rsidRPr="00133959">
        <w:rPr>
          <w:rFonts w:eastAsia="Verdana"/>
          <w:b/>
          <w:i/>
          <w:iCs/>
          <w:sz w:val="22"/>
          <w:szCs w:val="22"/>
          <w:lang w:bidi="en-US"/>
        </w:rPr>
        <w:t>Recommendations</w:t>
      </w:r>
    </w:p>
    <w:p w14:paraId="6A6AEE8D" w14:textId="790D0B72" w:rsidR="00981586" w:rsidRPr="00133959" w:rsidRDefault="00000000" w:rsidP="00133959">
      <w:pPr>
        <w:tabs>
          <w:tab w:val="left" w:pos="567"/>
        </w:tabs>
        <w:spacing w:line="480" w:lineRule="auto"/>
        <w:ind w:firstLine="709"/>
        <w:jc w:val="both"/>
        <w:rPr>
          <w:sz w:val="22"/>
          <w:szCs w:val="22"/>
        </w:rPr>
      </w:pPr>
      <w:r w:rsidRPr="00133959">
        <w:rPr>
          <w:sz w:val="22"/>
          <w:szCs w:val="22"/>
        </w:rPr>
        <w:t>The identified limitations of this study provide a foundation for several recommendations addressed to legal scholarship, investigative practice and regulatory development</w:t>
      </w:r>
      <w:r w:rsidR="00A37BCF" w:rsidRPr="00133959">
        <w:rPr>
          <w:sz w:val="22"/>
          <w:szCs w:val="22"/>
        </w:rPr>
        <w:t>.</w:t>
      </w:r>
    </w:p>
    <w:p w14:paraId="1958FF2B" w14:textId="047D1A51" w:rsidR="00981586"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First</w:t>
      </w:r>
      <w:r w:rsidRPr="00133959">
        <w:rPr>
          <w:sz w:val="22"/>
          <w:szCs w:val="22"/>
        </w:rPr>
        <w:t xml:space="preserve">, future research should prioritize comparative legal analyses examining how different criminal justice systems implement reliability criteria for digital evidence at the pre-trial stage. Such </w:t>
      </w:r>
      <w:r w:rsidRPr="00133959">
        <w:rPr>
          <w:sz w:val="22"/>
          <w:szCs w:val="22"/>
        </w:rPr>
        <w:lastRenderedPageBreak/>
        <w:t xml:space="preserve">studies would strengthen the normative robustness of the proposed framework and facilitate its adaptation to both inquisitorial and adversarial procedural models. </w:t>
      </w:r>
    </w:p>
    <w:p w14:paraId="2701DD99" w14:textId="4E673951" w:rsidR="00981586"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Second</w:t>
      </w:r>
      <w:r w:rsidRPr="00133959">
        <w:rPr>
          <w:sz w:val="22"/>
          <w:szCs w:val="22"/>
        </w:rPr>
        <w:t xml:space="preserve">, legislators and regulatory authorities should formulate clear legal standards governing the reliability of digital evidence. In particular, it is essential to distinguish between technical integrity, procedural legality and overall legal reliability. Establishing this differentiation would reduce discretionary inconsistencies at the pre-trial stage and enhance judicial oversight of digital forensic methods used in criminal investigations. </w:t>
      </w:r>
    </w:p>
    <w:p w14:paraId="26FE76AC" w14:textId="690EB27D" w:rsidR="00981586"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Third</w:t>
      </w:r>
      <w:r w:rsidRPr="00133959">
        <w:rPr>
          <w:sz w:val="22"/>
          <w:szCs w:val="22"/>
        </w:rPr>
        <w:t>, investigative authorities should implement standardized procedures for documenting every stage of digital evidence including identification, acquisition, preservation, analysis and transfer. Each stage should be legally documented and verifiable. Emphasis should be placed on traceability and institutional accountability rather than relying exclusively on technical tools or automated systems.</w:t>
      </w:r>
    </w:p>
    <w:p w14:paraId="35157281" w14:textId="73E24BFC" w:rsidR="00981586"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Fourth</w:t>
      </w:r>
      <w:r w:rsidRPr="00133959">
        <w:rPr>
          <w:sz w:val="22"/>
          <w:szCs w:val="22"/>
        </w:rPr>
        <w:t>, interdisciplinary education and professional training programs should be expanded. Enhancing the legal literacy of digital forensic specialists and the technical competence of legal practitioners is essential to prevent reliability assessments from being confined to purely technical criteria and to ensure their proper integration into the broader legal evaluation of evidence admissibility.</w:t>
      </w:r>
    </w:p>
    <w:p w14:paraId="4A71284F" w14:textId="4B89F5F0" w:rsidR="00981586"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Fifth</w:t>
      </w:r>
      <w:r w:rsidRPr="00133959">
        <w:rPr>
          <w:sz w:val="22"/>
          <w:szCs w:val="22"/>
        </w:rPr>
        <w:t>, the reliability criteria proposed in this study should be periodically reviewed and refined through soft-law instruments such as prosecutorial guidelines or judicial recommendations. This approach would allow for adaptive responses to technological developments, while preserving legal certainty and doctrinal coherence.</w:t>
      </w:r>
    </w:p>
    <w:p w14:paraId="21701368" w14:textId="06ACC78A" w:rsidR="002F227C" w:rsidRPr="00133959" w:rsidRDefault="00000000" w:rsidP="00133959">
      <w:pPr>
        <w:pStyle w:val="ListParagraph"/>
        <w:numPr>
          <w:ilvl w:val="0"/>
          <w:numId w:val="2"/>
        </w:numPr>
        <w:tabs>
          <w:tab w:val="left" w:pos="993"/>
        </w:tabs>
        <w:spacing w:line="480" w:lineRule="auto"/>
        <w:ind w:left="0" w:firstLine="709"/>
        <w:jc w:val="both"/>
        <w:rPr>
          <w:sz w:val="22"/>
          <w:szCs w:val="22"/>
        </w:rPr>
      </w:pPr>
      <w:r w:rsidRPr="00133959">
        <w:rPr>
          <w:rStyle w:val="Strong"/>
          <w:b w:val="0"/>
          <w:bCs w:val="0"/>
          <w:sz w:val="22"/>
          <w:szCs w:val="22"/>
        </w:rPr>
        <w:t>Finally</w:t>
      </w:r>
      <w:r w:rsidRPr="00133959">
        <w:rPr>
          <w:sz w:val="22"/>
          <w:szCs w:val="22"/>
        </w:rPr>
        <w:t>, greater emphasis should be given to integrating fundamental rights into assessing digital evidence reliability at the pre-trial stage. Reliability must be evaluated not only in terms of technical accuracy but also in light of such principles as legality, necessity and proportionality. Such an approach strengthens both the procedural legitimacy and the human rights compatibility of digital evidence within the criminal justice system.</w:t>
      </w:r>
    </w:p>
    <w:p w14:paraId="63A53460" w14:textId="77777777" w:rsidR="002F227C" w:rsidRPr="00133959" w:rsidRDefault="002F227C" w:rsidP="00133959">
      <w:pPr>
        <w:tabs>
          <w:tab w:val="left" w:pos="567"/>
        </w:tabs>
        <w:spacing w:line="480" w:lineRule="auto"/>
        <w:ind w:firstLine="709"/>
        <w:jc w:val="both"/>
        <w:rPr>
          <w:sz w:val="22"/>
          <w:szCs w:val="22"/>
        </w:rPr>
      </w:pPr>
    </w:p>
    <w:p w14:paraId="53D73E89" w14:textId="76C00449" w:rsidR="002F227C" w:rsidRPr="00133959" w:rsidRDefault="00A37BCF" w:rsidP="005A5EA1">
      <w:pPr>
        <w:spacing w:line="480" w:lineRule="auto"/>
        <w:jc w:val="both"/>
        <w:rPr>
          <w:b/>
          <w:sz w:val="22"/>
          <w:szCs w:val="22"/>
        </w:rPr>
      </w:pPr>
      <w:r w:rsidRPr="00133959">
        <w:rPr>
          <w:rFonts w:eastAsia="Verdana"/>
          <w:b/>
          <w:sz w:val="22"/>
          <w:szCs w:val="22"/>
          <w:lang w:bidi="en-US"/>
        </w:rPr>
        <w:t>Conclusions</w:t>
      </w:r>
    </w:p>
    <w:p w14:paraId="0386EAAF" w14:textId="77777777" w:rsidR="002F227C" w:rsidRPr="00133959" w:rsidRDefault="00000000" w:rsidP="00133959">
      <w:pPr>
        <w:pStyle w:val="NormalWeb"/>
        <w:spacing w:before="0" w:beforeAutospacing="0" w:after="0" w:afterAutospacing="0" w:line="480" w:lineRule="auto"/>
        <w:ind w:firstLine="709"/>
        <w:jc w:val="both"/>
        <w:rPr>
          <w:sz w:val="22"/>
          <w:szCs w:val="22"/>
        </w:rPr>
      </w:pPr>
      <w:r w:rsidRPr="00133959">
        <w:rPr>
          <w:sz w:val="22"/>
          <w:szCs w:val="22"/>
        </w:rPr>
        <w:t xml:space="preserve">Although digital technologies have rapidly transformed pre-trial investigative practices, digital evidence has now become a central component of criminal proceedings. Nevertheless, legal challenges </w:t>
      </w:r>
      <w:r w:rsidRPr="00133959">
        <w:rPr>
          <w:sz w:val="22"/>
          <w:szCs w:val="22"/>
        </w:rPr>
        <w:lastRenderedPageBreak/>
        <w:t>concerning its reliability are increasing. This study contributes to the development of legally grounded forensic criteria, as distinct from purely technical or statistical standards. The said criteria are designed to support legitimate pre-trial procedural decision-making prior to judicial review.</w:t>
      </w:r>
    </w:p>
    <w:p w14:paraId="69E5F80A" w14:textId="77777777" w:rsidR="002F227C" w:rsidRPr="00133959" w:rsidRDefault="00000000" w:rsidP="00133959">
      <w:pPr>
        <w:pStyle w:val="NormalWeb"/>
        <w:spacing w:before="0" w:beforeAutospacing="0" w:after="0" w:afterAutospacing="0" w:line="480" w:lineRule="auto"/>
        <w:ind w:firstLine="709"/>
        <w:jc w:val="both"/>
        <w:rPr>
          <w:sz w:val="22"/>
          <w:szCs w:val="22"/>
        </w:rPr>
      </w:pPr>
      <w:r w:rsidRPr="00133959">
        <w:rPr>
          <w:sz w:val="22"/>
          <w:szCs w:val="22"/>
        </w:rPr>
        <w:t>Drawing on procedural reconstruction, life-cycle analysis and adversarial stress testing, several key findings are proposed. First, the reliability of digital evidence is not a static technical attribute but a dynamic legal status shaped through a sequence of legitimate, documented, and verifiable procedural actions. Second, the findings demonstrate that the most significant legal risks arise not at the moment of data acquisition, but during subsequent stages of preservation, transfer and evaluation during the evidence life cycle.</w:t>
      </w:r>
    </w:p>
    <w:p w14:paraId="366987E0" w14:textId="77777777" w:rsidR="002F227C" w:rsidRPr="00133959" w:rsidRDefault="00000000" w:rsidP="00133959">
      <w:pPr>
        <w:pStyle w:val="NormalWeb"/>
        <w:spacing w:before="0" w:beforeAutospacing="0" w:after="0" w:afterAutospacing="0" w:line="480" w:lineRule="auto"/>
        <w:ind w:firstLine="709"/>
        <w:jc w:val="both"/>
        <w:rPr>
          <w:sz w:val="22"/>
          <w:szCs w:val="22"/>
        </w:rPr>
      </w:pPr>
      <w:r w:rsidRPr="00133959">
        <w:rPr>
          <w:sz w:val="22"/>
          <w:szCs w:val="22"/>
        </w:rPr>
        <w:t>The conclusions carry important practical implications. The proposed framework provides investigators, prosecutors, defense counsel and judges with a structured legal model for assessing digital evidence at the pre-trial stage. The criteria assist in admissibility determinations, help to identify procedural deficiencies, promote transparency and institutional accountability in the handling of digital evidence. Importantly, the model is adaptable to different procedural systems and technological environments while showing respect for fundamental rights. Future research perspectives include the application of these criteria in comparative and international contexts, particularly in cross-border investigations and in cases involving emerging technologies such as cloud computing and AI-generated data. Further theoretical work is also necessary to deepen the integration of forensic-based reliability standards into the broader framework of criminal procedural law.</w:t>
      </w:r>
    </w:p>
    <w:p w14:paraId="098E79F7" w14:textId="77777777" w:rsidR="002F227C" w:rsidRPr="00133959" w:rsidRDefault="002F227C" w:rsidP="00133959">
      <w:pPr>
        <w:spacing w:line="480" w:lineRule="auto"/>
        <w:ind w:firstLine="709"/>
        <w:jc w:val="both"/>
        <w:rPr>
          <w:rFonts w:eastAsia="Verdana"/>
          <w:sz w:val="22"/>
          <w:szCs w:val="22"/>
          <w:lang w:bidi="en-US"/>
        </w:rPr>
      </w:pPr>
    </w:p>
    <w:p w14:paraId="53BFA797" w14:textId="084610D2" w:rsidR="002F227C" w:rsidRPr="00133959" w:rsidRDefault="00E665FB" w:rsidP="005A5EA1">
      <w:pPr>
        <w:spacing w:line="480" w:lineRule="auto"/>
        <w:jc w:val="both"/>
        <w:rPr>
          <w:rFonts w:eastAsia="Book Antiqua"/>
          <w:b/>
          <w:sz w:val="22"/>
          <w:szCs w:val="22"/>
        </w:rPr>
      </w:pPr>
      <w:bookmarkStart w:id="4" w:name="_heading=h.gjdgxs" w:colFirst="0" w:colLast="0"/>
      <w:bookmarkEnd w:id="4"/>
      <w:r w:rsidRPr="00133959">
        <w:rPr>
          <w:rFonts w:eastAsia="Book Antiqua"/>
          <w:b/>
          <w:sz w:val="22"/>
          <w:szCs w:val="22"/>
          <w:lang w:bidi="en-US"/>
        </w:rPr>
        <w:t>References</w:t>
      </w:r>
    </w:p>
    <w:p w14:paraId="14FD030E" w14:textId="41EFFB12"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Al-Billeh, T., Al-Hammouri, A., Khashashneh, T., Makhmari, M. A., &amp; Kalbani, H. A. (2024). Digital evidence in human rights violations and international criminal justice.</w:t>
      </w:r>
      <w:r w:rsidR="00C811A6" w:rsidRPr="005A5EA1">
        <w:rPr>
          <w:rFonts w:eastAsia="Book Antiqua"/>
          <w:bCs/>
          <w:sz w:val="22"/>
          <w:szCs w:val="22"/>
        </w:rPr>
        <w:t xml:space="preserve"> </w:t>
      </w:r>
      <w:r w:rsidRPr="005A5EA1">
        <w:rPr>
          <w:rFonts w:eastAsia="Book Antiqua"/>
          <w:bCs/>
          <w:i/>
          <w:iCs/>
          <w:sz w:val="22"/>
          <w:szCs w:val="22"/>
        </w:rPr>
        <w:t>Journal of Human Rights Culture and Legal System</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4</w:t>
      </w:r>
      <w:r w:rsidRPr="005A5EA1">
        <w:rPr>
          <w:rFonts w:eastAsia="Book Antiqua"/>
          <w:bCs/>
          <w:sz w:val="22"/>
          <w:szCs w:val="22"/>
        </w:rPr>
        <w:t>(3), 842–871.</w:t>
      </w:r>
      <w:r w:rsidR="00C811A6" w:rsidRPr="005A5EA1">
        <w:rPr>
          <w:rFonts w:eastAsia="Book Antiqua"/>
          <w:bCs/>
          <w:sz w:val="22"/>
          <w:szCs w:val="22"/>
        </w:rPr>
        <w:t xml:space="preserve"> </w:t>
      </w:r>
      <w:r w:rsidRPr="005A5EA1">
        <w:rPr>
          <w:rFonts w:eastAsia="Book Antiqua"/>
          <w:bCs/>
          <w:sz w:val="22"/>
          <w:szCs w:val="22"/>
        </w:rPr>
        <w:t xml:space="preserve">https://doi.org/10.53955/jhcls.v4i3.446 </w:t>
      </w:r>
    </w:p>
    <w:p w14:paraId="1AF108F7" w14:textId="1F3A9EF8"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Angel, O. E. M., Mercedes, C. F. Y. M., Elisa, Q. L. A., Joaquin, D. J., De Oliveira Diaz Deny Giovanna, C., &amp; Beatriz, G. Q. G. (2024). Digital evidence as a means of proof in criminal proceedings.</w:t>
      </w:r>
      <w:r w:rsidR="00C811A6" w:rsidRPr="005A5EA1">
        <w:rPr>
          <w:rFonts w:eastAsia="Book Antiqua"/>
          <w:bCs/>
          <w:sz w:val="22"/>
          <w:szCs w:val="22"/>
        </w:rPr>
        <w:t xml:space="preserve"> </w:t>
      </w:r>
      <w:r w:rsidRPr="005A5EA1">
        <w:rPr>
          <w:rFonts w:eastAsia="Book Antiqua"/>
          <w:bCs/>
          <w:i/>
          <w:iCs/>
          <w:sz w:val="22"/>
          <w:szCs w:val="22"/>
        </w:rPr>
        <w:t>Revista De Gestão Social E Ambiental</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18</w:t>
      </w:r>
      <w:r w:rsidRPr="005A5EA1">
        <w:rPr>
          <w:rFonts w:eastAsia="Book Antiqua"/>
          <w:bCs/>
          <w:sz w:val="22"/>
          <w:szCs w:val="22"/>
        </w:rPr>
        <w:t>(4), e04585.</w:t>
      </w:r>
      <w:r w:rsidR="00C811A6" w:rsidRPr="005A5EA1">
        <w:rPr>
          <w:rFonts w:eastAsia="Book Antiqua"/>
          <w:bCs/>
          <w:sz w:val="22"/>
          <w:szCs w:val="22"/>
        </w:rPr>
        <w:t xml:space="preserve"> </w:t>
      </w:r>
      <w:r w:rsidRPr="005A5EA1">
        <w:rPr>
          <w:rFonts w:eastAsia="Book Antiqua"/>
          <w:bCs/>
          <w:sz w:val="22"/>
          <w:szCs w:val="22"/>
        </w:rPr>
        <w:t xml:space="preserve">https://doi.org/10.24857/rgsa.v18n4-028 </w:t>
      </w:r>
    </w:p>
    <w:p w14:paraId="2BF1B71C" w14:textId="6BE236FA"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lastRenderedPageBreak/>
        <w:t>Bérubé, M., Beaulieu, L.-A., Allard, S., &amp; Denault, V. (2025).</w:t>
      </w:r>
      <w:r w:rsidR="00C811A6" w:rsidRPr="005A5EA1">
        <w:rPr>
          <w:rFonts w:eastAsia="Book Antiqua"/>
          <w:bCs/>
          <w:sz w:val="22"/>
          <w:szCs w:val="22"/>
        </w:rPr>
        <w:t xml:space="preserve"> </w:t>
      </w:r>
      <w:r w:rsidRPr="005A5EA1">
        <w:rPr>
          <w:rFonts w:eastAsia="Book Antiqua"/>
          <w:bCs/>
          <w:sz w:val="22"/>
          <w:szCs w:val="22"/>
        </w:rPr>
        <w:t>From digital trace to evidence: Challenges and insights from a trial case study.</w:t>
      </w:r>
      <w:r w:rsidR="00C811A6" w:rsidRPr="005A5EA1">
        <w:rPr>
          <w:rFonts w:eastAsia="Book Antiqua"/>
          <w:bCs/>
          <w:sz w:val="22"/>
          <w:szCs w:val="22"/>
        </w:rPr>
        <w:t xml:space="preserve"> </w:t>
      </w:r>
      <w:r w:rsidRPr="005A5EA1">
        <w:rPr>
          <w:rFonts w:eastAsia="Book Antiqua"/>
          <w:bCs/>
          <w:i/>
          <w:iCs/>
          <w:sz w:val="22"/>
          <w:szCs w:val="22"/>
        </w:rPr>
        <w:t>Science &amp; Justice, 65</w:t>
      </w:r>
      <w:r w:rsidRPr="005A5EA1">
        <w:rPr>
          <w:rFonts w:eastAsia="Book Antiqua"/>
          <w:bCs/>
          <w:sz w:val="22"/>
          <w:szCs w:val="22"/>
        </w:rPr>
        <w:t>(5), 101306.</w:t>
      </w:r>
      <w:r w:rsidR="00C811A6" w:rsidRPr="005A5EA1">
        <w:rPr>
          <w:rFonts w:eastAsia="Book Antiqua"/>
          <w:bCs/>
          <w:sz w:val="22"/>
          <w:szCs w:val="22"/>
        </w:rPr>
        <w:t xml:space="preserve"> </w:t>
      </w:r>
      <w:r w:rsidRPr="005A5EA1">
        <w:rPr>
          <w:rFonts w:eastAsia="Book Antiqua"/>
          <w:bCs/>
          <w:sz w:val="22"/>
          <w:szCs w:val="22"/>
        </w:rPr>
        <w:t>https://doi.org/10.1016/j.scijus.2025.101306</w:t>
      </w:r>
    </w:p>
    <w:p w14:paraId="730A7CAB" w14:textId="7883ECC3"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Cantelli-Forti, A., Longo, G., Lupia, F., &amp; Russo, E.</w:t>
      </w:r>
      <w:r w:rsidR="00C811A6" w:rsidRPr="005A5EA1">
        <w:rPr>
          <w:rFonts w:eastAsia="Book Antiqua"/>
          <w:bCs/>
          <w:sz w:val="22"/>
          <w:szCs w:val="22"/>
        </w:rPr>
        <w:t xml:space="preserve"> </w:t>
      </w:r>
      <w:r w:rsidRPr="005A5EA1">
        <w:rPr>
          <w:rFonts w:eastAsia="Book Antiqua"/>
          <w:bCs/>
          <w:sz w:val="22"/>
          <w:szCs w:val="22"/>
        </w:rPr>
        <w:t>(2025).</w:t>
      </w:r>
      <w:r w:rsidR="00C811A6" w:rsidRPr="005A5EA1">
        <w:rPr>
          <w:rFonts w:eastAsia="Book Antiqua"/>
          <w:bCs/>
          <w:sz w:val="22"/>
          <w:szCs w:val="22"/>
        </w:rPr>
        <w:t xml:space="preserve"> </w:t>
      </w:r>
      <w:r w:rsidRPr="005A5EA1">
        <w:rPr>
          <w:rFonts w:eastAsia="Book Antiqua"/>
          <w:bCs/>
          <w:sz w:val="22"/>
          <w:szCs w:val="22"/>
        </w:rPr>
        <w:t>WEFT: A consistent and tamper-proof methodology for acquisition of automatically verifiable forensic web evidence.</w:t>
      </w:r>
      <w:r w:rsidR="00C811A6" w:rsidRPr="005A5EA1">
        <w:rPr>
          <w:rFonts w:eastAsia="Book Antiqua"/>
          <w:bCs/>
          <w:sz w:val="22"/>
          <w:szCs w:val="22"/>
        </w:rPr>
        <w:t xml:space="preserve"> </w:t>
      </w:r>
      <w:r w:rsidRPr="005A5EA1">
        <w:rPr>
          <w:rFonts w:eastAsia="Book Antiqua"/>
          <w:bCs/>
          <w:i/>
          <w:iCs/>
          <w:sz w:val="22"/>
          <w:szCs w:val="22"/>
        </w:rPr>
        <w:t>International Journal of Information Security, 24</w:t>
      </w:r>
      <w:r w:rsidRPr="005A5EA1">
        <w:rPr>
          <w:rFonts w:eastAsia="Book Antiqua"/>
          <w:bCs/>
          <w:sz w:val="22"/>
          <w:szCs w:val="22"/>
        </w:rPr>
        <w:t>, 81.</w:t>
      </w:r>
      <w:r w:rsidR="00C811A6" w:rsidRPr="005A5EA1">
        <w:rPr>
          <w:rFonts w:eastAsia="Book Antiqua"/>
          <w:bCs/>
          <w:sz w:val="22"/>
          <w:szCs w:val="22"/>
        </w:rPr>
        <w:t xml:space="preserve"> </w:t>
      </w:r>
      <w:r w:rsidRPr="005A5EA1">
        <w:rPr>
          <w:rFonts w:eastAsia="Book Antiqua"/>
          <w:bCs/>
          <w:sz w:val="22"/>
          <w:szCs w:val="22"/>
        </w:rPr>
        <w:t>https://doi.org/10.1007/s10207-025-00991-8</w:t>
      </w:r>
    </w:p>
    <w:p w14:paraId="745DA19B" w14:textId="632A2AF8"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Casino, F., Pina, C., López-Aguilar, P., Batista, E., Solanas, A., &amp; Patsakis, C. (2022). SoK: cross-border criminal investigations and digital evidence.</w:t>
      </w:r>
      <w:r w:rsidR="00C811A6" w:rsidRPr="005A5EA1">
        <w:rPr>
          <w:rFonts w:eastAsia="Book Antiqua"/>
          <w:bCs/>
          <w:sz w:val="22"/>
          <w:szCs w:val="22"/>
        </w:rPr>
        <w:t xml:space="preserve"> </w:t>
      </w:r>
      <w:r w:rsidRPr="005A5EA1">
        <w:rPr>
          <w:rFonts w:eastAsia="Book Antiqua"/>
          <w:bCs/>
          <w:i/>
          <w:iCs/>
          <w:sz w:val="22"/>
          <w:szCs w:val="22"/>
        </w:rPr>
        <w:t>Journal of Cybersecurity</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8</w:t>
      </w:r>
      <w:r w:rsidRPr="005A5EA1">
        <w:rPr>
          <w:rFonts w:eastAsia="Book Antiqua"/>
          <w:bCs/>
          <w:sz w:val="22"/>
          <w:szCs w:val="22"/>
        </w:rPr>
        <w:t>(1).</w:t>
      </w:r>
      <w:r w:rsidR="00C811A6" w:rsidRPr="005A5EA1">
        <w:rPr>
          <w:rFonts w:eastAsia="Book Antiqua"/>
          <w:bCs/>
          <w:sz w:val="22"/>
          <w:szCs w:val="22"/>
        </w:rPr>
        <w:t xml:space="preserve"> </w:t>
      </w:r>
      <w:r w:rsidRPr="005A5EA1">
        <w:rPr>
          <w:rFonts w:eastAsia="Book Antiqua"/>
          <w:bCs/>
          <w:sz w:val="22"/>
          <w:szCs w:val="22"/>
        </w:rPr>
        <w:t xml:space="preserve">https://doi.org/10.1093/cybsec/tyac014 </w:t>
      </w:r>
    </w:p>
    <w:p w14:paraId="470DB051" w14:textId="714168BC"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Champlain College Online. (2026).</w:t>
      </w:r>
      <w:r w:rsidR="00C811A6" w:rsidRPr="005A5EA1">
        <w:rPr>
          <w:rFonts w:eastAsia="Book Antiqua"/>
          <w:bCs/>
          <w:sz w:val="22"/>
          <w:szCs w:val="22"/>
        </w:rPr>
        <w:t xml:space="preserve"> </w:t>
      </w:r>
      <w:r w:rsidRPr="005A5EA1">
        <w:rPr>
          <w:rFonts w:eastAsia="Book Antiqua"/>
          <w:bCs/>
          <w:i/>
          <w:iCs/>
          <w:sz w:val="22"/>
          <w:szCs w:val="22"/>
        </w:rPr>
        <w:t>Chain of custody in digital forensics</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sz w:val="22"/>
          <w:szCs w:val="22"/>
        </w:rPr>
        <w:t>https://online.champlain.edu/blog/chain-custody-digital-forensics</w:t>
      </w:r>
    </w:p>
    <w:p w14:paraId="5F6D8418" w14:textId="39808281"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Dufeniuk, O., Melnyk, N., Nahorniak, Y., &amp; Melnyk, S. (2024). Innovative potential of 3D technologies in crime investigation.</w:t>
      </w:r>
      <w:r w:rsidR="00C811A6" w:rsidRPr="005A5EA1">
        <w:rPr>
          <w:rFonts w:eastAsia="Book Antiqua"/>
          <w:bCs/>
          <w:sz w:val="22"/>
          <w:szCs w:val="22"/>
        </w:rPr>
        <w:t xml:space="preserve"> </w:t>
      </w:r>
      <w:r w:rsidRPr="005A5EA1">
        <w:rPr>
          <w:rFonts w:eastAsia="Book Antiqua"/>
          <w:bCs/>
          <w:i/>
          <w:iCs/>
          <w:sz w:val="22"/>
          <w:szCs w:val="22"/>
        </w:rPr>
        <w:t>Social &amp; Legal Studios</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7</w:t>
      </w:r>
      <w:r w:rsidRPr="005A5EA1">
        <w:rPr>
          <w:rFonts w:eastAsia="Book Antiqua"/>
          <w:bCs/>
          <w:sz w:val="22"/>
          <w:szCs w:val="22"/>
        </w:rPr>
        <w:t>(4), 222–230.</w:t>
      </w:r>
      <w:r w:rsidR="00C811A6" w:rsidRPr="005A5EA1">
        <w:rPr>
          <w:rFonts w:eastAsia="Book Antiqua"/>
          <w:bCs/>
          <w:sz w:val="22"/>
          <w:szCs w:val="22"/>
        </w:rPr>
        <w:t xml:space="preserve"> </w:t>
      </w:r>
      <w:r w:rsidRPr="005A5EA1">
        <w:rPr>
          <w:rFonts w:eastAsia="Book Antiqua"/>
          <w:bCs/>
          <w:sz w:val="22"/>
          <w:szCs w:val="22"/>
        </w:rPr>
        <w:t xml:space="preserve">https://doi.org/10.32518/sals4.2024.222 </w:t>
      </w:r>
    </w:p>
    <w:p w14:paraId="07717FBD" w14:textId="25893171" w:rsidR="002F227C" w:rsidRPr="005A5EA1" w:rsidRDefault="00E522EE" w:rsidP="005A5EA1">
      <w:pPr>
        <w:spacing w:line="480" w:lineRule="auto"/>
        <w:ind w:left="709" w:hanging="709"/>
        <w:jc w:val="both"/>
        <w:rPr>
          <w:rFonts w:eastAsia="Book Antiqua"/>
          <w:bCs/>
          <w:sz w:val="22"/>
          <w:szCs w:val="22"/>
        </w:rPr>
      </w:pPr>
      <w:r w:rsidRPr="005A5EA1">
        <w:rPr>
          <w:rFonts w:eastAsia="Book Antiqua"/>
          <w:bCs/>
          <w:sz w:val="22"/>
          <w:szCs w:val="22"/>
        </w:rPr>
        <w:t xml:space="preserve">Europol, Eurojust, &amp; European Judicial Network. (2024). </w:t>
      </w:r>
      <w:r w:rsidRPr="005A5EA1">
        <w:rPr>
          <w:rFonts w:eastAsia="Book Antiqua"/>
          <w:bCs/>
          <w:i/>
          <w:iCs/>
          <w:sz w:val="22"/>
          <w:szCs w:val="22"/>
        </w:rPr>
        <w:t>SIRIUS EU electronic evidence situation report 2024</w:t>
      </w:r>
      <w:r w:rsidRPr="005A5EA1">
        <w:rPr>
          <w:rFonts w:eastAsia="Book Antiqua"/>
          <w:bCs/>
          <w:sz w:val="22"/>
          <w:szCs w:val="22"/>
        </w:rPr>
        <w:t>. European Union Agency for Law Enforcement Cooperation. https://www.europol.europa.eu/cms/sites/default/files/documents/SIRIUS_E_Evidence_Situation_Report_2024.pdf</w:t>
      </w:r>
    </w:p>
    <w:p w14:paraId="283E222B" w14:textId="50DD41A9"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Forensic Focus. (2021).</w:t>
      </w:r>
      <w:r w:rsidR="00C811A6" w:rsidRPr="005A5EA1">
        <w:rPr>
          <w:rFonts w:eastAsia="Book Antiqua"/>
          <w:bCs/>
          <w:sz w:val="22"/>
          <w:szCs w:val="22"/>
        </w:rPr>
        <w:t xml:space="preserve"> </w:t>
      </w:r>
      <w:r w:rsidRPr="005A5EA1">
        <w:rPr>
          <w:rFonts w:eastAsia="Book Antiqua"/>
          <w:bCs/>
          <w:i/>
          <w:iCs/>
          <w:sz w:val="22"/>
          <w:szCs w:val="22"/>
        </w:rPr>
        <w:t>Forensic Focus legal update July 2021: Reliability and credibility of digital evidence</w:t>
      </w:r>
      <w:r w:rsidRPr="005A5EA1">
        <w:rPr>
          <w:rFonts w:eastAsia="Book Antiqua"/>
          <w:bCs/>
          <w:sz w:val="22"/>
          <w:szCs w:val="22"/>
        </w:rPr>
        <w:t>. https://www.forensicfocus.com/legal/forensic-focus-legal-update-july-2021-reliability-and-credibility-of-digital-evidence/</w:t>
      </w:r>
    </w:p>
    <w:p w14:paraId="5B435835" w14:textId="33FB364F" w:rsidR="00127B11" w:rsidRPr="005A5EA1" w:rsidRDefault="00127B11" w:rsidP="005A5EA1">
      <w:pPr>
        <w:spacing w:line="480" w:lineRule="auto"/>
        <w:ind w:left="709" w:hanging="709"/>
        <w:jc w:val="both"/>
        <w:rPr>
          <w:rFonts w:eastAsia="Book Antiqua"/>
          <w:bCs/>
          <w:sz w:val="22"/>
          <w:szCs w:val="22"/>
        </w:rPr>
      </w:pPr>
      <w:r w:rsidRPr="005A5EA1">
        <w:rPr>
          <w:rFonts w:eastAsia="Book Antiqua"/>
          <w:bCs/>
          <w:sz w:val="22"/>
          <w:szCs w:val="22"/>
        </w:rPr>
        <w:t xml:space="preserve">Griffiths, C. (2025). </w:t>
      </w:r>
      <w:r w:rsidRPr="005A5EA1">
        <w:rPr>
          <w:rFonts w:eastAsia="Book Antiqua"/>
          <w:bCs/>
          <w:i/>
          <w:iCs/>
          <w:sz w:val="22"/>
          <w:szCs w:val="22"/>
        </w:rPr>
        <w:t>The digital forensics project</w:t>
      </w:r>
      <w:r w:rsidRPr="005A5EA1">
        <w:rPr>
          <w:rFonts w:eastAsia="Book Antiqua"/>
          <w:bCs/>
          <w:sz w:val="22"/>
          <w:szCs w:val="22"/>
        </w:rPr>
        <w:t>. Counsel: The Magazine of the Bar of England and Wales. https://www.counselmagazine.co.uk/articles/the-digital-forensics-project</w:t>
      </w:r>
    </w:p>
    <w:p w14:paraId="238A3886" w14:textId="35D8FD22"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Gruber, J., Hargreaves, C. J., &amp; Freiling, F. C. (2023). Contamination of digital evidence: Understanding an underexposed risk.</w:t>
      </w:r>
      <w:r w:rsidR="00C811A6" w:rsidRPr="005A5EA1">
        <w:rPr>
          <w:rFonts w:eastAsia="Book Antiqua"/>
          <w:bCs/>
          <w:sz w:val="22"/>
          <w:szCs w:val="22"/>
        </w:rPr>
        <w:t xml:space="preserve"> </w:t>
      </w:r>
      <w:r w:rsidRPr="005A5EA1">
        <w:rPr>
          <w:rFonts w:eastAsia="Book Antiqua"/>
          <w:bCs/>
          <w:i/>
          <w:iCs/>
          <w:sz w:val="22"/>
          <w:szCs w:val="22"/>
        </w:rPr>
        <w:t>Forensic Science International Digital Investigation</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44</w:t>
      </w:r>
      <w:r w:rsidRPr="005A5EA1">
        <w:rPr>
          <w:rFonts w:eastAsia="Book Antiqua"/>
          <w:bCs/>
          <w:sz w:val="22"/>
          <w:szCs w:val="22"/>
        </w:rPr>
        <w:t>, 301501.</w:t>
      </w:r>
      <w:r w:rsidR="00C811A6" w:rsidRPr="005A5EA1">
        <w:rPr>
          <w:rFonts w:eastAsia="Book Antiqua"/>
          <w:bCs/>
          <w:sz w:val="22"/>
          <w:szCs w:val="22"/>
        </w:rPr>
        <w:t xml:space="preserve"> </w:t>
      </w:r>
      <w:r w:rsidRPr="005A5EA1">
        <w:rPr>
          <w:rFonts w:eastAsia="Book Antiqua"/>
          <w:bCs/>
          <w:sz w:val="22"/>
          <w:szCs w:val="22"/>
        </w:rPr>
        <w:t xml:space="preserve">https://doi.org/10.1016/j.fsidi.2023.301501 </w:t>
      </w:r>
    </w:p>
    <w:p w14:paraId="08A73E6E" w14:textId="173BB919" w:rsidR="002F227C" w:rsidRPr="005A5EA1" w:rsidRDefault="003A74F7" w:rsidP="005A5EA1">
      <w:pPr>
        <w:spacing w:line="480" w:lineRule="auto"/>
        <w:ind w:left="709" w:hanging="709"/>
        <w:jc w:val="both"/>
        <w:rPr>
          <w:rFonts w:eastAsia="Book Antiqua"/>
          <w:bCs/>
          <w:sz w:val="22"/>
          <w:szCs w:val="22"/>
        </w:rPr>
      </w:pPr>
      <w:r w:rsidRPr="005A5EA1">
        <w:rPr>
          <w:rFonts w:eastAsia="Book Antiqua"/>
          <w:bCs/>
          <w:sz w:val="22"/>
          <w:szCs w:val="22"/>
        </w:rPr>
        <w:t xml:space="preserve">Kiener-Manu, K. (2026). </w:t>
      </w:r>
      <w:r w:rsidRPr="005A5EA1">
        <w:rPr>
          <w:rFonts w:eastAsia="Book Antiqua"/>
          <w:bCs/>
          <w:i/>
          <w:iCs/>
          <w:sz w:val="22"/>
          <w:szCs w:val="22"/>
        </w:rPr>
        <w:t>Cybercrime module 4: Key issues — Standards and best practices for digital forensics</w:t>
      </w:r>
      <w:r w:rsidRPr="005A5EA1">
        <w:rPr>
          <w:rFonts w:eastAsia="Book Antiqua"/>
          <w:bCs/>
          <w:sz w:val="22"/>
          <w:szCs w:val="22"/>
        </w:rPr>
        <w:t xml:space="preserve">. United Nations Office on Drugs and Crime (UNODC). </w:t>
      </w:r>
      <w:r w:rsidRPr="005A5EA1">
        <w:rPr>
          <w:rFonts w:eastAsia="Book Antiqua"/>
          <w:bCs/>
          <w:sz w:val="22"/>
          <w:szCs w:val="22"/>
        </w:rPr>
        <w:lastRenderedPageBreak/>
        <w:t>https://www.unodc.org/e4j/en/cybercrime/module-4/key-issues/standards-and-best-practices-for-digital-forensics.html</w:t>
      </w:r>
    </w:p>
    <w:p w14:paraId="1312BBF5" w14:textId="393FCF75"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Lasagni, G. (2025). Admissibility of Digital Evidence. In V. Franssen &amp; S. Tosza (Eds.),</w:t>
      </w:r>
      <w:r w:rsidR="00C811A6" w:rsidRPr="005A5EA1">
        <w:rPr>
          <w:rFonts w:eastAsia="Book Antiqua"/>
          <w:bCs/>
          <w:sz w:val="22"/>
          <w:szCs w:val="22"/>
        </w:rPr>
        <w:t xml:space="preserve"> </w:t>
      </w:r>
      <w:r w:rsidRPr="005A5EA1">
        <w:rPr>
          <w:rFonts w:eastAsia="Book Antiqua"/>
          <w:bCs/>
          <w:i/>
          <w:iCs/>
          <w:sz w:val="22"/>
          <w:szCs w:val="22"/>
        </w:rPr>
        <w:t>The Cambridge Handbook of Digital Evidence in Criminal Investigations</w:t>
      </w:r>
      <w:r w:rsidR="00C811A6" w:rsidRPr="005A5EA1">
        <w:rPr>
          <w:rFonts w:eastAsia="Book Antiqua"/>
          <w:bCs/>
          <w:sz w:val="22"/>
          <w:szCs w:val="22"/>
        </w:rPr>
        <w:t xml:space="preserve"> </w:t>
      </w:r>
      <w:r w:rsidRPr="005A5EA1">
        <w:rPr>
          <w:rFonts w:eastAsia="Book Antiqua"/>
          <w:bCs/>
          <w:sz w:val="22"/>
          <w:szCs w:val="22"/>
        </w:rPr>
        <w:t>(pp. 126–152). Cambridge: Cambridge University Press.</w:t>
      </w:r>
      <w:r w:rsidR="003E0354" w:rsidRPr="005A5EA1">
        <w:rPr>
          <w:sz w:val="22"/>
          <w:szCs w:val="22"/>
        </w:rPr>
        <w:t xml:space="preserve"> </w:t>
      </w:r>
      <w:r w:rsidR="003E0354" w:rsidRPr="005A5EA1">
        <w:rPr>
          <w:rFonts w:eastAsia="Book Antiqua"/>
          <w:bCs/>
          <w:sz w:val="22"/>
          <w:szCs w:val="22"/>
        </w:rPr>
        <w:t>https://www.cambridge.org/core/books/abs/cambridge-handbook-of-digital-evidence-in-criminal-investigations/admissibility-of-digital-evidence/7F8292A7652FF16F5EA850B2984EE0E5</w:t>
      </w:r>
    </w:p>
    <w:p w14:paraId="50C1701B" w14:textId="40593B13"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Loffi, L., Camillo, G. L., De Souza, C. A., Westphall, C. M., &amp; Westphall, C. B. (2025). Management of the Chain of Custody of Digital Evidence Using Blockchain and Self-Sovereign Identities: A Systematic Literature review.</w:t>
      </w:r>
      <w:r w:rsidR="00C811A6" w:rsidRPr="005A5EA1">
        <w:rPr>
          <w:rFonts w:eastAsia="Book Antiqua"/>
          <w:bCs/>
          <w:sz w:val="22"/>
          <w:szCs w:val="22"/>
        </w:rPr>
        <w:t xml:space="preserve"> </w:t>
      </w:r>
      <w:r w:rsidRPr="005A5EA1">
        <w:rPr>
          <w:rFonts w:eastAsia="Book Antiqua"/>
          <w:bCs/>
          <w:i/>
          <w:iCs/>
          <w:sz w:val="22"/>
          <w:szCs w:val="22"/>
        </w:rPr>
        <w:t>IEEE Access</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13</w:t>
      </w:r>
      <w:r w:rsidRPr="005A5EA1">
        <w:rPr>
          <w:rFonts w:eastAsia="Book Antiqua"/>
          <w:bCs/>
          <w:sz w:val="22"/>
          <w:szCs w:val="22"/>
        </w:rPr>
        <w:t>, 77804–77832.</w:t>
      </w:r>
      <w:r w:rsidR="00C811A6" w:rsidRPr="005A5EA1">
        <w:rPr>
          <w:rFonts w:eastAsia="Book Antiqua"/>
          <w:bCs/>
          <w:sz w:val="22"/>
          <w:szCs w:val="22"/>
        </w:rPr>
        <w:t xml:space="preserve"> </w:t>
      </w:r>
      <w:r w:rsidR="0067223C" w:rsidRPr="005A5EA1">
        <w:rPr>
          <w:rFonts w:eastAsia="Book Antiqua"/>
          <w:bCs/>
          <w:sz w:val="22"/>
          <w:szCs w:val="22"/>
        </w:rPr>
        <w:t>https://doaj.org/article/d54fa0fa18c641868133335f4832cda9</w:t>
      </w:r>
    </w:p>
    <w:p w14:paraId="6111906B" w14:textId="31ECB06B" w:rsidR="005A2C02" w:rsidRPr="005A5EA1" w:rsidRDefault="005A2C02" w:rsidP="005A5EA1">
      <w:pPr>
        <w:spacing w:line="480" w:lineRule="auto"/>
        <w:ind w:left="709" w:hanging="709"/>
        <w:jc w:val="both"/>
        <w:rPr>
          <w:rFonts w:eastAsia="Book Antiqua"/>
          <w:bCs/>
          <w:sz w:val="22"/>
          <w:szCs w:val="22"/>
        </w:rPr>
      </w:pPr>
      <w:r w:rsidRPr="005A5EA1">
        <w:rPr>
          <w:rFonts w:eastAsia="Book Antiqua"/>
          <w:bCs/>
          <w:sz w:val="22"/>
          <w:szCs w:val="22"/>
        </w:rPr>
        <w:t xml:space="preserve">Loux, M. (2025). </w:t>
      </w:r>
      <w:r w:rsidRPr="005A5EA1">
        <w:rPr>
          <w:rFonts w:eastAsia="Book Antiqua"/>
          <w:bCs/>
          <w:i/>
          <w:iCs/>
          <w:sz w:val="22"/>
          <w:szCs w:val="22"/>
        </w:rPr>
        <w:t>How is digital evidence preserved in modern investigations?</w:t>
      </w:r>
      <w:r w:rsidRPr="005A5EA1">
        <w:rPr>
          <w:rFonts w:eastAsia="Book Antiqua"/>
          <w:bCs/>
          <w:sz w:val="22"/>
          <w:szCs w:val="22"/>
        </w:rPr>
        <w:t xml:space="preserve"> American Military University. https://www.amu.apus.edu/area-of-study/criminal-justice/resources/how-is-digital-evidence-preserved/</w:t>
      </w:r>
    </w:p>
    <w:p w14:paraId="27F6AE4D" w14:textId="37F35F50"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Lucoveis, M. L., Gamba, M., Silva, E. Q., Pinto, L. A., &amp; Sacco, I. C. (2023). The effects of the use of customized silicone digital orthoses on pre-ulcerative lesions and plantar pressure during walking in people with diabetic neuropathy: A study protocol for a randomized controlled trial.</w:t>
      </w:r>
      <w:r w:rsidR="00C811A6" w:rsidRPr="005A5EA1">
        <w:rPr>
          <w:rFonts w:eastAsia="Book Antiqua"/>
          <w:bCs/>
          <w:sz w:val="22"/>
          <w:szCs w:val="22"/>
        </w:rPr>
        <w:t xml:space="preserve"> </w:t>
      </w:r>
      <w:r w:rsidRPr="005A5EA1">
        <w:rPr>
          <w:rFonts w:eastAsia="Book Antiqua"/>
          <w:bCs/>
          <w:i/>
          <w:iCs/>
          <w:sz w:val="22"/>
          <w:szCs w:val="22"/>
        </w:rPr>
        <w:t>Contemporary Clinical Trials Communications</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37</w:t>
      </w:r>
      <w:r w:rsidRPr="005A5EA1">
        <w:rPr>
          <w:rFonts w:eastAsia="Book Antiqua"/>
          <w:bCs/>
          <w:sz w:val="22"/>
          <w:szCs w:val="22"/>
        </w:rPr>
        <w:t>, 101247.</w:t>
      </w:r>
      <w:r w:rsidR="00C811A6" w:rsidRPr="005A5EA1">
        <w:rPr>
          <w:rFonts w:eastAsia="Book Antiqua"/>
          <w:bCs/>
          <w:sz w:val="22"/>
          <w:szCs w:val="22"/>
        </w:rPr>
        <w:t xml:space="preserve"> </w:t>
      </w:r>
      <w:r w:rsidRPr="005A5EA1">
        <w:rPr>
          <w:rFonts w:eastAsia="Book Antiqua"/>
          <w:bCs/>
          <w:sz w:val="22"/>
          <w:szCs w:val="22"/>
        </w:rPr>
        <w:t xml:space="preserve">https://doi.org/10.1016/j.conctc.2023.101247 </w:t>
      </w:r>
    </w:p>
    <w:p w14:paraId="3D89886E" w14:textId="76D05658"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Lytvyn, N., Andrushchenko, H., Zozulya, Y. V., Nikanorova, O. V., &amp; Rusal, L. M. (2022). Enforcement of court decisions as a social guarantee of protection of citizens rights and freedoms.</w:t>
      </w:r>
      <w:r w:rsidR="00C811A6" w:rsidRPr="005A5EA1">
        <w:rPr>
          <w:rFonts w:eastAsia="Book Antiqua"/>
          <w:bCs/>
          <w:sz w:val="22"/>
          <w:szCs w:val="22"/>
        </w:rPr>
        <w:t xml:space="preserve"> </w:t>
      </w:r>
      <w:r w:rsidRPr="005A5EA1">
        <w:rPr>
          <w:rFonts w:eastAsia="Book Antiqua"/>
          <w:bCs/>
          <w:i/>
          <w:iCs/>
          <w:sz w:val="22"/>
          <w:szCs w:val="22"/>
        </w:rPr>
        <w:t>PRAWO I WIĘŹ</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1</w:t>
      </w:r>
      <w:r w:rsidRPr="005A5EA1">
        <w:rPr>
          <w:rFonts w:eastAsia="Book Antiqua"/>
          <w:bCs/>
          <w:sz w:val="22"/>
          <w:szCs w:val="22"/>
        </w:rPr>
        <w:t>(39), 80–102.</w:t>
      </w:r>
      <w:r w:rsidR="00C811A6" w:rsidRPr="005A5EA1">
        <w:rPr>
          <w:rFonts w:eastAsia="Book Antiqua"/>
          <w:bCs/>
          <w:sz w:val="22"/>
          <w:szCs w:val="22"/>
        </w:rPr>
        <w:t xml:space="preserve"> </w:t>
      </w:r>
      <w:r w:rsidRPr="005A5EA1">
        <w:rPr>
          <w:rFonts w:eastAsia="Book Antiqua"/>
          <w:bCs/>
          <w:sz w:val="22"/>
          <w:szCs w:val="22"/>
        </w:rPr>
        <w:t>https://doi.org/10.36128/priw.vi39.351</w:t>
      </w:r>
    </w:p>
    <w:p w14:paraId="6043B03C" w14:textId="5E1B8861"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Martinengo, L., Ng, M. S. P., De Rong Ng, T., Ang, Y., Jabir, A. I., Kyaw, B. M., &amp; Car, L. T. (2024). Spaced Digital Education for Health Professionals: Systematic Review and Meta-Analysis.</w:t>
      </w:r>
      <w:r w:rsidR="00C811A6" w:rsidRPr="005A5EA1">
        <w:rPr>
          <w:rFonts w:eastAsia="Book Antiqua"/>
          <w:bCs/>
          <w:sz w:val="22"/>
          <w:szCs w:val="22"/>
        </w:rPr>
        <w:t xml:space="preserve"> </w:t>
      </w:r>
      <w:r w:rsidRPr="005A5EA1">
        <w:rPr>
          <w:rFonts w:eastAsia="Book Antiqua"/>
          <w:bCs/>
          <w:i/>
          <w:iCs/>
          <w:sz w:val="22"/>
          <w:szCs w:val="22"/>
        </w:rPr>
        <w:t>Journal of Medical Internet Research</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26</w:t>
      </w:r>
      <w:r w:rsidRPr="005A5EA1">
        <w:rPr>
          <w:rFonts w:eastAsia="Book Antiqua"/>
          <w:bCs/>
          <w:sz w:val="22"/>
          <w:szCs w:val="22"/>
        </w:rPr>
        <w:t>, e57760.</w:t>
      </w:r>
      <w:r w:rsidR="00C811A6" w:rsidRPr="005A5EA1">
        <w:rPr>
          <w:rFonts w:eastAsia="Book Antiqua"/>
          <w:bCs/>
          <w:sz w:val="22"/>
          <w:szCs w:val="22"/>
        </w:rPr>
        <w:t xml:space="preserve"> </w:t>
      </w:r>
      <w:r w:rsidRPr="005A5EA1">
        <w:rPr>
          <w:rFonts w:eastAsia="Book Antiqua"/>
          <w:bCs/>
          <w:sz w:val="22"/>
          <w:szCs w:val="22"/>
        </w:rPr>
        <w:t xml:space="preserve">https://doi.org/10.2196/57760 </w:t>
      </w:r>
    </w:p>
    <w:p w14:paraId="1FCCEA8E" w14:textId="54F5FD9F"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lastRenderedPageBreak/>
        <w:t xml:space="preserve">Meinheit, A. (2025, December 15). From bytes to bench: Leveraging digital forensics in the litigation lifecycle. </w:t>
      </w:r>
      <w:r w:rsidRPr="005A5EA1">
        <w:rPr>
          <w:rFonts w:eastAsia="Book Antiqua"/>
          <w:bCs/>
          <w:i/>
          <w:iCs/>
          <w:sz w:val="22"/>
          <w:szCs w:val="22"/>
        </w:rPr>
        <w:t>Complete Legal.</w:t>
      </w:r>
      <w:r w:rsidRPr="005A5EA1">
        <w:rPr>
          <w:rFonts w:eastAsia="Book Antiqua"/>
          <w:bCs/>
          <w:sz w:val="22"/>
          <w:szCs w:val="22"/>
        </w:rPr>
        <w:t xml:space="preserve"> https://completelegal.us/from-bytes-to-bench-leveraging-digital-forensics-in-the-litigation-lifecycle/ </w:t>
      </w:r>
    </w:p>
    <w:p w14:paraId="134F0DA0" w14:textId="0BF6499B"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Miller, C. M. (2022). A survey of prosecutors and investigators using digital evidence: A starting point.</w:t>
      </w:r>
      <w:r w:rsidR="00C811A6" w:rsidRPr="005A5EA1">
        <w:rPr>
          <w:rFonts w:eastAsia="Book Antiqua"/>
          <w:bCs/>
          <w:sz w:val="22"/>
          <w:szCs w:val="22"/>
        </w:rPr>
        <w:t xml:space="preserve"> </w:t>
      </w:r>
      <w:r w:rsidRPr="005A5EA1">
        <w:rPr>
          <w:rFonts w:eastAsia="Book Antiqua"/>
          <w:bCs/>
          <w:i/>
          <w:iCs/>
          <w:sz w:val="22"/>
          <w:szCs w:val="22"/>
        </w:rPr>
        <w:t>Forensic Science International Synergy</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6</w:t>
      </w:r>
      <w:r w:rsidRPr="005A5EA1">
        <w:rPr>
          <w:rFonts w:eastAsia="Book Antiqua"/>
          <w:bCs/>
          <w:sz w:val="22"/>
          <w:szCs w:val="22"/>
        </w:rPr>
        <w:t>, 100296.</w:t>
      </w:r>
      <w:r w:rsidR="00C811A6" w:rsidRPr="005A5EA1">
        <w:rPr>
          <w:rFonts w:eastAsia="Book Antiqua"/>
          <w:bCs/>
          <w:sz w:val="22"/>
          <w:szCs w:val="22"/>
        </w:rPr>
        <w:t xml:space="preserve"> </w:t>
      </w:r>
      <w:r w:rsidRPr="005A5EA1">
        <w:rPr>
          <w:rFonts w:eastAsia="Book Antiqua"/>
          <w:bCs/>
          <w:sz w:val="22"/>
          <w:szCs w:val="22"/>
        </w:rPr>
        <w:t xml:space="preserve">https://doi.org/10.1016/j.fsisyn.2022.100296 </w:t>
      </w:r>
    </w:p>
    <w:p w14:paraId="5ACA63E7" w14:textId="30DEBB81"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MindMeister.</w:t>
      </w:r>
      <w:r w:rsidR="00C811A6" w:rsidRPr="005A5EA1">
        <w:rPr>
          <w:rFonts w:eastAsia="Book Antiqua"/>
          <w:bCs/>
          <w:sz w:val="22"/>
          <w:szCs w:val="22"/>
        </w:rPr>
        <w:t xml:space="preserve"> </w:t>
      </w:r>
      <w:r w:rsidRPr="005A5EA1">
        <w:rPr>
          <w:rFonts w:eastAsia="Book Antiqua"/>
          <w:bCs/>
          <w:sz w:val="22"/>
          <w:szCs w:val="22"/>
        </w:rPr>
        <w:t>(2026).</w:t>
      </w:r>
      <w:r w:rsidR="00C811A6" w:rsidRPr="005A5EA1">
        <w:rPr>
          <w:rFonts w:eastAsia="Book Antiqua"/>
          <w:bCs/>
          <w:sz w:val="22"/>
          <w:szCs w:val="22"/>
        </w:rPr>
        <w:t xml:space="preserve"> </w:t>
      </w:r>
      <w:r w:rsidRPr="005A5EA1">
        <w:rPr>
          <w:rFonts w:eastAsia="Book Antiqua"/>
          <w:bCs/>
          <w:i/>
          <w:iCs/>
          <w:sz w:val="22"/>
          <w:szCs w:val="22"/>
        </w:rPr>
        <w:t>Online mind mapping tool</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sz w:val="22"/>
          <w:szCs w:val="22"/>
        </w:rPr>
        <w:t>https://www.mindmeister.com</w:t>
      </w:r>
    </w:p>
    <w:p w14:paraId="3FC08544" w14:textId="3322F4BF" w:rsidR="008676C3" w:rsidRPr="005A5EA1" w:rsidRDefault="008676C3" w:rsidP="005A5EA1">
      <w:pPr>
        <w:spacing w:line="480" w:lineRule="auto"/>
        <w:ind w:left="709" w:hanging="709"/>
        <w:jc w:val="both"/>
        <w:rPr>
          <w:rFonts w:eastAsia="Book Antiqua"/>
          <w:bCs/>
          <w:sz w:val="22"/>
          <w:szCs w:val="22"/>
        </w:rPr>
      </w:pPr>
      <w:r w:rsidRPr="005A5EA1">
        <w:rPr>
          <w:rFonts w:eastAsia="Book Antiqua"/>
          <w:bCs/>
          <w:sz w:val="22"/>
          <w:szCs w:val="22"/>
        </w:rPr>
        <w:t xml:space="preserve">Naik, S., &amp; Agarwal, S. (2026). </w:t>
      </w:r>
      <w:r w:rsidRPr="005A5EA1">
        <w:rPr>
          <w:rFonts w:eastAsia="Book Antiqua"/>
          <w:bCs/>
          <w:i/>
          <w:iCs/>
          <w:sz w:val="22"/>
          <w:szCs w:val="22"/>
        </w:rPr>
        <w:t>When digital evidence fails: The corporate cost of ignoring metadata</w:t>
      </w:r>
      <w:r w:rsidRPr="005A5EA1">
        <w:rPr>
          <w:rFonts w:eastAsia="Book Antiqua"/>
          <w:bCs/>
          <w:sz w:val="22"/>
          <w:szCs w:val="22"/>
        </w:rPr>
        <w:t>. LiveLaw. https://www.livelaw.in/amp/articles/digital-evidence-indian-corporation-519181</w:t>
      </w:r>
    </w:p>
    <w:p w14:paraId="21677846" w14:textId="7162CB78" w:rsidR="002F227C" w:rsidRPr="005A5EA1" w:rsidRDefault="009F24A9" w:rsidP="005A5EA1">
      <w:pPr>
        <w:spacing w:line="480" w:lineRule="auto"/>
        <w:ind w:left="709" w:hanging="709"/>
        <w:jc w:val="both"/>
        <w:rPr>
          <w:rFonts w:eastAsia="Book Antiqua"/>
          <w:bCs/>
          <w:sz w:val="22"/>
          <w:szCs w:val="22"/>
        </w:rPr>
      </w:pPr>
      <w:r w:rsidRPr="005A5EA1">
        <w:rPr>
          <w:rFonts w:eastAsia="Book Antiqua"/>
          <w:bCs/>
          <w:sz w:val="22"/>
          <w:szCs w:val="22"/>
        </w:rPr>
        <w:t>Mossé Cyber Security Institute. (2023).</w:t>
      </w:r>
      <w:r w:rsidRPr="005A5EA1">
        <w:rPr>
          <w:rFonts w:eastAsia="Book Antiqua"/>
          <w:bCs/>
          <w:i/>
          <w:iCs/>
          <w:sz w:val="22"/>
          <w:szCs w:val="22"/>
        </w:rPr>
        <w:t xml:space="preserve"> Preparing documentation and evidence. </w:t>
      </w:r>
      <w:r w:rsidRPr="005A5EA1">
        <w:rPr>
          <w:rFonts w:eastAsia="Book Antiqua"/>
          <w:bCs/>
          <w:sz w:val="22"/>
          <w:szCs w:val="22"/>
        </w:rPr>
        <w:t>Mossé Cyber Security Institute Library. https://library.mosse-institute.com/articles/2023/08/preparing-documentation-and-evidence.html</w:t>
      </w:r>
    </w:p>
    <w:p w14:paraId="197DE9BA" w14:textId="42F7E93F" w:rsidR="002F227C" w:rsidRPr="005A5EA1" w:rsidRDefault="00986F33" w:rsidP="005A5EA1">
      <w:pPr>
        <w:spacing w:line="480" w:lineRule="auto"/>
        <w:ind w:left="709" w:hanging="709"/>
        <w:jc w:val="both"/>
        <w:rPr>
          <w:rFonts w:eastAsia="Book Antiqua"/>
          <w:bCs/>
          <w:sz w:val="22"/>
          <w:szCs w:val="22"/>
        </w:rPr>
      </w:pPr>
      <w:r w:rsidRPr="005A5EA1">
        <w:rPr>
          <w:rFonts w:eastAsia="Book Antiqua"/>
          <w:bCs/>
          <w:sz w:val="22"/>
          <w:szCs w:val="22"/>
        </w:rPr>
        <w:t xml:space="preserve">Masaar. (2025). </w:t>
      </w:r>
      <w:r w:rsidRPr="005A5EA1">
        <w:rPr>
          <w:rFonts w:eastAsia="Book Antiqua"/>
          <w:bCs/>
          <w:i/>
          <w:iCs/>
          <w:sz w:val="22"/>
          <w:szCs w:val="22"/>
        </w:rPr>
        <w:t xml:space="preserve">New judicial trend: Criminal court overturns conviction due to invalidity of digital forensic evidence. </w:t>
      </w:r>
      <w:r w:rsidRPr="005A5EA1">
        <w:rPr>
          <w:rFonts w:eastAsia="Book Antiqua"/>
          <w:bCs/>
          <w:sz w:val="22"/>
          <w:szCs w:val="22"/>
        </w:rPr>
        <w:t>https://masaar.net/en/court-overturns-conviction-due-to-invalidity-of-digital-forensic-evidence/</w:t>
      </w:r>
    </w:p>
    <w:p w14:paraId="23D3C11F" w14:textId="77777777" w:rsidR="00C7481A" w:rsidRPr="005A5EA1" w:rsidRDefault="00C7481A" w:rsidP="005A5EA1">
      <w:pPr>
        <w:spacing w:line="480" w:lineRule="auto"/>
        <w:ind w:left="709" w:hanging="709"/>
        <w:jc w:val="both"/>
        <w:rPr>
          <w:rFonts w:eastAsia="Book Antiqua"/>
          <w:bCs/>
          <w:sz w:val="22"/>
          <w:szCs w:val="22"/>
        </w:rPr>
      </w:pPr>
      <w:r w:rsidRPr="005A5EA1">
        <w:rPr>
          <w:rFonts w:eastAsia="Book Antiqua"/>
          <w:bCs/>
          <w:sz w:val="22"/>
          <w:szCs w:val="22"/>
        </w:rPr>
        <w:t xml:space="preserve">Prescott, H. (2026). </w:t>
      </w:r>
      <w:r w:rsidRPr="005A5EA1">
        <w:rPr>
          <w:rFonts w:eastAsia="Book Antiqua"/>
          <w:bCs/>
          <w:i/>
          <w:iCs/>
          <w:sz w:val="22"/>
          <w:szCs w:val="22"/>
        </w:rPr>
        <w:t>Digital forensics: Data reports 2026</w:t>
      </w:r>
      <w:r w:rsidRPr="005A5EA1">
        <w:rPr>
          <w:rFonts w:eastAsia="Book Antiqua"/>
          <w:bCs/>
          <w:sz w:val="22"/>
          <w:szCs w:val="22"/>
        </w:rPr>
        <w:t>. WifiTalents. https://wifitalents.com/forensic-statistics/</w:t>
      </w:r>
    </w:p>
    <w:p w14:paraId="0E7C4550" w14:textId="455FA8E5"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Romaniuk, V. V., &amp; Ablamskyi, S. Y. (2024). Criteria for the admissibility of digital (electronic) evidence in criminal proceedings.</w:t>
      </w:r>
      <w:r w:rsidR="00C811A6" w:rsidRPr="005A5EA1">
        <w:rPr>
          <w:rFonts w:eastAsia="Book Antiqua"/>
          <w:bCs/>
          <w:sz w:val="22"/>
          <w:szCs w:val="22"/>
        </w:rPr>
        <w:t xml:space="preserve"> </w:t>
      </w:r>
      <w:r w:rsidRPr="005A5EA1">
        <w:rPr>
          <w:rFonts w:eastAsia="Book Antiqua"/>
          <w:bCs/>
          <w:i/>
          <w:iCs/>
          <w:sz w:val="22"/>
          <w:szCs w:val="22"/>
        </w:rPr>
        <w:t>Law And Safety</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93</w:t>
      </w:r>
      <w:r w:rsidRPr="005A5EA1">
        <w:rPr>
          <w:rFonts w:eastAsia="Book Antiqua"/>
          <w:bCs/>
          <w:sz w:val="22"/>
          <w:szCs w:val="22"/>
        </w:rPr>
        <w:t>(2), 140–150.</w:t>
      </w:r>
      <w:r w:rsidR="00C811A6" w:rsidRPr="005A5EA1">
        <w:rPr>
          <w:rFonts w:eastAsia="Book Antiqua"/>
          <w:bCs/>
          <w:sz w:val="22"/>
          <w:szCs w:val="22"/>
        </w:rPr>
        <w:t xml:space="preserve"> </w:t>
      </w:r>
      <w:r w:rsidRPr="005A5EA1">
        <w:rPr>
          <w:rFonts w:eastAsia="Book Antiqua"/>
          <w:bCs/>
          <w:sz w:val="22"/>
          <w:szCs w:val="22"/>
        </w:rPr>
        <w:t>https://doi.org/10.32631/pb.2024.2.13</w:t>
      </w:r>
    </w:p>
    <w:p w14:paraId="507BBF24" w14:textId="5E2307DC"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Shchokin, R., Oliinyk, V., Amelin, O., Bondarenko, Y., Maziychuk, V., &amp; Kyslenko, D. (2023b). Methods of combating offenses in the field of ecology.</w:t>
      </w:r>
      <w:r w:rsidR="00C811A6" w:rsidRPr="005A5EA1">
        <w:rPr>
          <w:rFonts w:eastAsia="Book Antiqua"/>
          <w:bCs/>
          <w:sz w:val="22"/>
          <w:szCs w:val="22"/>
        </w:rPr>
        <w:t xml:space="preserve"> </w:t>
      </w:r>
      <w:r w:rsidRPr="005A5EA1">
        <w:rPr>
          <w:rFonts w:eastAsia="Book Antiqua"/>
          <w:bCs/>
          <w:i/>
          <w:iCs/>
          <w:sz w:val="22"/>
          <w:szCs w:val="22"/>
        </w:rPr>
        <w:t>Journal of Environmental Management and Tourism</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14</w:t>
      </w:r>
      <w:r w:rsidRPr="005A5EA1">
        <w:rPr>
          <w:rFonts w:eastAsia="Book Antiqua"/>
          <w:bCs/>
          <w:sz w:val="22"/>
          <w:szCs w:val="22"/>
        </w:rPr>
        <w:t>(1), 5.</w:t>
      </w:r>
      <w:r w:rsidR="00C811A6" w:rsidRPr="005A5EA1">
        <w:rPr>
          <w:rFonts w:eastAsia="Book Antiqua"/>
          <w:bCs/>
          <w:sz w:val="22"/>
          <w:szCs w:val="22"/>
        </w:rPr>
        <w:t xml:space="preserve"> </w:t>
      </w:r>
      <w:r w:rsidRPr="005A5EA1">
        <w:rPr>
          <w:rFonts w:eastAsia="Book Antiqua"/>
          <w:bCs/>
          <w:sz w:val="22"/>
          <w:szCs w:val="22"/>
        </w:rPr>
        <w:t>https://doi.org/10.14505/jemt.v14.1(65).01</w:t>
      </w:r>
    </w:p>
    <w:p w14:paraId="3660A0F2" w14:textId="1E983F67"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Stoykova, R. (2024). A new right to Procedural accuracy: a governance model for digital evidence in criminal proceedings.</w:t>
      </w:r>
      <w:r w:rsidR="00C811A6" w:rsidRPr="005A5EA1">
        <w:rPr>
          <w:rFonts w:eastAsia="Book Antiqua"/>
          <w:bCs/>
          <w:sz w:val="22"/>
          <w:szCs w:val="22"/>
        </w:rPr>
        <w:t xml:space="preserve"> </w:t>
      </w:r>
      <w:r w:rsidRPr="005A5EA1">
        <w:rPr>
          <w:rFonts w:eastAsia="Book Antiqua"/>
          <w:bCs/>
          <w:i/>
          <w:iCs/>
          <w:sz w:val="22"/>
          <w:szCs w:val="22"/>
        </w:rPr>
        <w:t>Computer Law &amp; Security Review</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55</w:t>
      </w:r>
      <w:r w:rsidRPr="005A5EA1">
        <w:rPr>
          <w:rFonts w:eastAsia="Book Antiqua"/>
          <w:bCs/>
          <w:sz w:val="22"/>
          <w:szCs w:val="22"/>
        </w:rPr>
        <w:t>, 106040.</w:t>
      </w:r>
      <w:r w:rsidR="00C811A6" w:rsidRPr="005A5EA1">
        <w:rPr>
          <w:rFonts w:eastAsia="Book Antiqua"/>
          <w:bCs/>
          <w:sz w:val="22"/>
          <w:szCs w:val="22"/>
        </w:rPr>
        <w:t xml:space="preserve"> </w:t>
      </w:r>
      <w:r w:rsidRPr="005A5EA1">
        <w:rPr>
          <w:rFonts w:eastAsia="Book Antiqua"/>
          <w:bCs/>
          <w:sz w:val="22"/>
          <w:szCs w:val="22"/>
        </w:rPr>
        <w:t xml:space="preserve">https://doi.org/10.1016/j.clsr.2024.106040 </w:t>
      </w:r>
    </w:p>
    <w:p w14:paraId="228DB0C8" w14:textId="77777777" w:rsidR="002E401A" w:rsidRPr="005A5EA1" w:rsidRDefault="002E401A" w:rsidP="005A5EA1">
      <w:pPr>
        <w:spacing w:line="480" w:lineRule="auto"/>
        <w:ind w:left="709" w:hanging="709"/>
        <w:jc w:val="both"/>
        <w:rPr>
          <w:rFonts w:eastAsia="Book Antiqua"/>
          <w:bCs/>
          <w:sz w:val="22"/>
          <w:szCs w:val="22"/>
        </w:rPr>
      </w:pPr>
      <w:r w:rsidRPr="005A5EA1">
        <w:rPr>
          <w:rFonts w:eastAsia="Book Antiqua"/>
          <w:bCs/>
          <w:sz w:val="22"/>
          <w:szCs w:val="22"/>
        </w:rPr>
        <w:lastRenderedPageBreak/>
        <w:t xml:space="preserve">Supreme Court of Ukraine. (2024). </w:t>
      </w:r>
      <w:r w:rsidRPr="005A5EA1">
        <w:rPr>
          <w:rFonts w:eastAsia="Book Antiqua"/>
          <w:bCs/>
          <w:i/>
          <w:iCs/>
          <w:sz w:val="22"/>
          <w:szCs w:val="22"/>
        </w:rPr>
        <w:t>Cybercrime and electronic evidence: Supreme Court judge explains the assessment of electronic evidence in criminal proceedings</w:t>
      </w:r>
      <w:r w:rsidRPr="005A5EA1">
        <w:rPr>
          <w:rFonts w:eastAsia="Book Antiqua"/>
          <w:bCs/>
          <w:sz w:val="22"/>
          <w:szCs w:val="22"/>
        </w:rPr>
        <w:t>. https://court.gov.ua/eng/supreme/pres-centr/news/1594957/</w:t>
      </w:r>
    </w:p>
    <w:p w14:paraId="340B27BA" w14:textId="4BEAF84B"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Supreme Court of Ukraine.</w:t>
      </w:r>
      <w:r w:rsidR="00C811A6" w:rsidRPr="005A5EA1">
        <w:rPr>
          <w:rFonts w:eastAsia="Book Antiqua"/>
          <w:bCs/>
          <w:sz w:val="22"/>
          <w:szCs w:val="22"/>
        </w:rPr>
        <w:t xml:space="preserve"> </w:t>
      </w:r>
      <w:r w:rsidRPr="005A5EA1">
        <w:rPr>
          <w:rFonts w:eastAsia="Book Antiqua"/>
          <w:bCs/>
          <w:sz w:val="22"/>
          <w:szCs w:val="22"/>
        </w:rPr>
        <w:t>(2025).</w:t>
      </w:r>
      <w:r w:rsidR="00C811A6" w:rsidRPr="005A5EA1">
        <w:rPr>
          <w:rFonts w:eastAsia="Book Antiqua"/>
          <w:bCs/>
          <w:sz w:val="22"/>
          <w:szCs w:val="22"/>
        </w:rPr>
        <w:t xml:space="preserve"> </w:t>
      </w:r>
      <w:r w:rsidRPr="005A5EA1">
        <w:rPr>
          <w:rFonts w:eastAsia="Book Antiqua"/>
          <w:bCs/>
          <w:i/>
          <w:iCs/>
          <w:sz w:val="22"/>
          <w:szCs w:val="22"/>
        </w:rPr>
        <w:t>A Supreme Court judge analyzed the criteria for admissibility and reliability of electronic evidence in criminal proceedings</w:t>
      </w:r>
      <w:r w:rsidR="00C811A6" w:rsidRPr="005A5EA1">
        <w:rPr>
          <w:rFonts w:eastAsia="Book Antiqua"/>
          <w:bCs/>
          <w:sz w:val="22"/>
          <w:szCs w:val="22"/>
        </w:rPr>
        <w:t xml:space="preserve"> </w:t>
      </w:r>
      <w:r w:rsidRPr="005A5EA1">
        <w:rPr>
          <w:rFonts w:eastAsia="Book Antiqua"/>
          <w:bCs/>
          <w:sz w:val="22"/>
          <w:szCs w:val="22"/>
        </w:rPr>
        <w:t>[Press release]. Judiciary of Ukraine.</w:t>
      </w:r>
      <w:r w:rsidR="00C811A6" w:rsidRPr="005A5EA1">
        <w:rPr>
          <w:rFonts w:eastAsia="Book Antiqua"/>
          <w:bCs/>
          <w:sz w:val="22"/>
          <w:szCs w:val="22"/>
        </w:rPr>
        <w:t xml:space="preserve"> </w:t>
      </w:r>
      <w:r w:rsidRPr="005A5EA1">
        <w:rPr>
          <w:rFonts w:eastAsia="Book Antiqua"/>
          <w:bCs/>
          <w:sz w:val="22"/>
          <w:szCs w:val="22"/>
        </w:rPr>
        <w:t>https://court.gov.ua/press/news/1751426/</w:t>
      </w:r>
    </w:p>
    <w:p w14:paraId="3260EA8E" w14:textId="4DE5948B" w:rsidR="002F227C" w:rsidRPr="005A5EA1" w:rsidRDefault="00D521CD" w:rsidP="005A5EA1">
      <w:pPr>
        <w:spacing w:line="480" w:lineRule="auto"/>
        <w:ind w:left="709" w:hanging="709"/>
        <w:jc w:val="both"/>
        <w:rPr>
          <w:rFonts w:eastAsia="Book Antiqua"/>
          <w:bCs/>
          <w:sz w:val="22"/>
          <w:szCs w:val="22"/>
        </w:rPr>
      </w:pPr>
      <w:r w:rsidRPr="005A5EA1">
        <w:rPr>
          <w:rFonts w:eastAsia="Book Antiqua"/>
          <w:bCs/>
          <w:sz w:val="22"/>
          <w:szCs w:val="22"/>
        </w:rPr>
        <w:t xml:space="preserve">United Nations Office on Drugs and Crime. (2019). </w:t>
      </w:r>
      <w:r w:rsidRPr="005A5EA1">
        <w:rPr>
          <w:rFonts w:eastAsia="Book Antiqua"/>
          <w:bCs/>
          <w:i/>
          <w:iCs/>
          <w:sz w:val="22"/>
          <w:szCs w:val="22"/>
        </w:rPr>
        <w:t>Digital evidence admissibility</w:t>
      </w:r>
      <w:r w:rsidRPr="005A5EA1">
        <w:rPr>
          <w:rFonts w:eastAsia="Book Antiqua"/>
          <w:bCs/>
          <w:sz w:val="22"/>
          <w:szCs w:val="22"/>
        </w:rPr>
        <w:t xml:space="preserve"> (Cybercrime Module 6, Key Issues, Education for Justice).</w:t>
      </w:r>
      <w:r w:rsidR="00C811A6" w:rsidRPr="005A5EA1">
        <w:rPr>
          <w:rFonts w:eastAsia="Book Antiqua"/>
          <w:bCs/>
          <w:sz w:val="22"/>
          <w:szCs w:val="22"/>
        </w:rPr>
        <w:t xml:space="preserve"> </w:t>
      </w:r>
      <w:r w:rsidRPr="005A5EA1">
        <w:rPr>
          <w:rFonts w:eastAsia="Book Antiqua"/>
          <w:bCs/>
          <w:sz w:val="22"/>
          <w:szCs w:val="22"/>
        </w:rPr>
        <w:t>https://www.unodc.org/e4j/en/cybercrime/module-6/key-issues/digital-evidence-admissibility.html</w:t>
      </w:r>
    </w:p>
    <w:p w14:paraId="374309C8" w14:textId="7C13BC31"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Wilson-Kovacs, D., Helm, R., Growns, B., &amp; Redfern, L. (2023). Digital evidence in defence practice: Prevalence, challenges and expertise.</w:t>
      </w:r>
      <w:r w:rsidR="00C811A6" w:rsidRPr="005A5EA1">
        <w:rPr>
          <w:rFonts w:eastAsia="Book Antiqua"/>
          <w:bCs/>
          <w:sz w:val="22"/>
          <w:szCs w:val="22"/>
        </w:rPr>
        <w:t xml:space="preserve"> </w:t>
      </w:r>
      <w:r w:rsidRPr="005A5EA1">
        <w:rPr>
          <w:rFonts w:eastAsia="Book Antiqua"/>
          <w:bCs/>
          <w:i/>
          <w:iCs/>
          <w:sz w:val="22"/>
          <w:szCs w:val="22"/>
        </w:rPr>
        <w:t>The International Journal of Evidence &amp; Proof</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27</w:t>
      </w:r>
      <w:r w:rsidRPr="005A5EA1">
        <w:rPr>
          <w:rFonts w:eastAsia="Book Antiqua"/>
          <w:bCs/>
          <w:sz w:val="22"/>
          <w:szCs w:val="22"/>
        </w:rPr>
        <w:t>(3), 235–253.</w:t>
      </w:r>
      <w:r w:rsidR="00C811A6" w:rsidRPr="005A5EA1">
        <w:rPr>
          <w:rFonts w:eastAsia="Book Antiqua"/>
          <w:bCs/>
          <w:sz w:val="22"/>
          <w:szCs w:val="22"/>
        </w:rPr>
        <w:t xml:space="preserve"> </w:t>
      </w:r>
      <w:r w:rsidRPr="005A5EA1">
        <w:rPr>
          <w:rFonts w:eastAsia="Book Antiqua"/>
          <w:bCs/>
          <w:sz w:val="22"/>
          <w:szCs w:val="22"/>
        </w:rPr>
        <w:t xml:space="preserve">https://doi.org/10.1177/13657127231171620 </w:t>
      </w:r>
    </w:p>
    <w:p w14:paraId="21DB0630" w14:textId="543E01AA" w:rsidR="002F227C" w:rsidRPr="005A5EA1" w:rsidRDefault="00000000" w:rsidP="005A5EA1">
      <w:pPr>
        <w:spacing w:line="480" w:lineRule="auto"/>
        <w:ind w:left="709" w:hanging="709"/>
        <w:jc w:val="both"/>
        <w:rPr>
          <w:rFonts w:eastAsia="Book Antiqua"/>
          <w:bCs/>
          <w:sz w:val="22"/>
          <w:szCs w:val="22"/>
        </w:rPr>
      </w:pPr>
      <w:r w:rsidRPr="005A5EA1">
        <w:rPr>
          <w:rFonts w:eastAsia="Book Antiqua"/>
          <w:bCs/>
          <w:sz w:val="22"/>
          <w:szCs w:val="22"/>
        </w:rPr>
        <w:t>Yermachenko, V. (2023). Theory and Practice of Public Management of Smart Infrastructure in the Conditions of the Digital Society’ Development: Socio-economic Aspects.</w:t>
      </w:r>
      <w:r w:rsidR="00C811A6" w:rsidRPr="005A5EA1">
        <w:rPr>
          <w:rFonts w:eastAsia="Book Antiqua"/>
          <w:bCs/>
          <w:sz w:val="22"/>
          <w:szCs w:val="22"/>
        </w:rPr>
        <w:t xml:space="preserve"> </w:t>
      </w:r>
      <w:r w:rsidRPr="005A5EA1">
        <w:rPr>
          <w:rFonts w:eastAsia="Book Antiqua"/>
          <w:bCs/>
          <w:i/>
          <w:iCs/>
          <w:sz w:val="22"/>
          <w:szCs w:val="22"/>
        </w:rPr>
        <w:t>Economic Affairs</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i/>
          <w:iCs/>
          <w:sz w:val="22"/>
          <w:szCs w:val="22"/>
        </w:rPr>
        <w:t>68</w:t>
      </w:r>
      <w:r w:rsidRPr="005A5EA1">
        <w:rPr>
          <w:rFonts w:eastAsia="Book Antiqua"/>
          <w:bCs/>
          <w:sz w:val="22"/>
          <w:szCs w:val="22"/>
        </w:rPr>
        <w:t>(1)</w:t>
      </w:r>
      <w:r w:rsidR="004F2799" w:rsidRPr="005A5EA1">
        <w:rPr>
          <w:rFonts w:eastAsia="Book Antiqua"/>
          <w:bCs/>
          <w:sz w:val="22"/>
          <w:szCs w:val="22"/>
        </w:rPr>
        <w:t>, 617-633</w:t>
      </w:r>
      <w:r w:rsidRPr="005A5EA1">
        <w:rPr>
          <w:rFonts w:eastAsia="Book Antiqua"/>
          <w:bCs/>
          <w:sz w:val="22"/>
          <w:szCs w:val="22"/>
        </w:rPr>
        <w:t>.</w:t>
      </w:r>
      <w:r w:rsidR="00C811A6" w:rsidRPr="005A5EA1">
        <w:rPr>
          <w:rFonts w:eastAsia="Book Antiqua"/>
          <w:bCs/>
          <w:sz w:val="22"/>
          <w:szCs w:val="22"/>
        </w:rPr>
        <w:t xml:space="preserve"> </w:t>
      </w:r>
      <w:r w:rsidRPr="005A5EA1">
        <w:rPr>
          <w:rFonts w:eastAsia="Book Antiqua"/>
          <w:bCs/>
          <w:sz w:val="22"/>
          <w:szCs w:val="22"/>
        </w:rPr>
        <w:t>https://doi.org/10.46852/0424-2513.1.2023.29</w:t>
      </w:r>
    </w:p>
    <w:p w14:paraId="6A8932AE" w14:textId="77777777" w:rsidR="002F227C" w:rsidRPr="00133959" w:rsidRDefault="002F227C" w:rsidP="00133959">
      <w:pPr>
        <w:pStyle w:val="ListParagraph"/>
        <w:spacing w:line="480" w:lineRule="auto"/>
        <w:ind w:left="0" w:firstLine="709"/>
        <w:jc w:val="both"/>
        <w:rPr>
          <w:rFonts w:eastAsia="Book Antiqua"/>
          <w:bCs/>
          <w:sz w:val="22"/>
          <w:szCs w:val="22"/>
        </w:rPr>
      </w:pPr>
    </w:p>
    <w:p w14:paraId="5D83C6D2" w14:textId="77777777" w:rsidR="00981586" w:rsidRPr="00133959" w:rsidRDefault="00981586" w:rsidP="00133959">
      <w:pPr>
        <w:spacing w:line="480" w:lineRule="auto"/>
        <w:ind w:firstLine="709"/>
        <w:jc w:val="both"/>
        <w:rPr>
          <w:rFonts w:eastAsia="Book Antiqua"/>
          <w:sz w:val="22"/>
          <w:szCs w:val="22"/>
          <w:lang w:bidi="en-US"/>
        </w:rPr>
      </w:pPr>
    </w:p>
    <w:p w14:paraId="0FEC2733" w14:textId="77777777" w:rsidR="00981586" w:rsidRPr="00133959" w:rsidRDefault="00981586" w:rsidP="00133959">
      <w:pPr>
        <w:spacing w:line="480" w:lineRule="auto"/>
        <w:ind w:firstLine="709"/>
        <w:jc w:val="both"/>
        <w:rPr>
          <w:rFonts w:eastAsia="Book Antiqua"/>
          <w:bCs/>
          <w:sz w:val="22"/>
          <w:szCs w:val="22"/>
        </w:rPr>
      </w:pPr>
    </w:p>
    <w:sectPr w:rsidR="00981586" w:rsidRPr="00133959" w:rsidSect="00981586">
      <w:pgSz w:w="11906" w:h="16838" w:code="9"/>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C0BF" w14:textId="77777777" w:rsidR="007E3256" w:rsidRDefault="007E3256">
      <w:r>
        <w:separator/>
      </w:r>
    </w:p>
  </w:endnote>
  <w:endnote w:type="continuationSeparator" w:id="0">
    <w:p w14:paraId="57799B4A" w14:textId="77777777" w:rsidR="007E3256" w:rsidRDefault="007E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altName w:val="Calibri"/>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C005" w14:textId="77777777" w:rsidR="007E3256" w:rsidRDefault="007E3256">
      <w:r>
        <w:separator/>
      </w:r>
    </w:p>
  </w:footnote>
  <w:footnote w:type="continuationSeparator" w:id="0">
    <w:p w14:paraId="645E5099" w14:textId="77777777" w:rsidR="007E3256" w:rsidRDefault="007E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2D20"/>
    <w:multiLevelType w:val="hybridMultilevel"/>
    <w:tmpl w:val="DB74B1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733349AC"/>
    <w:multiLevelType w:val="multilevel"/>
    <w:tmpl w:val="73334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774641">
    <w:abstractNumId w:val="1"/>
  </w:num>
  <w:num w:numId="2" w16cid:durableId="76954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5A"/>
    <w:rsid w:val="000069FE"/>
    <w:rsid w:val="00006F90"/>
    <w:rsid w:val="00015FF2"/>
    <w:rsid w:val="000206B3"/>
    <w:rsid w:val="00037114"/>
    <w:rsid w:val="00042134"/>
    <w:rsid w:val="00065B80"/>
    <w:rsid w:val="00066B0D"/>
    <w:rsid w:val="000678BC"/>
    <w:rsid w:val="00083521"/>
    <w:rsid w:val="00085225"/>
    <w:rsid w:val="000D4B7B"/>
    <w:rsid w:val="000D66ED"/>
    <w:rsid w:val="00127B11"/>
    <w:rsid w:val="001335FA"/>
    <w:rsid w:val="00133959"/>
    <w:rsid w:val="001839C9"/>
    <w:rsid w:val="001B30FC"/>
    <w:rsid w:val="001B7A08"/>
    <w:rsid w:val="001D2F14"/>
    <w:rsid w:val="001E191E"/>
    <w:rsid w:val="0020693B"/>
    <w:rsid w:val="0021440E"/>
    <w:rsid w:val="00221434"/>
    <w:rsid w:val="002344B1"/>
    <w:rsid w:val="00235CF0"/>
    <w:rsid w:val="00290EEF"/>
    <w:rsid w:val="00293993"/>
    <w:rsid w:val="002C1CB1"/>
    <w:rsid w:val="002D67FD"/>
    <w:rsid w:val="002E31CC"/>
    <w:rsid w:val="002E401A"/>
    <w:rsid w:val="002F227C"/>
    <w:rsid w:val="00312E0A"/>
    <w:rsid w:val="00316040"/>
    <w:rsid w:val="00324FBC"/>
    <w:rsid w:val="003251C4"/>
    <w:rsid w:val="00344115"/>
    <w:rsid w:val="0034664D"/>
    <w:rsid w:val="00365DE4"/>
    <w:rsid w:val="003661B4"/>
    <w:rsid w:val="00367C8B"/>
    <w:rsid w:val="003868AD"/>
    <w:rsid w:val="003A74F7"/>
    <w:rsid w:val="003E0354"/>
    <w:rsid w:val="003E0C57"/>
    <w:rsid w:val="003F102F"/>
    <w:rsid w:val="00401279"/>
    <w:rsid w:val="00407602"/>
    <w:rsid w:val="004204A9"/>
    <w:rsid w:val="0043188D"/>
    <w:rsid w:val="004503A5"/>
    <w:rsid w:val="00467E5F"/>
    <w:rsid w:val="00481540"/>
    <w:rsid w:val="00496303"/>
    <w:rsid w:val="004A0965"/>
    <w:rsid w:val="004B47CE"/>
    <w:rsid w:val="004B5C81"/>
    <w:rsid w:val="004C7538"/>
    <w:rsid w:val="004D721E"/>
    <w:rsid w:val="004F2799"/>
    <w:rsid w:val="00522876"/>
    <w:rsid w:val="00541853"/>
    <w:rsid w:val="00555B67"/>
    <w:rsid w:val="00582765"/>
    <w:rsid w:val="005842E5"/>
    <w:rsid w:val="005905AE"/>
    <w:rsid w:val="005A2C02"/>
    <w:rsid w:val="005A5EA1"/>
    <w:rsid w:val="005C5CE3"/>
    <w:rsid w:val="00615635"/>
    <w:rsid w:val="00632FDF"/>
    <w:rsid w:val="0064426A"/>
    <w:rsid w:val="00644A5A"/>
    <w:rsid w:val="006505FF"/>
    <w:rsid w:val="0065585C"/>
    <w:rsid w:val="006710FC"/>
    <w:rsid w:val="0067223C"/>
    <w:rsid w:val="0068711C"/>
    <w:rsid w:val="0069560E"/>
    <w:rsid w:val="006C78B8"/>
    <w:rsid w:val="006C7C9D"/>
    <w:rsid w:val="006E02CB"/>
    <w:rsid w:val="006F67E7"/>
    <w:rsid w:val="00747ED4"/>
    <w:rsid w:val="00762E6A"/>
    <w:rsid w:val="007664D8"/>
    <w:rsid w:val="00776B6B"/>
    <w:rsid w:val="007A311D"/>
    <w:rsid w:val="007C7671"/>
    <w:rsid w:val="007E3256"/>
    <w:rsid w:val="007E49C5"/>
    <w:rsid w:val="0082279D"/>
    <w:rsid w:val="008676C3"/>
    <w:rsid w:val="008C2E19"/>
    <w:rsid w:val="008D2428"/>
    <w:rsid w:val="009025B3"/>
    <w:rsid w:val="0090575E"/>
    <w:rsid w:val="009109EA"/>
    <w:rsid w:val="0092016F"/>
    <w:rsid w:val="00925B88"/>
    <w:rsid w:val="00953EE3"/>
    <w:rsid w:val="009655DE"/>
    <w:rsid w:val="00971C87"/>
    <w:rsid w:val="00981586"/>
    <w:rsid w:val="00986F33"/>
    <w:rsid w:val="00997469"/>
    <w:rsid w:val="009A7831"/>
    <w:rsid w:val="009C6073"/>
    <w:rsid w:val="009D42BD"/>
    <w:rsid w:val="009E301D"/>
    <w:rsid w:val="009E69C7"/>
    <w:rsid w:val="009F0458"/>
    <w:rsid w:val="009F24A9"/>
    <w:rsid w:val="009F4F67"/>
    <w:rsid w:val="00A37BCF"/>
    <w:rsid w:val="00A55545"/>
    <w:rsid w:val="00A7160B"/>
    <w:rsid w:val="00A71F7E"/>
    <w:rsid w:val="00A90E8E"/>
    <w:rsid w:val="00AA1A9C"/>
    <w:rsid w:val="00AA2C3C"/>
    <w:rsid w:val="00AF2E28"/>
    <w:rsid w:val="00B02368"/>
    <w:rsid w:val="00B164F2"/>
    <w:rsid w:val="00B511F6"/>
    <w:rsid w:val="00B55A25"/>
    <w:rsid w:val="00B64A10"/>
    <w:rsid w:val="00B7068D"/>
    <w:rsid w:val="00B75410"/>
    <w:rsid w:val="00B921B3"/>
    <w:rsid w:val="00B93F92"/>
    <w:rsid w:val="00BD48AB"/>
    <w:rsid w:val="00BF4E09"/>
    <w:rsid w:val="00C17F05"/>
    <w:rsid w:val="00C55C45"/>
    <w:rsid w:val="00C56E5B"/>
    <w:rsid w:val="00C605F9"/>
    <w:rsid w:val="00C7481A"/>
    <w:rsid w:val="00C810E5"/>
    <w:rsid w:val="00C811A6"/>
    <w:rsid w:val="00C8735B"/>
    <w:rsid w:val="00C91304"/>
    <w:rsid w:val="00CD3349"/>
    <w:rsid w:val="00CD3712"/>
    <w:rsid w:val="00D07A88"/>
    <w:rsid w:val="00D12431"/>
    <w:rsid w:val="00D16EFA"/>
    <w:rsid w:val="00D4271F"/>
    <w:rsid w:val="00D521CD"/>
    <w:rsid w:val="00D52D71"/>
    <w:rsid w:val="00D64892"/>
    <w:rsid w:val="00D878D6"/>
    <w:rsid w:val="00DA3A29"/>
    <w:rsid w:val="00DB0F8A"/>
    <w:rsid w:val="00DC6790"/>
    <w:rsid w:val="00DF37C8"/>
    <w:rsid w:val="00E0495F"/>
    <w:rsid w:val="00E074A0"/>
    <w:rsid w:val="00E22905"/>
    <w:rsid w:val="00E522EE"/>
    <w:rsid w:val="00E665FB"/>
    <w:rsid w:val="00E81DC1"/>
    <w:rsid w:val="00E97A3F"/>
    <w:rsid w:val="00EA3227"/>
    <w:rsid w:val="00EB394B"/>
    <w:rsid w:val="00EB5E31"/>
    <w:rsid w:val="00EC0EFF"/>
    <w:rsid w:val="00ED0C33"/>
    <w:rsid w:val="00ED0F6B"/>
    <w:rsid w:val="00EE397D"/>
    <w:rsid w:val="00F02F8A"/>
    <w:rsid w:val="00F05E3A"/>
    <w:rsid w:val="00F2171A"/>
    <w:rsid w:val="00F30126"/>
    <w:rsid w:val="00F319A4"/>
    <w:rsid w:val="00F366FB"/>
    <w:rsid w:val="00F37582"/>
    <w:rsid w:val="00F5072C"/>
    <w:rsid w:val="00F75366"/>
    <w:rsid w:val="00F753F3"/>
    <w:rsid w:val="00F86A09"/>
    <w:rsid w:val="00F93FDF"/>
    <w:rsid w:val="00FA5B03"/>
    <w:rsid w:val="00FB6F31"/>
    <w:rsid w:val="00FC5600"/>
    <w:rsid w:val="59810B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1C02"/>
  <w15:docId w15:val="{27B2DA5E-06E8-40E7-8CC0-1CCE97A1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ru-RU"/>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1">
    <w:name w:val="Неразрешенное упоминание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character" w:customStyle="1" w:styleId="2">
    <w:name w:val="Неразрешенное упоминание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8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riana_sheketa\Desktop\18045\Digital_Evidence_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riana_sheketa\Desktop\18045\Digital_Evidence_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riana_sheketa\Desktop\18045\Digital_Evidence_Figur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'[Digital_Evidence_Figures.xlsx]Figure 2 - Lifecycle Acts'!$B$1</c:f>
              <c:strCache>
                <c:ptCount val="1"/>
                <c:pt idx="0">
                  <c:v>Procedural Acts</c:v>
                </c:pt>
              </c:strCache>
            </c:strRef>
          </c:tx>
          <c:invertIfNegative val="1"/>
          <c:dPt>
            <c:idx val="0"/>
            <c:invertIfNegative val="1"/>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52E-4B4E-8B7B-876FC0564DC3}"/>
              </c:ext>
            </c:extLst>
          </c:dPt>
          <c:dPt>
            <c:idx val="1"/>
            <c:invertIfNegative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52E-4B4E-8B7B-876FC0564DC3}"/>
              </c:ext>
            </c:extLst>
          </c:dPt>
          <c:dPt>
            <c:idx val="2"/>
            <c:invertIfNegative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E52E-4B4E-8B7B-876FC0564DC3}"/>
              </c:ext>
            </c:extLst>
          </c:dPt>
          <c:dPt>
            <c:idx val="3"/>
            <c:invertIfNegative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E52E-4B4E-8B7B-876FC0564DC3}"/>
              </c:ext>
            </c:extLst>
          </c:dPt>
          <c:dPt>
            <c:idx val="4"/>
            <c:invertIfNegative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E52E-4B4E-8B7B-876FC0564DC3}"/>
              </c:ext>
            </c:extLst>
          </c:dPt>
          <c:cat>
            <c:strRef>
              <c:f>'[Digital_Evidence_Figures.xlsx]Figure 2 - Lifecycle Acts'!$A$2:$A$6</c:f>
              <c:strCache>
                <c:ptCount val="5"/>
                <c:pt idx="0">
                  <c:v>Acquisition</c:v>
                </c:pt>
                <c:pt idx="1">
                  <c:v>Preservation</c:v>
                </c:pt>
                <c:pt idx="2">
                  <c:v>Analysis</c:v>
                </c:pt>
                <c:pt idx="3">
                  <c:v>Transfer</c:v>
                </c:pt>
                <c:pt idx="4">
                  <c:v>Submission</c:v>
                </c:pt>
              </c:strCache>
            </c:strRef>
          </c:cat>
          <c:val>
            <c:numRef>
              <c:f>'[Digital_Evidence_Figures.xlsx]Figure 2 - Lifecycle Acts'!$B$2:$B$6</c:f>
              <c:numCache>
                <c:formatCode>General</c:formatCode>
                <c:ptCount val="5"/>
                <c:pt idx="0">
                  <c:v>12</c:v>
                </c:pt>
                <c:pt idx="1">
                  <c:v>28</c:v>
                </c:pt>
                <c:pt idx="2">
                  <c:v>18</c:v>
                </c:pt>
                <c:pt idx="3">
                  <c:v>30</c:v>
                </c:pt>
                <c:pt idx="4">
                  <c:v>14</c:v>
                </c:pt>
              </c:numCache>
            </c:numRef>
          </c:val>
          <c:extLst>
            <c:ext xmlns:c16="http://schemas.microsoft.com/office/drawing/2014/chart" uri="{C3380CC4-5D6E-409C-BE32-E72D297353CC}">
              <c16:uniqueId val="{0000000A-E52E-4B4E-8B7B-876FC0564DC3}"/>
            </c:ext>
          </c:extLst>
        </c:ser>
        <c:dLbls>
          <c:showLegendKey val="0"/>
          <c:showVal val="0"/>
          <c:showCatName val="0"/>
          <c:showSerName val="0"/>
          <c:showPercent val="0"/>
          <c:showBubbleSize val="0"/>
        </c:dLbls>
        <c:gapWidth val="100"/>
        <c:overlap val="-24"/>
        <c:axId val="10"/>
        <c:axId val="100"/>
      </c:barChart>
      <c:catAx>
        <c:axId val="10"/>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t>Lifecycle Phase</a:t>
                </a:r>
              </a:p>
            </c:rich>
          </c:tx>
          <c:overlay val="1"/>
          <c:spPr>
            <a:noFill/>
            <a:ln>
              <a:noFill/>
            </a:ln>
            <a:effectLst/>
          </c:spPr>
          <c:txPr>
            <a:bodyPr rot="0" spcFirstLastPara="1" vertOverflow="ellipsis" vert="horz" wrap="square" anchor="ctr" anchorCtr="1"/>
            <a:lstStyle/>
            <a:p>
              <a:pPr>
                <a:defRPr lang="en-US"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GB"/>
                  <a:t>Number of Actions</a:t>
                </a:r>
              </a:p>
            </c:rich>
          </c:tx>
          <c:overlay val="1"/>
          <c:spPr>
            <a:noFill/>
            <a:ln>
              <a:noFill/>
            </a:ln>
            <a:effectLst/>
          </c:spPr>
          <c:txPr>
            <a:bodyPr rot="-5400000" spcFirstLastPara="1" vertOverflow="ellipsis" vert="horz" wrap="square" anchor="ctr" anchorCtr="1"/>
            <a:lstStyle/>
            <a:p>
              <a:pPr>
                <a:defRPr lang="en-US"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extLst>
      <c:ext uri="{0b15fc19-7d7d-44ad-8c2d-2c3a37ce22c3}">
        <chartProps xmlns="https://web.wps.cn/et/2018/main" chartId="{c691ce4c-e1d0-499d-9c41-f95a25f6f211}"/>
      </c:ext>
    </c:extLst>
  </c:chart>
  <c:spPr>
    <a:solidFill>
      <a:schemeClr val="bg1"/>
    </a:solidFill>
    <a:ln w="9525" cap="flat" cmpd="sng" algn="ctr">
      <a:solidFill>
        <a:schemeClr val="tx2">
          <a:lumMod val="15000"/>
          <a:lumOff val="85000"/>
        </a:schemeClr>
      </a:solidFill>
      <a:round/>
    </a:ln>
    <a:effectLst/>
  </c:spPr>
  <c:txPr>
    <a:bodyPr/>
    <a:lstStyle/>
    <a:p>
      <a:pPr>
        <a:defRPr lang="en-US"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'[Digital_Evidence_Figures.xlsx]Figure 3 - Continuity'!$B$1</c:f>
              <c:strCache>
                <c:ptCount val="1"/>
                <c:pt idx="0">
                  <c:v>Occurrences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950-4C79-8566-F65FEDC54FF9}"/>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950-4C79-8566-F65FEDC54FF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950-4C79-8566-F65FEDC54FF9}"/>
              </c:ext>
            </c:extLst>
          </c:dPt>
          <c:dLbls>
            <c:spPr>
              <a:noFill/>
              <a:ln>
                <a:noFill/>
              </a:ln>
              <a:effectLst/>
            </c:spPr>
            <c:txPr>
              <a:bodyPr rot="0" spcFirstLastPara="1" vertOverflow="ellipsis" vert="horz" wrap="square" anchor="ctr" anchorCtr="1"/>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'[Digital_Evidence_Figures.xlsx]Figure 3 - Continuity'!$A$2:$A$4</c:f>
              <c:strCache>
                <c:ptCount val="3"/>
                <c:pt idx="0">
                  <c:v>Temporal</c:v>
                </c:pt>
                <c:pt idx="1">
                  <c:v>Subject</c:v>
                </c:pt>
                <c:pt idx="2">
                  <c:v>Functional</c:v>
                </c:pt>
              </c:strCache>
            </c:strRef>
          </c:cat>
          <c:val>
            <c:numRef>
              <c:f>'[Digital_Evidence_Figures.xlsx]Figure 3 - Continuity'!$B$2:$B$4</c:f>
              <c:numCache>
                <c:formatCode>General</c:formatCode>
                <c:ptCount val="3"/>
                <c:pt idx="0">
                  <c:v>9</c:v>
                </c:pt>
                <c:pt idx="1">
                  <c:v>4</c:v>
                </c:pt>
                <c:pt idx="2">
                  <c:v>17</c:v>
                </c:pt>
              </c:numCache>
            </c:numRef>
          </c:val>
          <c:extLst>
            <c:ext xmlns:c16="http://schemas.microsoft.com/office/drawing/2014/chart" uri="{C3380CC4-5D6E-409C-BE32-E72D297353CC}">
              <c16:uniqueId val="{00000006-A950-4C79-8566-F65FEDC54FF9}"/>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extLst>
      <c:ext uri="{0b15fc19-7d7d-44ad-8c2d-2c3a37ce22c3}">
        <chartProps xmlns="https://web.wps.cn/et/2018/main" chartId="{aa2dfbfd-b931-4a48-a862-0ee9c29ec376}"/>
      </c:ext>
    </c:extLst>
  </c:chart>
  <c:spPr>
    <a:solidFill>
      <a:schemeClr val="bg1"/>
    </a:solidFill>
    <a:ln w="9525" cap="flat" cmpd="sng" algn="ctr">
      <a:solidFill>
        <a:schemeClr val="tx1">
          <a:lumMod val="15000"/>
          <a:lumOff val="85000"/>
        </a:schemeClr>
      </a:solidFill>
      <a:round/>
    </a:ln>
    <a:effectLst/>
  </c:spPr>
  <c:txPr>
    <a:bodyPr/>
    <a:lstStyle/>
    <a:p>
      <a:pPr>
        <a:defRPr lang="en-US"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1"/>
        <c:ser>
          <c:idx val="0"/>
          <c:order val="0"/>
          <c:tx>
            <c:strRef>
              <c:f>'[Digital_Evidence_Figures.xlsx]Figure 4 - Legal Reliability'!$B$1</c:f>
              <c:strCache>
                <c:ptCount val="1"/>
                <c:pt idx="0">
                  <c:v>Score</c:v>
                </c:pt>
              </c:strCache>
            </c:strRef>
          </c:tx>
          <c:marker>
            <c:symbol val="none"/>
          </c:marker>
          <c:dPt>
            <c:idx val="0"/>
            <c:marker>
              <c:symbol val="none"/>
            </c:marker>
            <c:bubble3D val="0"/>
            <c:spPr>
              <a:ln w="31750" cap="rnd">
                <a:solidFill>
                  <a:schemeClr val="accent1"/>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1-0D5B-41C6-9A0B-A1E26FBD076A}"/>
              </c:ext>
            </c:extLst>
          </c:dPt>
          <c:dPt>
            <c:idx val="1"/>
            <c:marker>
              <c:symbol val="none"/>
            </c:marker>
            <c:bubble3D val="0"/>
            <c:spPr>
              <a:ln w="31750" cap="rnd">
                <a:solidFill>
                  <a:schemeClr val="accent2"/>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3-0D5B-41C6-9A0B-A1E26FBD076A}"/>
              </c:ext>
            </c:extLst>
          </c:dPt>
          <c:dPt>
            <c:idx val="2"/>
            <c:marker>
              <c:symbol val="none"/>
            </c:marker>
            <c:bubble3D val="0"/>
            <c:spPr>
              <a:ln w="31750" cap="rnd">
                <a:solidFill>
                  <a:schemeClr val="accent3"/>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5-0D5B-41C6-9A0B-A1E26FBD076A}"/>
              </c:ext>
            </c:extLst>
          </c:dPt>
          <c:dPt>
            <c:idx val="3"/>
            <c:marker>
              <c:symbol val="none"/>
            </c:marker>
            <c:bubble3D val="0"/>
            <c:spPr>
              <a:ln w="31750" cap="rnd">
                <a:solidFill>
                  <a:schemeClr val="accent4"/>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7-0D5B-41C6-9A0B-A1E26FBD076A}"/>
              </c:ext>
            </c:extLst>
          </c:dPt>
          <c:dPt>
            <c:idx val="4"/>
            <c:marker>
              <c:symbol val="none"/>
            </c:marker>
            <c:bubble3D val="0"/>
            <c:spPr>
              <a:ln w="31750" cap="rnd">
                <a:solidFill>
                  <a:schemeClr val="accent5"/>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9-0D5B-41C6-9A0B-A1E26FBD076A}"/>
              </c:ext>
            </c:extLst>
          </c:dPt>
          <c:cat>
            <c:strRef>
              <c:f>'[Digital_Evidence_Figures.xlsx]Figure 4 - Legal Reliability'!$A$2:$A$6</c:f>
              <c:strCache>
                <c:ptCount val="5"/>
                <c:pt idx="0">
                  <c:v>Integrity</c:v>
                </c:pt>
                <c:pt idx="1">
                  <c:v>Authenticity</c:v>
                </c:pt>
                <c:pt idx="2">
                  <c:v>Continuity</c:v>
                </c:pt>
                <c:pt idx="3">
                  <c:v>Procedural Legality</c:v>
                </c:pt>
                <c:pt idx="4">
                  <c:v>Technical Verifiability</c:v>
                </c:pt>
              </c:strCache>
            </c:strRef>
          </c:cat>
          <c:val>
            <c:numRef>
              <c:f>'[Digital_Evidence_Figures.xlsx]Figure 4 - Legal Reliability'!$B$2:$B$6</c:f>
              <c:numCache>
                <c:formatCode>General</c:formatCode>
                <c:ptCount val="5"/>
                <c:pt idx="0">
                  <c:v>4.5999999999999996</c:v>
                </c:pt>
                <c:pt idx="1">
                  <c:v>4.4000000000000004</c:v>
                </c:pt>
                <c:pt idx="2">
                  <c:v>4.0999999999999996</c:v>
                </c:pt>
                <c:pt idx="3">
                  <c:v>4.8</c:v>
                </c:pt>
                <c:pt idx="4">
                  <c:v>4.3</c:v>
                </c:pt>
              </c:numCache>
            </c:numRef>
          </c:val>
          <c:extLst>
            <c:ext xmlns:c16="http://schemas.microsoft.com/office/drawing/2014/chart" uri="{C3380CC4-5D6E-409C-BE32-E72D297353CC}">
              <c16:uniqueId val="{0000000A-0D5B-41C6-9A0B-A1E26FBD076A}"/>
            </c:ext>
          </c:extLst>
        </c:ser>
        <c:dLbls>
          <c:showLegendKey val="0"/>
          <c:showVal val="0"/>
          <c:showCatName val="0"/>
          <c:showSerName val="0"/>
          <c:showPercent val="0"/>
          <c:showBubbleSize val="0"/>
        </c:dLbls>
        <c:axId val="10"/>
        <c:axId val="100"/>
      </c:radarChart>
      <c:catAx>
        <c:axId val="1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extLst>
      <c:ext uri="{0b15fc19-7d7d-44ad-8c2d-2c3a37ce22c3}">
        <chartProps xmlns="https://web.wps.cn/et/2018/main" chartId="{c90f22c8-2105-433b-aa92-7d9ad4cc6c0b}"/>
      </c:ext>
    </c:extLst>
  </c:chart>
  <c:spPr>
    <a:solidFill>
      <a:schemeClr val="bg1"/>
    </a:solidFill>
    <a:ln w="9525" cap="flat" cmpd="sng" algn="ctr">
      <a:solidFill>
        <a:schemeClr val="tx2">
          <a:lumMod val="15000"/>
          <a:lumOff val="85000"/>
        </a:schemeClr>
      </a:solidFill>
      <a:round/>
    </a:ln>
    <a:effectLst/>
  </c:spPr>
  <c:txPr>
    <a:bodyPr/>
    <a:lstStyle/>
    <a:p>
      <a:pPr>
        <a:defRPr lang="en-US"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ZhqcYTYMXw0MwX9oheibwu0icg==">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7818</Words>
  <Characters>44567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Oleksandr NEMCHENKO</cp:lastModifiedBy>
  <cp:revision>2</cp:revision>
  <dcterms:created xsi:type="dcterms:W3CDTF">2026-03-30T06:46:00Z</dcterms:created>
  <dcterms:modified xsi:type="dcterms:W3CDTF">2026-03-30T06:46:00Z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BDA802E182044FF38B7F9DB7239A1C7A_12</vt:lpwstr>
  </property>
</Properties>
</file>