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FD29" w14:textId="072A46C1" w:rsidR="00992EC6" w:rsidRPr="00F6494F" w:rsidRDefault="00F03C1E" w:rsidP="00E74028">
      <w:pPr>
        <w:jc w:val="center"/>
        <w:rPr>
          <w:rFonts w:ascii="Arial MT" w:hAnsi="Arial MT"/>
          <w:b/>
          <w:bCs/>
          <w:sz w:val="22"/>
          <w:szCs w:val="22"/>
        </w:rPr>
      </w:pPr>
      <w:r w:rsidRPr="00F6494F">
        <w:rPr>
          <w:rFonts w:ascii="Arial MT" w:hAnsi="Arial MT"/>
          <w:b/>
          <w:bCs/>
          <w:sz w:val="22"/>
          <w:szCs w:val="22"/>
        </w:rPr>
        <w:t xml:space="preserve">Ensuring </w:t>
      </w:r>
      <w:r w:rsidR="00B673FF" w:rsidRPr="00F6494F">
        <w:rPr>
          <w:rFonts w:ascii="Arial MT" w:hAnsi="Arial MT"/>
          <w:b/>
          <w:bCs/>
          <w:sz w:val="22"/>
          <w:szCs w:val="22"/>
        </w:rPr>
        <w:t xml:space="preserve">Fair </w:t>
      </w:r>
      <w:r w:rsidRPr="00F6494F">
        <w:rPr>
          <w:rFonts w:ascii="Arial MT" w:hAnsi="Arial MT"/>
          <w:b/>
          <w:bCs/>
          <w:sz w:val="22"/>
          <w:szCs w:val="22"/>
        </w:rPr>
        <w:t xml:space="preserve">Legal Protection for </w:t>
      </w:r>
      <w:r w:rsidR="00E74028" w:rsidRPr="00F6494F">
        <w:rPr>
          <w:rFonts w:ascii="Arial MT" w:hAnsi="Arial MT"/>
          <w:b/>
          <w:bCs/>
          <w:sz w:val="22"/>
          <w:szCs w:val="22"/>
        </w:rPr>
        <w:t xml:space="preserve">Organ Donors in Indonesia </w:t>
      </w:r>
    </w:p>
    <w:p w14:paraId="0DC5CF07" w14:textId="2AD6D781" w:rsidR="00263133" w:rsidRPr="00F6494F" w:rsidRDefault="00F03C1E" w:rsidP="00263133">
      <w:pPr>
        <w:widowControl w:val="0"/>
        <w:autoSpaceDE w:val="0"/>
        <w:autoSpaceDN w:val="0"/>
        <w:spacing w:before="254" w:after="0" w:line="240" w:lineRule="auto"/>
        <w:ind w:left="7" w:right="2"/>
        <w:jc w:val="center"/>
        <w:rPr>
          <w:rFonts w:ascii="Arial MT" w:eastAsia="Arial MT" w:hAnsi="Arial MT" w:cs="Arial MT"/>
          <w:kern w:val="0"/>
          <w:position w:val="8"/>
          <w:sz w:val="22"/>
          <w:szCs w:val="22"/>
          <w14:ligatures w14:val="none"/>
        </w:rPr>
      </w:pPr>
      <w:bookmarkStart w:id="0" w:name="_Hlk197972805"/>
      <w:r w:rsidRPr="00F6494F">
        <w:rPr>
          <w:rFonts w:ascii="Arial MT" w:eastAsia="Arial MT" w:hAnsi="Arial MT" w:cs="Arial MT"/>
          <w:spacing w:val="-8"/>
          <w:kern w:val="0"/>
          <w:sz w:val="22"/>
          <w:szCs w:val="22"/>
          <w14:ligatures w14:val="none"/>
        </w:rPr>
        <w:t>Agus Susanto</w:t>
      </w:r>
      <w:r w:rsidR="00263133" w:rsidRPr="00F6494F">
        <w:rPr>
          <w:rFonts w:ascii="Arial MT" w:eastAsia="Arial MT" w:hAnsi="Arial MT" w:cs="Arial MT"/>
          <w:spacing w:val="-8"/>
          <w:kern w:val="0"/>
          <w:position w:val="8"/>
          <w:sz w:val="16"/>
          <w:szCs w:val="16"/>
          <w14:ligatures w14:val="none"/>
        </w:rPr>
        <w:t>1</w:t>
      </w:r>
      <w:bookmarkEnd w:id="0"/>
      <w:r w:rsidR="00263133" w:rsidRPr="00F6494F">
        <w:rPr>
          <w:rFonts w:ascii="Arial MT" w:eastAsia="Arial MT" w:hAnsi="Arial MT" w:cs="Arial MT"/>
          <w:spacing w:val="-8"/>
          <w:kern w:val="0"/>
          <w:sz w:val="22"/>
          <w:szCs w:val="22"/>
          <w14:ligatures w14:val="none"/>
        </w:rPr>
        <w:t xml:space="preserve">, </w:t>
      </w:r>
      <w:r w:rsidRPr="00F6494F">
        <w:rPr>
          <w:rFonts w:ascii="Arial MT" w:eastAsia="Arial MT" w:hAnsi="Arial MT" w:cs="Arial MT"/>
          <w:spacing w:val="-8"/>
          <w:kern w:val="0"/>
          <w:sz w:val="22"/>
          <w:szCs w:val="22"/>
          <w14:ligatures w14:val="none"/>
        </w:rPr>
        <w:t xml:space="preserve">Retno </w:t>
      </w:r>
      <w:proofErr w:type="spellStart"/>
      <w:r w:rsidRPr="00F6494F">
        <w:rPr>
          <w:rFonts w:ascii="Arial MT" w:eastAsia="Arial MT" w:hAnsi="Arial MT" w:cs="Arial MT"/>
          <w:spacing w:val="-8"/>
          <w:kern w:val="0"/>
          <w:sz w:val="22"/>
          <w:szCs w:val="22"/>
          <w14:ligatures w14:val="none"/>
        </w:rPr>
        <w:t>Mawarini</w:t>
      </w:r>
      <w:proofErr w:type="spellEnd"/>
      <w:r w:rsidR="006B4219" w:rsidRPr="00F6494F">
        <w:rPr>
          <w:rFonts w:ascii="Arial MT" w:eastAsia="Arial MT" w:hAnsi="Arial MT" w:cs="Arial MT"/>
          <w:spacing w:val="-8"/>
          <w:kern w:val="0"/>
          <w:sz w:val="22"/>
          <w:szCs w:val="22"/>
          <w14:ligatures w14:val="none"/>
        </w:rPr>
        <w:t xml:space="preserve"> </w:t>
      </w:r>
      <w:proofErr w:type="spellStart"/>
      <w:r w:rsidR="006B4219" w:rsidRPr="00F6494F">
        <w:rPr>
          <w:rFonts w:ascii="Arial MT" w:eastAsia="Arial MT" w:hAnsi="Arial MT" w:cs="Arial MT"/>
          <w:spacing w:val="-8"/>
          <w:kern w:val="0"/>
          <w:sz w:val="22"/>
          <w:szCs w:val="22"/>
          <w14:ligatures w14:val="none"/>
        </w:rPr>
        <w:t>Sukmariningsih</w:t>
      </w:r>
      <w:proofErr w:type="spellEnd"/>
      <w:r w:rsidR="00263133" w:rsidRPr="00F6494F">
        <w:rPr>
          <w:rFonts w:ascii="Arial MT" w:eastAsia="Arial MT" w:hAnsi="Arial MT" w:cs="Arial MT"/>
          <w:spacing w:val="-8"/>
          <w:kern w:val="0"/>
          <w:position w:val="8"/>
          <w:sz w:val="16"/>
          <w:szCs w:val="16"/>
          <w14:ligatures w14:val="none"/>
        </w:rPr>
        <w:t>2</w:t>
      </w:r>
      <w:r w:rsidR="00263133" w:rsidRPr="00F6494F">
        <w:rPr>
          <w:rFonts w:ascii="Arial MT" w:eastAsia="Arial MT" w:hAnsi="Arial MT" w:cs="Arial MT"/>
          <w:spacing w:val="-8"/>
          <w:kern w:val="0"/>
          <w:sz w:val="22"/>
          <w:szCs w:val="22"/>
          <w14:ligatures w14:val="none"/>
        </w:rPr>
        <w:t xml:space="preserve">, </w:t>
      </w:r>
      <w:r w:rsidRPr="00F6494F">
        <w:rPr>
          <w:rFonts w:ascii="Arial MT" w:eastAsia="Arial MT" w:hAnsi="Arial MT" w:cs="Arial MT"/>
          <w:spacing w:val="-8"/>
          <w:kern w:val="0"/>
          <w:sz w:val="22"/>
          <w:szCs w:val="22"/>
          <w14:ligatures w14:val="none"/>
        </w:rPr>
        <w:t xml:space="preserve">MC Inge </w:t>
      </w:r>
      <w:proofErr w:type="spellStart"/>
      <w:r w:rsidRPr="00F6494F">
        <w:rPr>
          <w:rFonts w:ascii="Arial MT" w:eastAsia="Arial MT" w:hAnsi="Arial MT" w:cs="Arial MT"/>
          <w:spacing w:val="-8"/>
          <w:kern w:val="0"/>
          <w:sz w:val="22"/>
          <w:szCs w:val="22"/>
          <w14:ligatures w14:val="none"/>
        </w:rPr>
        <w:t>Hartini</w:t>
      </w:r>
      <w:proofErr w:type="spellEnd"/>
      <w:r w:rsidR="00263133" w:rsidRPr="00F6494F">
        <w:rPr>
          <w:rFonts w:ascii="Arial MT" w:eastAsia="Arial MT" w:hAnsi="Arial MT" w:cs="Arial MT"/>
          <w:spacing w:val="-8"/>
          <w:kern w:val="0"/>
          <w:position w:val="8"/>
          <w:sz w:val="16"/>
          <w:szCs w:val="16"/>
          <w14:ligatures w14:val="none"/>
        </w:rPr>
        <w:t>3</w:t>
      </w:r>
      <w:r w:rsidRPr="00F6494F">
        <w:rPr>
          <w:rFonts w:ascii="Arial MT" w:eastAsia="Arial MT" w:hAnsi="Arial MT" w:cs="Arial MT"/>
          <w:spacing w:val="-8"/>
          <w:kern w:val="0"/>
          <w:sz w:val="22"/>
          <w:szCs w:val="22"/>
          <w14:ligatures w14:val="none"/>
        </w:rPr>
        <w:t>, Afif Noor</w:t>
      </w:r>
      <w:bookmarkStart w:id="1" w:name="_Hlk197972849"/>
      <w:r w:rsidRPr="00F6494F">
        <w:rPr>
          <w:rFonts w:ascii="Arial MT" w:eastAsia="Arial MT" w:hAnsi="Arial MT" w:cs="Arial MT"/>
          <w:spacing w:val="-8"/>
          <w:kern w:val="0"/>
          <w:position w:val="8"/>
          <w:sz w:val="16"/>
          <w:szCs w:val="16"/>
          <w14:ligatures w14:val="none"/>
        </w:rPr>
        <w:t>4</w:t>
      </w:r>
      <w:bookmarkEnd w:id="1"/>
      <w:r w:rsidRPr="00F6494F">
        <w:rPr>
          <w:rFonts w:ascii="Arial MT" w:eastAsia="Arial MT" w:hAnsi="Arial MT" w:cs="Arial MT"/>
          <w:spacing w:val="-8"/>
          <w:kern w:val="0"/>
          <w:sz w:val="22"/>
          <w:szCs w:val="22"/>
          <w14:ligatures w14:val="none"/>
        </w:rPr>
        <w:t>*</w:t>
      </w:r>
    </w:p>
    <w:p w14:paraId="78A40021" w14:textId="0F16284A" w:rsidR="00263133" w:rsidRPr="00F6494F" w:rsidRDefault="00263133" w:rsidP="00263133">
      <w:pPr>
        <w:widowControl w:val="0"/>
        <w:autoSpaceDE w:val="0"/>
        <w:autoSpaceDN w:val="0"/>
        <w:spacing w:before="225" w:after="0" w:line="228" w:lineRule="exact"/>
        <w:ind w:left="5" w:right="7"/>
        <w:jc w:val="center"/>
        <w:outlineLvl w:val="1"/>
        <w:rPr>
          <w:rFonts w:ascii="Arial MT" w:eastAsia="Arial MT" w:hAnsi="Arial MT" w:cs="Arial MT"/>
          <w:kern w:val="0"/>
          <w:sz w:val="22"/>
          <w:szCs w:val="22"/>
          <w14:ligatures w14:val="none"/>
        </w:rPr>
      </w:pPr>
      <w:r w:rsidRPr="00F6494F">
        <w:rPr>
          <w:rFonts w:ascii="Arial MT" w:eastAsia="Arial MT" w:hAnsi="Arial MT" w:cs="Arial MT"/>
          <w:w w:val="90"/>
          <w:kern w:val="0"/>
          <w:sz w:val="22"/>
          <w:szCs w:val="22"/>
          <w:vertAlign w:val="superscript"/>
          <w14:ligatures w14:val="none"/>
        </w:rPr>
        <w:t>1</w:t>
      </w:r>
      <w:r w:rsidRPr="00F6494F">
        <w:rPr>
          <w:rFonts w:ascii="Arial MT" w:eastAsia="Arial MT" w:hAnsi="Arial MT" w:cs="Arial MT"/>
          <w:w w:val="90"/>
          <w:kern w:val="0"/>
          <w:sz w:val="22"/>
          <w:szCs w:val="22"/>
          <w14:ligatures w14:val="none"/>
        </w:rPr>
        <w:t>Doctoral Law Study Program, Universitas 17 Agustus 1945, Semarang,</w:t>
      </w:r>
      <w:r w:rsidRPr="00F6494F">
        <w:rPr>
          <w:rFonts w:ascii="Arial MT" w:eastAsia="Arial MT" w:hAnsi="Arial MT" w:cs="Arial MT"/>
          <w:spacing w:val="-7"/>
          <w:w w:val="90"/>
          <w:kern w:val="0"/>
          <w:sz w:val="22"/>
          <w:szCs w:val="22"/>
          <w14:ligatures w14:val="none"/>
        </w:rPr>
        <w:t xml:space="preserve"> </w:t>
      </w:r>
      <w:r w:rsidRPr="00F6494F">
        <w:rPr>
          <w:rFonts w:ascii="Arial MT" w:eastAsia="Arial MT" w:hAnsi="Arial MT" w:cs="Arial MT"/>
          <w:spacing w:val="-2"/>
          <w:w w:val="90"/>
          <w:kern w:val="0"/>
          <w:sz w:val="22"/>
          <w:szCs w:val="22"/>
          <w14:ligatures w14:val="none"/>
        </w:rPr>
        <w:t>Indonesia</w:t>
      </w:r>
    </w:p>
    <w:p w14:paraId="46A5E1DB" w14:textId="77777777" w:rsidR="00263133" w:rsidRPr="00F6494F" w:rsidRDefault="00263133" w:rsidP="00263133">
      <w:pPr>
        <w:widowControl w:val="0"/>
        <w:autoSpaceDE w:val="0"/>
        <w:autoSpaceDN w:val="0"/>
        <w:spacing w:after="0" w:line="228" w:lineRule="exact"/>
        <w:ind w:left="5" w:right="5"/>
        <w:jc w:val="center"/>
        <w:rPr>
          <w:rFonts w:ascii="Arial MT" w:eastAsia="Arial MT" w:hAnsi="Arial MT" w:cs="Arial MT"/>
          <w:w w:val="85"/>
          <w:kern w:val="0"/>
          <w:sz w:val="22"/>
          <w:szCs w:val="22"/>
          <w14:ligatures w14:val="none"/>
        </w:rPr>
      </w:pPr>
      <w:r w:rsidRPr="00F6494F">
        <w:rPr>
          <w:rFonts w:ascii="Arial MT" w:eastAsia="Arial MT" w:hAnsi="Arial MT" w:cs="Arial MT"/>
          <w:w w:val="85"/>
          <w:kern w:val="0"/>
          <w:sz w:val="22"/>
          <w:szCs w:val="22"/>
          <w:vertAlign w:val="superscript"/>
          <w14:ligatures w14:val="none"/>
        </w:rPr>
        <w:t xml:space="preserve">2,3 </w:t>
      </w:r>
      <w:r w:rsidRPr="00F6494F">
        <w:rPr>
          <w:rFonts w:ascii="Arial MT" w:eastAsia="Arial MT" w:hAnsi="Arial MT" w:cs="Arial MT"/>
          <w:w w:val="85"/>
          <w:kern w:val="0"/>
          <w:sz w:val="22"/>
          <w:szCs w:val="22"/>
          <w14:ligatures w14:val="none"/>
        </w:rPr>
        <w:t xml:space="preserve">Faculty of Law, Universitas 17 Agustus 1945, </w:t>
      </w:r>
      <w:bookmarkStart w:id="2" w:name="_Hlk197972861"/>
      <w:r w:rsidRPr="00F6494F">
        <w:rPr>
          <w:rFonts w:ascii="Arial MT" w:eastAsia="Arial MT" w:hAnsi="Arial MT" w:cs="Arial MT"/>
          <w:w w:val="85"/>
          <w:kern w:val="0"/>
          <w:sz w:val="22"/>
          <w:szCs w:val="22"/>
          <w14:ligatures w14:val="none"/>
        </w:rPr>
        <w:t xml:space="preserve">Semarang, Indonesia </w:t>
      </w:r>
      <w:bookmarkEnd w:id="2"/>
    </w:p>
    <w:p w14:paraId="21A3B36C" w14:textId="31026731" w:rsidR="00F03C1E" w:rsidRPr="00F6494F" w:rsidRDefault="00F03C1E" w:rsidP="00263133">
      <w:pPr>
        <w:widowControl w:val="0"/>
        <w:autoSpaceDE w:val="0"/>
        <w:autoSpaceDN w:val="0"/>
        <w:spacing w:after="0" w:line="228" w:lineRule="exact"/>
        <w:ind w:left="5" w:right="5"/>
        <w:jc w:val="center"/>
        <w:rPr>
          <w:rFonts w:ascii="Arial MT" w:eastAsia="Arial MT" w:hAnsi="Arial MT" w:cs="Arial MT"/>
          <w:w w:val="85"/>
          <w:kern w:val="0"/>
          <w:sz w:val="22"/>
          <w:szCs w:val="22"/>
          <w:vertAlign w:val="superscript"/>
          <w14:ligatures w14:val="none"/>
        </w:rPr>
      </w:pPr>
      <w:r w:rsidRPr="00F6494F">
        <w:rPr>
          <w:rFonts w:ascii="Arial MT" w:eastAsia="Arial MT" w:hAnsi="Arial MT" w:cs="Arial MT"/>
          <w:spacing w:val="-8"/>
          <w:kern w:val="0"/>
          <w:position w:val="8"/>
          <w:sz w:val="16"/>
          <w:szCs w:val="16"/>
          <w14:ligatures w14:val="none"/>
        </w:rPr>
        <w:t>4</w:t>
      </w:r>
      <w:r w:rsidRPr="00F6494F">
        <w:rPr>
          <w:rFonts w:ascii="Arial MT" w:eastAsia="Arial MT" w:hAnsi="Arial MT" w:cs="Arial MT"/>
          <w:w w:val="85"/>
          <w:kern w:val="0"/>
          <w:sz w:val="22"/>
          <w:szCs w:val="22"/>
          <w14:ligatures w14:val="none"/>
        </w:rPr>
        <w:t xml:space="preserve"> Universitas Islam Negeri </w:t>
      </w:r>
      <w:proofErr w:type="spellStart"/>
      <w:r w:rsidRPr="00F6494F">
        <w:rPr>
          <w:rFonts w:ascii="Arial MT" w:eastAsia="Arial MT" w:hAnsi="Arial MT" w:cs="Arial MT"/>
          <w:w w:val="85"/>
          <w:kern w:val="0"/>
          <w:sz w:val="22"/>
          <w:szCs w:val="22"/>
          <w14:ligatures w14:val="none"/>
        </w:rPr>
        <w:t>Walisongo</w:t>
      </w:r>
      <w:proofErr w:type="spellEnd"/>
      <w:r w:rsidRPr="00F6494F">
        <w:rPr>
          <w:rFonts w:ascii="Arial MT" w:eastAsia="Arial MT" w:hAnsi="Arial MT" w:cs="Arial MT"/>
          <w:w w:val="85"/>
          <w:kern w:val="0"/>
          <w:sz w:val="22"/>
          <w:szCs w:val="22"/>
          <w14:ligatures w14:val="none"/>
        </w:rPr>
        <w:t>, Semarang, Indonesia</w:t>
      </w:r>
    </w:p>
    <w:p w14:paraId="0E508373" w14:textId="702A0A73" w:rsidR="00263133" w:rsidRPr="00F6494F" w:rsidRDefault="00450AEE" w:rsidP="00263133">
      <w:pPr>
        <w:widowControl w:val="0"/>
        <w:autoSpaceDE w:val="0"/>
        <w:autoSpaceDN w:val="0"/>
        <w:spacing w:before="161" w:after="0" w:line="235" w:lineRule="auto"/>
        <w:ind w:right="4"/>
        <w:jc w:val="center"/>
        <w:rPr>
          <w:rFonts w:ascii="Arial MT" w:eastAsia="Arial MT" w:hAnsi="Arial MT" w:cs="Arial MT"/>
          <w:bCs/>
          <w:kern w:val="0"/>
          <w:sz w:val="22"/>
          <w:szCs w:val="22"/>
          <w14:ligatures w14:val="none"/>
        </w:rPr>
      </w:pPr>
      <w:r w:rsidRPr="00F6494F">
        <w:rPr>
          <w:rFonts w:ascii="Arial MT" w:eastAsia="Arial MT" w:hAnsi="Arial MT" w:cs="Arial MT"/>
          <w:bCs/>
          <w:kern w:val="0"/>
          <w:sz w:val="22"/>
          <w:szCs w:val="22"/>
          <w14:ligatures w14:val="none"/>
        </w:rPr>
        <w:t>*Corresponding Author</w:t>
      </w:r>
    </w:p>
    <w:p w14:paraId="545810B2" w14:textId="22CE2943" w:rsidR="00263133" w:rsidRPr="00F6494F" w:rsidRDefault="00E374FB" w:rsidP="00263133">
      <w:pPr>
        <w:widowControl w:val="0"/>
        <w:autoSpaceDE w:val="0"/>
        <w:autoSpaceDN w:val="0"/>
        <w:spacing w:after="0" w:line="240" w:lineRule="auto"/>
        <w:rPr>
          <w:rFonts w:ascii="Arial MT" w:eastAsia="Arial MT" w:hAnsi="Arial MT" w:cs="Arial MT"/>
          <w:b/>
          <w:bCs/>
          <w:kern w:val="0"/>
          <w:sz w:val="22"/>
          <w:szCs w:val="22"/>
          <w14:ligatures w14:val="none"/>
        </w:rPr>
      </w:pPr>
      <w:r w:rsidRPr="00F6494F">
        <w:rPr>
          <w:rFonts w:ascii="Arial MT" w:eastAsia="Arial MT" w:hAnsi="Arial MT" w:cs="Arial MT"/>
          <w:b/>
          <w:bCs/>
          <w:kern w:val="0"/>
          <w:sz w:val="22"/>
          <w:szCs w:val="22"/>
          <w14:ligatures w14:val="none"/>
        </w:rPr>
        <w:t>Abstract</w:t>
      </w:r>
    </w:p>
    <w:p w14:paraId="0CD207E0" w14:textId="77777777" w:rsidR="00E374FB" w:rsidRPr="00F6494F" w:rsidRDefault="00E374FB" w:rsidP="00263133">
      <w:pPr>
        <w:widowControl w:val="0"/>
        <w:autoSpaceDE w:val="0"/>
        <w:autoSpaceDN w:val="0"/>
        <w:spacing w:after="0" w:line="240" w:lineRule="auto"/>
        <w:rPr>
          <w:rFonts w:ascii="Arial MT" w:eastAsia="Arial MT" w:hAnsi="Arial MT" w:cs="Arial MT"/>
          <w:kern w:val="0"/>
          <w:sz w:val="22"/>
          <w:szCs w:val="22"/>
          <w14:ligatures w14:val="none"/>
        </w:rPr>
      </w:pPr>
    </w:p>
    <w:p w14:paraId="55160AAC" w14:textId="095F6751" w:rsidR="00E374FB" w:rsidRPr="00F6494F" w:rsidRDefault="00E74028" w:rsidP="00E74028">
      <w:pPr>
        <w:widowControl w:val="0"/>
        <w:autoSpaceDE w:val="0"/>
        <w:autoSpaceDN w:val="0"/>
        <w:spacing w:after="0" w:line="240" w:lineRule="auto"/>
        <w:jc w:val="both"/>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Organ transplantation is a crucial medical intervention to save lives, but its implementation must be accompanied by fair legal protection for donors. In Indonesia, despite being regulated in Law No. 17/2023 on Health and its implementing regulations, there are still weaknesses in the protection of donor rights, lack of incentives, and low public awareness of the importance of organ donation. This article analyzes the existing legal system and offers policy reformulations based on justice, ethics, and respect for human rights. The research used a normative juridical method by analyzing national regulations and international practices. The findings show that current regulations do not fully guarantee reciprocal justice and respect for altruistic acts. The article recommends strengthening regulations, strict supervision, and public education so that the transplant system in Indonesia grows within a just, ethical, and humane legal framework.</w:t>
      </w:r>
    </w:p>
    <w:p w14:paraId="465F32ED" w14:textId="77777777" w:rsidR="00E74028" w:rsidRPr="00F6494F" w:rsidRDefault="00E74028" w:rsidP="00E74028">
      <w:pPr>
        <w:widowControl w:val="0"/>
        <w:autoSpaceDE w:val="0"/>
        <w:autoSpaceDN w:val="0"/>
        <w:spacing w:after="0" w:line="240" w:lineRule="auto"/>
        <w:jc w:val="both"/>
        <w:rPr>
          <w:rFonts w:ascii="Arial MT" w:eastAsia="Arial MT" w:hAnsi="Arial MT" w:cs="Arial MT"/>
          <w:kern w:val="0"/>
          <w:sz w:val="22"/>
          <w:szCs w:val="22"/>
          <w14:ligatures w14:val="none"/>
        </w:rPr>
      </w:pPr>
    </w:p>
    <w:p w14:paraId="7E32B29A" w14:textId="29BD2BA1" w:rsidR="00E374FB" w:rsidRPr="00F6494F" w:rsidRDefault="00E374FB" w:rsidP="002D67BE">
      <w:pPr>
        <w:widowControl w:val="0"/>
        <w:autoSpaceDE w:val="0"/>
        <w:autoSpaceDN w:val="0"/>
        <w:spacing w:after="0" w:line="240" w:lineRule="auto"/>
        <w:jc w:val="both"/>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 xml:space="preserve">Keywords: </w:t>
      </w:r>
      <w:r w:rsidR="00E74028" w:rsidRPr="00F6494F">
        <w:rPr>
          <w:rFonts w:ascii="Arial MT" w:eastAsia="Arial MT" w:hAnsi="Arial MT" w:cs="Arial MT"/>
          <w:kern w:val="0"/>
          <w:sz w:val="22"/>
          <w:szCs w:val="22"/>
          <w14:ligatures w14:val="none"/>
        </w:rPr>
        <w:t>Legal protection; Organ transplantation</w:t>
      </w:r>
      <w:r w:rsidR="00410AAB" w:rsidRPr="00F6494F">
        <w:rPr>
          <w:rFonts w:ascii="Arial MT" w:eastAsia="Arial MT" w:hAnsi="Arial MT" w:cs="Arial MT"/>
          <w:kern w:val="0"/>
          <w:sz w:val="22"/>
          <w:szCs w:val="22"/>
          <w14:ligatures w14:val="none"/>
        </w:rPr>
        <w:t>;</w:t>
      </w:r>
      <w:r w:rsidR="00E74028" w:rsidRPr="00F6494F">
        <w:rPr>
          <w:rFonts w:ascii="Arial MT" w:eastAsia="Arial MT" w:hAnsi="Arial MT" w:cs="Arial MT"/>
          <w:kern w:val="0"/>
          <w:sz w:val="22"/>
          <w:szCs w:val="22"/>
          <w14:ligatures w14:val="none"/>
        </w:rPr>
        <w:t xml:space="preserve"> Organ donor; </w:t>
      </w:r>
      <w:r w:rsidR="00B673FF" w:rsidRPr="00F6494F">
        <w:rPr>
          <w:rFonts w:ascii="Arial MT" w:eastAsia="Arial MT" w:hAnsi="Arial MT" w:cs="Arial MT"/>
          <w:kern w:val="0"/>
          <w:sz w:val="22"/>
          <w:szCs w:val="22"/>
          <w14:ligatures w14:val="none"/>
        </w:rPr>
        <w:t>Fair</w:t>
      </w:r>
      <w:r w:rsidR="00E74028" w:rsidRPr="00F6494F">
        <w:rPr>
          <w:rFonts w:ascii="Arial MT" w:eastAsia="Arial MT" w:hAnsi="Arial MT" w:cs="Arial MT"/>
          <w:kern w:val="0"/>
          <w:sz w:val="22"/>
          <w:szCs w:val="22"/>
          <w14:ligatures w14:val="none"/>
        </w:rPr>
        <w:t>; Ethical</w:t>
      </w:r>
    </w:p>
    <w:p w14:paraId="0CF48085" w14:textId="77777777" w:rsidR="00263133" w:rsidRPr="00F6494F" w:rsidRDefault="00263133" w:rsidP="00263133">
      <w:pPr>
        <w:jc w:val="both"/>
        <w:rPr>
          <w:rFonts w:ascii="Arial MT" w:hAnsi="Arial MT"/>
          <w:b/>
          <w:bCs/>
          <w:sz w:val="22"/>
          <w:szCs w:val="22"/>
        </w:rPr>
      </w:pPr>
    </w:p>
    <w:p w14:paraId="0A089786" w14:textId="77777777" w:rsidR="00263133" w:rsidRPr="00F6494F" w:rsidRDefault="00263133" w:rsidP="00E374FB">
      <w:pPr>
        <w:widowControl w:val="0"/>
        <w:numPr>
          <w:ilvl w:val="0"/>
          <w:numId w:val="1"/>
        </w:numPr>
        <w:autoSpaceDE w:val="0"/>
        <w:autoSpaceDN w:val="0"/>
        <w:spacing w:after="0" w:line="240" w:lineRule="auto"/>
        <w:ind w:left="284" w:hanging="284"/>
        <w:outlineLvl w:val="0"/>
        <w:rPr>
          <w:rFonts w:ascii="Arial MT" w:eastAsia="Arial MT" w:hAnsi="Arial MT" w:cs="Arial MT"/>
          <w:kern w:val="0"/>
          <w:sz w:val="22"/>
          <w:szCs w:val="22"/>
          <w14:ligatures w14:val="none"/>
        </w:rPr>
      </w:pPr>
      <w:r w:rsidRPr="00F6494F">
        <w:rPr>
          <w:rFonts w:ascii="Arial MT" w:eastAsia="Arial MT" w:hAnsi="Arial MT" w:cs="Arial MT"/>
          <w:spacing w:val="-2"/>
          <w:kern w:val="0"/>
          <w:sz w:val="22"/>
          <w:szCs w:val="22"/>
          <w14:ligatures w14:val="none"/>
        </w:rPr>
        <w:t xml:space="preserve">INTRODUCTION </w:t>
      </w:r>
    </w:p>
    <w:p w14:paraId="168EC1CA" w14:textId="11BBBB19" w:rsidR="00E74028" w:rsidRPr="00F6494F" w:rsidRDefault="00E74028" w:rsidP="00E74028">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Organ transplantation, a monumental medical advancement, is instrumental in saving lives and improving the quality of life for patients grappling with organ failure</w:t>
      </w:r>
      <w:r w:rsidR="005A4021" w:rsidRPr="00F6494F">
        <w:rPr>
          <w:rFonts w:ascii="Arial MT" w:eastAsia="Arial MT" w:hAnsi="Arial MT" w:cs="Arial MT"/>
          <w:spacing w:val="-2"/>
          <w:kern w:val="0"/>
          <w:sz w:val="22"/>
          <w:szCs w:val="22"/>
          <w14:ligatures w14:val="none"/>
        </w:rPr>
        <w:t xml:space="preserve"> </w:t>
      </w:r>
      <w:r w:rsidR="009F2440" w:rsidRPr="00F6494F">
        <w:rPr>
          <w:rFonts w:ascii="Arial MT" w:eastAsia="Arial MT" w:hAnsi="Arial MT" w:cs="Arial MT"/>
          <w:spacing w:val="-2"/>
          <w:kern w:val="0"/>
          <w:sz w:val="22"/>
          <w:szCs w:val="22"/>
          <w14:ligatures w14:val="none"/>
        </w:rPr>
        <w:fldChar w:fldCharType="begin" w:fldLock="1"/>
      </w:r>
      <w:r w:rsidR="009F2440" w:rsidRPr="00F6494F">
        <w:rPr>
          <w:rFonts w:ascii="Arial MT" w:eastAsia="Arial MT" w:hAnsi="Arial MT" w:cs="Arial MT"/>
          <w:spacing w:val="-2"/>
          <w:kern w:val="0"/>
          <w:sz w:val="22"/>
          <w:szCs w:val="22"/>
          <w14:ligatures w14:val="none"/>
        </w:rPr>
        <w:instrText>ADDIN CSL_CITATION {"citationItems":[{"id":"ITEM-1","itemData":{"DOI":"10.15294/jils.v9i2.19157","abstract":"Organ transplantation serves as a critical solution for patients in need of organ donors. However, the pressing demand for organs, coupled with donors' economic hardships, has raised concerns about organ transplants being conducted for commercial purposes. This study aims to analyze the legal framework governing organ transplantation and explore the practices observed within society. Using secondary data comprising legislation, scholarly articles, scientific research, and online news reports, this study identifies significant inconsistencies and potential ambiguities within the regulatory framework. Current legal provisions stipulate that organ transplants must be conducted solely for humanitarian purposes and explicitly prohibit commercialization. Yet, government regulations create a loophole by allowing donors to receive awards, which could be exploited for commercial gains. To prevent the commercialization of organ transplants, it is essential to ensure that the relationship between donors and recipients is based on familial or kinship ties. Such relationships foster the principles of voluntariness and altruism, which are central to ethically sound transplantation practices. Strengthening the legal framework to eliminate ambiguities and promoting public awareness about ethical transplantation practices are imperative steps to uphold the integrity of organ donation and transplantation. This study underscores the importance of aligning regulatory frameworks with ethical principles to address the challenges posed by commercialization while ensuring equitable access to life-saving organ transplants.","author":[{"dropping-particle":"","family":"Bakhtiar, Handar Subhandi, Maddussila","given":"Samsu Alam","non-dropping-particle":"","parse-names":false,"suffix":""}],"container-title":"Journal of Indonesian Legal Studies","id":"ITEM-1","issue":"2","issued":{"date-parts":[["2024"]]},"page":"1067-1106","title":"Manipulation of Legal Regulations in Commodification of Organ Transplants: Indonesia Perspective","type":"article-journal","volume":"9"},"uris":["http://www.mendeley.com/documents/?uuid=c9222975-df2f-4f83-b6fc-c61414d817ba"]}],"mendeley":{"formattedCitation":"(Bakhtiar, Handar Subhandi, Maddussila, 2024)","plainTextFormattedCitation":"(Bakhtiar, Handar Subhandi, Maddussila, 2024)","previouslyFormattedCitation":"(Bakhtiar, Handar Subhandi, Maddussila, 2024)"},"properties":{"noteIndex":0},"schema":"https://github.com/citation-style-language/schema/raw/master/csl-citation.json"}</w:instrText>
      </w:r>
      <w:r w:rsidR="009F2440" w:rsidRPr="00F6494F">
        <w:rPr>
          <w:rFonts w:ascii="Arial MT" w:eastAsia="Arial MT" w:hAnsi="Arial MT" w:cs="Arial MT"/>
          <w:spacing w:val="-2"/>
          <w:kern w:val="0"/>
          <w:sz w:val="22"/>
          <w:szCs w:val="22"/>
          <w14:ligatures w14:val="none"/>
        </w:rPr>
        <w:fldChar w:fldCharType="separate"/>
      </w:r>
      <w:r w:rsidR="009F2440" w:rsidRPr="00F6494F">
        <w:rPr>
          <w:rFonts w:ascii="Arial MT" w:eastAsia="Arial MT" w:hAnsi="Arial MT" w:cs="Arial MT"/>
          <w:noProof/>
          <w:spacing w:val="-2"/>
          <w:kern w:val="0"/>
          <w:sz w:val="22"/>
          <w:szCs w:val="22"/>
          <w14:ligatures w14:val="none"/>
        </w:rPr>
        <w:t>(Bakhtiar, Handar Subhandi, Maddussila, 2024)</w:t>
      </w:r>
      <w:r w:rsidR="009F2440"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However, the success of transplantation is heavily reliant on the availability of donor organs</w:t>
      </w:r>
      <w:r w:rsidR="00E35E36" w:rsidRPr="00F6494F">
        <w:rPr>
          <w:rFonts w:ascii="Arial MT" w:eastAsia="Arial MT" w:hAnsi="Arial MT" w:cs="Arial MT"/>
          <w:spacing w:val="-2"/>
          <w:kern w:val="0"/>
          <w:sz w:val="22"/>
          <w:szCs w:val="22"/>
          <w14:ligatures w14:val="none"/>
        </w:rPr>
        <w:t xml:space="preserve"> </w:t>
      </w:r>
      <w:r w:rsidR="00E35E36" w:rsidRPr="00F6494F">
        <w:rPr>
          <w:rFonts w:ascii="Arial MT" w:eastAsia="Arial MT" w:hAnsi="Arial MT" w:cs="Arial MT"/>
          <w:spacing w:val="-2"/>
          <w:kern w:val="0"/>
          <w:sz w:val="22"/>
          <w:szCs w:val="22"/>
          <w14:ligatures w14:val="none"/>
        </w:rPr>
        <w:fldChar w:fldCharType="begin" w:fldLock="1"/>
      </w:r>
      <w:r w:rsidR="00E35E36" w:rsidRPr="00F6494F">
        <w:rPr>
          <w:rFonts w:ascii="Arial MT" w:eastAsia="Arial MT" w:hAnsi="Arial MT" w:cs="Arial MT"/>
          <w:spacing w:val="-2"/>
          <w:kern w:val="0"/>
          <w:sz w:val="22"/>
          <w:szCs w:val="22"/>
          <w14:ligatures w14:val="none"/>
        </w:rPr>
        <w:instrText>ADDIN CSL_CITATION {"citationItems":[{"id":"ITEM-1","itemData":{"DOI":"10.56367/oag-040-11001","author":[{"dropping-particle":"","family":"Lakkis","given":"Fadi G","non-dropping-particle":"","parse-names":false,"suffix":""}],"container-title":"Open Access Government","id":"ITEM-1","issue":"1","issued":{"date-parts":[["2023"]]},"page":"28-29","title":"The successes and challenges of organ transplantation","type":"article-journal","volume":"40"},"uris":["http://www.mendeley.com/documents/?uuid=dcb242d9-6540-481a-ab43-c46f5d4aeee6"]}],"mendeley":{"formattedCitation":"(Lakkis, 2023)","plainTextFormattedCitation":"(Lakkis, 2023)","previouslyFormattedCitation":"(Lakkis, 2023)"},"properties":{"noteIndex":0},"schema":"https://github.com/citation-style-language/schema/raw/master/csl-citation.json"}</w:instrText>
      </w:r>
      <w:r w:rsidR="00E35E36" w:rsidRPr="00F6494F">
        <w:rPr>
          <w:rFonts w:ascii="Arial MT" w:eastAsia="Arial MT" w:hAnsi="Arial MT" w:cs="Arial MT"/>
          <w:spacing w:val="-2"/>
          <w:kern w:val="0"/>
          <w:sz w:val="22"/>
          <w:szCs w:val="22"/>
          <w14:ligatures w14:val="none"/>
        </w:rPr>
        <w:fldChar w:fldCharType="separate"/>
      </w:r>
      <w:r w:rsidR="00E35E36" w:rsidRPr="00F6494F">
        <w:rPr>
          <w:rFonts w:ascii="Arial MT" w:eastAsia="Arial MT" w:hAnsi="Arial MT" w:cs="Arial MT"/>
          <w:noProof/>
          <w:spacing w:val="-2"/>
          <w:kern w:val="0"/>
          <w:sz w:val="22"/>
          <w:szCs w:val="22"/>
          <w14:ligatures w14:val="none"/>
        </w:rPr>
        <w:t>(Lakkis, 2023)</w:t>
      </w:r>
      <w:r w:rsidR="00E35E36"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In Indonesia, the demand for organ transplantation is surging, yet the number of organ donors is severely limited. In 2023, over 172,000 organ transplant procedures were performed globally. Kidney transplantation, the most common type, accounted for about 65% of all transplants, with liver transplants making up approximately 24%</w:t>
      </w:r>
      <w:r w:rsidR="00A467E9" w:rsidRPr="00F6494F">
        <w:rPr>
          <w:rFonts w:ascii="Arial MT" w:eastAsia="Arial MT" w:hAnsi="Arial MT" w:cs="Arial MT"/>
          <w:spacing w:val="-2"/>
          <w:kern w:val="0"/>
          <w:sz w:val="22"/>
          <w:szCs w:val="22"/>
          <w14:ligatures w14:val="none"/>
        </w:rPr>
        <w:t xml:space="preserve"> </w:t>
      </w:r>
      <w:r w:rsidR="00A467E9" w:rsidRPr="00F6494F">
        <w:rPr>
          <w:rFonts w:ascii="Arial MT" w:eastAsia="Arial MT" w:hAnsi="Arial MT" w:cs="Arial MT"/>
          <w:spacing w:val="-2"/>
          <w:kern w:val="0"/>
          <w:sz w:val="22"/>
          <w:szCs w:val="22"/>
          <w14:ligatures w14:val="none"/>
        </w:rPr>
        <w:fldChar w:fldCharType="begin" w:fldLock="1"/>
      </w:r>
      <w:r w:rsidR="00A467E9" w:rsidRPr="00F6494F">
        <w:rPr>
          <w:rFonts w:ascii="Arial MT" w:eastAsia="Arial MT" w:hAnsi="Arial MT" w:cs="Arial MT"/>
          <w:spacing w:val="-2"/>
          <w:kern w:val="0"/>
          <w:sz w:val="22"/>
          <w:szCs w:val="22"/>
          <w14:ligatures w14:val="none"/>
        </w:rPr>
        <w:instrText>ADDIN CSL_CITATION {"citationItems":[{"id":"ITEM-1","itemData":{"URL":"https://www.statista.com/statistics/398645/global-estimation-of-organ-transplantations/#:~:text=The kidney is the most,can be challenging and complex.&amp;text=Kidney transplantation%2C or renal transplantation,better access to such procedures.&amp;text=Organs can be donated either,which require a kidney transplantation.","author":[{"dropping-particle":"","family":"Elflein","given":"John","non-dropping-particle":"","parse-names":false,"suffix":""}],"container-title":"statista.com","id":"ITEM-1","issued":{"date-parts":[["2025"]]},"title":"Global number of organ transplantations 2023","type":"webpage"},"uris":["http://www.mendeley.com/documents/?uuid=e19d7378-8f83-453a-9dd3-e3dcf6bbdc42"]}],"mendeley":{"formattedCitation":"(Elflein, 2025)","plainTextFormattedCitation":"(Elflein, 2025)","previouslyFormattedCitation":"(Elflein, 2025)"},"properties":{"noteIndex":0},"schema":"https://github.com/citation-style-language/schema/raw/master/csl-citation.json"}</w:instrText>
      </w:r>
      <w:r w:rsidR="00A467E9" w:rsidRPr="00F6494F">
        <w:rPr>
          <w:rFonts w:ascii="Arial MT" w:eastAsia="Arial MT" w:hAnsi="Arial MT" w:cs="Arial MT"/>
          <w:spacing w:val="-2"/>
          <w:kern w:val="0"/>
          <w:sz w:val="22"/>
          <w:szCs w:val="22"/>
          <w14:ligatures w14:val="none"/>
        </w:rPr>
        <w:fldChar w:fldCharType="separate"/>
      </w:r>
      <w:r w:rsidR="00A467E9" w:rsidRPr="00F6494F">
        <w:rPr>
          <w:rFonts w:ascii="Arial MT" w:eastAsia="Arial MT" w:hAnsi="Arial MT" w:cs="Arial MT"/>
          <w:noProof/>
          <w:spacing w:val="-2"/>
          <w:kern w:val="0"/>
          <w:sz w:val="22"/>
          <w:szCs w:val="22"/>
          <w14:ligatures w14:val="none"/>
        </w:rPr>
        <w:t>(Elflein, 2025)</w:t>
      </w:r>
      <w:r w:rsidR="00A467E9"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The scarcity of donor organs is a critical issue that needs urgent attention</w:t>
      </w:r>
      <w:r w:rsidR="00A467E9" w:rsidRPr="00F6494F">
        <w:rPr>
          <w:rFonts w:ascii="Arial MT" w:eastAsia="Arial MT" w:hAnsi="Arial MT" w:cs="Arial MT"/>
          <w:spacing w:val="-2"/>
          <w:kern w:val="0"/>
          <w:sz w:val="22"/>
          <w:szCs w:val="22"/>
          <w14:ligatures w14:val="none"/>
        </w:rPr>
        <w:t xml:space="preserve"> </w:t>
      </w:r>
      <w:r w:rsidR="00A467E9" w:rsidRPr="00F6494F">
        <w:rPr>
          <w:rFonts w:ascii="Arial MT" w:eastAsia="Arial MT" w:hAnsi="Arial MT" w:cs="Arial MT"/>
          <w:spacing w:val="-2"/>
          <w:kern w:val="0"/>
          <w:sz w:val="22"/>
          <w:szCs w:val="22"/>
          <w14:ligatures w14:val="none"/>
        </w:rPr>
        <w:fldChar w:fldCharType="begin" w:fldLock="1"/>
      </w:r>
      <w:r w:rsidR="00A467E9" w:rsidRPr="00F6494F">
        <w:rPr>
          <w:rFonts w:ascii="Arial MT" w:eastAsia="Arial MT" w:hAnsi="Arial MT" w:cs="Arial MT"/>
          <w:spacing w:val="-2"/>
          <w:kern w:val="0"/>
          <w:sz w:val="22"/>
          <w:szCs w:val="22"/>
          <w14:ligatures w14:val="none"/>
        </w:rPr>
        <w:instrText>ADDIN CSL_CITATION {"citationItems":[{"id":"ITEM-1","itemData":{"DOI":"10.1016/j.ejim.2024.11.010","ISSN":"18790828","abstract":"Organ transplantation is a critical medical procedure that saves and improves lives, yet the system faces significant challenges that result in many missed opportunities. This comprehensive review examines the factors contributing to these missed opportunities and the concerns of potential donors. The shortage of donors remains a major issue, exacerbated by low registration rates, family consent refusals, and strict medical and health criteria. Inefficiencies within the organ procurement and transplantation process, including logistical delays and suboptimal matching systems, further hinder the availability of organs. Public misconceptions and cultural and religious beliefs also negatively impact donor willingness. Moreover, potential donors and their families face ethical, psychological, and procedural concerns. Ethical dilemmas revolve around issues of autonomy and informed consent, while psychological concerns include fear and anxiety about the donation process and its impact on families. Procedural issues, such as transparency, legal hurdles, and post-donation follow-up, add to the complexities of organ donation. This review explores potential solutions to address these challenges, such as enhancing public education campaigns to dispel myths, and providing incentives for proactive registration. It also recommends improving the performance of organ procurement organizations, optimizing logistics for organ transport, and developing advanced matching algorithms to ensure equitable organ allocation. Addressing donor concerns through robust ethical standards, comprehensive psychological support, and clear communication strategies is essential. By adopting these multifaceted strategies, the organ transplantation system can be made more efficient and supportive, increasing the availability of organs and ultimately saving more lives. This review underscores the need for integrated and targeted approaches to overcome the existing barriers in organ transplantation.","author":[{"dropping-particle":"","family":"Olawade","given":"David B.","non-dropping-particle":"","parse-names":false,"suffix":""},{"dropping-particle":"","family":"Marinze","given":"Sheila","non-dropping-particle":"","parse-names":false,"suffix":""},{"dropping-particle":"","family":"Qureshi","given":"Nabeel","non-dropping-particle":"","parse-names":false,"suffix":""},{"dropping-particle":"","family":"Weerasinghe","given":"Kusal","non-dropping-particle":"","parse-names":false,"suffix":""},{"dropping-particle":"","family":"Teke","given":"Jennifer","non-dropping-particle":"","parse-names":false,"suffix":""}],"container-title":"European Journal of Internal Medicine","id":"ITEM-1","issue":"August 2024","issued":{"date-parts":[["2024"]]},"page":"14-24","publisher":"Elsevier B.V.","title":"Transforming organ donation and transplantation: Strategies for increasing donor participation and system efficiency","type":"article-journal","volume":"133"},"uris":["http://www.mendeley.com/documents/?uuid=400609b6-98c4-48f2-9e7d-8e466c98c340"]}],"mendeley":{"formattedCitation":"(Olawade et al., 2024)","plainTextFormattedCitation":"(Olawade et al., 2024)","previouslyFormattedCitation":"(Olawade et al., 2024)"},"properties":{"noteIndex":0},"schema":"https://github.com/citation-style-language/schema/raw/master/csl-citation.json"}</w:instrText>
      </w:r>
      <w:r w:rsidR="00A467E9" w:rsidRPr="00F6494F">
        <w:rPr>
          <w:rFonts w:ascii="Arial MT" w:eastAsia="Arial MT" w:hAnsi="Arial MT" w:cs="Arial MT"/>
          <w:spacing w:val="-2"/>
          <w:kern w:val="0"/>
          <w:sz w:val="22"/>
          <w:szCs w:val="22"/>
          <w14:ligatures w14:val="none"/>
        </w:rPr>
        <w:fldChar w:fldCharType="separate"/>
      </w:r>
      <w:r w:rsidR="00A467E9" w:rsidRPr="00F6494F">
        <w:rPr>
          <w:rFonts w:ascii="Arial MT" w:eastAsia="Arial MT" w:hAnsi="Arial MT" w:cs="Arial MT"/>
          <w:noProof/>
          <w:spacing w:val="-2"/>
          <w:kern w:val="0"/>
          <w:sz w:val="22"/>
          <w:szCs w:val="22"/>
          <w14:ligatures w14:val="none"/>
        </w:rPr>
        <w:t>(Olawade et al., 2024)</w:t>
      </w:r>
      <w:r w:rsidR="00A467E9"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w:t>
      </w:r>
    </w:p>
    <w:p w14:paraId="7894A929" w14:textId="7BDBF35D" w:rsidR="00E74028" w:rsidRPr="00F6494F" w:rsidRDefault="00E74028" w:rsidP="00163D84">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In Indonesia, the need for kidney transplants is escalating, mirroring the rising prevalence of chronic kidney disease due to factors such as diabetes mellitus, hypertension, and unhealthy lifestyles. Data from the 2013 Basic Health Research (</w:t>
      </w:r>
      <w:proofErr w:type="spellStart"/>
      <w:r w:rsidRPr="00F6494F">
        <w:rPr>
          <w:rFonts w:ascii="Arial MT" w:eastAsia="Arial MT" w:hAnsi="Arial MT" w:cs="Arial MT"/>
          <w:spacing w:val="-2"/>
          <w:kern w:val="0"/>
          <w:sz w:val="22"/>
          <w:szCs w:val="22"/>
          <w14:ligatures w14:val="none"/>
        </w:rPr>
        <w:t>Riskesdas</w:t>
      </w:r>
      <w:proofErr w:type="spellEnd"/>
      <w:r w:rsidRPr="00F6494F">
        <w:rPr>
          <w:rFonts w:ascii="Arial MT" w:eastAsia="Arial MT" w:hAnsi="Arial MT" w:cs="Arial MT"/>
          <w:spacing w:val="-2"/>
          <w:kern w:val="0"/>
          <w:sz w:val="22"/>
          <w:szCs w:val="22"/>
          <w14:ligatures w14:val="none"/>
        </w:rPr>
        <w:t xml:space="preserve">) revealed that the prevalence of kidney failure among Indonesians was 0.2%, or 2 per 1,000 people, totaling 499,800 individuals </w:t>
      </w:r>
      <w:r w:rsidR="00E35E36" w:rsidRPr="00F6494F">
        <w:rPr>
          <w:rFonts w:ascii="Arial MT" w:eastAsia="Arial MT" w:hAnsi="Arial MT" w:cs="Arial MT"/>
          <w:spacing w:val="-2"/>
          <w:kern w:val="0"/>
          <w:sz w:val="22"/>
          <w:szCs w:val="22"/>
          <w14:ligatures w14:val="none"/>
        </w:rPr>
        <w:fldChar w:fldCharType="begin" w:fldLock="1"/>
      </w:r>
      <w:r w:rsidR="00E35E36" w:rsidRPr="00F6494F">
        <w:rPr>
          <w:rFonts w:ascii="Arial MT" w:eastAsia="Arial MT" w:hAnsi="Arial MT" w:cs="Arial MT"/>
          <w:spacing w:val="-2"/>
          <w:kern w:val="0"/>
          <w:sz w:val="22"/>
          <w:szCs w:val="22"/>
          <w14:ligatures w14:val="none"/>
        </w:rPr>
        <w:instrText>ADDIN CSL_CITATION {"citationItems":[{"id":"ITEM-1","itemData":{"ISBN":"9786022355687","author":[{"dropping-particle":"","family":"Budiman","given":"Basuki","non-dropping-particle":"","parse-names":false,"suffix":""}],"container-title":"Badan Penelitian dan Pengembangan Kesehatan Kementerian Kesehatan RI","id":"ITEM-1","issued":{"date-parts":[["2013"]]},"title":"Riset Kesehatan Dasar Dalam Angka","type":"report"},"uris":["http://www.mendeley.com/documents/?uuid=69678618-877e-4687-ba35-96b8953fadc8"]}],"mendeley":{"formattedCitation":"(Budiman, 2013)","plainTextFormattedCitation":"(Budiman, 2013)","previouslyFormattedCitation":"(Budiman, 2013)"},"properties":{"noteIndex":0},"schema":"https://github.com/citation-style-language/schema/raw/master/csl-citation.json"}</w:instrText>
      </w:r>
      <w:r w:rsidR="00E35E36" w:rsidRPr="00F6494F">
        <w:rPr>
          <w:rFonts w:ascii="Arial MT" w:eastAsia="Arial MT" w:hAnsi="Arial MT" w:cs="Arial MT"/>
          <w:spacing w:val="-2"/>
          <w:kern w:val="0"/>
          <w:sz w:val="22"/>
          <w:szCs w:val="22"/>
          <w14:ligatures w14:val="none"/>
        </w:rPr>
        <w:fldChar w:fldCharType="separate"/>
      </w:r>
      <w:r w:rsidR="00E35E36" w:rsidRPr="00F6494F">
        <w:rPr>
          <w:rFonts w:ascii="Arial MT" w:eastAsia="Arial MT" w:hAnsi="Arial MT" w:cs="Arial MT"/>
          <w:noProof/>
          <w:spacing w:val="-2"/>
          <w:kern w:val="0"/>
          <w:sz w:val="22"/>
          <w:szCs w:val="22"/>
          <w14:ligatures w14:val="none"/>
        </w:rPr>
        <w:t>(Budiman, 2013)</w:t>
      </w:r>
      <w:r w:rsidR="00E35E36"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xml:space="preserve">. By 2018, the prevalence of kidney failure had surged to 0.38%, or approximately 713,783 people </w:t>
      </w:r>
      <w:r w:rsidR="00A467E9" w:rsidRPr="00F6494F">
        <w:rPr>
          <w:rFonts w:ascii="Arial MT" w:eastAsia="Arial MT" w:hAnsi="Arial MT" w:cs="Arial MT"/>
          <w:spacing w:val="-2"/>
          <w:kern w:val="0"/>
          <w:sz w:val="22"/>
          <w:szCs w:val="22"/>
          <w14:ligatures w14:val="none"/>
        </w:rPr>
        <w:fldChar w:fldCharType="begin" w:fldLock="1"/>
      </w:r>
      <w:r w:rsidR="00A467E9" w:rsidRPr="00F6494F">
        <w:rPr>
          <w:rFonts w:ascii="Arial MT" w:eastAsia="Arial MT" w:hAnsi="Arial MT" w:cs="Arial MT"/>
          <w:spacing w:val="-2"/>
          <w:kern w:val="0"/>
          <w:sz w:val="22"/>
          <w:szCs w:val="22"/>
          <w14:ligatures w14:val="none"/>
        </w:rPr>
        <w:instrText>ADDIN CSL_CITATION {"citationItems":[{"id":"ITEM-1","itemData":{"abstract":"Badan Penelitian dan Pengembangan Kesehatan (Badan Litbangkes) merupakan salah satu unit eselon 1 di Kementerian Kesehatan yang mempunyai visi sebagai pengawal kebijakan dan legitimator program pembangunan kesehatan berbasis bukti. Visi tersebut memberikan gambaran bahwa melalui kegiatan penelitian, Badan Litbangkes mempunyai peran juga dalam menata arah kebijakan, program, dan kegiatan pembangunan kesehatan. Salah satu misi Badan Litbangkes adalah menghasilkan rekomendasi untuk pembangunan kesehatan dengan menyusun arah pembangunan kesehatan berdasarkan data yang berkualitas.","author":[{"dropping-particle":"","family":"Kementerian Kesehatan RI","given":"","non-dropping-particle":"","parse-names":false,"suffix":""}],"container-title":"Lembaga Penerbit Balitbangkes","id":"ITEM-1","issued":{"date-parts":[["2018"]]},"page":"hal 156","title":"Laporan Riskesdas 2018 Nasional.pdf","type":"article"},"uris":["http://www.mendeley.com/documents/?uuid=405395ad-b0d3-4bb1-ac38-833351f73766"]}],"mendeley":{"formattedCitation":"(Kementerian Kesehatan RI, 2018)","plainTextFormattedCitation":"(Kementerian Kesehatan RI, 2018)","previouslyFormattedCitation":"(Kementerian Kesehatan RI, 2018)"},"properties":{"noteIndex":0},"schema":"https://github.com/citation-style-language/schema/raw/master/csl-citation.json"}</w:instrText>
      </w:r>
      <w:r w:rsidR="00A467E9" w:rsidRPr="00F6494F">
        <w:rPr>
          <w:rFonts w:ascii="Arial MT" w:eastAsia="Arial MT" w:hAnsi="Arial MT" w:cs="Arial MT"/>
          <w:spacing w:val="-2"/>
          <w:kern w:val="0"/>
          <w:sz w:val="22"/>
          <w:szCs w:val="22"/>
          <w14:ligatures w14:val="none"/>
        </w:rPr>
        <w:fldChar w:fldCharType="separate"/>
      </w:r>
      <w:r w:rsidR="00A467E9" w:rsidRPr="00F6494F">
        <w:rPr>
          <w:rFonts w:ascii="Arial MT" w:eastAsia="Arial MT" w:hAnsi="Arial MT" w:cs="Arial MT"/>
          <w:noProof/>
          <w:spacing w:val="-2"/>
          <w:kern w:val="0"/>
          <w:sz w:val="22"/>
          <w:szCs w:val="22"/>
          <w14:ligatures w14:val="none"/>
        </w:rPr>
        <w:t>(Kementerian Kesehatan RI, 2018)</w:t>
      </w:r>
      <w:r w:rsidR="00A467E9"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A survey by the Indonesian Society of Nephrology (</w:t>
      </w:r>
      <w:proofErr w:type="spellStart"/>
      <w:r w:rsidRPr="00F6494F">
        <w:rPr>
          <w:rFonts w:ascii="Arial MT" w:eastAsia="Arial MT" w:hAnsi="Arial MT" w:cs="Arial MT"/>
          <w:spacing w:val="-2"/>
          <w:kern w:val="0"/>
          <w:sz w:val="22"/>
          <w:szCs w:val="22"/>
          <w14:ligatures w14:val="none"/>
        </w:rPr>
        <w:t>Pernefri</w:t>
      </w:r>
      <w:proofErr w:type="spellEnd"/>
      <w:r w:rsidRPr="00F6494F">
        <w:rPr>
          <w:rFonts w:ascii="Arial MT" w:eastAsia="Arial MT" w:hAnsi="Arial MT" w:cs="Arial MT"/>
          <w:spacing w:val="-2"/>
          <w:kern w:val="0"/>
          <w:sz w:val="22"/>
          <w:szCs w:val="22"/>
          <w14:ligatures w14:val="none"/>
        </w:rPr>
        <w:t xml:space="preserve">) found that about 12.5% of the population, or roughly 25 million Indonesians, are experiencing declining kidney function. Kidney failure patients have also significantly increased, from 19,612 cases in 2014 to around 100,000 cases in 2019 </w:t>
      </w:r>
      <w:r w:rsidR="00E35E36" w:rsidRPr="00F6494F">
        <w:rPr>
          <w:rFonts w:ascii="Arial MT" w:eastAsia="Arial MT" w:hAnsi="Arial MT" w:cs="Arial MT"/>
          <w:spacing w:val="-2"/>
          <w:kern w:val="0"/>
          <w:sz w:val="22"/>
          <w:szCs w:val="22"/>
          <w14:ligatures w14:val="none"/>
        </w:rPr>
        <w:fldChar w:fldCharType="begin" w:fldLock="1"/>
      </w:r>
      <w:r w:rsidR="00A467E9" w:rsidRPr="00F6494F">
        <w:rPr>
          <w:rFonts w:ascii="Arial MT" w:eastAsia="Arial MT" w:hAnsi="Arial MT" w:cs="Arial MT"/>
          <w:spacing w:val="-2"/>
          <w:kern w:val="0"/>
          <w:sz w:val="22"/>
          <w:szCs w:val="22"/>
          <w14:ligatures w14:val="none"/>
        </w:rPr>
        <w:instrText>ADDIN CSL_CITATION {"citationItems":[{"id":"ITEM-1","itemData":{"DOI":"10.33024/mnj.v6i5.11070","ISSN":"2655-2728","abstract":"ABSTRACT The prevalence of chronic kidney failure in Lampung province is 22,171 and ranking 19th in Indonesia. There are 50-80% of patients with hemodialysis experience sleep disturbances, such as difficulty getting to sleep, waking up early, always sleepy during the day, and movement of feet while sleeping.  There were differences in the quality of sleep of patients with chronic kidney failure with comorbid hypertension and diabetes mellitus who are undergoing hemodialysis at Pertamina Hospital Bintang Amin Bandar Lampung in 2023. This study used a descriptive correlation method with cross-sectional approach. The research was conducted on 57 respondents using techniques of total sampling. The sampling technique used a sleep quality questionnaire, namely the Pittsburgh Sleep Quality Index (PSQI) questionnaire.  The results showed that there were 36 respondents with comorbid hypertension and 21 respondents with comorbid diabetes mellitus. The sleep quality of 36 respondents with comorbid hypertension showed an average value of 7.86+1.807 (poor sleep quality); 36 31 (86.1%) experienced poor sleep quality. Whereas 21 respondents with comorbid diabetes mellitus showed an average value of 4.63 + 1.936 (good sleep quality) and of these 21 there were 17 (81.0) experienced good sleep quality. The results of the bivariate test using the Mann-Whitney Test found a significant difference (p-value 0.000) between the sleep quality of patients with chronic renal failure and comorbid hypertension and diabetes mellitus.  The sleep quality of respondents with chronic kidney failure who underwent hemodialysis at Pertamina Bintang Amin Hospital with comorbid hypertension was worse than comorbid diabetes mellitus. Keywords: Chronic Renal Failure, hemodialysis, Sleep Quality.  ABSTRAK Prevalensi Gagal Ginjal Kronik Provinsi Lampung terdapat 22.171 jiwa yang menderita gagal ginjal kronik dan menduduki urutan ke 19 di Indonesia. Terdapat 50- 80% pasien dengan Gagal Ginjal Kronik yang menjalani hemodialisa mengalami gangguan tidur yaitu seperti sulit ketika memulai tidur, bangun lebih awal, selalu mengantuk di siang hari serta adanya gerakan kaki ketika tidur.  Terdapat perbedaan kualitas tidur pasien gagal ginjal kronik dengan komorbid hipertensi dan diabetes mellitus yang menjalani hemodialisa di rumah sakit pertamina Bintang Amin Bandar Lampung Tahun 2023. Penelitian ini menggunakan metode deskrptif korelasi dengan pendekatan studi Cross-Sectional. Penelitian dilakukan terha…","author":[{"dropping-particle":"","family":"Erpiyana","given":"Refsi","non-dropping-particle":"","parse-names":false,"suffix":""},{"dropping-particle":"","family":"Djamaludin","given":"Djunizar","non-dropping-particle":"","parse-names":false,"suffix":""},{"dropping-particle":"","family":"Andoko","given":"Andoko","non-dropping-particle":"","parse-names":false,"suffix":""}],"container-title":"Malahayati Nursing Journal","id":"ITEM-1","issue":"5","issued":{"date-parts":[["2024"]]},"page":"2024-2035","title":"Perbandingan Kualitas Tidur Pasien Gagal Ginjal Kronik dengan Komorbid Hipertensi dan Diabetes Mellitus yang Menjalani Hemodialisa di Rumah Sakit Pertamina Bintang Amin Bandar Lampung","type":"article-journal","volume":"6"},"uris":["http://www.mendeley.com/documents/?uuid=bafb861e-20ae-4c8d-9e24-6f91b88cfb5d"]}],"mendeley":{"formattedCitation":"(Erpiyana et al., 2024)","plainTextFormattedCitation":"(Erpiyana et al., 2024)","previouslyFormattedCitation":"(Erpiyana et al., 2024)"},"properties":{"noteIndex":0},"schema":"https://github.com/citation-style-language/schema/raw/master/csl-citation.json"}</w:instrText>
      </w:r>
      <w:r w:rsidR="00E35E36" w:rsidRPr="00F6494F">
        <w:rPr>
          <w:rFonts w:ascii="Arial MT" w:eastAsia="Arial MT" w:hAnsi="Arial MT" w:cs="Arial MT"/>
          <w:spacing w:val="-2"/>
          <w:kern w:val="0"/>
          <w:sz w:val="22"/>
          <w:szCs w:val="22"/>
          <w14:ligatures w14:val="none"/>
        </w:rPr>
        <w:fldChar w:fldCharType="separate"/>
      </w:r>
      <w:r w:rsidR="00E35E36" w:rsidRPr="00F6494F">
        <w:rPr>
          <w:rFonts w:ascii="Arial MT" w:eastAsia="Arial MT" w:hAnsi="Arial MT" w:cs="Arial MT"/>
          <w:noProof/>
          <w:spacing w:val="-2"/>
          <w:kern w:val="0"/>
          <w:sz w:val="22"/>
          <w:szCs w:val="22"/>
          <w14:ligatures w14:val="none"/>
        </w:rPr>
        <w:t>(Erpiyana et al., 2024)</w:t>
      </w:r>
      <w:r w:rsidR="00E35E36"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This data underscores the pressing need for organ transplantation as a life-saving medical intervention.</w:t>
      </w:r>
    </w:p>
    <w:p w14:paraId="27D77417" w14:textId="4406559C"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Amid the escalating demand for organ transplantation, the role of living donors—both related and unrelated—has become increasingly crucial in supporting the national transplantation system</w:t>
      </w:r>
      <w:r w:rsidR="007A0175" w:rsidRPr="00F6494F">
        <w:rPr>
          <w:rFonts w:ascii="Arial MT" w:eastAsia="Arial MT" w:hAnsi="Arial MT" w:cs="Arial MT"/>
          <w:spacing w:val="-2"/>
          <w:kern w:val="0"/>
          <w:sz w:val="22"/>
          <w:szCs w:val="22"/>
          <w14:ligatures w14:val="none"/>
        </w:rPr>
        <w:t xml:space="preserve"> </w:t>
      </w:r>
      <w:r w:rsidR="007A0175" w:rsidRPr="00F6494F">
        <w:rPr>
          <w:rFonts w:ascii="Arial MT" w:eastAsia="Arial MT" w:hAnsi="Arial MT" w:cs="Arial MT"/>
          <w:spacing w:val="-2"/>
          <w:kern w:val="0"/>
          <w:sz w:val="22"/>
          <w:szCs w:val="22"/>
          <w14:ligatures w14:val="none"/>
        </w:rPr>
        <w:fldChar w:fldCharType="begin" w:fldLock="1"/>
      </w:r>
      <w:r w:rsidR="00671F92" w:rsidRPr="00F6494F">
        <w:rPr>
          <w:rFonts w:ascii="Arial MT" w:eastAsia="Arial MT" w:hAnsi="Arial MT" w:cs="Arial MT"/>
          <w:spacing w:val="-2"/>
          <w:kern w:val="0"/>
          <w:sz w:val="22"/>
          <w:szCs w:val="22"/>
          <w14:ligatures w14:val="none"/>
        </w:rPr>
        <w:instrText>ADDIN CSL_CITATION {"citationItems":[{"id":"ITEM-1","itemData":{"DOI":"10.1038/s41581-021-00425-3","ISBN":"0123456789","ISSN":"1759507X","PMID":"33953367","abstract":"Although overall donation and transplantation activity is higher in Europe than on other continents, differences between European countries in almost every aspect of transplantation activity (for example, in the number of transplantations, the number of people with a functioning graft, in rates of living versus deceased donation, and in the use of expanded criteria donors) suggest that there is ample room for improvement. Herein we review the policy and clinical measures that should be considered to increase access to transplantation and improve post-transplantation outcomes. This Roadmap, generated by a group of major European stakeholders collaborating within a Thematic Network, presents an outline of the challenges to increasing transplantation rates and proposes 12 key areas along with specific measures that should be considered to promote transplantation. This framework can be adopted by countries and institutions that are interested in advancing transplantation, both within and outside the European Union. Within this framework, a priority ranking of initiatives is suggested that could serve as the basis for a new European Union Action Plan on Organ Donation and Transplantation.","author":[{"dropping-particle":"","family":"Vanholder","given":"Raymond","non-dropping-particle":"","parse-names":false,"suffix":""},{"dropping-particle":"","family":"Domínguez-Gil","given":"Beatriz","non-dropping-particle":"","parse-names":false,"suffix":""},{"dropping-particle":"","family":"Busic","given":"Mirela","non-dropping-particle":"","parse-names":false,"suffix":""},{"dropping-particle":"","family":"Cortez-Pinto","given":"Helena","non-dropping-particle":"","parse-names":false,"suffix":""},{"dropping-particle":"","family":"Craig","given":"Jonathan C.","non-dropping-particle":"","parse-names":false,"suffix":""},{"dropping-particle":"","family":"Jager","given":"Kitty J.","non-dropping-particle":"","parse-names":false,"suffix":""},{"dropping-particle":"","family":"Mahillo","given":"Beatriz","non-dropping-particle":"","parse-names":false,"suffix":""},{"dropping-particle":"","family":"Stel","given":"Vianda S.","non-dropping-particle":"","parse-names":false,"suffix":""},{"dropping-particle":"","family":"Valentin","given":"Maria O.","non-dropping-particle":"","parse-names":false,"suffix":""},{"dropping-particle":"","family":"Zoccali","given":"Carmine","non-dropping-particle":"","parse-names":false,"suffix":""},{"dropping-particle":"","family":"Oniscu","given":"Gabriel C.","non-dropping-particle":"","parse-names":false,"suffix":""}],"container-title":"Nature Reviews Nephrology","id":"ITEM-1","issue":"8","issued":{"date-parts":[["2021"]]},"page":"554-568","publisher":"Springer US","title":"Organ donation and transplantation: a multi-stakeholder call to action","type":"article-journal","volume":"17"},"uris":["http://www.mendeley.com/documents/?uuid=94bddf83-d872-45de-87cd-a315d18c3fe4"]}],"mendeley":{"formattedCitation":"(Vanholder et al., 2021)","plainTextFormattedCitation":"(Vanholder et al., 2021)","previouslyFormattedCitation":"(Vanholder et al., 2021)"},"properties":{"noteIndex":0},"schema":"https://github.com/citation-style-language/schema/raw/master/csl-citation.json"}</w:instrText>
      </w:r>
      <w:r w:rsidR="007A0175" w:rsidRPr="00F6494F">
        <w:rPr>
          <w:rFonts w:ascii="Arial MT" w:eastAsia="Arial MT" w:hAnsi="Arial MT" w:cs="Arial MT"/>
          <w:spacing w:val="-2"/>
          <w:kern w:val="0"/>
          <w:sz w:val="22"/>
          <w:szCs w:val="22"/>
          <w14:ligatures w14:val="none"/>
        </w:rPr>
        <w:fldChar w:fldCharType="separate"/>
      </w:r>
      <w:r w:rsidR="007A0175" w:rsidRPr="00F6494F">
        <w:rPr>
          <w:rFonts w:ascii="Arial MT" w:eastAsia="Arial MT" w:hAnsi="Arial MT" w:cs="Arial MT"/>
          <w:noProof/>
          <w:spacing w:val="-2"/>
          <w:kern w:val="0"/>
          <w:sz w:val="22"/>
          <w:szCs w:val="22"/>
          <w14:ligatures w14:val="none"/>
        </w:rPr>
        <w:t>(Vanholder et al., 2021)</w:t>
      </w:r>
      <w:r w:rsidR="007A0175"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However, behind this medical urgency lie numerous unresolved legal issues, particularly protecting donors' rights. Many donors have not received adequate legal safeguards, including post-donation health care, social security, and the right to complete and accurate information</w:t>
      </w:r>
      <w:r w:rsidR="00671F92" w:rsidRPr="00F6494F">
        <w:rPr>
          <w:rFonts w:ascii="Arial MT" w:eastAsia="Arial MT" w:hAnsi="Arial MT" w:cs="Arial MT"/>
          <w:spacing w:val="-2"/>
          <w:kern w:val="0"/>
          <w:sz w:val="22"/>
          <w:szCs w:val="22"/>
          <w14:ligatures w14:val="none"/>
        </w:rPr>
        <w:t xml:space="preserve"> </w:t>
      </w:r>
      <w:r w:rsidR="00671F92" w:rsidRPr="00F6494F">
        <w:rPr>
          <w:rFonts w:ascii="Arial MT" w:eastAsia="Arial MT" w:hAnsi="Arial MT" w:cs="Arial MT"/>
          <w:spacing w:val="-2"/>
          <w:kern w:val="0"/>
          <w:sz w:val="22"/>
          <w:szCs w:val="22"/>
          <w14:ligatures w14:val="none"/>
        </w:rPr>
        <w:fldChar w:fldCharType="begin" w:fldLock="1"/>
      </w:r>
      <w:r w:rsidR="00B429E2" w:rsidRPr="00F6494F">
        <w:rPr>
          <w:rFonts w:ascii="Arial MT" w:eastAsia="Arial MT" w:hAnsi="Arial MT" w:cs="Arial MT"/>
          <w:spacing w:val="-2"/>
          <w:kern w:val="0"/>
          <w:sz w:val="22"/>
          <w:szCs w:val="22"/>
          <w14:ligatures w14:val="none"/>
        </w:rPr>
        <w:instrText>ADDIN CSL_CITATION {"citationItems":[{"id":"ITEM-1","itemData":{"DOI":"10.4103/0970-1591.56203","ISSN":"09701591","abstract":"The legislation called the Transplantation of Human Organ Act (THO) was passed in India in 1994 to streamline organ donation and transplantation activities. Broadly, the act accepted brain death as a form of death and made the sale of organs a punishable offence. With the acceptance of brain death, it became possible to not only undertake kidney transplantations but also start other solid organ transplants like liver, heart, lungs, and pancreas. Despite the THO legislation, organ commerce and kidney scandals are regularly reported in the Indian media. In most instances, the implementation of the law has been flawed and more often than once its provisions have been abused. Parallel to the living related and unrelated donation program, the deceased donation program has slowly evolved in a few states. In approximately one-third of all liver transplants, the organs have come from the deceased donor program as have all the hearts and pancreas transplants. In these states, a few hospitals along with committed NGOs have kept the momentum of the deceased donor program. The MOHAN Foundation (NGO based in Tamil Nadu and Andhra Pradesh) has facilitated 400 of the 1,300 deceased organ transplants performed in the country over the last 14 years. To overcome organ shortage, developed countries are re-looking at the ethics of unrelated programs and there seems to be a move towards making this an acceptable legal alternative. The supply of deceased donors in these countries has peaked and there has been no further increase over the last few years. India is currently having a deceased donation rate of 0.05 to 0.08 per million population. We need to find a solution on how we can utilize the potentially large pool of trauma-related brain deaths for organ donation. This year in the state of Tamil Nadu, the Government has passed seven special orders. These orders are expected to streamline the activity of deceased donors and help increase their numbers. Recently, on July 30, 2008, the Government brought in a few new amendments as a Gazette with the purpose of putting a stop to organ commerce. The ethics of commerce in organ donation and transplant tourism has been widely criticized by international bodies. The legal and ethical principles that we follow universally with organ donation and transplantation are also important for the future as these may be used to resolve our conflicts related to emerging sciences such as cloning, tissue engineering, and stem cells.","author":[{"dropping-particle":"","family":"Shroff","given":"Sunil","non-dropping-particle":"","parse-names":false,"suffix":""}],"container-title":"Indian Journal of Urology","id":"ITEM-1","issue":"3","issued":{"date-parts":[["2009"]]},"page":"348-355","title":"Legal and ethical aspects of organ donation and transplantation","type":"article-journal","volume":"25"},"uris":["http://www.mendeley.com/documents/?uuid=eb670f1f-41e2-42f8-bef0-df66b732eaad"]}],"mendeley":{"formattedCitation":"(Shroff, 2009)","plainTextFormattedCitation":"(Shroff, 2009)","previouslyFormattedCitation":"(Shroff, 2009)"},"properties":{"noteIndex":0},"schema":"https://github.com/citation-style-language/schema/raw/master/csl-citation.json"}</w:instrText>
      </w:r>
      <w:r w:rsidR="00671F92" w:rsidRPr="00F6494F">
        <w:rPr>
          <w:rFonts w:ascii="Arial MT" w:eastAsia="Arial MT" w:hAnsi="Arial MT" w:cs="Arial MT"/>
          <w:spacing w:val="-2"/>
          <w:kern w:val="0"/>
          <w:sz w:val="22"/>
          <w:szCs w:val="22"/>
          <w14:ligatures w14:val="none"/>
        </w:rPr>
        <w:fldChar w:fldCharType="separate"/>
      </w:r>
      <w:r w:rsidR="00671F92" w:rsidRPr="00F6494F">
        <w:rPr>
          <w:rFonts w:ascii="Arial MT" w:eastAsia="Arial MT" w:hAnsi="Arial MT" w:cs="Arial MT"/>
          <w:noProof/>
          <w:spacing w:val="-2"/>
          <w:kern w:val="0"/>
          <w:sz w:val="22"/>
          <w:szCs w:val="22"/>
          <w14:ligatures w14:val="none"/>
        </w:rPr>
        <w:t>(Shroff, 2009)</w:t>
      </w:r>
      <w:r w:rsidR="00671F92"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xml:space="preserve">. This situation raises concerns about potential exploitation and violations of human rights. Therefore, an urgent need is to formulate a comprehensive legal </w:t>
      </w:r>
      <w:r w:rsidRPr="00F6494F">
        <w:rPr>
          <w:rFonts w:ascii="Arial MT" w:eastAsia="Arial MT" w:hAnsi="Arial MT" w:cs="Arial MT"/>
          <w:spacing w:val="-2"/>
          <w:kern w:val="0"/>
          <w:sz w:val="22"/>
          <w:szCs w:val="22"/>
          <w14:ligatures w14:val="none"/>
        </w:rPr>
        <w:lastRenderedPageBreak/>
        <w:t>protection framework for living donors as an integral part of Indonesia's national transplantation system.</w:t>
      </w:r>
    </w:p>
    <w:p w14:paraId="0F8D6DCD" w14:textId="77777777"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Such protection is necessary because living donors face physical, psychological, and social risks and long-term consequences. Following the donation procedure, donors are often not provided with long-term health guarantees, psychological support, or sufficient legal protection in the event of complications or future health issues. This disparity in treatment between recipients and donors is an apparent injustice, raising concerns over justice and fairness. From a legal perspective, a system that fails to protect donors equitably violates fundamental human rights, particularly the right to health, safety, and equal protection under the law.</w:t>
      </w:r>
    </w:p>
    <w:p w14:paraId="3FBA03FA" w14:textId="77777777"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In Indonesia, the legal framework for organ transplantation is governed by several regulations, such as Law No. 17 of 2023 on Health, Government Regulation No. 28 of 2024 as its implementing regulation, and Minister of Health Regulation No. 38 of 2016 on implementing Organ Transplantation. However, these regulations predominantly focus on procedural matters and preventing organ trafficking, while long-term donor protection remains neither explicitly addressed nor comprehensively regulated. This lack of comprehensive regulation creates a legal vacuum that may disadvantage donors should post-transplant complications arise. It is crucial to fill this gap with a comprehensive legal protection framework.</w:t>
      </w:r>
    </w:p>
    <w:p w14:paraId="5E3751A1" w14:textId="77777777"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Justice is a key concern in organ transplantation, demanding a balance between the recipient's rights and the donor's contribution. Many countries have adopted reciprocal approaches, such as prioritization systems for donors who may require future transplants, to encourage fairness and increase donor numbers. Indonesia has yet to explicitly adopt such mechanisms in its legal system explicitly, even though applying principles of distributive and participatory justice could provide a significant incentive for individuals to become donors.</w:t>
      </w:r>
    </w:p>
    <w:p w14:paraId="1416E055" w14:textId="0B437617" w:rsidR="00E74028"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This study aims to critically examine the existing legal framework governing donor protection in Indonesia, identify regulatory weaknesses, and offer justice-based approaches for legal reform. The objective is to develop a legal framework that ensures comprehensive and fair protection for kidney donors—covering medical, social, economic, and legal aspects. In doing so, Indonesia can aspire to build a sustainable, ethical, and equitable transplantation system that addresses the needs of patients and guarantees the rights and welfare of those who make such life-saving contributions.</w:t>
      </w:r>
    </w:p>
    <w:p w14:paraId="6F7A4808" w14:textId="77777777" w:rsidR="002D67BE" w:rsidRPr="00F6494F" w:rsidRDefault="002D67BE" w:rsidP="002D67BE">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p>
    <w:p w14:paraId="7AE7F906" w14:textId="6CFDE445" w:rsidR="002D67BE" w:rsidRPr="00F6494F" w:rsidRDefault="002D67BE" w:rsidP="00E374FB">
      <w:pPr>
        <w:widowControl w:val="0"/>
        <w:numPr>
          <w:ilvl w:val="0"/>
          <w:numId w:val="1"/>
        </w:numPr>
        <w:autoSpaceDE w:val="0"/>
        <w:autoSpaceDN w:val="0"/>
        <w:spacing w:after="0" w:line="240" w:lineRule="auto"/>
        <w:ind w:left="284" w:hanging="284"/>
        <w:outlineLvl w:val="0"/>
        <w:rPr>
          <w:rFonts w:ascii="Arial MT" w:eastAsia="Arial MT" w:hAnsi="Arial MT" w:cs="Arial MT"/>
          <w:kern w:val="0"/>
          <w:sz w:val="22"/>
          <w:szCs w:val="22"/>
          <w14:ligatures w14:val="none"/>
        </w:rPr>
      </w:pPr>
      <w:r w:rsidRPr="00F6494F">
        <w:rPr>
          <w:rFonts w:ascii="Arial MT" w:eastAsia="Arial MT" w:hAnsi="Arial MT" w:cs="Arial MT"/>
          <w:spacing w:val="-2"/>
          <w:kern w:val="0"/>
          <w:sz w:val="22"/>
          <w:szCs w:val="22"/>
          <w14:ligatures w14:val="none"/>
        </w:rPr>
        <w:t>LITERATURE REVIEW</w:t>
      </w:r>
    </w:p>
    <w:p w14:paraId="74494D2B" w14:textId="187E91A6"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Organ transplantation has become a crucial issue in global health law as it directly intersects with human rights, particularly the right to life and health. Several relevant international legal instruments have addressed this matter, including the Universal Declaration on Bioethics and Human Rights (UNESCO, 2005), emphasizing the need to protect human dignity, integrity, and individual autonomy in biomedical practices, including organ transplantation. This declaration affirms that medical interventions must be carried out based on the free and informed consent of the individual concerned. It has been followed by the WHO Guiding Principles on Human Cell, Tissue, and Organ Transplantation (2010), which outline core principles such as transparency, equitable distribution, and the prohibition of donor exploitation—especially for individuals in economically or socially vulnerable positions—who must be protected under the law</w:t>
      </w:r>
      <w:r w:rsidR="009F2440" w:rsidRPr="00F6494F">
        <w:rPr>
          <w:rFonts w:ascii="Arial MT" w:eastAsia="Arial MT" w:hAnsi="Arial MT" w:cs="Arial MT"/>
          <w:kern w:val="0"/>
          <w:sz w:val="22"/>
          <w:szCs w:val="22"/>
          <w14:ligatures w14:val="none"/>
        </w:rPr>
        <w:t>.</w:t>
      </w:r>
    </w:p>
    <w:p w14:paraId="3B226641" w14:textId="77486079"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Legal protection is a crucial shield that safeguards citizens against arbitrary actions, ensuring justice, legal certainty, and utility</w:t>
      </w:r>
      <w:r w:rsidR="009F2440" w:rsidRPr="00F6494F">
        <w:rPr>
          <w:rFonts w:ascii="Arial MT" w:eastAsia="Arial MT" w:hAnsi="Arial MT" w:cs="Arial MT"/>
          <w:kern w:val="0"/>
          <w:sz w:val="22"/>
          <w:szCs w:val="22"/>
          <w14:ligatures w14:val="none"/>
        </w:rPr>
        <w:t xml:space="preserve"> </w:t>
      </w:r>
      <w:r w:rsidR="009F2440" w:rsidRPr="00F6494F">
        <w:rPr>
          <w:rFonts w:ascii="Arial MT" w:eastAsia="Arial MT" w:hAnsi="Arial MT" w:cs="Arial MT"/>
          <w:kern w:val="0"/>
          <w:sz w:val="22"/>
          <w:szCs w:val="22"/>
          <w14:ligatures w14:val="none"/>
        </w:rPr>
        <w:fldChar w:fldCharType="begin" w:fldLock="1"/>
      </w:r>
      <w:r w:rsidR="009F2440" w:rsidRPr="00F6494F">
        <w:rPr>
          <w:rFonts w:ascii="Arial MT" w:eastAsia="Arial MT" w:hAnsi="Arial MT" w:cs="Arial MT"/>
          <w:kern w:val="0"/>
          <w:sz w:val="22"/>
          <w:szCs w:val="22"/>
          <w14:ligatures w14:val="none"/>
        </w:rPr>
        <w:instrText>ADDIN CSL_CITATION {"citationItems":[{"id":"ITEM-1","itemData":{"DOI":"10.57239/PJLSS-2024-22.2.00563","ISSN":"22217630","abstract":"The confinement of people with mental illness (PwMI) in Indonesia is a severe violation of human rights. This practice often occurs due to a lack of public understanding and adequate support for legal protection for PwMI. This research aims to explore strategic steps that can be taken to improve legal protection for PwMI and address the practice of confinement. The research method used is a qualitative approach with document analysis of legal documents and related literature. The data collected was analyzed qualitatively, emphasizing interpretation and understanding of the applicable legal rules. The results show that although there is a regulation prohibiting confinement, its implementation in the field still needs to improve. Influencing factors include social stigma, lack of training for health workers, and lack of access to quality mental health services. This study recommends strengthening regulations and policies, increasing public education on mental health, and improving adequate mental health facilities. However, it also emphasizes the crucial role of community involvement in handling PwMI. By actively participating in the solution, the community can create a more inclusive environment and support the successful protection of PwMI, making them an integral part of the process.","author":[{"dropping-particle":"","family":"Sutikno","given":"Edi","non-dropping-particle":"","parse-names":false,"suffix":""},{"dropping-particle":"","family":"Irianto","given":"Sigit","non-dropping-particle":"","parse-names":false,"suffix":""},{"dropping-particle":"","family":"Kusumaningrum","given":"Anggraeni Endah","non-dropping-particle":"","parse-names":false,"suffix":""},{"dropping-particle":"","family":"Noor","given":"Afif","non-dropping-particle":"","parse-names":false,"suffix":""}],"container-title":"Pakistan Journal of Life and Social Sciences","id":"ITEM-1","issue":"2","issued":{"date-parts":[["2024"]]},"page":"7478-7486","title":"Improving Legal Protection for People with Mental Illness: Addressing Confinement Practices and Promoting Human Rights Protections","type":"article-journal","volume":"22"},"uris":["http://www.mendeley.com/documents/?uuid=4e697fa2-56c2-4a52-ad14-6fc557502eb5"]}],"mendeley":{"formattedCitation":"(Sutikno et al., 2024)","plainTextFormattedCitation":"(Sutikno et al., 2024)","previouslyFormattedCitation":"(Sutikno et al., 2024)"},"properties":{"noteIndex":0},"schema":"https://github.com/citation-style-language/schema/raw/master/csl-citation.json"}</w:instrText>
      </w:r>
      <w:r w:rsidR="009F2440" w:rsidRPr="00F6494F">
        <w:rPr>
          <w:rFonts w:ascii="Arial MT" w:eastAsia="Arial MT" w:hAnsi="Arial MT" w:cs="Arial MT"/>
          <w:kern w:val="0"/>
          <w:sz w:val="22"/>
          <w:szCs w:val="22"/>
          <w14:ligatures w14:val="none"/>
        </w:rPr>
        <w:fldChar w:fldCharType="separate"/>
      </w:r>
      <w:r w:rsidR="009F2440" w:rsidRPr="00F6494F">
        <w:rPr>
          <w:rFonts w:ascii="Arial MT" w:eastAsia="Arial MT" w:hAnsi="Arial MT" w:cs="Arial MT"/>
          <w:noProof/>
          <w:kern w:val="0"/>
          <w:sz w:val="22"/>
          <w:szCs w:val="22"/>
          <w14:ligatures w14:val="none"/>
        </w:rPr>
        <w:t>(Sutikno et al., 2024)</w:t>
      </w:r>
      <w:r w:rsidR="009F2440"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xml:space="preserve">. As </w:t>
      </w:r>
      <w:proofErr w:type="spellStart"/>
      <w:r w:rsidRPr="00F6494F">
        <w:rPr>
          <w:rFonts w:ascii="Arial MT" w:eastAsia="Arial MT" w:hAnsi="Arial MT" w:cs="Arial MT"/>
          <w:kern w:val="0"/>
          <w:sz w:val="22"/>
          <w:szCs w:val="22"/>
          <w14:ligatures w14:val="none"/>
        </w:rPr>
        <w:t>Satjipto</w:t>
      </w:r>
      <w:proofErr w:type="spellEnd"/>
      <w:r w:rsidRPr="00F6494F">
        <w:rPr>
          <w:rFonts w:ascii="Arial MT" w:eastAsia="Arial MT" w:hAnsi="Arial MT" w:cs="Arial MT"/>
          <w:kern w:val="0"/>
          <w:sz w:val="22"/>
          <w:szCs w:val="22"/>
          <w14:ligatures w14:val="none"/>
        </w:rPr>
        <w:t xml:space="preserve"> Rahardjo emphasizes, legal protection is not just about legal norms but also about the law's commitment to protect the weak and vulnerable</w:t>
      </w:r>
      <w:r w:rsidR="00B429E2" w:rsidRPr="00F6494F">
        <w:rPr>
          <w:rFonts w:ascii="Arial MT" w:eastAsia="Arial MT" w:hAnsi="Arial MT" w:cs="Arial MT"/>
          <w:kern w:val="0"/>
          <w:sz w:val="22"/>
          <w:szCs w:val="22"/>
          <w14:ligatures w14:val="none"/>
        </w:rPr>
        <w:t xml:space="preserve"> </w:t>
      </w:r>
      <w:r w:rsidR="00B429E2" w:rsidRPr="00F6494F">
        <w:rPr>
          <w:rFonts w:ascii="Arial MT" w:eastAsia="Arial MT" w:hAnsi="Arial MT" w:cs="Arial MT"/>
          <w:kern w:val="0"/>
          <w:sz w:val="22"/>
          <w:szCs w:val="22"/>
          <w14:ligatures w14:val="none"/>
        </w:rPr>
        <w:fldChar w:fldCharType="begin" w:fldLock="1"/>
      </w:r>
      <w:r w:rsidR="00B429E2" w:rsidRPr="00F6494F">
        <w:rPr>
          <w:rFonts w:ascii="Arial MT" w:eastAsia="Arial MT" w:hAnsi="Arial MT" w:cs="Arial MT"/>
          <w:kern w:val="0"/>
          <w:sz w:val="22"/>
          <w:szCs w:val="22"/>
          <w14:ligatures w14:val="none"/>
        </w:rPr>
        <w:instrText>ADDIN CSL_CITATION {"citationItems":[{"id":"ITEM-1","itemData":{"author":[{"dropping-particle":"","family":"Raharjo","given":"Satjipto","non-dropping-particle":"","parse-names":false,"suffix":""}],"id":"ITEM-1","issued":{"date-parts":[["2006"]]},"publisher":"Citra Aditya Bakti","publisher-place":"Bandung","title":"Ilmu Hukum","type":"book"},"uris":["http://www.mendeley.com/documents/?uuid=cfd74692-3373-41e2-ab02-cf1bb2e5288f"]}],"mendeley":{"formattedCitation":"(Raharjo, 2006)","plainTextFormattedCitation":"(Raharjo, 2006)","previouslyFormattedCitation":"(Raharjo, 2006)"},"properties":{"noteIndex":0},"schema":"https://github.com/citation-style-language/schema/raw/master/csl-citation.json"}</w:instrText>
      </w:r>
      <w:r w:rsidR="00B429E2" w:rsidRPr="00F6494F">
        <w:rPr>
          <w:rFonts w:ascii="Arial MT" w:eastAsia="Arial MT" w:hAnsi="Arial MT" w:cs="Arial MT"/>
          <w:kern w:val="0"/>
          <w:sz w:val="22"/>
          <w:szCs w:val="22"/>
          <w14:ligatures w14:val="none"/>
        </w:rPr>
        <w:fldChar w:fldCharType="separate"/>
      </w:r>
      <w:r w:rsidR="00B429E2" w:rsidRPr="00F6494F">
        <w:rPr>
          <w:rFonts w:ascii="Arial MT" w:eastAsia="Arial MT" w:hAnsi="Arial MT" w:cs="Arial MT"/>
          <w:noProof/>
          <w:kern w:val="0"/>
          <w:sz w:val="22"/>
          <w:szCs w:val="22"/>
          <w14:ligatures w14:val="none"/>
        </w:rPr>
        <w:t>(Raharjo, 2006)</w:t>
      </w:r>
      <w:r w:rsidR="00B429E2"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Organ donors fall into this vulnerable category, often influenced by economic hardship, social pressure, or familial coercion. Therefore, they must be provided with robust legal protection, ensuring they are treated with fairness and dignity.</w:t>
      </w:r>
    </w:p>
    <w:p w14:paraId="31B99A5D" w14:textId="77978A4B"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Legal justice, a cornerstone of modern legal systems, ensures the equal protection of individual rights under the law. As John Rawls (1971) eloquently stated, justice demands that everyone be treated as a legal subject with equal rights and safeguards</w:t>
      </w:r>
      <w:r w:rsidR="00B429E2" w:rsidRPr="00F6494F">
        <w:rPr>
          <w:rFonts w:ascii="Arial MT" w:eastAsia="Arial MT" w:hAnsi="Arial MT" w:cs="Arial MT"/>
          <w:kern w:val="0"/>
          <w:sz w:val="22"/>
          <w:szCs w:val="22"/>
          <w14:ligatures w14:val="none"/>
        </w:rPr>
        <w:t xml:space="preserve"> </w:t>
      </w:r>
      <w:r w:rsidR="00B429E2" w:rsidRPr="00F6494F">
        <w:rPr>
          <w:rFonts w:ascii="Arial MT" w:eastAsia="Arial MT" w:hAnsi="Arial MT" w:cs="Arial MT"/>
          <w:kern w:val="0"/>
          <w:sz w:val="22"/>
          <w:szCs w:val="22"/>
          <w14:ligatures w14:val="none"/>
        </w:rPr>
        <w:fldChar w:fldCharType="begin" w:fldLock="1"/>
      </w:r>
      <w:r w:rsidR="009F2440" w:rsidRPr="00F6494F">
        <w:rPr>
          <w:rFonts w:ascii="Arial MT" w:eastAsia="Arial MT" w:hAnsi="Arial MT" w:cs="Arial MT"/>
          <w:kern w:val="0"/>
          <w:sz w:val="22"/>
          <w:szCs w:val="22"/>
          <w14:ligatures w14:val="none"/>
        </w:rPr>
        <w:instrText>ADDIN CSL_CITATION {"citationItems":[{"id":"ITEM-1","itemData":{"ISBN":"0674000773","abstract":"Persepsi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2011)","author":[{"dropping-particle":"","family":"Rawls","given":"John","non-dropping-particle":"","parse-names":false,"suffix":""}],"id":"ITEM-1","issued":{"date-parts":[["1999"]]},"number-of-pages":"6","publisher":"The Belknap Press of Harvard University Press","publisher-place":"Cambridge","title":"A Theory of Justice","type":"book"},"uris":["http://www.mendeley.com/documents/?uuid=22be0b2c-bfd7-4e8f-b23d-0f2d6d2ebc7b"]}],"mendeley":{"formattedCitation":"(Rawls, 1999)","plainTextFormattedCitation":"(Rawls, 1999)","previouslyFormattedCitation":"(Rawls, 1999)"},"properties":{"noteIndex":0},"schema":"https://github.com/citation-style-language/schema/raw/master/csl-citation.json"}</w:instrText>
      </w:r>
      <w:r w:rsidR="00B429E2" w:rsidRPr="00F6494F">
        <w:rPr>
          <w:rFonts w:ascii="Arial MT" w:eastAsia="Arial MT" w:hAnsi="Arial MT" w:cs="Arial MT"/>
          <w:kern w:val="0"/>
          <w:sz w:val="22"/>
          <w:szCs w:val="22"/>
          <w14:ligatures w14:val="none"/>
        </w:rPr>
        <w:fldChar w:fldCharType="separate"/>
      </w:r>
      <w:r w:rsidR="00B429E2" w:rsidRPr="00F6494F">
        <w:rPr>
          <w:rFonts w:ascii="Arial MT" w:eastAsia="Arial MT" w:hAnsi="Arial MT" w:cs="Arial MT"/>
          <w:noProof/>
          <w:kern w:val="0"/>
          <w:sz w:val="22"/>
          <w:szCs w:val="22"/>
          <w14:ligatures w14:val="none"/>
        </w:rPr>
        <w:t>(Rawls, 1999)</w:t>
      </w:r>
      <w:r w:rsidR="00B429E2"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xml:space="preserve">, even in medical contexts. In organ transplantation, legal justice guarantees that all parties—recipients </w:t>
      </w:r>
      <w:r w:rsidRPr="00F6494F">
        <w:rPr>
          <w:rFonts w:ascii="Arial MT" w:eastAsia="Arial MT" w:hAnsi="Arial MT" w:cs="Arial MT"/>
          <w:kern w:val="0"/>
          <w:sz w:val="22"/>
          <w:szCs w:val="22"/>
          <w14:ligatures w14:val="none"/>
        </w:rPr>
        <w:lastRenderedPageBreak/>
        <w:t>and donors alike—receive adequate legal protection and do not suffer harm due to their participation in the process. This emphasis on legal justice provides all involved reassurance and a sense of security</w:t>
      </w:r>
      <w:r w:rsidR="002575A5" w:rsidRPr="00F6494F">
        <w:rPr>
          <w:rFonts w:ascii="Arial MT" w:eastAsia="Arial MT" w:hAnsi="Arial MT" w:cs="Arial MT"/>
          <w:kern w:val="0"/>
          <w:sz w:val="22"/>
          <w:szCs w:val="22"/>
          <w14:ligatures w14:val="none"/>
        </w:rPr>
        <w:t xml:space="preserve"> </w:t>
      </w:r>
      <w:r w:rsidR="002575A5" w:rsidRPr="00F6494F">
        <w:rPr>
          <w:rFonts w:ascii="Arial MT" w:eastAsia="Arial MT" w:hAnsi="Arial MT" w:cs="Arial MT"/>
          <w:kern w:val="0"/>
          <w:sz w:val="22"/>
          <w:szCs w:val="22"/>
          <w14:ligatures w14:val="none"/>
        </w:rPr>
        <w:fldChar w:fldCharType="begin" w:fldLock="1"/>
      </w:r>
      <w:r w:rsidR="002575A5" w:rsidRPr="00F6494F">
        <w:rPr>
          <w:rFonts w:ascii="Arial MT" w:eastAsia="Arial MT" w:hAnsi="Arial MT" w:cs="Arial MT"/>
          <w:kern w:val="0"/>
          <w:sz w:val="22"/>
          <w:szCs w:val="22"/>
          <w14:ligatures w14:val="none"/>
        </w:rPr>
        <w:instrText>ADDIN CSL_CITATION {"citationItems":[{"id":"ITEM-1","itemData":{"DOI":"10.48161/Issn.2709-8206","ISSN":"27098206","abstract":"he health and safety of school children in Indonesia in the consumption of snacks in the school environment is an important aspect that needs to be carefully guarded. Ensuring that children receive healthy, safe, and nutritious snacks requires rigorous legal tools. This article reviews the existing legal framework and enforcement measures needed to ensure the health and safety of schoolchildren during snack consumption. While there are already regulations governing snacks, law enforcement, andpublic awareness in this regard remain a challenge. The government needs to improve law enforcement efforts by conducting strong coordination, strict supervision of food manufacturers, and providing counseling to parents and students on the importance of choosing healthy snacks. With strong regulations and effective law enforcement, we can ensure that schoolchildren in Indonesia consume healthy and safe snacks and support their proper growth and development for a healthier and more competitive young generation for the betterment of the nation.","author":[{"dropping-particle":"","family":"Haque, Iif Taufiq Putra, Sarsintorini, Suparno, Noor","given":"Afif","non-dropping-particle":"El","parse-names":false,"suffix":""}],"container-title":"Qubahan Academic Journal","id":"ITEM-1","issue":"4","issued":{"date-parts":[["2023"]]},"page":"206-218","title":"Ensuring the Health and Safety of Indonesian School Children: Legal Protections in Snack Consumption","type":"article-journal","volume":"3"},"uris":["http://www.mendeley.com/documents/?uuid=7c657dd5-23e5-4a67-9408-e38b8eb98c17"]}],"mendeley":{"formattedCitation":"(El Haque, Iif Taufiq Putra, Sarsintorini, Suparno, Noor, 2023)","manualFormatting":"(El Haque, et al., 2023)","plainTextFormattedCitation":"(El Haque, Iif Taufiq Putra, Sarsintorini, Suparno, Noor, 2023)"},"properties":{"noteIndex":0},"schema":"https://github.com/citation-style-language/schema/raw/master/csl-citation.json"}</w:instrText>
      </w:r>
      <w:r w:rsidR="002575A5" w:rsidRPr="00F6494F">
        <w:rPr>
          <w:rFonts w:ascii="Arial MT" w:eastAsia="Arial MT" w:hAnsi="Arial MT" w:cs="Arial MT"/>
          <w:kern w:val="0"/>
          <w:sz w:val="22"/>
          <w:szCs w:val="22"/>
          <w14:ligatures w14:val="none"/>
        </w:rPr>
        <w:fldChar w:fldCharType="separate"/>
      </w:r>
      <w:r w:rsidR="002575A5" w:rsidRPr="00F6494F">
        <w:rPr>
          <w:rFonts w:ascii="Arial MT" w:eastAsia="Arial MT" w:hAnsi="Arial MT" w:cs="Arial MT"/>
          <w:noProof/>
          <w:kern w:val="0"/>
          <w:sz w:val="22"/>
          <w:szCs w:val="22"/>
          <w14:ligatures w14:val="none"/>
        </w:rPr>
        <w:t>(El Haque, et al., 2023)</w:t>
      </w:r>
      <w:r w:rsidR="002575A5"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w:t>
      </w:r>
    </w:p>
    <w:p w14:paraId="7A0283F9" w14:textId="4DF5926C" w:rsidR="002D67BE"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Within health law, the principle of justice is a beacon that guides the fair and non-discriminatory distribution of health resources and the ethical treatment of patients and donors. Beauchamp and Childress, in their seminal work Principles of Biomedical Ethics (2013), outline three key dimensions of justice in health care: distributive, procedural, and compensatory</w:t>
      </w:r>
      <w:r w:rsidR="002575A5" w:rsidRPr="00F6494F">
        <w:rPr>
          <w:rFonts w:ascii="Arial MT" w:eastAsia="Arial MT" w:hAnsi="Arial MT" w:cs="Arial MT"/>
          <w:kern w:val="0"/>
          <w:sz w:val="22"/>
          <w:szCs w:val="22"/>
          <w14:ligatures w14:val="none"/>
        </w:rPr>
        <w:t xml:space="preserve"> </w:t>
      </w:r>
      <w:r w:rsidR="002575A5" w:rsidRPr="00F6494F">
        <w:rPr>
          <w:rFonts w:ascii="Arial MT" w:eastAsia="Arial MT" w:hAnsi="Arial MT" w:cs="Arial MT"/>
          <w:kern w:val="0"/>
          <w:sz w:val="22"/>
          <w:szCs w:val="22"/>
          <w14:ligatures w14:val="none"/>
        </w:rPr>
        <w:fldChar w:fldCharType="begin" w:fldLock="1"/>
      </w:r>
      <w:r w:rsidR="002575A5" w:rsidRPr="00F6494F">
        <w:rPr>
          <w:rFonts w:ascii="Arial MT" w:eastAsia="Arial MT" w:hAnsi="Arial MT" w:cs="Arial MT"/>
          <w:kern w:val="0"/>
          <w:sz w:val="22"/>
          <w:szCs w:val="22"/>
          <w14:ligatures w14:val="none"/>
        </w:rPr>
        <w:instrText>ADDIN CSL_CITATION {"citationItems":[{"id":"ITEM-1","itemData":{"author":[{"dropping-particle":"","family":"Beauchamp, Tom L., Childress","given":"James F.","non-dropping-particle":"","parse-names":false,"suffix":""}],"id":"ITEM-1","issued":{"date-parts":[["2019"]]},"publisher":"Oxford University Press","publisher-place":"London","title":"Principles of Biomedical Ethics","type":"book"},"uris":["http://www.mendeley.com/documents/?uuid=ffb0d369-486d-421a-a54f-0a6d690e5619"]}],"mendeley":{"formattedCitation":"(Beauchamp, Tom L., Childress, 2019)","manualFormatting":"(Beauchamp and Childress, 2019)","plainTextFormattedCitation":"(Beauchamp, Tom L., Childress, 2019)","previouslyFormattedCitation":"(Beauchamp, Tom L., Childress, 2019)"},"properties":{"noteIndex":0},"schema":"https://github.com/citation-style-language/schema/raw/master/csl-citation.json"}</w:instrText>
      </w:r>
      <w:r w:rsidR="002575A5" w:rsidRPr="00F6494F">
        <w:rPr>
          <w:rFonts w:ascii="Arial MT" w:eastAsia="Arial MT" w:hAnsi="Arial MT" w:cs="Arial MT"/>
          <w:kern w:val="0"/>
          <w:sz w:val="22"/>
          <w:szCs w:val="22"/>
          <w14:ligatures w14:val="none"/>
        </w:rPr>
        <w:fldChar w:fldCharType="separate"/>
      </w:r>
      <w:r w:rsidR="002575A5" w:rsidRPr="00F6494F">
        <w:rPr>
          <w:rFonts w:ascii="Arial MT" w:eastAsia="Arial MT" w:hAnsi="Arial MT" w:cs="Arial MT"/>
          <w:noProof/>
          <w:kern w:val="0"/>
          <w:sz w:val="22"/>
          <w:szCs w:val="22"/>
          <w14:ligatures w14:val="none"/>
        </w:rPr>
        <w:t>(Beauchamp and Childress, 2019)</w:t>
      </w:r>
      <w:r w:rsidR="002575A5"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In organ transplantation, distributive justice ensures the fair allocation of available organs; procedural justice dictates how medical decisions are made and communicated; and compensatory justice becomes crucial when donors suffer medical or social consequences following transplantation. This commitment to justice ensures that donors receive complete and accurate information, can ask questions, and fully understand the risks and implications of their decision. Fair compensation and continued support should be provided if adverse outcomes occur, reinforcing the commitment to ethical treatment.</w:t>
      </w:r>
    </w:p>
    <w:p w14:paraId="2129934E" w14:textId="77777777" w:rsidR="00163D84" w:rsidRPr="00F6494F" w:rsidRDefault="00163D84" w:rsidP="00163D8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p>
    <w:p w14:paraId="35EFEF75" w14:textId="5EFA4C17" w:rsidR="00263133" w:rsidRPr="00F6494F" w:rsidRDefault="002D67BE" w:rsidP="00E374FB">
      <w:pPr>
        <w:widowControl w:val="0"/>
        <w:numPr>
          <w:ilvl w:val="0"/>
          <w:numId w:val="1"/>
        </w:numPr>
        <w:autoSpaceDE w:val="0"/>
        <w:autoSpaceDN w:val="0"/>
        <w:spacing w:after="0" w:line="240" w:lineRule="auto"/>
        <w:ind w:left="284" w:hanging="284"/>
        <w:outlineLvl w:val="0"/>
        <w:rPr>
          <w:rFonts w:ascii="Arial MT" w:eastAsia="Arial MT" w:hAnsi="Arial MT" w:cs="Arial MT"/>
          <w:kern w:val="0"/>
          <w:sz w:val="22"/>
          <w:szCs w:val="22"/>
          <w14:ligatures w14:val="none"/>
        </w:rPr>
      </w:pPr>
      <w:r w:rsidRPr="00F6494F">
        <w:rPr>
          <w:rFonts w:ascii="Arial MT" w:eastAsia="Arial MT" w:hAnsi="Arial MT" w:cs="Arial MT"/>
          <w:spacing w:val="-2"/>
          <w:kern w:val="0"/>
          <w:sz w:val="22"/>
          <w:szCs w:val="22"/>
          <w14:ligatures w14:val="none"/>
        </w:rPr>
        <w:t xml:space="preserve">MATERIALS AND </w:t>
      </w:r>
      <w:r w:rsidR="00263133" w:rsidRPr="00F6494F">
        <w:rPr>
          <w:rFonts w:ascii="Arial MT" w:eastAsia="Arial MT" w:hAnsi="Arial MT" w:cs="Arial MT"/>
          <w:spacing w:val="-2"/>
          <w:kern w:val="0"/>
          <w:sz w:val="22"/>
          <w:szCs w:val="22"/>
          <w14:ligatures w14:val="none"/>
        </w:rPr>
        <w:t>METHODS</w:t>
      </w:r>
    </w:p>
    <w:p w14:paraId="6A5ED6A2" w14:textId="4209F445" w:rsidR="00B70744" w:rsidRPr="00F6494F" w:rsidRDefault="00B70744" w:rsidP="00B7074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This juridical normative legal research is significant as it delves into the legal aspects related to protection for organ donors in Indonesia. This type of research is particularly relevant as it focuses on analyzing legal norms contained in legislation and other relevant legal documents, both national and international, within the unique context of Indonesia's legal system. The approaches used in this research are clear and well-defined. A comparative legal approach is employed, which involves comparing the legal framework for the protection of organ donors in Indonesia with several other countries, such as Iran, Chile, and Singapore. These countries were chosen as they already have mature legal systems and organ transplant policies. The aim is to identify best practices that can be adopted or adapted in Indonesia. In addition, a conceptual approach is used to explore the theories of legal justice, human rights, and medical ethics that underpin the protection of organ donors.</w:t>
      </w:r>
    </w:p>
    <w:p w14:paraId="3E79C7ED" w14:textId="5BAC8B32" w:rsidR="002D67BE" w:rsidRPr="00F6494F" w:rsidRDefault="00B70744" w:rsidP="00B7074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 data sources in this research, drawn from secondary legal materials</w:t>
      </w:r>
      <w:r w:rsidR="00576F46" w:rsidRPr="00F6494F">
        <w:rPr>
          <w:rFonts w:ascii="Arial MT" w:eastAsia="Arial MT" w:hAnsi="Arial MT" w:cs="Arial MT"/>
          <w:kern w:val="0"/>
          <w:sz w:val="22"/>
          <w:szCs w:val="22"/>
          <w14:ligatures w14:val="none"/>
        </w:rPr>
        <w:t xml:space="preserve"> </w:t>
      </w:r>
      <w:r w:rsidR="00576F46" w:rsidRPr="00F6494F">
        <w:rPr>
          <w:rFonts w:ascii="Arial MT" w:eastAsia="Arial MT" w:hAnsi="Arial MT" w:cs="Arial MT"/>
          <w:kern w:val="0"/>
          <w:sz w:val="22"/>
          <w:szCs w:val="22"/>
          <w14:ligatures w14:val="none"/>
        </w:rPr>
        <w:fldChar w:fldCharType="begin" w:fldLock="1"/>
      </w:r>
      <w:r w:rsidR="002575A5" w:rsidRPr="00F6494F">
        <w:rPr>
          <w:rFonts w:ascii="Arial MT" w:eastAsia="Arial MT" w:hAnsi="Arial MT" w:cs="Arial MT"/>
          <w:kern w:val="0"/>
          <w:sz w:val="22"/>
          <w:szCs w:val="22"/>
          <w14:ligatures w14:val="none"/>
        </w:rPr>
        <w:instrText>ADDIN CSL_CITATION {"citationItems":[{"id":"ITEM-1","itemData":{"DOI":"http://dx.doi.org/10.56444/jidh.v7i2.3154","abstract":"Legal research is a method used by legal experts to develop legal knowledge. Legal experts have different opinions in explaining the definition of legal science due to differences in opinion in placing legal science as part of social science related to how to apply the law in the practice of legal science is a sui generis science as a practical discipline that establishes standard procedures and guidelines for implementing legal regulations or applied research that has a prescriptive character. The difference in placing the science of science has given birth to the study or field of legal research into normative juridical research and empirical juridical research. Each of these fields has advantages and disadvantages. Therefore, to obtain a comprehensive legal review result, methodological integration is required through an approach called socio-legal research. Socio-legal research is not the same as empirical juridical research, both in the sociology of law and sociological jurisprudence. Socio-legal research is a combination of legal research and social studies of law. Socio-legal research has its objectives and scope, which do not merely look at the law in its empirical questions but also carry out critical academic analysis of the law.","author":[{"dropping-particle":"","family":"Noor","given":"Afif","non-dropping-particle":"","parse-names":false,"suffix":""}],"container-title":"Jurnal Ilmiah Dunia Hukum","id":"ITEM-1","issue":"2","issued":{"date-parts":[["2023"]]},"page":"61-65","title":"Socio-Legal Research: Integration of Normative and Empirical Juridical Research in Legal Research","type":"article-journal","volume":"7"},"uris":["http://www.mendeley.com/documents/?uuid=1165621f-a40a-4fc6-9722-1c1ddcff7b4d"]}],"mendeley":{"formattedCitation":"(Noor, 2023)","plainTextFormattedCitation":"(Noor, 2023)","previouslyFormattedCitation":"(Noor, 2023)"},"properties":{"noteIndex":0},"schema":"https://github.com/citation-style-language/schema/raw/master/csl-citation.json"}</w:instrText>
      </w:r>
      <w:r w:rsidR="00576F46" w:rsidRPr="00F6494F">
        <w:rPr>
          <w:rFonts w:ascii="Arial MT" w:eastAsia="Arial MT" w:hAnsi="Arial MT" w:cs="Arial MT"/>
          <w:kern w:val="0"/>
          <w:sz w:val="22"/>
          <w:szCs w:val="22"/>
          <w14:ligatures w14:val="none"/>
        </w:rPr>
        <w:fldChar w:fldCharType="separate"/>
      </w:r>
      <w:r w:rsidR="00576F46" w:rsidRPr="00F6494F">
        <w:rPr>
          <w:rFonts w:ascii="Arial MT" w:eastAsia="Arial MT" w:hAnsi="Arial MT" w:cs="Arial MT"/>
          <w:noProof/>
          <w:kern w:val="0"/>
          <w:sz w:val="22"/>
          <w:szCs w:val="22"/>
          <w14:ligatures w14:val="none"/>
        </w:rPr>
        <w:t>(Noor, 2023)</w:t>
      </w:r>
      <w:r w:rsidR="00576F46"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such as Law No. 17 of 2023 on Health and its implementing regulations, international conventions, and policy documents or reports from world health organizations, are comprehensive and reliable. The data analysis is carried out qualitatively, descriptively, and systematically describing the content of legal norms and legal practices. The thoroughness of our analysis is further demonstrated by our prescriptive approach, providing arguments and legal policy proposals to strengthen legal protection for organ donors in Indonesia.</w:t>
      </w:r>
    </w:p>
    <w:p w14:paraId="712B1081" w14:textId="77777777" w:rsidR="00B70744" w:rsidRPr="00F6494F" w:rsidRDefault="00B70744" w:rsidP="00B70744">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p>
    <w:p w14:paraId="50505E42" w14:textId="23996633" w:rsidR="002D67BE" w:rsidRPr="00F6494F" w:rsidRDefault="002D67BE" w:rsidP="00E374FB">
      <w:pPr>
        <w:widowControl w:val="0"/>
        <w:numPr>
          <w:ilvl w:val="0"/>
          <w:numId w:val="1"/>
        </w:numPr>
        <w:autoSpaceDE w:val="0"/>
        <w:autoSpaceDN w:val="0"/>
        <w:spacing w:after="0" w:line="240" w:lineRule="auto"/>
        <w:ind w:left="284" w:hanging="284"/>
        <w:outlineLvl w:val="0"/>
        <w:rPr>
          <w:rFonts w:ascii="Arial MT" w:eastAsia="Arial MT" w:hAnsi="Arial MT" w:cs="Arial MT"/>
          <w:kern w:val="0"/>
          <w:sz w:val="22"/>
          <w:szCs w:val="22"/>
          <w14:ligatures w14:val="none"/>
        </w:rPr>
      </w:pPr>
      <w:r w:rsidRPr="00F6494F">
        <w:rPr>
          <w:rFonts w:ascii="Arial MT" w:eastAsia="Arial MT" w:hAnsi="Arial MT" w:cs="Arial MT"/>
          <w:spacing w:val="-2"/>
          <w:kern w:val="0"/>
          <w:sz w:val="22"/>
          <w:szCs w:val="22"/>
          <w14:ligatures w14:val="none"/>
        </w:rPr>
        <w:t xml:space="preserve">RESULTS AND DISCUSSION </w:t>
      </w:r>
    </w:p>
    <w:p w14:paraId="04221596" w14:textId="6A8B0A9F" w:rsidR="00B70744" w:rsidRPr="00F6494F" w:rsidRDefault="00B70744" w:rsidP="00B70744">
      <w:pPr>
        <w:pStyle w:val="ListParagraph"/>
        <w:widowControl w:val="0"/>
        <w:numPr>
          <w:ilvl w:val="1"/>
          <w:numId w:val="1"/>
        </w:numPr>
        <w:autoSpaceDE w:val="0"/>
        <w:autoSpaceDN w:val="0"/>
        <w:spacing w:after="0" w:line="240" w:lineRule="auto"/>
        <w:ind w:left="426" w:hanging="426"/>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Legal Framework on Organ Transplantation in Indonesia</w:t>
      </w:r>
    </w:p>
    <w:p w14:paraId="2AA2BCFD" w14:textId="6E49523B" w:rsidR="00B70744" w:rsidRPr="00F6494F" w:rsidRDefault="00B70744" w:rsidP="00B70744">
      <w:pPr>
        <w:spacing w:after="0" w:line="240" w:lineRule="auto"/>
        <w:ind w:firstLine="426"/>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Organ transplantation is a medical procedure with profound humanitarian value</w:t>
      </w:r>
      <w:r w:rsidR="003D794B" w:rsidRPr="00F6494F">
        <w:rPr>
          <w:rFonts w:ascii="Arial MT" w:eastAsia="Arial MT" w:hAnsi="Arial MT" w:cs="Arial MT"/>
          <w:spacing w:val="-2"/>
          <w:kern w:val="0"/>
          <w:sz w:val="22"/>
          <w:szCs w:val="22"/>
          <w14:ligatures w14:val="none"/>
        </w:rPr>
        <w:t xml:space="preserve"> </w:t>
      </w:r>
      <w:r w:rsidR="003D794B" w:rsidRPr="00F6494F">
        <w:rPr>
          <w:rFonts w:ascii="Arial MT" w:eastAsia="Arial MT" w:hAnsi="Arial MT" w:cs="Arial MT"/>
          <w:spacing w:val="-2"/>
          <w:kern w:val="0"/>
          <w:sz w:val="22"/>
          <w:szCs w:val="22"/>
          <w14:ligatures w14:val="none"/>
        </w:rPr>
        <w:fldChar w:fldCharType="begin" w:fldLock="1"/>
      </w:r>
      <w:r w:rsidR="003D794B" w:rsidRPr="00F6494F">
        <w:rPr>
          <w:rFonts w:ascii="Arial MT" w:eastAsia="Arial MT" w:hAnsi="Arial MT" w:cs="Arial MT"/>
          <w:spacing w:val="-2"/>
          <w:kern w:val="0"/>
          <w:sz w:val="22"/>
          <w:szCs w:val="22"/>
          <w14:ligatures w14:val="none"/>
        </w:rPr>
        <w:instrText xml:space="preserve">ADDIN CSL_CITATION {"citationItems":[{"id":"ITEM-1","itemData":{"author":[{"dropping-particle":"","family":"Rouahna","given":"Nadia","non-dropping-particle":"","parse-names":false,"suffix":""}],"container-title":"Revue des Sciences Humaines","id":"ITEM-1","issue":"June","issued":{"date-parts":[["2025"]]},"page":"55-72","title":"The controls of the Human Organs Removal and Transplantation Under the Algerian Health Code </w:instrText>
      </w:r>
      <w:r w:rsidR="003D794B" w:rsidRPr="00F6494F">
        <w:rPr>
          <w:rFonts w:ascii="Arial MT" w:eastAsia="Arial MT" w:hAnsi="Arial MT" w:cs="Arial MT"/>
          <w:spacing w:val="-2"/>
          <w:kern w:val="0"/>
          <w:sz w:val="22"/>
          <w:szCs w:val="22"/>
          <w:rtl/>
          <w14:ligatures w14:val="none"/>
        </w:rPr>
        <w:instrText>صﺧﻠﻣ</w:instrText>
      </w:r>
      <w:r w:rsidR="003D794B" w:rsidRPr="00F6494F">
        <w:rPr>
          <w:rFonts w:ascii="Arial MT" w:eastAsia="Arial MT" w:hAnsi="Arial MT" w:cs="Arial MT"/>
          <w:spacing w:val="-2"/>
          <w:kern w:val="0"/>
          <w:sz w:val="22"/>
          <w:szCs w:val="22"/>
          <w14:ligatures w14:val="none"/>
        </w:rPr>
        <w:instrText xml:space="preserve"> Introduction :","type":"article-journal"},"uris":["http://www.mendeley.com/documents/?uuid=a4b03cf8-10fe-4459-bc43-9c14d9c17162"]}],"mendeley":{"formattedCitation":"(Rouahna, 2025)","plainTextFormattedCitation":"(Rouahna, 2025)","previouslyFormattedCitation":"(Rouahna, 2025)"},"properties":{"noteIndex":0},"schema":"https://github.com/citation-style-language/schema/raw/master/csl-citation.json"}</w:instrText>
      </w:r>
      <w:r w:rsidR="003D794B" w:rsidRPr="00F6494F">
        <w:rPr>
          <w:rFonts w:ascii="Arial MT" w:eastAsia="Arial MT" w:hAnsi="Arial MT" w:cs="Arial MT"/>
          <w:spacing w:val="-2"/>
          <w:kern w:val="0"/>
          <w:sz w:val="22"/>
          <w:szCs w:val="22"/>
          <w14:ligatures w14:val="none"/>
        </w:rPr>
        <w:fldChar w:fldCharType="separate"/>
      </w:r>
      <w:r w:rsidR="003D794B" w:rsidRPr="00F6494F">
        <w:rPr>
          <w:rFonts w:ascii="Arial MT" w:eastAsia="Arial MT" w:hAnsi="Arial MT" w:cs="Arial MT"/>
          <w:noProof/>
          <w:spacing w:val="-2"/>
          <w:kern w:val="0"/>
          <w:sz w:val="22"/>
          <w:szCs w:val="22"/>
          <w14:ligatures w14:val="none"/>
        </w:rPr>
        <w:t>(Rouahna, 2025)</w:t>
      </w:r>
      <w:r w:rsidR="003D794B"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It involves the transfer of organs or tissues from a donor to a recipient to cure diseases and restore the recipient's health. An organ is a group of tissues that work together to perform specific bodily functions, while tissue refers to a collection of cells with similar form and function. Tissues can be categorized based on their regenerative capability, which is repairing or replacing damaged cells. Tissues that can regenerate include skin and blood, while those that cannot regenerate include heart and brain tissues. Organ transplantation serves as a replacement (alternative) therapy for patients experiencing organ failure, often yielding more favorable outcomes than conservative treatment methods. The organs transplanted may come from living donors or cadaveric (deceased) donors.</w:t>
      </w:r>
    </w:p>
    <w:p w14:paraId="4038F0CE" w14:textId="60492A01" w:rsidR="00B70744" w:rsidRPr="00F6494F" w:rsidRDefault="00B70744" w:rsidP="00B70744">
      <w:pPr>
        <w:spacing w:after="0" w:line="240" w:lineRule="auto"/>
        <w:ind w:firstLine="426"/>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 xml:space="preserve">To ensure legal certainty in the implementation of organ transplantation, the Indonesian government has enacted several regulatory instruments, including Law No. 17 of 2023 on Health, Government Regulation No. 28 of 2024 as its implementing regulation, and Minister of Health Regulation No. 38 of 2016 on the Implementation of Organ Transplantation. These regulations </w:t>
      </w:r>
      <w:r w:rsidRPr="00F6494F">
        <w:rPr>
          <w:rFonts w:ascii="Arial MT" w:eastAsia="Arial MT" w:hAnsi="Arial MT" w:cs="Arial MT"/>
          <w:spacing w:val="-2"/>
          <w:kern w:val="0"/>
          <w:sz w:val="22"/>
          <w:szCs w:val="22"/>
          <w14:ligatures w14:val="none"/>
        </w:rPr>
        <w:lastRenderedPageBreak/>
        <w:t>reflect the government's unwavering commitment to providing legal protection and health guarantees for donors, recipients with organ dysfunction, transplant-performing hospitals, and medical professionals. Article 123 of Law No. 17/2023 stipulates: "To treat diseases and restore health, organ and/or tissue transplantation, cell-based and/or stem cell therapy, and reconstructive and aesthetic plastic surgery may be performed." Organ transplantation is considered the most effective and comprehensive treatment option for patients suffering from organ failure, including heart, liver, pancreas, lungs, intestines, corneas, and kidneys</w:t>
      </w:r>
      <w:r w:rsidR="003D794B" w:rsidRPr="00F6494F">
        <w:rPr>
          <w:rFonts w:ascii="Arial MT" w:eastAsia="Arial MT" w:hAnsi="Arial MT" w:cs="Arial MT"/>
          <w:spacing w:val="-2"/>
          <w:kern w:val="0"/>
          <w:sz w:val="22"/>
          <w:szCs w:val="22"/>
          <w14:ligatures w14:val="none"/>
        </w:rPr>
        <w:t xml:space="preserve"> </w:t>
      </w:r>
      <w:r w:rsidR="003D794B" w:rsidRPr="00F6494F">
        <w:rPr>
          <w:rFonts w:ascii="Arial MT" w:eastAsia="Arial MT" w:hAnsi="Arial MT" w:cs="Arial MT"/>
          <w:spacing w:val="-2"/>
          <w:kern w:val="0"/>
          <w:sz w:val="22"/>
          <w:szCs w:val="22"/>
          <w14:ligatures w14:val="none"/>
        </w:rPr>
        <w:fldChar w:fldCharType="begin" w:fldLock="1"/>
      </w:r>
      <w:r w:rsidR="00D503CD" w:rsidRPr="00F6494F">
        <w:rPr>
          <w:rFonts w:ascii="Arial MT" w:eastAsia="Arial MT" w:hAnsi="Arial MT" w:cs="Arial MT"/>
          <w:spacing w:val="-2"/>
          <w:kern w:val="0"/>
          <w:sz w:val="22"/>
          <w:szCs w:val="22"/>
          <w14:ligatures w14:val="none"/>
        </w:rPr>
        <w:instrText>ADDIN CSL_CITATION {"citationItems":[{"id":"ITEM-1","itemData":{"DOI":"10.3109/10673220903463259","ISSN":"10673229","PMID":"19968454","abstract":"The identification and treatment of psychiatric comorbidity in patients undergoing solid organ transplantation present a unique opportunity for psychiatric involvement in the care of medically complex patients. The burden of psychiatric illness in patients awaiting transplant and following transplant is significant and associated with potential morbidity and mortality. Possibilities for psychiatric liaison with our colleagues in transplant medicine and surgery start with the comprehensive psychiatric evaluation that is often performed with potential organ recipients and donors. The vital role of the psychiatrist continues following transplantation, as adjustment is often a stressful experience with associated psychiatric comorbidity. The treatment of psychiatric illness in patients following transplantation requires an understanding of the immunosuppressant medications that patients may be taking, coupled with an awareness of the associated risks of adverse effects and drug-drug interactions. Copyright © 2009 Informa Healthcare USA, Inc.","author":[{"dropping-particle":"","family":"Heinrich","given":"Thomas W.","non-dropping-particle":"","parse-names":false,"suffix":""},{"dropping-particle":"","family":"Marcangelo","given":"Michael","non-dropping-particle":"","parse-names":false,"suffix":""}],"container-title":"Harvard Review of Psychiatry","id":"ITEM-1","issue":"6","issued":{"date-parts":[["2009"]]},"page":"398-406","title":"Psychiatric issues in solid organ transplantation","type":"article-journal","volume":"17"},"uris":["http://www.mendeley.com/documents/?uuid=0b9a5f06-f9a3-4149-887f-41bfe50d62ae"]}],"mendeley":{"formattedCitation":"(Heinrich &amp; Marcangelo, 2009)","plainTextFormattedCitation":"(Heinrich &amp; Marcangelo, 2009)","previouslyFormattedCitation":"(Heinrich &amp; Marcangelo, 2009)"},"properties":{"noteIndex":0},"schema":"https://github.com/citation-style-language/schema/raw/master/csl-citation.json"}</w:instrText>
      </w:r>
      <w:r w:rsidR="003D794B" w:rsidRPr="00F6494F">
        <w:rPr>
          <w:rFonts w:ascii="Arial MT" w:eastAsia="Arial MT" w:hAnsi="Arial MT" w:cs="Arial MT"/>
          <w:spacing w:val="-2"/>
          <w:kern w:val="0"/>
          <w:sz w:val="22"/>
          <w:szCs w:val="22"/>
          <w14:ligatures w14:val="none"/>
        </w:rPr>
        <w:fldChar w:fldCharType="separate"/>
      </w:r>
      <w:r w:rsidR="003D794B" w:rsidRPr="00F6494F">
        <w:rPr>
          <w:rFonts w:ascii="Arial MT" w:eastAsia="Arial MT" w:hAnsi="Arial MT" w:cs="Arial MT"/>
          <w:noProof/>
          <w:spacing w:val="-2"/>
          <w:kern w:val="0"/>
          <w:sz w:val="22"/>
          <w:szCs w:val="22"/>
          <w14:ligatures w14:val="none"/>
        </w:rPr>
        <w:t>(Heinrich &amp; Marcangelo, 2009)</w:t>
      </w:r>
      <w:r w:rsidR="003D794B"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w:t>
      </w:r>
    </w:p>
    <w:p w14:paraId="637ADFD5" w14:textId="77777777" w:rsidR="00B70744" w:rsidRPr="00F6494F" w:rsidRDefault="00B70744" w:rsidP="00B70744">
      <w:pPr>
        <w:spacing w:after="0" w:line="240" w:lineRule="auto"/>
        <w:ind w:firstLine="426"/>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Indonesian law maintains that organ transplantation must be grounded in humanitarian reasons and requires the consent of the donor or their heirs or family. It must also be non-commercial, as stated in Article 124 of Law No. 17/2023, which affirms that organ and/or tissue transplantation must be conducted solely for medical treatment and health recovery and only for humanitarian reasons. The government seeks to increase the availability of transplantable organs by promoting voluntary donation and recognizing the rights of donors who contribute their organs for humanitarian purposes. This is further supported by Article 133 of the same law, which states: "The Central Government, Regional Governments, and/or recipients may provide recognition or awards to organ donors. Such awards may be granted to donors and/or donors' heirs."</w:t>
      </w:r>
    </w:p>
    <w:p w14:paraId="7BE9D5C7" w14:textId="77777777" w:rsidR="00B70744" w:rsidRPr="00F6494F" w:rsidRDefault="00B70744" w:rsidP="00B70744">
      <w:pPr>
        <w:spacing w:after="0" w:line="240" w:lineRule="auto"/>
        <w:ind w:firstLine="426"/>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Both the Central and Regional Governments bear responsibility for promoting organ transplantation and recognizing the contributions of donors or their heirs. This responsibility includes creating awareness about the importance of organ donation, facilitating the donation process, and ensuring the rights of donors are protected. These efforts are rooted in the principle of respecting the right to one's bodily organs, especially for individuals who have voluntarily donated them. These donors deserve legal certainty and protection as part of efforts to increase the number of organ donors in Indonesia and support the effective implementation of transplantation procedures for patients suffering from organ failure. Providing recognition or awards from the government or the recipients represents a state obligation to protect its citizens' rights, which aligns with the principles of a rule-of-law state.</w:t>
      </w:r>
    </w:p>
    <w:p w14:paraId="54BB269B" w14:textId="7916BA4A" w:rsidR="00B70744" w:rsidRPr="00F6494F" w:rsidRDefault="00B70744" w:rsidP="00B70744">
      <w:pPr>
        <w:spacing w:after="0" w:line="240" w:lineRule="auto"/>
        <w:ind w:firstLine="426"/>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Organ donation in Indonesia must be based on the principle of voluntariness. This means that the decision to donate organs should be made freely, without any form of coercion or financial inducement. Any donation involving financial compensation is deemed unlawful and subject to criminal penalties, as stipulated in Article 183 of Law No. 17 of 2023. However, the distinction between voluntary and compensated donation is often blurred in practice. Numerous cases have been found where individuals from low-income backgrounds donate organs in exchange for some form of compensation</w:t>
      </w:r>
      <w:r w:rsidR="00576F46" w:rsidRPr="00F6494F">
        <w:rPr>
          <w:rFonts w:ascii="Arial MT" w:eastAsia="Arial MT" w:hAnsi="Arial MT" w:cs="Arial MT"/>
          <w:spacing w:val="-2"/>
          <w:kern w:val="0"/>
          <w:sz w:val="22"/>
          <w:szCs w:val="22"/>
          <w14:ligatures w14:val="none"/>
        </w:rPr>
        <w:t xml:space="preserve"> </w:t>
      </w:r>
      <w:r w:rsidR="00576F46" w:rsidRPr="00F6494F">
        <w:rPr>
          <w:rFonts w:ascii="Arial MT" w:eastAsia="Arial MT" w:hAnsi="Arial MT" w:cs="Arial MT"/>
          <w:spacing w:val="-2"/>
          <w:kern w:val="0"/>
          <w:sz w:val="22"/>
          <w:szCs w:val="22"/>
          <w14:ligatures w14:val="none"/>
        </w:rPr>
        <w:fldChar w:fldCharType="begin" w:fldLock="1"/>
      </w:r>
      <w:r w:rsidR="00576F46" w:rsidRPr="00F6494F">
        <w:rPr>
          <w:rFonts w:ascii="Arial MT" w:eastAsia="Arial MT" w:hAnsi="Arial MT" w:cs="Arial MT"/>
          <w:spacing w:val="-2"/>
          <w:kern w:val="0"/>
          <w:sz w:val="22"/>
          <w:szCs w:val="22"/>
          <w14:ligatures w14:val="none"/>
        </w:rPr>
        <w:instrText>ADDIN CSL_CITATION {"citationItems":[{"id":"ITEM-1","itemData":{"DOI":"10.https://doi.org/10.48161/qaj.v3n3a155","ISSN":"27098206","abstract":"Human organ trading has become an increasingly complex and controversial issue in the era of globalization. This article aims to explore an in-depth understanding of human organ trading through ethical perspectives and in the context of Indonesia's legal framework. By combining ethical and legal studies, this article summarizes ethical views on human organ trading and analyzes the relevance of Indonesia's legal framework in addressing the challenges of such trading. In the process, it considers the implications of moral and religious values for human organ trading. Through an interdisciplinary approach, the article seeks to compile the contributions of ethics and law in forming a comprehensive view of this complex issue. It is hoped that a deeper understanding of ethical perspectives and legal frameworks will provide richer insights into human organ trading and encourage constructive debate to address the issue.","author":[{"dropping-particle":"","family":"Indriyanto, Dedy; Tedjosaputro, Liliana; Tumangkar, Totok; Noor","given":"Afif","non-dropping-particle":"","parse-names":false,"suffix":""}],"container-title":"Qubahan Academic Journal","id":"ITEM-1","issue":"4","issued":{"date-parts":[["2023"]]},"page":"206-218","title":"Understanding Human Organ Trading: Ethical Perspective and Indonesia's Legal Framework","type":"article-journal","volume":"3"},"uris":["http://www.mendeley.com/documents/?uuid=6b7891e3-c12d-43d9-8bef-d30865ad6ce4"]}],"mendeley":{"formattedCitation":"(Indriyanto, Dedy; Tedjosaputro, Liliana; Tumangkar, Totok; Noor, 2023)","manualFormatting":"(Indriyanto, et al., 2023)","plainTextFormattedCitation":"(Indriyanto, Dedy; Tedjosaputro, Liliana; Tumangkar, Totok; Noor, 2023)","previouslyFormattedCitation":"(Indriyanto, Dedy; Tedjosaputro, Liliana; Tumangkar, Totok; Noor, 2023)"},"properties":{"noteIndex":0},"schema":"https://github.com/citation-style-language/schema/raw/master/csl-citation.json"}</w:instrText>
      </w:r>
      <w:r w:rsidR="00576F46" w:rsidRPr="00F6494F">
        <w:rPr>
          <w:rFonts w:ascii="Arial MT" w:eastAsia="Arial MT" w:hAnsi="Arial MT" w:cs="Arial MT"/>
          <w:spacing w:val="-2"/>
          <w:kern w:val="0"/>
          <w:sz w:val="22"/>
          <w:szCs w:val="22"/>
          <w14:ligatures w14:val="none"/>
        </w:rPr>
        <w:fldChar w:fldCharType="separate"/>
      </w:r>
      <w:r w:rsidR="00576F46" w:rsidRPr="00F6494F">
        <w:rPr>
          <w:rFonts w:ascii="Arial MT" w:eastAsia="Arial MT" w:hAnsi="Arial MT" w:cs="Arial MT"/>
          <w:noProof/>
          <w:spacing w:val="-2"/>
          <w:kern w:val="0"/>
          <w:sz w:val="22"/>
          <w:szCs w:val="22"/>
          <w14:ligatures w14:val="none"/>
        </w:rPr>
        <w:t>(Indriyanto, et al., 2023)</w:t>
      </w:r>
      <w:r w:rsidR="00576F46" w:rsidRPr="00F6494F">
        <w:rPr>
          <w:rFonts w:ascii="Arial MT" w:eastAsia="Arial MT" w:hAnsi="Arial MT" w:cs="Arial MT"/>
          <w:spacing w:val="-2"/>
          <w:kern w:val="0"/>
          <w:sz w:val="22"/>
          <w:szCs w:val="22"/>
          <w14:ligatures w14:val="none"/>
        </w:rPr>
        <w:fldChar w:fldCharType="end"/>
      </w:r>
      <w:r w:rsidRPr="00F6494F">
        <w:rPr>
          <w:rFonts w:ascii="Arial MT" w:eastAsia="Arial MT" w:hAnsi="Arial MT" w:cs="Arial MT"/>
          <w:spacing w:val="-2"/>
          <w:kern w:val="0"/>
          <w:sz w:val="22"/>
          <w:szCs w:val="22"/>
          <w14:ligatures w14:val="none"/>
        </w:rPr>
        <w:t>. These practices reveal the shortcomings of the current legal framework in effectively preventing organ commercialization. The absence of a comprehensive data and monitoring system creates opportunities for illicit activities. Therefore, there is an urgent need to strengthen oversight mechanisms and establish an independent body to ensure organ donations are voluntary.</w:t>
      </w:r>
    </w:p>
    <w:p w14:paraId="4FA1969B" w14:textId="4EE34533" w:rsidR="006B2866" w:rsidRPr="00F6494F" w:rsidRDefault="00B70744" w:rsidP="00B70744">
      <w:pPr>
        <w:spacing w:after="0" w:line="240" w:lineRule="auto"/>
        <w:ind w:firstLine="426"/>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One of the significant gaps in the current legal framework is the absence of protection guarantees for organ donors after undergoing transplantation procedures. In many cases, donors experience long-term health complications such as reduced kidney function, infections, or psychological disorders. However, there is no legal obligation on the part of the state or hospitals to provide long-term protection or compensation. Health insurance for organ donors is also not mandated, and most donors must bear the cost of post-transplant medical care themselves. This raise concerns that donors' altruistic spirit may later become a social and economic burden. The state should formulate policies that guarantee the rights of donors to long-term health monitoring, lifelong health insurance, and employment protection to ensure that they do not suffer economically due to the medical acts they undertook in the name of humanity.</w:t>
      </w:r>
    </w:p>
    <w:p w14:paraId="1299F553" w14:textId="77777777" w:rsidR="00D4790B" w:rsidRPr="00F6494F" w:rsidRDefault="00D4790B" w:rsidP="00B70744">
      <w:pPr>
        <w:spacing w:after="0" w:line="240" w:lineRule="auto"/>
        <w:ind w:firstLine="426"/>
        <w:jc w:val="both"/>
        <w:rPr>
          <w:rFonts w:ascii="Arial MT" w:eastAsia="Arial MT" w:hAnsi="Arial MT" w:cs="Arial MT"/>
          <w:spacing w:val="-2"/>
          <w:kern w:val="0"/>
          <w:sz w:val="22"/>
          <w:szCs w:val="22"/>
          <w14:ligatures w14:val="none"/>
        </w:rPr>
      </w:pPr>
    </w:p>
    <w:p w14:paraId="3786D3D9" w14:textId="60B5FE9F" w:rsidR="00E52A28" w:rsidRPr="00F6494F" w:rsidRDefault="00E52A28" w:rsidP="00E52A28">
      <w:pPr>
        <w:pStyle w:val="ListParagraph"/>
        <w:widowControl w:val="0"/>
        <w:numPr>
          <w:ilvl w:val="1"/>
          <w:numId w:val="1"/>
        </w:numPr>
        <w:autoSpaceDE w:val="0"/>
        <w:autoSpaceDN w:val="0"/>
        <w:spacing w:after="0" w:line="240" w:lineRule="auto"/>
        <w:ind w:left="426" w:hanging="426"/>
        <w:jc w:val="both"/>
        <w:outlineLvl w:val="0"/>
        <w:rPr>
          <w:rFonts w:ascii="Arial MT" w:eastAsia="Arial MT" w:hAnsi="Arial MT" w:cs="Arial MT"/>
          <w:kern w:val="0"/>
          <w:sz w:val="22"/>
          <w:szCs w:val="22"/>
          <w14:ligatures w14:val="none"/>
        </w:rPr>
      </w:pPr>
      <w:r w:rsidRPr="00F6494F">
        <w:rPr>
          <w:rFonts w:ascii="Arial MT" w:eastAsia="Arial MT" w:hAnsi="Arial MT" w:cs="Arial MT"/>
          <w:spacing w:val="-2"/>
          <w:kern w:val="0"/>
          <w:sz w:val="22"/>
          <w:szCs w:val="22"/>
          <w14:ligatures w14:val="none"/>
        </w:rPr>
        <w:t xml:space="preserve">Justice and Ethical Principles in Organ </w:t>
      </w:r>
      <w:bookmarkStart w:id="3" w:name="_Hlk198054334"/>
      <w:r w:rsidRPr="00F6494F">
        <w:rPr>
          <w:rFonts w:ascii="Arial MT" w:eastAsia="Arial MT" w:hAnsi="Arial MT" w:cs="Arial MT"/>
          <w:spacing w:val="-2"/>
          <w:kern w:val="0"/>
          <w:sz w:val="22"/>
          <w:szCs w:val="22"/>
          <w14:ligatures w14:val="none"/>
        </w:rPr>
        <w:t xml:space="preserve">Donation </w:t>
      </w:r>
      <w:bookmarkEnd w:id="3"/>
    </w:p>
    <w:p w14:paraId="4A79FE7A" w14:textId="132151E7" w:rsidR="00E52A28" w:rsidRPr="00F6494F" w:rsidRDefault="00E52A28"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 xml:space="preserve">Organ donation is a vital part of modern healthcare systems, aimed at saving lives and improving the quality of life for patients. However, organ donation involves not only medical </w:t>
      </w:r>
      <w:r w:rsidRPr="00F6494F">
        <w:rPr>
          <w:rFonts w:ascii="Arial MT" w:eastAsia="Arial MT" w:hAnsi="Arial MT" w:cs="Arial MT"/>
          <w:kern w:val="0"/>
          <w:sz w:val="22"/>
          <w:szCs w:val="22"/>
          <w14:ligatures w14:val="none"/>
        </w:rPr>
        <w:lastRenderedPageBreak/>
        <w:t>aspects but also raises crucial ethical and justice issues that are essential to regulating and guiding organ transplantation in a humane, transparent, and dignified manner. The principle of justice must serve as a primary foundation, encompassing distributive and procedural justice</w:t>
      </w:r>
      <w:r w:rsidR="00485618" w:rsidRPr="00F6494F">
        <w:rPr>
          <w:rFonts w:ascii="Arial MT" w:eastAsia="Arial MT" w:hAnsi="Arial MT" w:cs="Arial MT"/>
          <w:kern w:val="0"/>
          <w:sz w:val="22"/>
          <w:szCs w:val="22"/>
          <w14:ligatures w14:val="none"/>
        </w:rPr>
        <w:t xml:space="preserve"> </w:t>
      </w:r>
      <w:r w:rsidR="00485618" w:rsidRPr="00F6494F">
        <w:rPr>
          <w:rFonts w:ascii="Arial MT" w:eastAsia="Arial MT" w:hAnsi="Arial MT" w:cs="Arial MT"/>
          <w:kern w:val="0"/>
          <w:sz w:val="22"/>
          <w:szCs w:val="22"/>
          <w14:ligatures w14:val="none"/>
        </w:rPr>
        <w:fldChar w:fldCharType="begin" w:fldLock="1"/>
      </w:r>
      <w:r w:rsidR="00576F46" w:rsidRPr="00F6494F">
        <w:rPr>
          <w:rFonts w:ascii="Arial MT" w:eastAsia="Arial MT" w:hAnsi="Arial MT" w:cs="Arial MT"/>
          <w:kern w:val="0"/>
          <w:sz w:val="22"/>
          <w:szCs w:val="22"/>
          <w14:ligatures w14:val="none"/>
        </w:rPr>
        <w:instrText>ADDIN CSL_CITATION {"citationItems":[{"id":"ITEM-1","itemData":{"DOI":"10.1016/j.heliyon.2022.e09450","ISSN":"24058440","abstract":"The intention of this paper is to investigate the mediating role of work engagement between the four dimensions of organizational justice (OJ) and organizational citizenship behavior (OCB) dimensions. The current literature appears to have overlooked the mediating role of work engagement (WE) in the link between justice and organizational citizenship behavior (OCB) in higher education institutions (HEIs). As a result, it appears to be one of the primary studies of its kind to investigate the relationship between OJ dimensions (e.g., procedural, distributive, informational, and interpersonal justice) and OCB dimensions (e.g., OCBI and OCBO). Data were collected from 121 faculty members from ten private universities operating in Bangladesh. The PLS-SEM was employed to investigate hypotheses. The investigation found OJ is positively connected to WE. Besides, WE is significantly related to OCB. Moreover, WE mediated the relationship between OJ dimensions and OCB dimensions, except for the relationship between PJ and OCB dimensions. The study provides necessary guidelines for the organizations regarding how they might improve citizenship behavior by ensuring justice and engagement in the workplace. Therefore, the application of the findings might ensure better employee outcomes and organizational productivity.","author":[{"dropping-particle":"","family":"Rahman","given":"Md H.Asibur","non-dropping-particle":"","parse-names":false,"suffix":""},{"dropping-particle":"","family":"Karim","given":"Dewan Niamul","non-dropping-particle":"","parse-names":false,"suffix":""}],"container-title":"Heliyon","id":"ITEM-1","issue":"5","issued":{"date-parts":[["2022"]]},"page":"e09450","publisher":"The Author(s)","title":"Organizational justice and organizational citizenship behavior: the mediating role of work engagement","type":"article-journal","volume":"8"},"uris":["http://www.mendeley.com/documents/?uuid=29489f9d-9097-42b1-ab32-bc93286ecefc"]}],"mendeley":{"formattedCitation":"(Rahman &amp; Karim, 2022)","plainTextFormattedCitation":"(Rahman &amp; Karim, 2022)","previouslyFormattedCitation":"(Rahman &amp; Karim, 2022)"},"properties":{"noteIndex":0},"schema":"https://github.com/citation-style-language/schema/raw/master/csl-citation.json"}</w:instrText>
      </w:r>
      <w:r w:rsidR="00485618" w:rsidRPr="00F6494F">
        <w:rPr>
          <w:rFonts w:ascii="Arial MT" w:eastAsia="Arial MT" w:hAnsi="Arial MT" w:cs="Arial MT"/>
          <w:kern w:val="0"/>
          <w:sz w:val="22"/>
          <w:szCs w:val="22"/>
          <w14:ligatures w14:val="none"/>
        </w:rPr>
        <w:fldChar w:fldCharType="separate"/>
      </w:r>
      <w:r w:rsidR="00485618" w:rsidRPr="00F6494F">
        <w:rPr>
          <w:rFonts w:ascii="Arial MT" w:eastAsia="Arial MT" w:hAnsi="Arial MT" w:cs="Arial MT"/>
          <w:noProof/>
          <w:kern w:val="0"/>
          <w:sz w:val="22"/>
          <w:szCs w:val="22"/>
          <w14:ligatures w14:val="none"/>
        </w:rPr>
        <w:t>(Rahman &amp; Karim, 2022)</w:t>
      </w:r>
      <w:r w:rsidR="00485618"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Distributive justice refers to the fair allocation of organs to patients based on medical needs rather than economic capability or social status. Procedural justice, on the other hand, involves transparent and accountable processes.</w:t>
      </w:r>
    </w:p>
    <w:p w14:paraId="45247592" w14:textId="77777777" w:rsidR="00E52A28" w:rsidRPr="00F6494F" w:rsidRDefault="00E52A28"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In organ donation, the principle of justice requires that the organ distribution system be implemented transparently, fairly, and without discrimination. This is especially important because organ transplantation involves life and the potential for improved quality of life for patients in urgent need. Every patient on the transplant waiting list must be assessed objectively based on medical condition, urgency, and the likelihood of success—not based on social status, economic background, or personal relationships. One's financial capacity must not influence organ distribution. If such practices are allowed, the transplant system risks transforming into an exploitative black market where the wealthy have an advantage in accessing donor organs while the poor are marginalized. This situation violates the principle of justice and threatens the integrity of the entire healthcare system.</w:t>
      </w:r>
    </w:p>
    <w:p w14:paraId="22BF476B" w14:textId="77777777" w:rsidR="00E52A28" w:rsidRPr="00F6494F" w:rsidRDefault="00E52A28"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Governments and medical institutions are responsible for ensuring the organ distribution process through objective and transparent mechanisms. It is vital to establish independent bodies or ethics committees to oversee and routinely evaluate the selection process for organ recipients. Additionally, integrating a national waiting list with medical data will make the selection process measurable and auditable. By prioritizing justice as the foundational principle in organ distribution, the state can foster an ethical and trustworthy transplant system that upholds the human rights of all its citizens.</w:t>
      </w:r>
    </w:p>
    <w:p w14:paraId="1F23A47F" w14:textId="77777777" w:rsidR="00E52A28" w:rsidRPr="00F6494F" w:rsidRDefault="00E52A28"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Beyond distributive and procedural justice, corrective justice must also be considered in organ donation. Corrective justice relates to restitution or compensation for harm suffered. In this context, if a donor experiences adverse health effects, the state and medical institutions have a moral and legal obligation to provide appropriate remedies—such as ongoing healthcare services, psychological support, or social incentives. This principle must be systematically incorporated into national transplant policies to ensure that donors—especially those from vulnerable or low-income groups—are not exploited. The state must also guarantee that the donation process is voluntary, without economic or social coercion.</w:t>
      </w:r>
    </w:p>
    <w:p w14:paraId="4D0C6E38" w14:textId="41374808" w:rsidR="00E52A28" w:rsidRPr="00F6494F" w:rsidRDefault="00E52A28" w:rsidP="00D503CD">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In addition to justice, organ donation must also adhere to ethical principles. Although medically, organ transplantation offers extended life expectancy and better quality of life for patients; the donation process must be carried out within a strict ethical framework to safeguard the dignity and human rights of both donors and recipients. Three core ethical principles must be considered in organ donation: Respect for Autonomy, Non-Maleficence, and Beneficence</w:t>
      </w:r>
      <w:r w:rsidR="00D503CD" w:rsidRPr="00F6494F">
        <w:rPr>
          <w:rFonts w:ascii="Arial MT" w:eastAsia="Arial MT" w:hAnsi="Arial MT" w:cs="Arial MT"/>
          <w:kern w:val="0"/>
          <w:sz w:val="22"/>
          <w:szCs w:val="22"/>
          <w14:ligatures w14:val="none"/>
        </w:rPr>
        <w:t xml:space="preserve"> </w:t>
      </w:r>
      <w:r w:rsidR="00D503CD" w:rsidRPr="00F6494F">
        <w:rPr>
          <w:rFonts w:ascii="Arial MT" w:eastAsia="Arial MT" w:hAnsi="Arial MT" w:cs="Arial MT"/>
          <w:kern w:val="0"/>
          <w:sz w:val="22"/>
          <w:szCs w:val="22"/>
          <w14:ligatures w14:val="none"/>
        </w:rPr>
        <w:fldChar w:fldCharType="begin" w:fldLock="1"/>
      </w:r>
      <w:r w:rsidR="00723D79" w:rsidRPr="00F6494F">
        <w:rPr>
          <w:rFonts w:ascii="Arial MT" w:eastAsia="Arial MT" w:hAnsi="Arial MT" w:cs="Arial MT"/>
          <w:kern w:val="0"/>
          <w:sz w:val="22"/>
          <w:szCs w:val="22"/>
          <w14:ligatures w14:val="none"/>
        </w:rPr>
        <w:instrText>ADDIN CSL_CITATION {"citationItems":[{"id":"ITEM-1","itemData":{"author":[{"dropping-particle":"","family":"Lee","given":"Lauren","non-dropping-particle":"","parse-names":false,"suffix":""}],"container-title":"Creative Nursing","id":"ITEM-1","issue":"3","issued":{"date-parts":[["2018"]]},"page":"186-190","title":"The Ethics of Organ Donation in","type":"article-journal","volume":"24"},"uris":["http://www.mendeley.com/documents/?uuid=3892dd43-3e9e-4577-9d03-671c68067e1b"]}],"mendeley":{"formattedCitation":"(Lee, 2018)","plainTextFormattedCitation":"(Lee, 2018)","previouslyFormattedCitation":"(Lee, 2018)"},"properties":{"noteIndex":0},"schema":"https://github.com/citation-style-language/schema/raw/master/csl-citation.json"}</w:instrText>
      </w:r>
      <w:r w:rsidR="00D503CD" w:rsidRPr="00F6494F">
        <w:rPr>
          <w:rFonts w:ascii="Arial MT" w:eastAsia="Arial MT" w:hAnsi="Arial MT" w:cs="Arial MT"/>
          <w:kern w:val="0"/>
          <w:sz w:val="22"/>
          <w:szCs w:val="22"/>
          <w14:ligatures w14:val="none"/>
        </w:rPr>
        <w:fldChar w:fldCharType="separate"/>
      </w:r>
      <w:r w:rsidR="00D503CD" w:rsidRPr="00F6494F">
        <w:rPr>
          <w:rFonts w:ascii="Arial MT" w:eastAsia="Arial MT" w:hAnsi="Arial MT" w:cs="Arial MT"/>
          <w:noProof/>
          <w:kern w:val="0"/>
          <w:sz w:val="22"/>
          <w:szCs w:val="22"/>
          <w14:ligatures w14:val="none"/>
        </w:rPr>
        <w:t>(Lee, 2018)</w:t>
      </w:r>
      <w:r w:rsidR="00D503CD"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w:t>
      </w:r>
      <w:r w:rsidR="00D503CD"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Respecting autonomy signifies that organ donation is a noble act, and everyone has the right to make decisions that are free, informed, and devoid of coercion. Consequently, obtaining informed and voluntary consent from donors is essential, based on comprehensive information regarding the donation's risks, benefits, and implications. Ethics committees within hospitals or transplant institutions must ensure that informed consent is acquired correctly and that no exploitation elements are involved.</w:t>
      </w:r>
    </w:p>
    <w:p w14:paraId="59D1DFE5" w14:textId="6AF03EA3" w:rsidR="00E52A28" w:rsidRPr="00F6494F" w:rsidRDefault="00E52A28"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 principle of non-maleficence, or "no harm," is also highly relevant. Although organ donation can save another person's life, doctors and healthcare institutions remain obligated to minimize the risks to the donor. This includes thorough medical and psychological evaluations prior to the procedure and post-donation monitoring to ensure safety and well-being. The principle of beneficence, or "doing good," requires that organ donation must clearly and significantly benefit the recipient without compromising the rights or well-being of the donor. Transplants must not be carried out solely based on economic necessity or emotional pressure from others.</w:t>
      </w:r>
    </w:p>
    <w:p w14:paraId="17037C75" w14:textId="63874901" w:rsidR="00E52A28" w:rsidRPr="00F6494F" w:rsidRDefault="00E52A28"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 xml:space="preserve">Upholding these three ethical principles forms a fundamental foundation to ensure organ donation practices are dignified, fair, and aligned with universal human values. These ethical </w:t>
      </w:r>
      <w:r w:rsidRPr="00F6494F">
        <w:rPr>
          <w:rFonts w:ascii="Arial MT" w:eastAsia="Arial MT" w:hAnsi="Arial MT" w:cs="Arial MT"/>
          <w:kern w:val="0"/>
          <w:sz w:val="22"/>
          <w:szCs w:val="22"/>
          <w14:ligatures w14:val="none"/>
        </w:rPr>
        <w:lastRenderedPageBreak/>
        <w:t>principles, supported by the principle of justice, serve as a moral compass in navigating organ transplantation's medical, social, and legal complexities. By adhering to these principles, organ donation can reflect justice and human dignity and strengthen public trust in an ethical and humane healthcare system.</w:t>
      </w:r>
    </w:p>
    <w:p w14:paraId="39ABE247" w14:textId="77777777" w:rsidR="00D503CD" w:rsidRPr="00F6494F" w:rsidRDefault="00D503CD" w:rsidP="00E52A28">
      <w:pPr>
        <w:widowControl w:val="0"/>
        <w:autoSpaceDE w:val="0"/>
        <w:autoSpaceDN w:val="0"/>
        <w:spacing w:after="0" w:line="240" w:lineRule="auto"/>
        <w:ind w:firstLine="426"/>
        <w:jc w:val="both"/>
        <w:outlineLvl w:val="0"/>
        <w:rPr>
          <w:rFonts w:ascii="Arial MT" w:eastAsia="Arial MT" w:hAnsi="Arial MT" w:cs="Arial MT"/>
          <w:kern w:val="0"/>
          <w:sz w:val="22"/>
          <w:szCs w:val="22"/>
          <w14:ligatures w14:val="none"/>
        </w:rPr>
      </w:pPr>
    </w:p>
    <w:p w14:paraId="208C0D94" w14:textId="198E28AD" w:rsidR="00955799" w:rsidRPr="00F6494F" w:rsidRDefault="00955799" w:rsidP="00955799">
      <w:pPr>
        <w:pStyle w:val="ListParagraph"/>
        <w:widowControl w:val="0"/>
        <w:numPr>
          <w:ilvl w:val="1"/>
          <w:numId w:val="1"/>
        </w:numPr>
        <w:autoSpaceDE w:val="0"/>
        <w:autoSpaceDN w:val="0"/>
        <w:spacing w:after="0" w:line="240" w:lineRule="auto"/>
        <w:ind w:left="426" w:hanging="426"/>
        <w:jc w:val="both"/>
        <w:outlineLvl w:val="0"/>
        <w:rPr>
          <w:rFonts w:ascii="Arial MT" w:eastAsia="Arial MT" w:hAnsi="Arial MT" w:cs="Arial MT"/>
          <w:kern w:val="0"/>
          <w:sz w:val="22"/>
          <w:szCs w:val="22"/>
          <w14:ligatures w14:val="none"/>
        </w:rPr>
      </w:pPr>
      <w:r w:rsidRPr="00F6494F">
        <w:rPr>
          <w:rFonts w:ascii="Arial MT" w:eastAsia="Arial MT" w:hAnsi="Arial MT" w:cs="Arial MT"/>
          <w:spacing w:val="-2"/>
          <w:kern w:val="0"/>
          <w:sz w:val="22"/>
          <w:szCs w:val="22"/>
          <w14:ligatures w14:val="none"/>
        </w:rPr>
        <w:t>Comparative Analysis: Legal Protection for Organ Donors Abroad</w:t>
      </w:r>
    </w:p>
    <w:p w14:paraId="59B97575" w14:textId="542C3FD8" w:rsidR="001766D7" w:rsidRPr="00F6494F" w:rsidRDefault="001766D7" w:rsidP="00387E11">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Organ donation practices have become a vital component of healthcare systems in many countries. However, legal protection for organ donors varies significantly depending on each nation's legal framework, cultural values, and social structures. In this context, a comparative study of countries like Iran, Chili, and Singapore offers valuable insights into how legal protections for donors can be designed to be fair, ethical, and dignified.</w:t>
      </w:r>
      <w:r w:rsidR="00387E11"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Iran is one of the few countries with a unique and well-structured kidney donation system. Known as The Iranian Model of Transplantation, this approach aims to address the shortage of kidney donors while avoiding unethical practices such as organ trafficking or exploitation of vulnerable populations. This model combines strict regulation with a controlled compensation scheme and upholds the principles of justice and transparency.</w:t>
      </w:r>
    </w:p>
    <w:p w14:paraId="2F5F8AB0" w14:textId="074CDA58" w:rsidR="001766D7" w:rsidRPr="00F6494F" w:rsidRDefault="001766D7" w:rsidP="00387E11">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 donation process begins with an evaluation of the recipient. If no suitable donor is found among family or acquaintances, the patient is referred to the Iranian Patients Kidney Foundation (IPKF), an organization responsible for matching donors with recipients. IPKF plays a crucial role in eliminating illegal intermediaries and ensuring that the selection process is fair and non-discriminatory, regardless of the recipient's socioeconomic status, instilling confidence in the system's fairness.</w:t>
      </w:r>
      <w:r w:rsidR="00387E11"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Potential donors aged 18 and 45 can register with IPKF to donate a kidney. Both donors and recipients undergo comprehensive health screenings. The donor and recipient meet to discuss compensation if a match is found</w:t>
      </w:r>
      <w:r w:rsidR="00723D79" w:rsidRPr="00F6494F">
        <w:rPr>
          <w:rFonts w:ascii="Arial MT" w:eastAsia="Arial MT" w:hAnsi="Arial MT" w:cs="Arial MT"/>
          <w:kern w:val="0"/>
          <w:sz w:val="22"/>
          <w:szCs w:val="22"/>
          <w14:ligatures w14:val="none"/>
        </w:rPr>
        <w:t xml:space="preserve"> </w:t>
      </w:r>
      <w:r w:rsidR="00723D79" w:rsidRPr="00F6494F">
        <w:rPr>
          <w:rFonts w:ascii="Arial MT" w:eastAsia="Arial MT" w:hAnsi="Arial MT" w:cs="Arial MT"/>
          <w:kern w:val="0"/>
          <w:sz w:val="22"/>
          <w:szCs w:val="22"/>
          <w14:ligatures w14:val="none"/>
        </w:rPr>
        <w:fldChar w:fldCharType="begin" w:fldLock="1"/>
      </w:r>
      <w:r w:rsidR="00723D79" w:rsidRPr="00F6494F">
        <w:rPr>
          <w:rFonts w:ascii="Arial MT" w:eastAsia="Arial MT" w:hAnsi="Arial MT" w:cs="Arial MT"/>
          <w:kern w:val="0"/>
          <w:sz w:val="22"/>
          <w:szCs w:val="22"/>
          <w14:ligatures w14:val="none"/>
        </w:rPr>
        <w:instrText>ADDIN CSL_CITATION {"citationItems":[{"id":"ITEM-1","itemData":{"DOI":"10.1038/ki.2012.219","ISSN":"15231755","PMID":"22673884","abstract":"Organ shortage for transplantation remains a worldwide serious problem for kidney patients with end-stage renal failure, and several countries have tried different models to address this issue. Iran has 20 years of experience with one such model that involves the active role of the government and charity foundations. Patients with a desperate demand for a kidney have given rise to a black market of brokers and other forms of organ commercialism only accessible to those with sufficient financial resources. The current Iranian model has enabled most of the Iranian kidney transplant candidates, irrespective of socioeconomic class, to have access to kidney transplantation. The Iranian government has committed a large budget through funding hospital and staff at the Ministry of Health and Medical Education by supporting the brain death donation (BDD) program or redirecting part of the budget of living unrelated renal donation (LURD) to the BDD program. It has been shown that it did not prevent the development and progression of a BDD program. However, the LURD program is characterized by several controversial procedures (e.g., confrontation of donor and recipient at the end of the evaluation procedure along with some financial interactions) that should be ethically reviewed. Operational weaknesses such as the lack of a registration system and long-term follow-up of the donors are identified as the Achilles heel of the model. © 2012 International Society of Nephrology.","author":[{"dropping-particle":"","family":"Mahdavi-Mazdeh","given":"Mitra","non-dropping-particle":"","parse-names":false,"suffix":""}],"container-title":"Kidney International","id":"ITEM-1","issue":"6","issued":{"date-parts":[["2012"]]},"page":"627-634","publisher":"Nature Publishing Group","title":"The Iranian model of living renal transplantation","type":"article-journal","volume":"82"},"uris":["http://www.mendeley.com/documents/?uuid=b923b221-44a1-4232-acae-1b65b70cfcaf"]}],"mendeley":{"formattedCitation":"(Mahdavi-Mazdeh, 2012)","plainTextFormattedCitation":"(Mahdavi-Mazdeh, 2012)","previouslyFormattedCitation":"(Mahdavi-Mazdeh, 2012)"},"properties":{"noteIndex":0},"schema":"https://github.com/citation-style-language/schema/raw/master/csl-citation.json"}</w:instrText>
      </w:r>
      <w:r w:rsidR="00723D79" w:rsidRPr="00F6494F">
        <w:rPr>
          <w:rFonts w:ascii="Arial MT" w:eastAsia="Arial MT" w:hAnsi="Arial MT" w:cs="Arial MT"/>
          <w:kern w:val="0"/>
          <w:sz w:val="22"/>
          <w:szCs w:val="22"/>
          <w14:ligatures w14:val="none"/>
        </w:rPr>
        <w:fldChar w:fldCharType="separate"/>
      </w:r>
      <w:r w:rsidR="00723D79" w:rsidRPr="00F6494F">
        <w:rPr>
          <w:rFonts w:ascii="Arial MT" w:eastAsia="Arial MT" w:hAnsi="Arial MT" w:cs="Arial MT"/>
          <w:noProof/>
          <w:kern w:val="0"/>
          <w:sz w:val="22"/>
          <w:szCs w:val="22"/>
          <w14:ligatures w14:val="none"/>
        </w:rPr>
        <w:t>(Mahdavi-Mazdeh, 2012)</w:t>
      </w:r>
      <w:r w:rsidR="00723D79"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These discussions are conducted privately, and while IPKF facilitates the space for negotiation, it does not interfere with or influence the terms of compensation, ensuring a fair and ethical process.</w:t>
      </w:r>
      <w:r w:rsidR="00387E11"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IPKF will match the recipient with another donor if no agreement is reached. The state does not determine the amount of compensation, but IPKF oversees the process to prevent coercion or excessive payments. Agreements are confidential, and the transplant procedure is carried out at a university hospital with all medical costs covered by the Ministry of Health and national health insurance, providing financial reassurance to both the donor and the recipient.</w:t>
      </w:r>
    </w:p>
    <w:p w14:paraId="79C609FB" w14:textId="20ABCD64" w:rsidR="001766D7" w:rsidRPr="00F6494F" w:rsidRDefault="001766D7" w:rsidP="00723D7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After the surgery, the donor is entitled to receive compensation from the government through the Charity Foundation for Special Diseases (CFSD). This compensation includes an altruistic gift of 10 million Iranian rials (approximately USD 250 or IDR 3 million), one-year health insurance, and exemption from military service. The CFSD plays a crucial role in ensuring that the donor is adequately compensated for their altruistic act, a key aspect of the Iranian kidney donation model</w:t>
      </w:r>
      <w:r w:rsidR="00723D79" w:rsidRPr="00F6494F">
        <w:rPr>
          <w:rFonts w:ascii="Arial MT" w:eastAsia="Arial MT" w:hAnsi="Arial MT" w:cs="Arial MT"/>
          <w:kern w:val="0"/>
          <w:sz w:val="22"/>
          <w:szCs w:val="22"/>
          <w14:ligatures w14:val="none"/>
        </w:rPr>
        <w:t xml:space="preserve"> </w:t>
      </w:r>
      <w:r w:rsidR="00723D79" w:rsidRPr="00F6494F">
        <w:rPr>
          <w:rFonts w:ascii="Arial MT" w:eastAsia="Arial MT" w:hAnsi="Arial MT" w:cs="Arial MT"/>
          <w:kern w:val="0"/>
          <w:sz w:val="22"/>
          <w:szCs w:val="22"/>
          <w14:ligatures w14:val="none"/>
        </w:rPr>
        <w:fldChar w:fldCharType="begin" w:fldLock="1"/>
      </w:r>
      <w:r w:rsidR="00C92076" w:rsidRPr="00F6494F">
        <w:rPr>
          <w:rFonts w:ascii="Arial MT" w:eastAsia="Arial MT" w:hAnsi="Arial MT" w:cs="Arial MT"/>
          <w:kern w:val="0"/>
          <w:sz w:val="22"/>
          <w:szCs w:val="22"/>
          <w14:ligatures w14:val="none"/>
        </w:rPr>
        <w:instrText>ADDIN CSL_CITATION {"citationItems":[{"id":"ITEM-1","itemData":{"DOI":"10.1097/TP.0000000000001164","ISBN":"0000000000","ISSN":"00411337","PMID":"27203584","abstract":"Limited organ availability in all countries has stimulated discussion about incentives to increase donation. Since 1988, Iran has operated the only government-sponsored paid living donor (LD) kidney transplant program. This article reviews aspects of the Living Unrelated Donor program and development of deceased donation in Iran. Available evidence indicates that in the partially regulated Iranian Model, the direct negotiation between donors and recipients fosters direct monetary relationship with no safeguards against mutual exploitation. Brokers, the black market and transplant tourism exist, and the waiting list has not been eliminated. Through comparison between the large deceased donor program in Shiraz and other centers in Iran, this article explores the association between paid donation and the development of a deceased donor program. Shiraz progressively eliminated paid donor transplants such that by 2011, 85% of kidney transplants in Shiraz compared with 27% across the rest of Iran's other centers were from deceased donors. Among 26 centers, Shiraz undertakes the largest number of deceased donor kidney transplants, most liver transplants, and all pancreas transplants. In conclusion, although many patients with end stage renal disease have received transplants through the paid living donation, the Iranian Model now has serious flaws and is potentially inhibiting substantial growth in deceased donor organ transplants in Iran.","author":[{"dropping-particle":"","family":"Ghahramani","given":"Nasrollah","non-dropping-particle":"","parse-names":false,"suffix":""}],"container-title":"Transplantation","id":"ITEM-1","issue":"6","issued":{"date-parts":[["2016"]]},"page":"1165-1169","title":"Paid Living Donation and Growth of Deceased Donor Programs","type":"article-journal","volume":"100"},"uris":["http://www.mendeley.com/documents/?uuid=03a4b2ef-5733-4053-b573-338816301637"]}],"mendeley":{"formattedCitation":"(Ghahramani, 2016)","plainTextFormattedCitation":"(Ghahramani, 2016)","previouslyFormattedCitation":"(Ghahramani, 2016)"},"properties":{"noteIndex":0},"schema":"https://github.com/citation-style-language/schema/raw/master/csl-citation.json"}</w:instrText>
      </w:r>
      <w:r w:rsidR="00723D79" w:rsidRPr="00F6494F">
        <w:rPr>
          <w:rFonts w:ascii="Arial MT" w:eastAsia="Arial MT" w:hAnsi="Arial MT" w:cs="Arial MT"/>
          <w:kern w:val="0"/>
          <w:sz w:val="22"/>
          <w:szCs w:val="22"/>
          <w14:ligatures w14:val="none"/>
        </w:rPr>
        <w:fldChar w:fldCharType="separate"/>
      </w:r>
      <w:r w:rsidR="00723D79" w:rsidRPr="00F6494F">
        <w:rPr>
          <w:rFonts w:ascii="Arial MT" w:eastAsia="Arial MT" w:hAnsi="Arial MT" w:cs="Arial MT"/>
          <w:noProof/>
          <w:kern w:val="0"/>
          <w:sz w:val="22"/>
          <w:szCs w:val="22"/>
          <w14:ligatures w14:val="none"/>
        </w:rPr>
        <w:t>(Ghahramani, 2016)</w:t>
      </w:r>
      <w:r w:rsidR="00723D79"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w:t>
      </w:r>
      <w:r w:rsidR="00723D79"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 xml:space="preserve">In the case of deceased donors, the government does not compensate the family. This may raise ethical concerns, but it is important to note that the deceased donor's family may express appreciation through other means. Suppose the deceased donor did not give explicit consent before death. In that case, Islamic law requires the transplant team to compensate the donor's family in </w:t>
      </w:r>
      <w:proofErr w:type="spellStart"/>
      <w:r w:rsidRPr="00F6494F">
        <w:rPr>
          <w:rFonts w:ascii="Arial MT" w:eastAsia="Arial MT" w:hAnsi="Arial MT" w:cs="Arial MT"/>
          <w:i/>
          <w:iCs/>
          <w:kern w:val="0"/>
          <w:sz w:val="22"/>
          <w:szCs w:val="22"/>
          <w14:ligatures w14:val="none"/>
        </w:rPr>
        <w:t>diyat</w:t>
      </w:r>
      <w:proofErr w:type="spellEnd"/>
      <w:r w:rsidRPr="00F6494F">
        <w:rPr>
          <w:rFonts w:ascii="Arial MT" w:eastAsia="Arial MT" w:hAnsi="Arial MT" w:cs="Arial MT"/>
          <w:kern w:val="0"/>
          <w:sz w:val="22"/>
          <w:szCs w:val="22"/>
          <w14:ligatures w14:val="none"/>
        </w:rPr>
        <w:t xml:space="preserve"> (restitution), ensuring that the family is not left without support or recognition</w:t>
      </w:r>
      <w:r w:rsidR="00C92076" w:rsidRPr="00F6494F">
        <w:rPr>
          <w:rFonts w:ascii="Arial MT" w:eastAsia="Arial MT" w:hAnsi="Arial MT" w:cs="Arial MT"/>
          <w:kern w:val="0"/>
          <w:sz w:val="22"/>
          <w:szCs w:val="22"/>
          <w14:ligatures w14:val="none"/>
        </w:rPr>
        <w:t xml:space="preserve"> </w:t>
      </w:r>
      <w:r w:rsidR="00C92076" w:rsidRPr="00F6494F">
        <w:rPr>
          <w:rFonts w:ascii="Arial MT" w:eastAsia="Arial MT" w:hAnsi="Arial MT" w:cs="Arial MT"/>
          <w:kern w:val="0"/>
          <w:sz w:val="22"/>
          <w:szCs w:val="22"/>
          <w14:ligatures w14:val="none"/>
        </w:rPr>
        <w:fldChar w:fldCharType="begin" w:fldLock="1"/>
      </w:r>
      <w:r w:rsidR="00C92076" w:rsidRPr="00F6494F">
        <w:rPr>
          <w:rFonts w:ascii="Arial MT" w:eastAsia="Arial MT" w:hAnsi="Arial MT" w:cs="Arial MT"/>
          <w:kern w:val="0"/>
          <w:sz w:val="22"/>
          <w:szCs w:val="22"/>
          <w14:ligatures w14:val="none"/>
        </w:rPr>
        <w:instrText>ADDIN CSL_CITATION {"citationItems":[{"id":"ITEM-1","itemData":{"DOI":"10.1177/1357034X07082257","ISSN":"1357034X","author":[{"dropping-particle":"","family":"Tober","given":"Diane M.","non-dropping-particle":"","parse-names":false,"suffix":""}],"container-title":"Body and Society","id":"ITEM-1","issue":"3","issued":{"date-parts":[["2007"]]},"page":"151-170","title":"Kidneys and controversies in the Islamic Republic of Iran: The case of organ sale","type":"article-journal","volume":"13"},"uris":["http://www.mendeley.com/documents/?uuid=18dcb652-9a83-47c2-a234-ec17c540629c"]}],"mendeley":{"formattedCitation":"(Tober, 2007)","plainTextFormattedCitation":"(Tober, 2007)","previouslyFormattedCitation":"(Tober, 2007)"},"properties":{"noteIndex":0},"schema":"https://github.com/citation-style-language/schema/raw/master/csl-citation.json"}</w:instrText>
      </w:r>
      <w:r w:rsidR="00C92076" w:rsidRPr="00F6494F">
        <w:rPr>
          <w:rFonts w:ascii="Arial MT" w:eastAsia="Arial MT" w:hAnsi="Arial MT" w:cs="Arial MT"/>
          <w:kern w:val="0"/>
          <w:sz w:val="22"/>
          <w:szCs w:val="22"/>
          <w14:ligatures w14:val="none"/>
        </w:rPr>
        <w:fldChar w:fldCharType="separate"/>
      </w:r>
      <w:r w:rsidR="00C92076" w:rsidRPr="00F6494F">
        <w:rPr>
          <w:rFonts w:ascii="Arial MT" w:eastAsia="Arial MT" w:hAnsi="Arial MT" w:cs="Arial MT"/>
          <w:noProof/>
          <w:kern w:val="0"/>
          <w:sz w:val="22"/>
          <w:szCs w:val="22"/>
          <w14:ligatures w14:val="none"/>
        </w:rPr>
        <w:t>(Tober, 2007)</w:t>
      </w:r>
      <w:r w:rsidR="00C92076"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w:t>
      </w:r>
    </w:p>
    <w:p w14:paraId="0CF16D5B" w14:textId="77777777" w:rsidR="001766D7" w:rsidRPr="00F6494F" w:rsidRDefault="001766D7" w:rsidP="001766D7">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Iran's kidney donation model is regarded as a balanced approach between medical necessity, donor rights protection, and humanitarian values. It is an important case study for other countries seeking to develop ethical and practical organ donation policies. By offering clear legal support and regulated compensation, Iran has created a system that upholds human dignity and autonomy while responding to urgent medical needs humanely and structured.</w:t>
      </w:r>
    </w:p>
    <w:p w14:paraId="7FD4EAF0" w14:textId="4CBA38D8" w:rsidR="00955799" w:rsidRPr="00F6494F" w:rsidRDefault="00955799" w:rsidP="00C92076">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Chile, a middle-income country, is another nation that applies the principle of reciprocity as a condition in its organ transplantation system. In recent years, Chile has adopted legal reforms combining an opt-out system with priority incentives in organ allocation</w:t>
      </w:r>
      <w:r w:rsidR="00C92076" w:rsidRPr="00F6494F">
        <w:rPr>
          <w:rFonts w:ascii="Arial MT" w:eastAsia="Arial MT" w:hAnsi="Arial MT" w:cs="Arial MT"/>
          <w:kern w:val="0"/>
          <w:sz w:val="22"/>
          <w:szCs w:val="22"/>
          <w14:ligatures w14:val="none"/>
        </w:rPr>
        <w:t xml:space="preserve"> </w:t>
      </w:r>
      <w:r w:rsidR="00C92076" w:rsidRPr="00F6494F">
        <w:rPr>
          <w:rFonts w:ascii="Arial MT" w:eastAsia="Arial MT" w:hAnsi="Arial MT" w:cs="Arial MT"/>
          <w:kern w:val="0"/>
          <w:sz w:val="22"/>
          <w:szCs w:val="22"/>
          <w14:ligatures w14:val="none"/>
        </w:rPr>
        <w:fldChar w:fldCharType="begin" w:fldLock="1"/>
      </w:r>
      <w:r w:rsidR="00C92076" w:rsidRPr="00F6494F">
        <w:rPr>
          <w:rFonts w:ascii="Arial MT" w:eastAsia="Arial MT" w:hAnsi="Arial MT" w:cs="Arial MT"/>
          <w:kern w:val="0"/>
          <w:sz w:val="22"/>
          <w:szCs w:val="22"/>
          <w14:ligatures w14:val="none"/>
        </w:rPr>
        <w:instrText>ADDIN CSL_CITATION {"citationItems":[{"id":"ITEM-1","itemData":{"DOI":"10.2471/blt.14.139535","ISSN":"0042-9686","abstract":"Chile, a middle-income country, recently joined Israel and Singapore as the world's only countries to require reciprocity as a precondition for organ transplantation. The Chilean reform includes opt-out provisions designed to foster donation and priority for organ transplantation for registered people. Although the reform has had serious difficulties in achieving its mission, it can be reviewed by other countries that seek to address the serious shortage of organs. As increased organ donation can substantially enhance or save more lives, the effect on organ availability due to incentives arising from rules of preference should not be underestimated.\\n\\nAbstract available from the publisher.\\n\\nAbstract available from the publisher.\\n\\nAbstract available from the publisher.\\n\\nAbstract available from the publisher.\\n\\nAbstract available from the publisher.","author":[{"dropping-particle":"","family":"Zúñiga-Fajuri","given":"Alejandra","non-dropping-particle":"","parse-names":false,"suffix":""}],"container-title":"Bulletin of the World Health Organization","id":"ITEM-1","issue":"3","issued":{"date-parts":[["2015"]]},"page":"199-202","title":"Increasing organ donation by presumed consent and allocation priority: Chile","type":"article-journal","volume":"93"},"uris":["http://www.mendeley.com/documents/?uuid=f539cb96-054f-43e3-8b2b-917ba4756e24"]}],"mendeley":{"formattedCitation":"(Zúñiga-Fajuri, 2015)","plainTextFormattedCitation":"(Zúñiga-Fajuri, 2015)","previouslyFormattedCitation":"(Zúñiga-Fajuri, 2015)"},"properties":{"noteIndex":0},"schema":"https://github.com/citation-style-language/schema/raw/master/csl-citation.json"}</w:instrText>
      </w:r>
      <w:r w:rsidR="00C92076" w:rsidRPr="00F6494F">
        <w:rPr>
          <w:rFonts w:ascii="Arial MT" w:eastAsia="Arial MT" w:hAnsi="Arial MT" w:cs="Arial MT"/>
          <w:kern w:val="0"/>
          <w:sz w:val="22"/>
          <w:szCs w:val="22"/>
          <w14:ligatures w14:val="none"/>
        </w:rPr>
        <w:fldChar w:fldCharType="separate"/>
      </w:r>
      <w:r w:rsidR="00C92076" w:rsidRPr="00F6494F">
        <w:rPr>
          <w:rFonts w:ascii="Arial MT" w:eastAsia="Arial MT" w:hAnsi="Arial MT" w:cs="Arial MT"/>
          <w:noProof/>
          <w:kern w:val="0"/>
          <w:sz w:val="22"/>
          <w:szCs w:val="22"/>
          <w14:ligatures w14:val="none"/>
        </w:rPr>
        <w:t>(Zúñiga-Fajuri, 2015)</w:t>
      </w:r>
      <w:r w:rsidR="00C92076"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xml:space="preserve">. Although these reforms have not achieved their goals yet, the approach presents an interesting </w:t>
      </w:r>
      <w:r w:rsidRPr="00F6494F">
        <w:rPr>
          <w:rFonts w:ascii="Arial MT" w:eastAsia="Arial MT" w:hAnsi="Arial MT" w:cs="Arial MT"/>
          <w:kern w:val="0"/>
          <w:sz w:val="22"/>
          <w:szCs w:val="22"/>
          <w14:ligatures w14:val="none"/>
        </w:rPr>
        <w:lastRenderedPageBreak/>
        <w:t>model for other countries facing severe organ shortages.</w:t>
      </w:r>
      <w:r w:rsidR="00C92076"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The opt-out system, which considers every individual a potential donor unless they explicitly state otherwise, has proven to be an effective strategy in increasing donor numbers. By combining this system with prioritizing registered donors for organ allocation, countries like Singapore have seen a significant increase in public participation in organ donation.</w:t>
      </w:r>
    </w:p>
    <w:p w14:paraId="62C5A25F" w14:textId="6B61B1BA" w:rsidR="00955799" w:rsidRPr="00F6494F" w:rsidRDefault="00955799" w:rsidP="00387E11">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In 2013, Chile updated its Organ Donor Law to incorporate these provisions. The law not only reinforces the explicit opt-out system but also introduces a priority allocation incentive, giving preference to individuals who have declared willingness to be donors. If more than one patient is eligible for an organ, those who are registered donors are prioritized.</w:t>
      </w:r>
      <w:r w:rsidR="00387E11"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Although the system is intended to promote solidarity and reduce purely self-interested behavior, ethical debates persist. Some argue that such incentives, particularly if not driven by pure altruism, may undermine the spirit of solidarity. However, as argued by Kolber, priority incentives do not diminish altruistic values but rather expand opportunities for altruistic action by guaranteeing a higher chance of receiving an organ in the future</w:t>
      </w:r>
      <w:r w:rsidR="00383847" w:rsidRPr="00F6494F">
        <w:rPr>
          <w:rFonts w:ascii="Arial MT" w:eastAsia="Arial MT" w:hAnsi="Arial MT" w:cs="Arial MT"/>
          <w:kern w:val="0"/>
          <w:sz w:val="22"/>
          <w:szCs w:val="22"/>
          <w14:ligatures w14:val="none"/>
        </w:rPr>
        <w:t xml:space="preserve"> </w:t>
      </w:r>
      <w:r w:rsidR="00383847" w:rsidRPr="00F6494F">
        <w:rPr>
          <w:rFonts w:ascii="Arial MT" w:eastAsia="Arial MT" w:hAnsi="Arial MT" w:cs="Arial MT"/>
          <w:kern w:val="0"/>
          <w:sz w:val="22"/>
          <w:szCs w:val="22"/>
          <w14:ligatures w14:val="none"/>
        </w:rPr>
        <w:fldChar w:fldCharType="begin" w:fldLock="1"/>
      </w:r>
      <w:r w:rsidR="00383847" w:rsidRPr="00F6494F">
        <w:rPr>
          <w:rFonts w:ascii="Arial MT" w:eastAsia="Arial MT" w:hAnsi="Arial MT" w:cs="Arial MT"/>
          <w:kern w:val="0"/>
          <w:sz w:val="22"/>
          <w:szCs w:val="22"/>
          <w14:ligatures w14:val="none"/>
        </w:rPr>
        <w:instrText>ADDIN CSL_CITATION {"citationItems":[{"id":"ITEM-1","itemData":{"author":[{"dropping-particle":"","family":"Kolber","given":"Adam J.","non-dropping-particle":"","parse-names":false,"suffix":""}],"container-title":"Rutgers Law Review","id":"ITEM-1","issued":{"date-parts":[["2003"]]},"page":"671","title":"A Matter of Priority: Transplanting Organs Preferentially to Registered Donors","type":"article-journal","volume":"55"},"uris":["http://www.mendeley.com/documents/?uuid=55605348-d4d7-4482-a0f2-2f24a519cf13"]}],"mendeley":{"formattedCitation":"(Kolber, 2003)","plainTextFormattedCitation":"(Kolber, 2003)","previouslyFormattedCitation":"(Kolber, 2003)"},"properties":{"noteIndex":0},"schema":"https://github.com/citation-style-language/schema/raw/master/csl-citation.json"}</w:instrText>
      </w:r>
      <w:r w:rsidR="00383847" w:rsidRPr="00F6494F">
        <w:rPr>
          <w:rFonts w:ascii="Arial MT" w:eastAsia="Arial MT" w:hAnsi="Arial MT" w:cs="Arial MT"/>
          <w:kern w:val="0"/>
          <w:sz w:val="22"/>
          <w:szCs w:val="22"/>
          <w14:ligatures w14:val="none"/>
        </w:rPr>
        <w:fldChar w:fldCharType="separate"/>
      </w:r>
      <w:r w:rsidR="00383847" w:rsidRPr="00F6494F">
        <w:rPr>
          <w:rFonts w:ascii="Arial MT" w:eastAsia="Arial MT" w:hAnsi="Arial MT" w:cs="Arial MT"/>
          <w:noProof/>
          <w:kern w:val="0"/>
          <w:sz w:val="22"/>
          <w:szCs w:val="22"/>
          <w14:ligatures w14:val="none"/>
        </w:rPr>
        <w:t>(Kolber, 2003)</w:t>
      </w:r>
      <w:r w:rsidR="00383847"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Countries that implement opt-out systems—such as Austria, Belgium, France, and Norway—report 25–30% higher organ donation rates than those with opt-in systems. Other factors also play a role, including medical infrastructure, healthcare spending, public attitudes, and family consent</w:t>
      </w:r>
      <w:r w:rsidR="00C92076" w:rsidRPr="00F6494F">
        <w:rPr>
          <w:rFonts w:ascii="Arial MT" w:eastAsia="Arial MT" w:hAnsi="Arial MT" w:cs="Arial MT"/>
          <w:kern w:val="0"/>
          <w:sz w:val="22"/>
          <w:szCs w:val="22"/>
          <w14:ligatures w14:val="none"/>
        </w:rPr>
        <w:t xml:space="preserve"> </w:t>
      </w:r>
      <w:r w:rsidR="00C92076" w:rsidRPr="00F6494F">
        <w:rPr>
          <w:rFonts w:ascii="Arial MT" w:eastAsia="Arial MT" w:hAnsi="Arial MT" w:cs="Arial MT"/>
          <w:kern w:val="0"/>
          <w:sz w:val="22"/>
          <w:szCs w:val="22"/>
          <w14:ligatures w14:val="none"/>
        </w:rPr>
        <w:fldChar w:fldCharType="begin" w:fldLock="1"/>
      </w:r>
      <w:r w:rsidR="00383847" w:rsidRPr="00F6494F">
        <w:rPr>
          <w:rFonts w:ascii="Arial MT" w:eastAsia="Arial MT" w:hAnsi="Arial MT" w:cs="Arial MT"/>
          <w:kern w:val="0"/>
          <w:sz w:val="22"/>
          <w:szCs w:val="22"/>
          <w14:ligatures w14:val="none"/>
        </w:rPr>
        <w:instrText>ADDIN CSL_CITATION {"citationItems":[{"id":"ITEM-1","itemData":{"DOI":"10.1016/j.jhealeco.2006.01.003","ISSN":"01676296","PMID":"16490267","abstract":"In the U.S., Great Britain and in many other countries, the gap between the demand and the supply of human organs for transplantation is on the rise, despite the efforts of governments and health agencies to promote donor registration. In some countries of continental Europe, however, cadaveric organ procurement is based on the principle of presumed consent. Under presumed consent legislation, a deceased individual is classified as a potential donor in absence of explicit opposition to donation before death. This article analyzes the impact of presumed consent laws on donation rates. For this purpose, we construct a dataset on organ donation rates and potential factors affecting organ donation for 22 countries over a 10-year period. We find that while differences in other determinants of organ donation explain much of the variation in donation rates, after controlling for those determinants presumed consent legislation has a positive and sizeable effect on organ donation rates. We use the panel structure of our dataset to test and reject the hypothesis that unmeasured determinants of organ donation rates confound our empirical results. © 2006 Elsevier B.V. All rights reserved.","author":[{"dropping-particle":"","family":"Abadie","given":"Alberto","non-dropping-particle":"","parse-names":false,"suffix":""},{"dropping-particle":"","family":"Gay","given":"Sebastien","non-dropping-particle":"","parse-names":false,"suffix":""}],"container-title":"Journal of Health Economics","id":"ITEM-1","issue":"4","issued":{"date-parts":[["2006"]]},"page":"599-620","title":"The impact of presumed consent legislation on cadaveric organ donation: A cross-country study","type":"article-journal","volume":"25"},"uris":["http://www.mendeley.com/documents/?uuid=10327098-636b-46d1-bafd-84cdc0bd04b5"]}],"mendeley":{"formattedCitation":"(Abadie &amp; Gay, 2006)","plainTextFormattedCitation":"(Abadie &amp; Gay, 2006)","previouslyFormattedCitation":"(Abadie &amp; Gay, 2006)"},"properties":{"noteIndex":0},"schema":"https://github.com/citation-style-language/schema/raw/master/csl-citation.json"}</w:instrText>
      </w:r>
      <w:r w:rsidR="00C92076" w:rsidRPr="00F6494F">
        <w:rPr>
          <w:rFonts w:ascii="Arial MT" w:eastAsia="Arial MT" w:hAnsi="Arial MT" w:cs="Arial MT"/>
          <w:kern w:val="0"/>
          <w:sz w:val="22"/>
          <w:szCs w:val="22"/>
          <w14:ligatures w14:val="none"/>
        </w:rPr>
        <w:fldChar w:fldCharType="separate"/>
      </w:r>
      <w:r w:rsidR="00C92076" w:rsidRPr="00F6494F">
        <w:rPr>
          <w:rFonts w:ascii="Arial MT" w:eastAsia="Arial MT" w:hAnsi="Arial MT" w:cs="Arial MT"/>
          <w:noProof/>
          <w:kern w:val="0"/>
          <w:sz w:val="22"/>
          <w:szCs w:val="22"/>
          <w14:ligatures w14:val="none"/>
        </w:rPr>
        <w:t>(Abadie &amp; Gay, 2006)</w:t>
      </w:r>
      <w:r w:rsidR="00C92076"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w:t>
      </w:r>
    </w:p>
    <w:p w14:paraId="52F2F6B8" w14:textId="77777777" w:rsidR="00955799"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 xml:space="preserve">In Chile, organ allocation is managed nationally and treated as a public good. However, unlike universal access approaches, Chile stipulates that only individuals participating in the donor system benefit from priority. This approach is intended to create more substantial incentives for public participation in donor programs while strengthening social solidarity within the community. </w:t>
      </w:r>
    </w:p>
    <w:p w14:paraId="4DEFD360" w14:textId="778655D5" w:rsidR="00955799"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In addition to Iran and Chile, Singapore is another country that implements a priority rule approach in its organ transplantation system. In 1987, Singapore enacted the Human Organ Transplant Act, establishing an opt-out system with a priority allocation principle</w:t>
      </w:r>
      <w:r w:rsidR="00383847" w:rsidRPr="00F6494F">
        <w:rPr>
          <w:rFonts w:ascii="Arial MT" w:eastAsia="Arial MT" w:hAnsi="Arial MT" w:cs="Arial MT"/>
          <w:kern w:val="0"/>
          <w:sz w:val="22"/>
          <w:szCs w:val="22"/>
          <w14:ligatures w14:val="none"/>
        </w:rPr>
        <w:t xml:space="preserve"> </w:t>
      </w:r>
      <w:r w:rsidR="00383847" w:rsidRPr="00F6494F">
        <w:rPr>
          <w:rFonts w:ascii="Arial MT" w:eastAsia="Arial MT" w:hAnsi="Arial MT" w:cs="Arial MT"/>
          <w:kern w:val="0"/>
          <w:sz w:val="22"/>
          <w:szCs w:val="22"/>
          <w14:ligatures w14:val="none"/>
        </w:rPr>
        <w:fldChar w:fldCharType="begin" w:fldLock="1"/>
      </w:r>
      <w:r w:rsidR="00485618" w:rsidRPr="00F6494F">
        <w:rPr>
          <w:rFonts w:ascii="Arial MT" w:eastAsia="Arial MT" w:hAnsi="Arial MT" w:cs="Arial MT"/>
          <w:kern w:val="0"/>
          <w:sz w:val="22"/>
          <w:szCs w:val="22"/>
          <w14:ligatures w14:val="none"/>
        </w:rPr>
        <w:instrText>ADDIN CSL_CITATION {"citationItems":[{"id":"ITEM-1","itemData":{"author":[{"dropping-particle":"","family":"Iyer","given":"T.K.K.","non-dropping-particle":"","parse-names":false,"suffix":""}],"container-title":"Forensic Science International","id":"ITEM-1","issue":"December 1986","issued":{"date-parts":[["1987"]]},"page":"131-140","title":"Kidneys For Transplant - “Opting Out” Law In Singapore","type":"article-journal","volume":"35"},"uris":["http://www.mendeley.com/documents/?uuid=5e397657-f4a0-4247-aa00-374fc70b0555"]}],"mendeley":{"formattedCitation":"(Iyer, 1987)","plainTextFormattedCitation":"(Iyer, 1987)","previouslyFormattedCitation":"(Iyer, 1987)"},"properties":{"noteIndex":0},"schema":"https://github.com/citation-style-language/schema/raw/master/csl-citation.json"}</w:instrText>
      </w:r>
      <w:r w:rsidR="00383847" w:rsidRPr="00F6494F">
        <w:rPr>
          <w:rFonts w:ascii="Arial MT" w:eastAsia="Arial MT" w:hAnsi="Arial MT" w:cs="Arial MT"/>
          <w:kern w:val="0"/>
          <w:sz w:val="22"/>
          <w:szCs w:val="22"/>
          <w14:ligatures w14:val="none"/>
        </w:rPr>
        <w:fldChar w:fldCharType="separate"/>
      </w:r>
      <w:r w:rsidR="00383847" w:rsidRPr="00F6494F">
        <w:rPr>
          <w:rFonts w:ascii="Arial MT" w:eastAsia="Arial MT" w:hAnsi="Arial MT" w:cs="Arial MT"/>
          <w:noProof/>
          <w:kern w:val="0"/>
          <w:sz w:val="22"/>
          <w:szCs w:val="22"/>
          <w14:ligatures w14:val="none"/>
        </w:rPr>
        <w:t>(Iyer, 1987)</w:t>
      </w:r>
      <w:r w:rsidR="00383847"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Under this system, individuals who refuse to become organ donors after death forfeit their priority right to receive an organ should they ever need one. This approach provides a dual incentive for the public: to avoid the consequences of opting out of the system and to gain privileged status on the organ transplant waiting list.</w:t>
      </w:r>
    </w:p>
    <w:p w14:paraId="048CDE40" w14:textId="7B936755" w:rsidR="00955799"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 primary objective of implementing this system is to increase public participation in organ donation programs, especially amid limited organ supplies. However, concerns arise that if organ supply becomes sufficient due to the opt-out system, the priority rule might no longer be effective in deterring "free rider" behavior—those who wish to receive organs but are unwilling to donate. Nevertheless, combining the opt-out system and the priority principle in Singapore has proven quite successful in boosting donation rates from living and deceased donors</w:t>
      </w:r>
      <w:r w:rsidR="00485618" w:rsidRPr="00F6494F">
        <w:rPr>
          <w:rFonts w:ascii="Arial MT" w:eastAsia="Arial MT" w:hAnsi="Arial MT" w:cs="Arial MT"/>
          <w:kern w:val="0"/>
          <w:sz w:val="22"/>
          <w:szCs w:val="22"/>
          <w14:ligatures w14:val="none"/>
        </w:rPr>
        <w:t xml:space="preserve"> </w:t>
      </w:r>
      <w:r w:rsidR="00485618" w:rsidRPr="00F6494F">
        <w:rPr>
          <w:rFonts w:ascii="Arial MT" w:eastAsia="Arial MT" w:hAnsi="Arial MT" w:cs="Arial MT"/>
          <w:kern w:val="0"/>
          <w:sz w:val="22"/>
          <w:szCs w:val="22"/>
          <w14:ligatures w14:val="none"/>
        </w:rPr>
        <w:fldChar w:fldCharType="begin" w:fldLock="1"/>
      </w:r>
      <w:r w:rsidR="00485618" w:rsidRPr="00F6494F">
        <w:rPr>
          <w:rFonts w:ascii="Arial MT" w:eastAsia="Arial MT" w:hAnsi="Arial MT" w:cs="Arial MT"/>
          <w:kern w:val="0"/>
          <w:sz w:val="22"/>
          <w:szCs w:val="22"/>
          <w14:ligatures w14:val="none"/>
        </w:rPr>
        <w:instrText>ADDIN CSL_CITATION {"citationItems":[{"id":"ITEM-1","itemData":{"author":[{"dropping-particle":"","family":"Chandler","given":"Jennifer A","non-dropping-particle":"","parse-names":false,"suffix":""}],"container-title":"Health Law Journal","id":"ITEM-1","issued":{"date-parts":[["2005"]]},"page":"244-246","title":"Priority Systems in the Allocation of Organs for Transplant : Should we reward those who have previously agreed to donate ? Forthcoming ( 2005 ) 13 Health Law Journal pp . Assistant Professor Faculty of Law , University of Ottawa Introduction Organ transp","type":"article-journal","volume":"13"},"uris":["http://www.mendeley.com/documents/?uuid=fffb52ba-afa7-44a5-9340-525fa9a4324f"]}],"mendeley":{"formattedCitation":"(Chandler, 2005)","plainTextFormattedCitation":"(Chandler, 2005)","previouslyFormattedCitation":"(Chandler, 2005)"},"properties":{"noteIndex":0},"schema":"https://github.com/citation-style-language/schema/raw/master/csl-citation.json"}</w:instrText>
      </w:r>
      <w:r w:rsidR="00485618" w:rsidRPr="00F6494F">
        <w:rPr>
          <w:rFonts w:ascii="Arial MT" w:eastAsia="Arial MT" w:hAnsi="Arial MT" w:cs="Arial MT"/>
          <w:kern w:val="0"/>
          <w:sz w:val="22"/>
          <w:szCs w:val="22"/>
          <w14:ligatures w14:val="none"/>
        </w:rPr>
        <w:fldChar w:fldCharType="separate"/>
      </w:r>
      <w:r w:rsidR="00485618" w:rsidRPr="00F6494F">
        <w:rPr>
          <w:rFonts w:ascii="Arial MT" w:eastAsia="Arial MT" w:hAnsi="Arial MT" w:cs="Arial MT"/>
          <w:noProof/>
          <w:kern w:val="0"/>
          <w:sz w:val="22"/>
          <w:szCs w:val="22"/>
          <w14:ligatures w14:val="none"/>
        </w:rPr>
        <w:t>(Chandler, 2005)</w:t>
      </w:r>
      <w:r w:rsidR="00485618"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xml:space="preserve">. The priority </w:t>
      </w:r>
      <w:proofErr w:type="gramStart"/>
      <w:r w:rsidRPr="00F6494F">
        <w:rPr>
          <w:rFonts w:ascii="Arial MT" w:eastAsia="Arial MT" w:hAnsi="Arial MT" w:cs="Arial MT"/>
          <w:kern w:val="0"/>
          <w:sz w:val="22"/>
          <w:szCs w:val="22"/>
          <w14:ligatures w14:val="none"/>
        </w:rPr>
        <w:t>principle</w:t>
      </w:r>
      <w:proofErr w:type="gramEnd"/>
      <w:r w:rsidR="00383847" w:rsidRPr="00F6494F">
        <w:rPr>
          <w:rFonts w:ascii="Arial MT" w:eastAsia="Arial MT" w:hAnsi="Arial MT" w:cs="Arial MT"/>
          <w:kern w:val="0"/>
          <w:sz w:val="22"/>
          <w:szCs w:val="22"/>
          <w14:ligatures w14:val="none"/>
        </w:rPr>
        <w:t xml:space="preserve"> </w:t>
      </w:r>
      <w:r w:rsidRPr="00F6494F">
        <w:rPr>
          <w:rFonts w:ascii="Arial MT" w:eastAsia="Arial MT" w:hAnsi="Arial MT" w:cs="Arial MT"/>
          <w:kern w:val="0"/>
          <w:sz w:val="22"/>
          <w:szCs w:val="22"/>
          <w14:ligatures w14:val="none"/>
        </w:rPr>
        <w:t>acts as a moral signal and strong incentive for the public: refusing to be a donor directly reduces one's chance of receiving an organ in the future. This is viewed as a form of reciprocal justice, emphasizing that anyone who wishes to benefit from the organ transplantation system must also be willing to contribute.</w:t>
      </w:r>
    </w:p>
    <w:p w14:paraId="2B36DE98" w14:textId="77777777" w:rsidR="00955799"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 increase in donor numbers in Singapore following the implementation of this system indicates that the policy is effective in raising public awareness. Although the impact of the priority rule cannot be entirely separated from the overall effect of the opt-out system, initial results show a positive trend. Pragmatically, the public has begun to understand that the willingness to donate is part of community members' moral and social responsibility.</w:t>
      </w:r>
    </w:p>
    <w:p w14:paraId="73064089" w14:textId="0C12D040" w:rsidR="00955799"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Furthermore, this legal system provides a transparent and fair allocation process, as priority status is determined by an individual's contribution to the system. In other words, those who declare their willingness to donate are prioritized as recipients when organs become available. This principle is grounded in efficiency considerations and the value of distributive justice—</w:t>
      </w:r>
      <w:r w:rsidR="00B4322D" w:rsidRPr="00F6494F">
        <w:rPr>
          <w:rFonts w:ascii="Arial MT" w:eastAsia="Arial MT" w:hAnsi="Arial MT" w:cs="Arial MT"/>
          <w:kern w:val="0"/>
          <w:sz w:val="22"/>
          <w:szCs w:val="22"/>
          <w14:ligatures w14:val="none"/>
        </w:rPr>
        <w:t>those scarce resources</w:t>
      </w:r>
      <w:r w:rsidRPr="00F6494F">
        <w:rPr>
          <w:rFonts w:ascii="Arial MT" w:eastAsia="Arial MT" w:hAnsi="Arial MT" w:cs="Arial MT"/>
          <w:kern w:val="0"/>
          <w:sz w:val="22"/>
          <w:szCs w:val="22"/>
          <w14:ligatures w14:val="none"/>
        </w:rPr>
        <w:t>, such as organs for transplantation, should be given to those who are also willing to give</w:t>
      </w:r>
      <w:r w:rsidR="00485618" w:rsidRPr="00F6494F">
        <w:rPr>
          <w:rFonts w:ascii="Arial MT" w:eastAsia="Arial MT" w:hAnsi="Arial MT" w:cs="Arial MT"/>
          <w:kern w:val="0"/>
          <w:sz w:val="22"/>
          <w:szCs w:val="22"/>
          <w14:ligatures w14:val="none"/>
        </w:rPr>
        <w:t xml:space="preserve"> </w:t>
      </w:r>
      <w:r w:rsidR="00485618" w:rsidRPr="00F6494F">
        <w:rPr>
          <w:rFonts w:ascii="Arial MT" w:eastAsia="Arial MT" w:hAnsi="Arial MT" w:cs="Arial MT"/>
          <w:kern w:val="0"/>
          <w:sz w:val="22"/>
          <w:szCs w:val="22"/>
          <w14:ligatures w14:val="none"/>
        </w:rPr>
        <w:fldChar w:fldCharType="begin" w:fldLock="1"/>
      </w:r>
      <w:r w:rsidR="00485618" w:rsidRPr="00F6494F">
        <w:rPr>
          <w:rFonts w:ascii="Arial MT" w:eastAsia="Arial MT" w:hAnsi="Arial MT" w:cs="Arial MT"/>
          <w:kern w:val="0"/>
          <w:sz w:val="22"/>
          <w:szCs w:val="22"/>
          <w14:ligatures w14:val="none"/>
        </w:rPr>
        <w:instrText>ADDIN CSL_CITATION {"citationItems":[{"id":"ITEM-1","itemData":{"DOI":"10.1038/s41581-021-00425-3","ISBN":"0123456789","ISSN":"1759507X","PMID":"33953367","abstract":"Although overall donation and transplantation activity is higher in Europe than on other continents, differences between European countries in almost every aspect of transplantation activity (for example, in the number of transplantations, the number of people with a functioning graft, in rates of living versus deceased donation, and in the use of expanded criteria donors) suggest that there is ample room for improvement. Herein we review the policy and clinical measures that should be considered to increase access to transplantation and improve post-transplantation outcomes. This Roadmap, generated by a group of major European stakeholders collaborating within a Thematic Network, presents an outline of the challenges to increasing transplantation rates and proposes 12 key areas along with specific measures that should be considered to promote transplantation. This framework can be adopted by countries and institutions that are interested in advancing transplantation, both within and outside the European Union. Within this framework, a priority ranking of initiatives is suggested that could serve as the basis for a new European Union Action Plan on Organ Donation and Transplantation.","author":[{"dropping-particle":"","family":"Vanholder","given":"Raymond","non-dropping-particle":"","parse-names":false,"suffix":""},{"dropping-particle":"","family":"Domínguez-Gil","given":"Beatriz","non-dropping-particle":"","parse-names":false,"suffix":""},{"dropping-particle":"","family":"Busic","given":"Mirela","non-dropping-particle":"","parse-names":false,"suffix":""},{"dropping-particle":"","family":"Cortez-Pinto","given":"Helena","non-dropping-particle":"","parse-names":false,"suffix":""},{"dropping-particle":"","family":"Craig","given":"Jonathan C.","non-dropping-particle":"","parse-names":false,"suffix":""},{"dropping-particle":"","family":"Jager","given":"Kitty J.","non-dropping-particle":"","parse-names":false,"suffix":""},{"dropping-particle":"","family":"Mahillo","given":"Beatriz","non-dropping-particle":"","parse-names":false,"suffix":""},{"dropping-particle":"","family":"Stel","given":"Vianda S.","non-dropping-particle":"","parse-names":false,"suffix":""},{"dropping-particle":"","family":"Valentin","given":"Maria O.","non-dropping-particle":"","parse-names":false,"suffix":""},{"dropping-particle":"","family":"Zoccali","given":"Carmine","non-dropping-particle":"","parse-names":false,"suffix":""},{"dropping-particle":"","family":"Oniscu","given":"Gabriel C.","non-dropping-particle":"","parse-names":false,"suffix":""}],"container-title":"Nature Reviews Nephrology","id":"ITEM-1","issue":"8","issued":{"date-parts":[["2021"]]},"page":"554-568","publisher":"Springer US","title":"Organ donation and transplantation: a multi-stakeholder call to action","type":"article-journal","volume":"17"},"uris":["http://www.mendeley.com/documents/?uuid=94bddf83-d872-45de-87cd-a315d18c3fe4"]}],"mendeley":{"formattedCitation":"(Vanholder et al., 2021)","plainTextFormattedCitation":"(Vanholder et al., 2021)","previouslyFormattedCitation":"(Vanholder et al., 2021)"},"properties":{"noteIndex":0},"schema":"https://github.com/citation-style-language/schema/raw/master/csl-citation.json"}</w:instrText>
      </w:r>
      <w:r w:rsidR="00485618" w:rsidRPr="00F6494F">
        <w:rPr>
          <w:rFonts w:ascii="Arial MT" w:eastAsia="Arial MT" w:hAnsi="Arial MT" w:cs="Arial MT"/>
          <w:kern w:val="0"/>
          <w:sz w:val="22"/>
          <w:szCs w:val="22"/>
          <w14:ligatures w14:val="none"/>
        </w:rPr>
        <w:fldChar w:fldCharType="separate"/>
      </w:r>
      <w:r w:rsidR="00485618" w:rsidRPr="00F6494F">
        <w:rPr>
          <w:rFonts w:ascii="Arial MT" w:eastAsia="Arial MT" w:hAnsi="Arial MT" w:cs="Arial MT"/>
          <w:noProof/>
          <w:kern w:val="0"/>
          <w:sz w:val="22"/>
          <w:szCs w:val="22"/>
          <w14:ligatures w14:val="none"/>
        </w:rPr>
        <w:t>(Vanholder et al., 2021)</w:t>
      </w:r>
      <w:r w:rsidR="00485618" w:rsidRPr="00F6494F">
        <w:rPr>
          <w:rFonts w:ascii="Arial MT" w:eastAsia="Arial MT" w:hAnsi="Arial MT" w:cs="Arial MT"/>
          <w:kern w:val="0"/>
          <w:sz w:val="22"/>
          <w:szCs w:val="22"/>
          <w14:ligatures w14:val="none"/>
        </w:rPr>
        <w:fldChar w:fldCharType="end"/>
      </w:r>
      <w:r w:rsidRPr="00F6494F">
        <w:rPr>
          <w:rFonts w:ascii="Arial MT" w:eastAsia="Arial MT" w:hAnsi="Arial MT" w:cs="Arial MT"/>
          <w:kern w:val="0"/>
          <w:sz w:val="22"/>
          <w:szCs w:val="22"/>
          <w14:ligatures w14:val="none"/>
        </w:rPr>
        <w:t xml:space="preserve">. This concept has also gained moral support from the broader public, who believe it is unfair for someone to receive an organ while refusing to become a donor. Therefore, the willingness to donate in return for organ eligibility is regarded as a reasonable </w:t>
      </w:r>
      <w:r w:rsidRPr="00F6494F">
        <w:rPr>
          <w:rFonts w:ascii="Arial MT" w:eastAsia="Arial MT" w:hAnsi="Arial MT" w:cs="Arial MT"/>
          <w:kern w:val="0"/>
          <w:sz w:val="22"/>
          <w:szCs w:val="22"/>
          <w14:ligatures w14:val="none"/>
        </w:rPr>
        <w:lastRenderedPageBreak/>
        <w:t>moral condition within a fair and sustainable organ transplantation system.</w:t>
      </w:r>
    </w:p>
    <w:p w14:paraId="51E6C75F" w14:textId="77777777" w:rsidR="00955799"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These three countries offer different approaches to providing legal protection for organ donors, reflecting their respective cultural contexts, legal systems, and social structures. Iran emphasizes legal certainty and the provision of material incentives for living donors within a highly structured system closely monitored by the state. Conversely, Chile encourages voluntary participation by offering organ recipient priority, highlighting the values of solidarity and reciprocal justice. Meanwhile, Singapore prioritizes efficiency and distributive justice through clear and firm regulations regarding society's rights and moral responsibilities regarding organ donation. All three demonstrate that legal protection for donors is not merely a technical or medical issue but reflects more profound legal philosophies—justice, social solidarity, and respect for individual autonomy.</w:t>
      </w:r>
    </w:p>
    <w:p w14:paraId="24B71474" w14:textId="1D7B6E3E" w:rsidR="002D67BE" w:rsidRPr="00F6494F" w:rsidRDefault="00955799"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r w:rsidRPr="00F6494F">
        <w:rPr>
          <w:rFonts w:ascii="Arial MT" w:eastAsia="Arial MT" w:hAnsi="Arial MT" w:cs="Arial MT"/>
          <w:kern w:val="0"/>
          <w:sz w:val="22"/>
          <w:szCs w:val="22"/>
          <w14:ligatures w14:val="none"/>
        </w:rPr>
        <w:t>The ideal organ transplantation model for Indonesia would be a combination of Singapore and Chile's progressive opt-out systems, Iran's structured compensation and strict oversight, and the support of a transparent and accountable national institution. This model must uphold ethical principles, social justice, respect for donors, and legal protection while remaining aligned with Indonesia's cultural and religious values.</w:t>
      </w:r>
    </w:p>
    <w:p w14:paraId="691D3930" w14:textId="77777777" w:rsidR="00D4790B" w:rsidRPr="00F6494F" w:rsidRDefault="00D4790B" w:rsidP="00955799">
      <w:pPr>
        <w:pStyle w:val="ListParagraph"/>
        <w:widowControl w:val="0"/>
        <w:autoSpaceDE w:val="0"/>
        <w:autoSpaceDN w:val="0"/>
        <w:spacing w:after="0" w:line="240" w:lineRule="auto"/>
        <w:ind w:left="0" w:firstLine="426"/>
        <w:jc w:val="both"/>
        <w:outlineLvl w:val="0"/>
        <w:rPr>
          <w:rFonts w:ascii="Arial MT" w:eastAsia="Arial MT" w:hAnsi="Arial MT" w:cs="Arial MT"/>
          <w:kern w:val="0"/>
          <w:sz w:val="22"/>
          <w:szCs w:val="22"/>
          <w14:ligatures w14:val="none"/>
        </w:rPr>
      </w:pPr>
    </w:p>
    <w:p w14:paraId="0963B8A4" w14:textId="2F1CF9B5" w:rsidR="002D67BE" w:rsidRPr="00F6494F" w:rsidRDefault="002D67BE" w:rsidP="002D67BE">
      <w:pPr>
        <w:pStyle w:val="ListParagraph"/>
        <w:widowControl w:val="0"/>
        <w:numPr>
          <w:ilvl w:val="0"/>
          <w:numId w:val="1"/>
        </w:numPr>
        <w:autoSpaceDE w:val="0"/>
        <w:autoSpaceDN w:val="0"/>
        <w:spacing w:after="0" w:line="240" w:lineRule="auto"/>
        <w:ind w:left="284" w:hanging="284"/>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CONCLUSION</w:t>
      </w:r>
    </w:p>
    <w:p w14:paraId="6F6EECC3" w14:textId="5EF6586A" w:rsidR="00E374FB" w:rsidRPr="00F6494F" w:rsidRDefault="00D4790B" w:rsidP="00D4790B">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Legal protection for organ donors in Indonesia is essential for establishing a fair, ethical, and human rights-respecting organ transplantation system. Despite regulations such as Law No. 17 of 2023 on Health, Government Regulation No. 28 of 2024, and Ministry of Health Regulation No. 38 of 2016, their practical implementation faces significant challenges. These challenges include a lack of incentives and ambiguous legal mechanisms to protect the rights of both living and deceased donors. From a justice perspective, it is essential to recognize donors as legal subjects whose rights must be comprehensively protected—medically, legally, and ethically. To accomplish this, a reciprocal justice approach should be embraced. This framework ensures that altruistic acts, such as organ donation, are not exploited but are afforded equal respect and protection. Therefore, reformulating legal policies is necessary to strengthen principles of transparency, accountability, and legal certainty within the transplant system. The government must establish clearer regulations, implement continuous oversight, and, most importantly, provide public education. This education is crucial in raising awareness about the rights and obligations involved in organ donation. With comprehensive legal protection, Indonesia's transplant system can evolve to become both medically efficient, legally fair, and socially humane, thereby enhancing public trust and upholding fundamental human values.</w:t>
      </w:r>
    </w:p>
    <w:p w14:paraId="517BED7B" w14:textId="77777777" w:rsidR="00D4790B" w:rsidRPr="00F6494F" w:rsidRDefault="00D4790B" w:rsidP="00D4790B">
      <w:pPr>
        <w:widowControl w:val="0"/>
        <w:autoSpaceDE w:val="0"/>
        <w:autoSpaceDN w:val="0"/>
        <w:spacing w:after="0" w:line="240" w:lineRule="auto"/>
        <w:ind w:firstLine="426"/>
        <w:jc w:val="both"/>
        <w:outlineLvl w:val="0"/>
        <w:rPr>
          <w:rFonts w:ascii="Arial MT" w:eastAsia="Arial MT" w:hAnsi="Arial MT" w:cs="Arial MT"/>
          <w:spacing w:val="-2"/>
          <w:kern w:val="0"/>
          <w:sz w:val="22"/>
          <w:szCs w:val="22"/>
          <w14:ligatures w14:val="none"/>
        </w:rPr>
      </w:pPr>
    </w:p>
    <w:p w14:paraId="592611D0" w14:textId="0D7DE9F5" w:rsidR="00E374FB" w:rsidRPr="00F6494F" w:rsidRDefault="00E374FB" w:rsidP="00E374FB">
      <w:pPr>
        <w:widowControl w:val="0"/>
        <w:autoSpaceDE w:val="0"/>
        <w:autoSpaceDN w:val="0"/>
        <w:spacing w:after="0" w:line="240" w:lineRule="auto"/>
        <w:outlineLvl w:val="0"/>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Funding:</w:t>
      </w:r>
    </w:p>
    <w:p w14:paraId="2EF09745" w14:textId="77777777" w:rsidR="00E374FB" w:rsidRPr="00F6494F" w:rsidRDefault="00E374FB" w:rsidP="00E374FB">
      <w:pPr>
        <w:rPr>
          <w:rFonts w:ascii="Arial MT" w:hAnsi="Arial MT"/>
          <w:sz w:val="22"/>
          <w:szCs w:val="22"/>
        </w:rPr>
      </w:pPr>
      <w:r w:rsidRPr="00F6494F">
        <w:rPr>
          <w:rFonts w:ascii="Arial MT" w:hAnsi="Arial MT"/>
          <w:sz w:val="22"/>
          <w:szCs w:val="22"/>
        </w:rPr>
        <w:t>This study received no specific financial support.</w:t>
      </w:r>
    </w:p>
    <w:p w14:paraId="4C95DC16" w14:textId="034CA8B3" w:rsidR="00E374FB" w:rsidRPr="00F6494F" w:rsidRDefault="00E374FB" w:rsidP="00DD10EE">
      <w:pPr>
        <w:spacing w:after="0"/>
        <w:rPr>
          <w:rFonts w:ascii="Arial MT" w:hAnsi="Arial MT"/>
          <w:sz w:val="22"/>
          <w:szCs w:val="22"/>
        </w:rPr>
      </w:pPr>
      <w:r w:rsidRPr="00F6494F">
        <w:rPr>
          <w:rFonts w:ascii="Arial MT" w:eastAsia="Arial MT" w:hAnsi="Arial MT" w:cs="Arial MT"/>
          <w:spacing w:val="-2"/>
          <w:kern w:val="0"/>
          <w:sz w:val="22"/>
          <w:szCs w:val="22"/>
          <w14:ligatures w14:val="none"/>
        </w:rPr>
        <w:t>Institutional Review Board Statement:</w:t>
      </w:r>
    </w:p>
    <w:p w14:paraId="2C292610" w14:textId="77777777" w:rsidR="00E374FB" w:rsidRPr="00F6494F" w:rsidRDefault="00E374FB" w:rsidP="00DD10EE">
      <w:pPr>
        <w:spacing w:after="0"/>
        <w:rPr>
          <w:rFonts w:ascii="Arial MT" w:hAnsi="Arial MT"/>
          <w:sz w:val="22"/>
          <w:szCs w:val="22"/>
        </w:rPr>
      </w:pPr>
      <w:r w:rsidRPr="00F6494F">
        <w:rPr>
          <w:rFonts w:ascii="Arial MT" w:hAnsi="Arial MT"/>
          <w:sz w:val="22"/>
          <w:szCs w:val="22"/>
        </w:rPr>
        <w:t>Not applicable.</w:t>
      </w:r>
    </w:p>
    <w:p w14:paraId="52B778B2" w14:textId="77777777" w:rsidR="009174B1" w:rsidRPr="00F6494F" w:rsidRDefault="009174B1" w:rsidP="00DD10EE">
      <w:pPr>
        <w:spacing w:after="0" w:line="240" w:lineRule="auto"/>
        <w:jc w:val="both"/>
        <w:rPr>
          <w:rFonts w:ascii="Arial MT" w:eastAsia="Arial MT" w:hAnsi="Arial MT" w:cs="Arial MT"/>
          <w:spacing w:val="-2"/>
          <w:kern w:val="0"/>
          <w:sz w:val="22"/>
          <w:szCs w:val="22"/>
          <w14:ligatures w14:val="none"/>
        </w:rPr>
      </w:pPr>
    </w:p>
    <w:p w14:paraId="41A60722" w14:textId="3C1D7FAA" w:rsidR="00E374FB" w:rsidRPr="00F6494F" w:rsidRDefault="00E374FB" w:rsidP="00DD10EE">
      <w:pPr>
        <w:spacing w:after="0" w:line="240" w:lineRule="auto"/>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Transparency:</w:t>
      </w:r>
    </w:p>
    <w:p w14:paraId="09F2AFBC" w14:textId="4561A3EC" w:rsidR="00DD10EE" w:rsidRPr="00F6494F" w:rsidRDefault="00B4322D" w:rsidP="00DD10EE">
      <w:pPr>
        <w:spacing w:after="0" w:line="240" w:lineRule="auto"/>
        <w:jc w:val="both"/>
        <w:rPr>
          <w:rFonts w:ascii="Arial MT" w:hAnsi="Arial MT"/>
          <w:sz w:val="22"/>
          <w:szCs w:val="22"/>
        </w:rPr>
      </w:pPr>
      <w:r w:rsidRPr="00F6494F">
        <w:rPr>
          <w:rFonts w:ascii="Arial MT" w:hAnsi="Arial MT"/>
          <w:sz w:val="22"/>
          <w:szCs w:val="22"/>
        </w:rPr>
        <w:t>The authors affirm that the manuscript has been prepared with honesty, precision, and transparency, ensuring that all significant aspects of the research are included. Any changes from the initial study plan have been clearly disclosed, and the work fully complies with established ethical writing standards.</w:t>
      </w:r>
    </w:p>
    <w:p w14:paraId="7F09CC99" w14:textId="77777777" w:rsidR="009174B1" w:rsidRPr="00F6494F" w:rsidRDefault="009174B1" w:rsidP="00DD10EE">
      <w:pPr>
        <w:spacing w:after="0" w:line="240" w:lineRule="auto"/>
        <w:jc w:val="both"/>
        <w:rPr>
          <w:rFonts w:ascii="Arial MT" w:hAnsi="Arial MT"/>
          <w:sz w:val="22"/>
          <w:szCs w:val="22"/>
        </w:rPr>
      </w:pPr>
    </w:p>
    <w:p w14:paraId="4ECBB638" w14:textId="30DC1603" w:rsidR="00E374FB" w:rsidRPr="00F6494F" w:rsidRDefault="00E374FB" w:rsidP="00DD10EE">
      <w:pPr>
        <w:spacing w:after="0" w:line="240" w:lineRule="auto"/>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t>Competing Interests:</w:t>
      </w:r>
    </w:p>
    <w:p w14:paraId="50B0F0E1" w14:textId="77777777" w:rsidR="00B4322D" w:rsidRPr="00F6494F" w:rsidRDefault="00B4322D" w:rsidP="00DD10EE">
      <w:pPr>
        <w:spacing w:after="0" w:line="240" w:lineRule="auto"/>
        <w:jc w:val="both"/>
        <w:rPr>
          <w:rFonts w:ascii="Arial MT" w:hAnsi="Arial MT"/>
          <w:sz w:val="22"/>
          <w:szCs w:val="22"/>
        </w:rPr>
      </w:pPr>
      <w:r w:rsidRPr="00F6494F">
        <w:rPr>
          <w:rFonts w:ascii="Arial MT" w:hAnsi="Arial MT"/>
          <w:sz w:val="22"/>
          <w:szCs w:val="22"/>
        </w:rPr>
        <w:t xml:space="preserve">The authors declare that this work is free from any conflicts of interest. </w:t>
      </w:r>
    </w:p>
    <w:p w14:paraId="014FE6D7" w14:textId="39A381A2" w:rsidR="00DD10EE" w:rsidRPr="00F6494F" w:rsidRDefault="00B4322D" w:rsidP="00DD10EE">
      <w:pPr>
        <w:spacing w:after="0" w:line="240" w:lineRule="auto"/>
        <w:jc w:val="both"/>
        <w:rPr>
          <w:rFonts w:ascii="Arial MT" w:hAnsi="Arial MT"/>
          <w:sz w:val="22"/>
          <w:szCs w:val="22"/>
        </w:rPr>
      </w:pPr>
      <w:r w:rsidRPr="00F6494F">
        <w:rPr>
          <w:rFonts w:ascii="Arial MT" w:hAnsi="Arial MT"/>
          <w:sz w:val="22"/>
          <w:szCs w:val="22"/>
        </w:rPr>
        <w:t>All authors contributed equally to the study’s design and development, and each has reviewed and approved the final manuscript for publication.</w:t>
      </w:r>
    </w:p>
    <w:p w14:paraId="34ADCFD8" w14:textId="2CA139D8" w:rsidR="00263133" w:rsidRPr="00F6494F" w:rsidRDefault="00E374FB" w:rsidP="009F198A">
      <w:pPr>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lastRenderedPageBreak/>
        <w:t>REFERENCES</w:t>
      </w:r>
    </w:p>
    <w:p w14:paraId="0B7DBF8A" w14:textId="5F6AF0DE" w:rsidR="002575A5" w:rsidRPr="00F6494F" w:rsidRDefault="00A467E9"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eastAsia="Arial MT" w:hAnsi="Arial MT" w:cs="Arial MT"/>
          <w:spacing w:val="-2"/>
          <w:kern w:val="0"/>
          <w:sz w:val="22"/>
          <w:szCs w:val="22"/>
          <w14:ligatures w14:val="none"/>
        </w:rPr>
        <w:fldChar w:fldCharType="begin" w:fldLock="1"/>
      </w:r>
      <w:r w:rsidRPr="00F6494F">
        <w:rPr>
          <w:rFonts w:ascii="Arial MT" w:eastAsia="Arial MT" w:hAnsi="Arial MT" w:cs="Arial MT"/>
          <w:spacing w:val="-2"/>
          <w:kern w:val="0"/>
          <w:sz w:val="22"/>
          <w:szCs w:val="22"/>
          <w14:ligatures w14:val="none"/>
        </w:rPr>
        <w:instrText xml:space="preserve">ADDIN Mendeley Bibliography CSL_BIBLIOGRAPHY </w:instrText>
      </w:r>
      <w:r w:rsidRPr="00F6494F">
        <w:rPr>
          <w:rFonts w:ascii="Arial MT" w:eastAsia="Arial MT" w:hAnsi="Arial MT" w:cs="Arial MT"/>
          <w:spacing w:val="-2"/>
          <w:kern w:val="0"/>
          <w:sz w:val="22"/>
          <w:szCs w:val="22"/>
          <w14:ligatures w14:val="none"/>
        </w:rPr>
        <w:fldChar w:fldCharType="separate"/>
      </w:r>
      <w:r w:rsidR="002575A5" w:rsidRPr="00F6494F">
        <w:rPr>
          <w:rFonts w:ascii="Arial MT" w:hAnsi="Arial MT" w:cs="Times New Roman"/>
          <w:noProof/>
          <w:kern w:val="0"/>
          <w:sz w:val="22"/>
        </w:rPr>
        <w:t xml:space="preserve">Abadie, A., &amp; Gay, S. (2006). The impact of presumed consent legislation on cadaveric organ donation: A cross-country study. </w:t>
      </w:r>
      <w:r w:rsidR="002575A5" w:rsidRPr="00F6494F">
        <w:rPr>
          <w:rFonts w:ascii="Arial MT" w:hAnsi="Arial MT" w:cs="Times New Roman"/>
          <w:i/>
          <w:iCs/>
          <w:noProof/>
          <w:kern w:val="0"/>
          <w:sz w:val="22"/>
        </w:rPr>
        <w:t>Journal of Health Economics</w:t>
      </w:r>
      <w:r w:rsidR="002575A5" w:rsidRPr="00F6494F">
        <w:rPr>
          <w:rFonts w:ascii="Arial MT" w:hAnsi="Arial MT" w:cs="Times New Roman"/>
          <w:noProof/>
          <w:kern w:val="0"/>
          <w:sz w:val="22"/>
        </w:rPr>
        <w:t xml:space="preserve">, </w:t>
      </w:r>
      <w:r w:rsidR="002575A5" w:rsidRPr="00F6494F">
        <w:rPr>
          <w:rFonts w:ascii="Arial MT" w:hAnsi="Arial MT" w:cs="Times New Roman"/>
          <w:i/>
          <w:iCs/>
          <w:noProof/>
          <w:kern w:val="0"/>
          <w:sz w:val="22"/>
        </w:rPr>
        <w:t>25</w:t>
      </w:r>
      <w:r w:rsidR="002575A5" w:rsidRPr="00F6494F">
        <w:rPr>
          <w:rFonts w:ascii="Arial MT" w:hAnsi="Arial MT" w:cs="Times New Roman"/>
          <w:noProof/>
          <w:kern w:val="0"/>
          <w:sz w:val="22"/>
        </w:rPr>
        <w:t>(4), 599–620. https://doi.org/10.1016/j.jhealeco.2006.01.003</w:t>
      </w:r>
    </w:p>
    <w:p w14:paraId="7229D71D"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Bakhtiar, Handar Subhandi, Maddussila, S. A. (2024). Manipulation of Legal Regulations in Commodification of Organ Transplants: Indonesia Perspective. </w:t>
      </w:r>
      <w:r w:rsidRPr="00F6494F">
        <w:rPr>
          <w:rFonts w:ascii="Arial MT" w:hAnsi="Arial MT" w:cs="Times New Roman"/>
          <w:i/>
          <w:iCs/>
          <w:noProof/>
          <w:kern w:val="0"/>
          <w:sz w:val="22"/>
        </w:rPr>
        <w:t>Journal of Indonesian Legal Studies</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9</w:t>
      </w:r>
      <w:r w:rsidRPr="00F6494F">
        <w:rPr>
          <w:rFonts w:ascii="Arial MT" w:hAnsi="Arial MT" w:cs="Times New Roman"/>
          <w:noProof/>
          <w:kern w:val="0"/>
          <w:sz w:val="22"/>
        </w:rPr>
        <w:t>(2), 1067–1106. https://doi.org/10.15294/jils.v9i2.19157</w:t>
      </w:r>
    </w:p>
    <w:p w14:paraId="4A2E6666"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Beauchamp, Tom L., Childress, J. F. (2019). </w:t>
      </w:r>
      <w:r w:rsidRPr="00F6494F">
        <w:rPr>
          <w:rFonts w:ascii="Arial MT" w:hAnsi="Arial MT" w:cs="Times New Roman"/>
          <w:i/>
          <w:iCs/>
          <w:noProof/>
          <w:kern w:val="0"/>
          <w:sz w:val="22"/>
        </w:rPr>
        <w:t>Principles of Biomedical Ethics</w:t>
      </w:r>
      <w:r w:rsidRPr="00F6494F">
        <w:rPr>
          <w:rFonts w:ascii="Arial MT" w:hAnsi="Arial MT" w:cs="Times New Roman"/>
          <w:noProof/>
          <w:kern w:val="0"/>
          <w:sz w:val="22"/>
        </w:rPr>
        <w:t>. Oxford University Press.</w:t>
      </w:r>
    </w:p>
    <w:p w14:paraId="711B426D"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Budiman, B. (2013). Riset Kesehatan Dasar Dalam Angka. In </w:t>
      </w:r>
      <w:r w:rsidRPr="00F6494F">
        <w:rPr>
          <w:rFonts w:ascii="Arial MT" w:hAnsi="Arial MT" w:cs="Times New Roman"/>
          <w:i/>
          <w:iCs/>
          <w:noProof/>
          <w:kern w:val="0"/>
          <w:sz w:val="22"/>
        </w:rPr>
        <w:t>Badan Penelitian dan Pengembangan Kesehatan Kementerian Kesehatan RI</w:t>
      </w:r>
      <w:r w:rsidRPr="00F6494F">
        <w:rPr>
          <w:rFonts w:ascii="Arial MT" w:hAnsi="Arial MT" w:cs="Times New Roman"/>
          <w:noProof/>
          <w:kern w:val="0"/>
          <w:sz w:val="22"/>
        </w:rPr>
        <w:t>.</w:t>
      </w:r>
    </w:p>
    <w:p w14:paraId="3DD0349A"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Chandler, J. A. (2005). Priority Systems in the Allocation of Organs for Transplant : Should we reward those who have previously agreed to donate ? Forthcoming ( 2005 ) 13 Health Law Journal pp . Assistant Professor Faculty of Law , University of Ottawa Introduction Organ transp. </w:t>
      </w:r>
      <w:r w:rsidRPr="00F6494F">
        <w:rPr>
          <w:rFonts w:ascii="Arial MT" w:hAnsi="Arial MT" w:cs="Times New Roman"/>
          <w:i/>
          <w:iCs/>
          <w:noProof/>
          <w:kern w:val="0"/>
          <w:sz w:val="22"/>
        </w:rPr>
        <w:t>Health Law Journal</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13</w:t>
      </w:r>
      <w:r w:rsidRPr="00F6494F">
        <w:rPr>
          <w:rFonts w:ascii="Arial MT" w:hAnsi="Arial MT" w:cs="Times New Roman"/>
          <w:noProof/>
          <w:kern w:val="0"/>
          <w:sz w:val="22"/>
        </w:rPr>
        <w:t>, 244–246.</w:t>
      </w:r>
    </w:p>
    <w:p w14:paraId="777ECC16"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El Haque, Iif Taufiq Putra, Sarsintorini, Suparno, Noor, A. (2023). Ensuring the Health and Safety of Indonesian School Children: Legal Protections in Snack Consumption. </w:t>
      </w:r>
      <w:r w:rsidRPr="00F6494F">
        <w:rPr>
          <w:rFonts w:ascii="Arial MT" w:hAnsi="Arial MT" w:cs="Times New Roman"/>
          <w:i/>
          <w:iCs/>
          <w:noProof/>
          <w:kern w:val="0"/>
          <w:sz w:val="22"/>
        </w:rPr>
        <w:t>Qubahan Academic Journal</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3</w:t>
      </w:r>
      <w:r w:rsidRPr="00F6494F">
        <w:rPr>
          <w:rFonts w:ascii="Arial MT" w:hAnsi="Arial MT" w:cs="Times New Roman"/>
          <w:noProof/>
          <w:kern w:val="0"/>
          <w:sz w:val="22"/>
        </w:rPr>
        <w:t>(4), 206–218. https://doi.org/10.48161/Issn.2709-8206</w:t>
      </w:r>
    </w:p>
    <w:p w14:paraId="56686785"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Elflein, J. (2025). </w:t>
      </w:r>
      <w:r w:rsidRPr="00F6494F">
        <w:rPr>
          <w:rFonts w:ascii="Arial MT" w:hAnsi="Arial MT" w:cs="Times New Roman"/>
          <w:i/>
          <w:iCs/>
          <w:noProof/>
          <w:kern w:val="0"/>
          <w:sz w:val="22"/>
        </w:rPr>
        <w:t>Global number of organ transplantations 2023</w:t>
      </w:r>
      <w:r w:rsidRPr="00F6494F">
        <w:rPr>
          <w:rFonts w:ascii="Arial MT" w:hAnsi="Arial MT" w:cs="Times New Roman"/>
          <w:noProof/>
          <w:kern w:val="0"/>
          <w:sz w:val="22"/>
        </w:rPr>
        <w:t>. Statista.Com. https://www.statista.com/statistics/398645/global-estimation-of-organ-transplantations/#:~:text=The kidney is the most,can be challenging and complex.&amp;text=Kidney transplantation%2C or renal transplantation,better access to such procedures.&amp;text=Organs can be donated either,which require a kidney transplantation.</w:t>
      </w:r>
    </w:p>
    <w:p w14:paraId="7E583925"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Erpiyana, R., Djamaludin, D., &amp; Andoko, A. (2024). Perbandingan Kualitas Tidur Pasien Gagal Ginjal Kronik dengan Komorbid Hipertensi dan Diabetes Mellitus yang Menjalani Hemodialisa di Rumah Sakit Pertamina Bintang Amin Bandar Lampung. </w:t>
      </w:r>
      <w:r w:rsidRPr="00F6494F">
        <w:rPr>
          <w:rFonts w:ascii="Arial MT" w:hAnsi="Arial MT" w:cs="Times New Roman"/>
          <w:i/>
          <w:iCs/>
          <w:noProof/>
          <w:kern w:val="0"/>
          <w:sz w:val="22"/>
        </w:rPr>
        <w:t>Malahayati Nursing Journal</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6</w:t>
      </w:r>
      <w:r w:rsidRPr="00F6494F">
        <w:rPr>
          <w:rFonts w:ascii="Arial MT" w:hAnsi="Arial MT" w:cs="Times New Roman"/>
          <w:noProof/>
          <w:kern w:val="0"/>
          <w:sz w:val="22"/>
        </w:rPr>
        <w:t>(5), 2024–2035. https://doi.org/10.33024/mnj.v6i5.11070</w:t>
      </w:r>
    </w:p>
    <w:p w14:paraId="19954CDC"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Ghahramani, N. (2016). Paid Living Donation and Growth of Deceased Donor Programs. </w:t>
      </w:r>
      <w:r w:rsidRPr="00F6494F">
        <w:rPr>
          <w:rFonts w:ascii="Arial MT" w:hAnsi="Arial MT" w:cs="Times New Roman"/>
          <w:i/>
          <w:iCs/>
          <w:noProof/>
          <w:kern w:val="0"/>
          <w:sz w:val="22"/>
        </w:rPr>
        <w:t>Transplantation</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100</w:t>
      </w:r>
      <w:r w:rsidRPr="00F6494F">
        <w:rPr>
          <w:rFonts w:ascii="Arial MT" w:hAnsi="Arial MT" w:cs="Times New Roman"/>
          <w:noProof/>
          <w:kern w:val="0"/>
          <w:sz w:val="22"/>
        </w:rPr>
        <w:t>(6), 1165–1169. https://doi.org/10.1097/TP.0000000000001164</w:t>
      </w:r>
    </w:p>
    <w:p w14:paraId="0FB256B0"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Heinrich, T. W., &amp; Marcangelo, M. (2009). Psychiatric issues in solid organ transplantation. </w:t>
      </w:r>
      <w:r w:rsidRPr="00F6494F">
        <w:rPr>
          <w:rFonts w:ascii="Arial MT" w:hAnsi="Arial MT" w:cs="Times New Roman"/>
          <w:i/>
          <w:iCs/>
          <w:noProof/>
          <w:kern w:val="0"/>
          <w:sz w:val="22"/>
        </w:rPr>
        <w:t>Harvard Review of Psychiatry</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17</w:t>
      </w:r>
      <w:r w:rsidRPr="00F6494F">
        <w:rPr>
          <w:rFonts w:ascii="Arial MT" w:hAnsi="Arial MT" w:cs="Times New Roman"/>
          <w:noProof/>
          <w:kern w:val="0"/>
          <w:sz w:val="22"/>
        </w:rPr>
        <w:t>(6), 398–406. https://doi.org/10.3109/10673220903463259</w:t>
      </w:r>
    </w:p>
    <w:p w14:paraId="47B44B58"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Indriyanto, Dedy; Tedjosaputro, Liliana; Tumangkar, Totok; Noor, A. (2023). Understanding Human Organ Trading: Ethical Perspective and Indonesia’s Legal Framework. </w:t>
      </w:r>
      <w:r w:rsidRPr="00F6494F">
        <w:rPr>
          <w:rFonts w:ascii="Arial MT" w:hAnsi="Arial MT" w:cs="Times New Roman"/>
          <w:i/>
          <w:iCs/>
          <w:noProof/>
          <w:kern w:val="0"/>
          <w:sz w:val="22"/>
        </w:rPr>
        <w:t>Qubahan Academic Journal</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3</w:t>
      </w:r>
      <w:r w:rsidRPr="00F6494F">
        <w:rPr>
          <w:rFonts w:ascii="Arial MT" w:hAnsi="Arial MT" w:cs="Times New Roman"/>
          <w:noProof/>
          <w:kern w:val="0"/>
          <w:sz w:val="22"/>
        </w:rPr>
        <w:t>(4), 206–218. https://doi.org/10.https://doi.org/10.48161/qaj.v3n3a155</w:t>
      </w:r>
    </w:p>
    <w:p w14:paraId="6ABB4BA7"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Iyer, T. K. K. (1987). Kidneys For Transplant - “Opting Out” Law In Singapore. </w:t>
      </w:r>
      <w:r w:rsidRPr="00F6494F">
        <w:rPr>
          <w:rFonts w:ascii="Arial MT" w:hAnsi="Arial MT" w:cs="Times New Roman"/>
          <w:i/>
          <w:iCs/>
          <w:noProof/>
          <w:kern w:val="0"/>
          <w:sz w:val="22"/>
        </w:rPr>
        <w:t>Forensic Science International</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35</w:t>
      </w:r>
      <w:r w:rsidRPr="00F6494F">
        <w:rPr>
          <w:rFonts w:ascii="Arial MT" w:hAnsi="Arial MT" w:cs="Times New Roman"/>
          <w:noProof/>
          <w:kern w:val="0"/>
          <w:sz w:val="22"/>
        </w:rPr>
        <w:t>(December 1986), 131–140.</w:t>
      </w:r>
    </w:p>
    <w:p w14:paraId="2E5239F5"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Kementerian Kesehatan RI. (2018). Laporan Riskesdas 2018 Nasional.pdf. In </w:t>
      </w:r>
      <w:r w:rsidRPr="00F6494F">
        <w:rPr>
          <w:rFonts w:ascii="Arial MT" w:hAnsi="Arial MT" w:cs="Times New Roman"/>
          <w:i/>
          <w:iCs/>
          <w:noProof/>
          <w:kern w:val="0"/>
          <w:sz w:val="22"/>
        </w:rPr>
        <w:t>Lembaga Penerbit Balitbangkes</w:t>
      </w:r>
      <w:r w:rsidRPr="00F6494F">
        <w:rPr>
          <w:rFonts w:ascii="Arial MT" w:hAnsi="Arial MT" w:cs="Times New Roman"/>
          <w:noProof/>
          <w:kern w:val="0"/>
          <w:sz w:val="22"/>
        </w:rPr>
        <w:t xml:space="preserve"> (p. hal 156). https://repository.badankebijakan.kemkes.go.id/id/eprint/3514/1/Laporan Riskesdas 2018 Nasional.pdf</w:t>
      </w:r>
    </w:p>
    <w:p w14:paraId="23864240"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Kolber, A. J. (2003). A Matter of Priority: Transplanting Organs Preferentially to Registered Donors. </w:t>
      </w:r>
      <w:r w:rsidRPr="00F6494F">
        <w:rPr>
          <w:rFonts w:ascii="Arial MT" w:hAnsi="Arial MT" w:cs="Times New Roman"/>
          <w:i/>
          <w:iCs/>
          <w:noProof/>
          <w:kern w:val="0"/>
          <w:sz w:val="22"/>
        </w:rPr>
        <w:t>Rutgers Law Review</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55</w:t>
      </w:r>
      <w:r w:rsidRPr="00F6494F">
        <w:rPr>
          <w:rFonts w:ascii="Arial MT" w:hAnsi="Arial MT" w:cs="Times New Roman"/>
          <w:noProof/>
          <w:kern w:val="0"/>
          <w:sz w:val="22"/>
        </w:rPr>
        <w:t>, 671.</w:t>
      </w:r>
    </w:p>
    <w:p w14:paraId="70A84758"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lastRenderedPageBreak/>
        <w:t xml:space="preserve">Lakkis, F. G. (2023). The successes and challenges of organ transplantation. </w:t>
      </w:r>
      <w:r w:rsidRPr="00F6494F">
        <w:rPr>
          <w:rFonts w:ascii="Arial MT" w:hAnsi="Arial MT" w:cs="Times New Roman"/>
          <w:i/>
          <w:iCs/>
          <w:noProof/>
          <w:kern w:val="0"/>
          <w:sz w:val="22"/>
        </w:rPr>
        <w:t>Open Access Government</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40</w:t>
      </w:r>
      <w:r w:rsidRPr="00F6494F">
        <w:rPr>
          <w:rFonts w:ascii="Arial MT" w:hAnsi="Arial MT" w:cs="Times New Roman"/>
          <w:noProof/>
          <w:kern w:val="0"/>
          <w:sz w:val="22"/>
        </w:rPr>
        <w:t>(1), 28–29. https://doi.org/10.56367/oag-040-11001</w:t>
      </w:r>
    </w:p>
    <w:p w14:paraId="02C600B8"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Lee, L. (2018). The Ethics of Organ Donation in. </w:t>
      </w:r>
      <w:r w:rsidRPr="00F6494F">
        <w:rPr>
          <w:rFonts w:ascii="Arial MT" w:hAnsi="Arial MT" w:cs="Times New Roman"/>
          <w:i/>
          <w:iCs/>
          <w:noProof/>
          <w:kern w:val="0"/>
          <w:sz w:val="22"/>
        </w:rPr>
        <w:t>Creative Nursing</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24</w:t>
      </w:r>
      <w:r w:rsidRPr="00F6494F">
        <w:rPr>
          <w:rFonts w:ascii="Arial MT" w:hAnsi="Arial MT" w:cs="Times New Roman"/>
          <w:noProof/>
          <w:kern w:val="0"/>
          <w:sz w:val="22"/>
        </w:rPr>
        <w:t>(3), 186–190.</w:t>
      </w:r>
    </w:p>
    <w:p w14:paraId="01164F2A"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Mahdavi-Mazdeh, M. (2012). The Iranian model of living renal transplantation. </w:t>
      </w:r>
      <w:r w:rsidRPr="00F6494F">
        <w:rPr>
          <w:rFonts w:ascii="Arial MT" w:hAnsi="Arial MT" w:cs="Times New Roman"/>
          <w:i/>
          <w:iCs/>
          <w:noProof/>
          <w:kern w:val="0"/>
          <w:sz w:val="22"/>
        </w:rPr>
        <w:t>Kidney International</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82</w:t>
      </w:r>
      <w:r w:rsidRPr="00F6494F">
        <w:rPr>
          <w:rFonts w:ascii="Arial MT" w:hAnsi="Arial MT" w:cs="Times New Roman"/>
          <w:noProof/>
          <w:kern w:val="0"/>
          <w:sz w:val="22"/>
        </w:rPr>
        <w:t>(6), 627–634. https://doi.org/10.1038/ki.2012.219</w:t>
      </w:r>
    </w:p>
    <w:p w14:paraId="4FE7BA34"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Noor, A. (2023). Socio-Legal Research: Integration of Normative and Empirical Juridical Research in Legal Research. </w:t>
      </w:r>
      <w:r w:rsidRPr="00F6494F">
        <w:rPr>
          <w:rFonts w:ascii="Arial MT" w:hAnsi="Arial MT" w:cs="Times New Roman"/>
          <w:i/>
          <w:iCs/>
          <w:noProof/>
          <w:kern w:val="0"/>
          <w:sz w:val="22"/>
        </w:rPr>
        <w:t>Jurnal Ilmiah Dunia Hukum</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7</w:t>
      </w:r>
      <w:r w:rsidRPr="00F6494F">
        <w:rPr>
          <w:rFonts w:ascii="Arial MT" w:hAnsi="Arial MT" w:cs="Times New Roman"/>
          <w:noProof/>
          <w:kern w:val="0"/>
          <w:sz w:val="22"/>
        </w:rPr>
        <w:t>(2), 61–65. https://doi.org/http://dx.doi.org/10.56444/jidh.v7i2.3154</w:t>
      </w:r>
    </w:p>
    <w:p w14:paraId="07DF335B"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Olawade, D. B., Marinze, S., Qureshi, N., Weerasinghe, K., &amp; Teke, J. (2024). Transforming organ donation and transplantation: Strategies for increasing donor participation and system efficiency. </w:t>
      </w:r>
      <w:r w:rsidRPr="00F6494F">
        <w:rPr>
          <w:rFonts w:ascii="Arial MT" w:hAnsi="Arial MT" w:cs="Times New Roman"/>
          <w:i/>
          <w:iCs/>
          <w:noProof/>
          <w:kern w:val="0"/>
          <w:sz w:val="22"/>
        </w:rPr>
        <w:t>European Journal of Internal Medicine</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133</w:t>
      </w:r>
      <w:r w:rsidRPr="00F6494F">
        <w:rPr>
          <w:rFonts w:ascii="Arial MT" w:hAnsi="Arial MT" w:cs="Times New Roman"/>
          <w:noProof/>
          <w:kern w:val="0"/>
          <w:sz w:val="22"/>
        </w:rPr>
        <w:t>(August 2024), 14–24. https://doi.org/10.1016/j.ejim.2024.11.010</w:t>
      </w:r>
    </w:p>
    <w:p w14:paraId="18C1E1F5"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Raharjo, S. (2006). </w:t>
      </w:r>
      <w:r w:rsidRPr="00F6494F">
        <w:rPr>
          <w:rFonts w:ascii="Arial MT" w:hAnsi="Arial MT" w:cs="Times New Roman"/>
          <w:i/>
          <w:iCs/>
          <w:noProof/>
          <w:kern w:val="0"/>
          <w:sz w:val="22"/>
        </w:rPr>
        <w:t>Ilmu Hukum</w:t>
      </w:r>
      <w:r w:rsidRPr="00F6494F">
        <w:rPr>
          <w:rFonts w:ascii="Arial MT" w:hAnsi="Arial MT" w:cs="Times New Roman"/>
          <w:noProof/>
          <w:kern w:val="0"/>
          <w:sz w:val="22"/>
        </w:rPr>
        <w:t>. Citra Aditya Bakti.</w:t>
      </w:r>
    </w:p>
    <w:p w14:paraId="61063ACF"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Rahman, M. H. A., &amp; Karim, D. N. (2022). Organizational justice and organizational citizenship behavior: the mediating role of work engagement. </w:t>
      </w:r>
      <w:r w:rsidRPr="00F6494F">
        <w:rPr>
          <w:rFonts w:ascii="Arial MT" w:hAnsi="Arial MT" w:cs="Times New Roman"/>
          <w:i/>
          <w:iCs/>
          <w:noProof/>
          <w:kern w:val="0"/>
          <w:sz w:val="22"/>
        </w:rPr>
        <w:t>Heliyon</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8</w:t>
      </w:r>
      <w:r w:rsidRPr="00F6494F">
        <w:rPr>
          <w:rFonts w:ascii="Arial MT" w:hAnsi="Arial MT" w:cs="Times New Roman"/>
          <w:noProof/>
          <w:kern w:val="0"/>
          <w:sz w:val="22"/>
        </w:rPr>
        <w:t>(5), e09450. https://doi.org/10.1016/j.heliyon.2022.e09450</w:t>
      </w:r>
    </w:p>
    <w:p w14:paraId="470B09FD"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Rawls, J. (1999). </w:t>
      </w:r>
      <w:r w:rsidRPr="00F6494F">
        <w:rPr>
          <w:rFonts w:ascii="Arial MT" w:hAnsi="Arial MT" w:cs="Times New Roman"/>
          <w:i/>
          <w:iCs/>
          <w:noProof/>
          <w:kern w:val="0"/>
          <w:sz w:val="22"/>
        </w:rPr>
        <w:t>A Theory of Justice</w:t>
      </w:r>
      <w:r w:rsidRPr="00F6494F">
        <w:rPr>
          <w:rFonts w:ascii="Arial MT" w:hAnsi="Arial MT" w:cs="Times New Roman"/>
          <w:noProof/>
          <w:kern w:val="0"/>
          <w:sz w:val="22"/>
        </w:rPr>
        <w:t>. The Belknap Press of Harvard University Press.</w:t>
      </w:r>
    </w:p>
    <w:p w14:paraId="0D8B133E"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Rouahna, N. (2025). The controls of the Human Organs Removal and Transplantation Under the Algerian Health Code </w:t>
      </w:r>
      <w:r w:rsidRPr="00F6494F">
        <w:rPr>
          <w:rFonts w:ascii="Arial MT" w:hAnsi="Arial MT" w:cs="Times New Roman"/>
          <w:noProof/>
          <w:kern w:val="0"/>
          <w:sz w:val="22"/>
          <w:rtl/>
        </w:rPr>
        <w:t>صﺧﻠﻣ</w:t>
      </w:r>
      <w:r w:rsidRPr="00F6494F">
        <w:rPr>
          <w:rFonts w:ascii="Arial MT" w:hAnsi="Arial MT" w:cs="Times New Roman"/>
          <w:noProof/>
          <w:kern w:val="0"/>
          <w:sz w:val="22"/>
        </w:rPr>
        <w:t xml:space="preserve"> Introduction : </w:t>
      </w:r>
      <w:r w:rsidRPr="00F6494F">
        <w:rPr>
          <w:rFonts w:ascii="Arial MT" w:hAnsi="Arial MT" w:cs="Times New Roman"/>
          <w:i/>
          <w:iCs/>
          <w:noProof/>
          <w:kern w:val="0"/>
          <w:sz w:val="22"/>
        </w:rPr>
        <w:t>Revue Des Sciences Humaines</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June</w:t>
      </w:r>
      <w:r w:rsidRPr="00F6494F">
        <w:rPr>
          <w:rFonts w:ascii="Arial MT" w:hAnsi="Arial MT" w:cs="Times New Roman"/>
          <w:noProof/>
          <w:kern w:val="0"/>
          <w:sz w:val="22"/>
        </w:rPr>
        <w:t>, 55–72.</w:t>
      </w:r>
    </w:p>
    <w:p w14:paraId="2B6DED51"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Shroff, S. (2009). Legal and ethical aspects of organ donation and transplantation. </w:t>
      </w:r>
      <w:r w:rsidRPr="00F6494F">
        <w:rPr>
          <w:rFonts w:ascii="Arial MT" w:hAnsi="Arial MT" w:cs="Times New Roman"/>
          <w:i/>
          <w:iCs/>
          <w:noProof/>
          <w:kern w:val="0"/>
          <w:sz w:val="22"/>
        </w:rPr>
        <w:t>Indian Journal of Urology</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25</w:t>
      </w:r>
      <w:r w:rsidRPr="00F6494F">
        <w:rPr>
          <w:rFonts w:ascii="Arial MT" w:hAnsi="Arial MT" w:cs="Times New Roman"/>
          <w:noProof/>
          <w:kern w:val="0"/>
          <w:sz w:val="22"/>
        </w:rPr>
        <w:t>(3), 348–355. https://doi.org/10.4103/0970-1591.56203</w:t>
      </w:r>
    </w:p>
    <w:p w14:paraId="33361451"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Sutikno, E., Irianto, S., Kusumaningrum, A. E., &amp; Noor, A. (2024). Improving Legal Protection for People with Mental Illness: Addressing Confinement Practices and Promoting Human Rights Protections. </w:t>
      </w:r>
      <w:r w:rsidRPr="00F6494F">
        <w:rPr>
          <w:rFonts w:ascii="Arial MT" w:hAnsi="Arial MT" w:cs="Times New Roman"/>
          <w:i/>
          <w:iCs/>
          <w:noProof/>
          <w:kern w:val="0"/>
          <w:sz w:val="22"/>
        </w:rPr>
        <w:t>Pakistan Journal of Life and Social Sciences</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22</w:t>
      </w:r>
      <w:r w:rsidRPr="00F6494F">
        <w:rPr>
          <w:rFonts w:ascii="Arial MT" w:hAnsi="Arial MT" w:cs="Times New Roman"/>
          <w:noProof/>
          <w:kern w:val="0"/>
          <w:sz w:val="22"/>
        </w:rPr>
        <w:t>(2), 7478–7486. https://doi.org/10.57239/PJLSS-2024-22.2.00563</w:t>
      </w:r>
    </w:p>
    <w:p w14:paraId="3CB643BD"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Tober, D. M. (2007). Kidneys and controversies in the Islamic Republic of Iran: The case of organ sale. </w:t>
      </w:r>
      <w:r w:rsidRPr="00F6494F">
        <w:rPr>
          <w:rFonts w:ascii="Arial MT" w:hAnsi="Arial MT" w:cs="Times New Roman"/>
          <w:i/>
          <w:iCs/>
          <w:noProof/>
          <w:kern w:val="0"/>
          <w:sz w:val="22"/>
        </w:rPr>
        <w:t>Body and Society</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13</w:t>
      </w:r>
      <w:r w:rsidRPr="00F6494F">
        <w:rPr>
          <w:rFonts w:ascii="Arial MT" w:hAnsi="Arial MT" w:cs="Times New Roman"/>
          <w:noProof/>
          <w:kern w:val="0"/>
          <w:sz w:val="22"/>
        </w:rPr>
        <w:t>(3), 151–170. https://doi.org/10.1177/1357034X07082257</w:t>
      </w:r>
    </w:p>
    <w:p w14:paraId="37517B1C"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cs="Times New Roman"/>
          <w:noProof/>
          <w:kern w:val="0"/>
          <w:sz w:val="22"/>
        </w:rPr>
      </w:pPr>
      <w:r w:rsidRPr="00F6494F">
        <w:rPr>
          <w:rFonts w:ascii="Arial MT" w:hAnsi="Arial MT" w:cs="Times New Roman"/>
          <w:noProof/>
          <w:kern w:val="0"/>
          <w:sz w:val="22"/>
        </w:rPr>
        <w:t xml:space="preserve">Vanholder, R., Domínguez-Gil, B., Busic, M., Cortez-Pinto, H., Craig, J. C., Jager, K. J., Mahillo, B., Stel, V. S., Valentin, M. O., Zoccali, C., &amp; Oniscu, G. C. (2021). Organ donation and transplantation: a multi-stakeholder call to action. </w:t>
      </w:r>
      <w:r w:rsidRPr="00F6494F">
        <w:rPr>
          <w:rFonts w:ascii="Arial MT" w:hAnsi="Arial MT" w:cs="Times New Roman"/>
          <w:i/>
          <w:iCs/>
          <w:noProof/>
          <w:kern w:val="0"/>
          <w:sz w:val="22"/>
        </w:rPr>
        <w:t>Nature Reviews Nephrology</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17</w:t>
      </w:r>
      <w:r w:rsidRPr="00F6494F">
        <w:rPr>
          <w:rFonts w:ascii="Arial MT" w:hAnsi="Arial MT" w:cs="Times New Roman"/>
          <w:noProof/>
          <w:kern w:val="0"/>
          <w:sz w:val="22"/>
        </w:rPr>
        <w:t>(8), 554–568. https://doi.org/10.1038/s41581-021-00425-3</w:t>
      </w:r>
    </w:p>
    <w:p w14:paraId="4BECA5A8" w14:textId="77777777" w:rsidR="002575A5" w:rsidRPr="00F6494F" w:rsidRDefault="002575A5" w:rsidP="002575A5">
      <w:pPr>
        <w:widowControl w:val="0"/>
        <w:autoSpaceDE w:val="0"/>
        <w:autoSpaceDN w:val="0"/>
        <w:adjustRightInd w:val="0"/>
        <w:spacing w:line="240" w:lineRule="auto"/>
        <w:ind w:left="480" w:hanging="480"/>
        <w:jc w:val="both"/>
        <w:rPr>
          <w:rFonts w:ascii="Arial MT" w:hAnsi="Arial MT"/>
          <w:noProof/>
          <w:sz w:val="22"/>
        </w:rPr>
      </w:pPr>
      <w:r w:rsidRPr="00F6494F">
        <w:rPr>
          <w:rFonts w:ascii="Arial MT" w:hAnsi="Arial MT" w:cs="Times New Roman"/>
          <w:noProof/>
          <w:kern w:val="0"/>
          <w:sz w:val="22"/>
        </w:rPr>
        <w:t xml:space="preserve">Zúñiga-Fajuri, A. (2015). Increasing organ donation by presumed consent and allocation priority: Chile. </w:t>
      </w:r>
      <w:r w:rsidRPr="00F6494F">
        <w:rPr>
          <w:rFonts w:ascii="Arial MT" w:hAnsi="Arial MT" w:cs="Times New Roman"/>
          <w:i/>
          <w:iCs/>
          <w:noProof/>
          <w:kern w:val="0"/>
          <w:sz w:val="22"/>
        </w:rPr>
        <w:t>Bulletin of the World Health Organization</w:t>
      </w:r>
      <w:r w:rsidRPr="00F6494F">
        <w:rPr>
          <w:rFonts w:ascii="Arial MT" w:hAnsi="Arial MT" w:cs="Times New Roman"/>
          <w:noProof/>
          <w:kern w:val="0"/>
          <w:sz w:val="22"/>
        </w:rPr>
        <w:t xml:space="preserve">, </w:t>
      </w:r>
      <w:r w:rsidRPr="00F6494F">
        <w:rPr>
          <w:rFonts w:ascii="Arial MT" w:hAnsi="Arial MT" w:cs="Times New Roman"/>
          <w:i/>
          <w:iCs/>
          <w:noProof/>
          <w:kern w:val="0"/>
          <w:sz w:val="22"/>
        </w:rPr>
        <w:t>93</w:t>
      </w:r>
      <w:r w:rsidRPr="00F6494F">
        <w:rPr>
          <w:rFonts w:ascii="Arial MT" w:hAnsi="Arial MT" w:cs="Times New Roman"/>
          <w:noProof/>
          <w:kern w:val="0"/>
          <w:sz w:val="22"/>
        </w:rPr>
        <w:t>(3), 199–202. https://doi.org/10.2471/blt.14.139535</w:t>
      </w:r>
    </w:p>
    <w:p w14:paraId="59A6C97B" w14:textId="370746AF" w:rsidR="00A467E9" w:rsidRPr="00F6494F" w:rsidRDefault="00A467E9" w:rsidP="002575A5">
      <w:pPr>
        <w:jc w:val="both"/>
        <w:rPr>
          <w:rFonts w:ascii="Arial MT" w:eastAsia="Arial MT" w:hAnsi="Arial MT" w:cs="Arial MT"/>
          <w:spacing w:val="-2"/>
          <w:kern w:val="0"/>
          <w:sz w:val="22"/>
          <w:szCs w:val="22"/>
          <w14:ligatures w14:val="none"/>
        </w:rPr>
      </w:pPr>
      <w:r w:rsidRPr="00F6494F">
        <w:rPr>
          <w:rFonts w:ascii="Arial MT" w:eastAsia="Arial MT" w:hAnsi="Arial MT" w:cs="Arial MT"/>
          <w:spacing w:val="-2"/>
          <w:kern w:val="0"/>
          <w:sz w:val="22"/>
          <w:szCs w:val="22"/>
          <w14:ligatures w14:val="none"/>
        </w:rPr>
        <w:fldChar w:fldCharType="end"/>
      </w:r>
    </w:p>
    <w:sectPr w:rsidR="00A467E9" w:rsidRPr="00F6494F" w:rsidSect="009B5810">
      <w:headerReference w:type="default" r:id="rId8"/>
      <w:footerReference w:type="default" r:id="rId9"/>
      <w:pgSz w:w="12240" w:h="15840"/>
      <w:pgMar w:top="1440" w:right="1440" w:bottom="1440" w:left="1440"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454F5" w14:textId="77777777" w:rsidR="00EF33F1" w:rsidRDefault="00EF33F1" w:rsidP="009B5810">
      <w:pPr>
        <w:spacing w:after="0" w:line="240" w:lineRule="auto"/>
      </w:pPr>
      <w:r>
        <w:separator/>
      </w:r>
    </w:p>
  </w:endnote>
  <w:endnote w:type="continuationSeparator" w:id="0">
    <w:p w14:paraId="499FF9E3" w14:textId="77777777" w:rsidR="00EF33F1" w:rsidRDefault="00EF33F1" w:rsidP="009B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889580"/>
      <w:docPartObj>
        <w:docPartGallery w:val="Page Numbers (Bottom of Page)"/>
        <w:docPartUnique/>
      </w:docPartObj>
    </w:sdtPr>
    <w:sdtEndPr>
      <w:rPr>
        <w:rFonts w:ascii="Arial MT" w:hAnsi="Arial MT"/>
        <w:noProof/>
      </w:rPr>
    </w:sdtEndPr>
    <w:sdtContent>
      <w:p w14:paraId="42EF6167" w14:textId="42753E19" w:rsidR="009B5810" w:rsidRPr="009B5810" w:rsidRDefault="009B5810">
        <w:pPr>
          <w:pStyle w:val="Footer"/>
          <w:jc w:val="center"/>
          <w:rPr>
            <w:rFonts w:ascii="Arial MT" w:hAnsi="Arial MT"/>
          </w:rPr>
        </w:pPr>
        <w:r w:rsidRPr="009B5810">
          <w:rPr>
            <w:rFonts w:ascii="Arial MT" w:hAnsi="Arial MT"/>
          </w:rPr>
          <w:fldChar w:fldCharType="begin"/>
        </w:r>
        <w:r w:rsidRPr="009B5810">
          <w:rPr>
            <w:rFonts w:ascii="Arial MT" w:hAnsi="Arial MT"/>
          </w:rPr>
          <w:instrText xml:space="preserve"> PAGE   \* MERGEFORMAT </w:instrText>
        </w:r>
        <w:r w:rsidRPr="009B5810">
          <w:rPr>
            <w:rFonts w:ascii="Arial MT" w:hAnsi="Arial MT"/>
          </w:rPr>
          <w:fldChar w:fldCharType="separate"/>
        </w:r>
        <w:r w:rsidRPr="009B5810">
          <w:rPr>
            <w:rFonts w:ascii="Arial MT" w:hAnsi="Arial MT"/>
            <w:noProof/>
          </w:rPr>
          <w:t>2</w:t>
        </w:r>
        <w:r w:rsidRPr="009B5810">
          <w:rPr>
            <w:rFonts w:ascii="Arial MT" w:hAnsi="Arial MT"/>
            <w:noProof/>
          </w:rPr>
          <w:fldChar w:fldCharType="end"/>
        </w:r>
      </w:p>
    </w:sdtContent>
  </w:sdt>
  <w:p w14:paraId="03FB6B9A" w14:textId="77777777" w:rsidR="009B5810" w:rsidRDefault="009B5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A739" w14:textId="77777777" w:rsidR="00EF33F1" w:rsidRDefault="00EF33F1" w:rsidP="009B5810">
      <w:pPr>
        <w:spacing w:after="0" w:line="240" w:lineRule="auto"/>
      </w:pPr>
      <w:r>
        <w:separator/>
      </w:r>
    </w:p>
  </w:footnote>
  <w:footnote w:type="continuationSeparator" w:id="0">
    <w:p w14:paraId="5DC2C145" w14:textId="77777777" w:rsidR="00EF33F1" w:rsidRDefault="00EF33F1" w:rsidP="009B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C97F" w14:textId="02EEED41" w:rsidR="009B5810" w:rsidRDefault="009B5810">
    <w:pPr>
      <w:pStyle w:val="Header"/>
      <w:jc w:val="right"/>
    </w:pPr>
  </w:p>
  <w:p w14:paraId="30543D6F" w14:textId="77777777" w:rsidR="009B5810" w:rsidRDefault="009B5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042A6"/>
    <w:multiLevelType w:val="multilevel"/>
    <w:tmpl w:val="4DDED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6210E3"/>
    <w:multiLevelType w:val="hybridMultilevel"/>
    <w:tmpl w:val="15AA9F1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D1B20B7"/>
    <w:multiLevelType w:val="multilevel"/>
    <w:tmpl w:val="627C912A"/>
    <w:lvl w:ilvl="0">
      <w:start w:val="1"/>
      <w:numFmt w:val="decimal"/>
      <w:lvlText w:val="%1."/>
      <w:lvlJc w:val="left"/>
      <w:pPr>
        <w:ind w:left="371" w:hanging="228"/>
        <w:jc w:val="left"/>
      </w:pPr>
      <w:rPr>
        <w:rFonts w:ascii="Arial MT" w:eastAsia="Arial MT" w:hAnsi="Arial MT" w:cs="Arial MT" w:hint="default"/>
        <w:b w:val="0"/>
        <w:bCs w:val="0"/>
        <w:i w:val="0"/>
        <w:iCs w:val="0"/>
        <w:color w:val="auto"/>
        <w:spacing w:val="0"/>
        <w:w w:val="88"/>
        <w:sz w:val="22"/>
        <w:szCs w:val="22"/>
        <w:lang w:val="en-US" w:eastAsia="en-US" w:bidi="ar-SA"/>
      </w:rPr>
    </w:lvl>
    <w:lvl w:ilvl="1">
      <w:start w:val="1"/>
      <w:numFmt w:val="decimal"/>
      <w:lvlText w:val="%1.%2."/>
      <w:lvlJc w:val="left"/>
      <w:pPr>
        <w:ind w:left="537" w:hanging="394"/>
        <w:jc w:val="left"/>
      </w:pPr>
      <w:rPr>
        <w:rFonts w:ascii="Arial MT" w:eastAsia="Arial MT" w:hAnsi="Arial MT" w:cs="Arial MT" w:hint="default"/>
        <w:b w:val="0"/>
        <w:bCs w:val="0"/>
        <w:i w:val="0"/>
        <w:iCs w:val="0"/>
        <w:color w:val="1D6B70"/>
        <w:spacing w:val="-1"/>
        <w:w w:val="88"/>
        <w:sz w:val="22"/>
        <w:szCs w:val="22"/>
        <w:lang w:val="en-US" w:eastAsia="en-US" w:bidi="ar-SA"/>
      </w:rPr>
    </w:lvl>
    <w:lvl w:ilvl="2">
      <w:numFmt w:val="bullet"/>
      <w:lvlText w:val="•"/>
      <w:lvlJc w:val="left"/>
      <w:pPr>
        <w:ind w:left="1644" w:hanging="394"/>
      </w:pPr>
      <w:rPr>
        <w:rFonts w:hint="default"/>
        <w:lang w:val="en-US" w:eastAsia="en-US" w:bidi="ar-SA"/>
      </w:rPr>
    </w:lvl>
    <w:lvl w:ilvl="3">
      <w:numFmt w:val="bullet"/>
      <w:lvlText w:val="•"/>
      <w:lvlJc w:val="left"/>
      <w:pPr>
        <w:ind w:left="2749" w:hanging="394"/>
      </w:pPr>
      <w:rPr>
        <w:rFonts w:hint="default"/>
        <w:lang w:val="en-US" w:eastAsia="en-US" w:bidi="ar-SA"/>
      </w:rPr>
    </w:lvl>
    <w:lvl w:ilvl="4">
      <w:numFmt w:val="bullet"/>
      <w:lvlText w:val="•"/>
      <w:lvlJc w:val="left"/>
      <w:pPr>
        <w:ind w:left="3854" w:hanging="394"/>
      </w:pPr>
      <w:rPr>
        <w:rFonts w:hint="default"/>
        <w:lang w:val="en-US" w:eastAsia="en-US" w:bidi="ar-SA"/>
      </w:rPr>
    </w:lvl>
    <w:lvl w:ilvl="5">
      <w:numFmt w:val="bullet"/>
      <w:lvlText w:val="•"/>
      <w:lvlJc w:val="left"/>
      <w:pPr>
        <w:ind w:left="4959" w:hanging="394"/>
      </w:pPr>
      <w:rPr>
        <w:rFonts w:hint="default"/>
        <w:lang w:val="en-US" w:eastAsia="en-US" w:bidi="ar-SA"/>
      </w:rPr>
    </w:lvl>
    <w:lvl w:ilvl="6">
      <w:numFmt w:val="bullet"/>
      <w:lvlText w:val="•"/>
      <w:lvlJc w:val="left"/>
      <w:pPr>
        <w:ind w:left="6064" w:hanging="394"/>
      </w:pPr>
      <w:rPr>
        <w:rFonts w:hint="default"/>
        <w:lang w:val="en-US" w:eastAsia="en-US" w:bidi="ar-SA"/>
      </w:rPr>
    </w:lvl>
    <w:lvl w:ilvl="7">
      <w:numFmt w:val="bullet"/>
      <w:lvlText w:val="•"/>
      <w:lvlJc w:val="left"/>
      <w:pPr>
        <w:ind w:left="7168" w:hanging="394"/>
      </w:pPr>
      <w:rPr>
        <w:rFonts w:hint="default"/>
        <w:lang w:val="en-US" w:eastAsia="en-US" w:bidi="ar-SA"/>
      </w:rPr>
    </w:lvl>
    <w:lvl w:ilvl="8">
      <w:numFmt w:val="bullet"/>
      <w:lvlText w:val="•"/>
      <w:lvlJc w:val="left"/>
      <w:pPr>
        <w:ind w:left="8273" w:hanging="394"/>
      </w:pPr>
      <w:rPr>
        <w:rFonts w:hint="default"/>
        <w:lang w:val="en-US" w:eastAsia="en-US" w:bidi="ar-SA"/>
      </w:rPr>
    </w:lvl>
  </w:abstractNum>
  <w:abstractNum w:abstractNumId="3" w15:restartNumberingAfterBreak="0">
    <w:nsid w:val="62F80473"/>
    <w:multiLevelType w:val="hybridMultilevel"/>
    <w:tmpl w:val="CBBA54F2"/>
    <w:lvl w:ilvl="0" w:tplc="E842C7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738434363">
    <w:abstractNumId w:val="2"/>
  </w:num>
  <w:num w:numId="2" w16cid:durableId="79067099">
    <w:abstractNumId w:val="0"/>
  </w:num>
  <w:num w:numId="3" w16cid:durableId="136800671">
    <w:abstractNumId w:val="1"/>
  </w:num>
  <w:num w:numId="4" w16cid:durableId="155019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33"/>
    <w:rsid w:val="00163D84"/>
    <w:rsid w:val="001766D7"/>
    <w:rsid w:val="00227EF8"/>
    <w:rsid w:val="002575A5"/>
    <w:rsid w:val="00263133"/>
    <w:rsid w:val="002D67BE"/>
    <w:rsid w:val="003154B7"/>
    <w:rsid w:val="00383847"/>
    <w:rsid w:val="00387E11"/>
    <w:rsid w:val="0039546A"/>
    <w:rsid w:val="003D794B"/>
    <w:rsid w:val="003E2A1A"/>
    <w:rsid w:val="00410AAB"/>
    <w:rsid w:val="00450AEE"/>
    <w:rsid w:val="00485618"/>
    <w:rsid w:val="00576F46"/>
    <w:rsid w:val="005A4021"/>
    <w:rsid w:val="0065572B"/>
    <w:rsid w:val="00671F92"/>
    <w:rsid w:val="00697AA7"/>
    <w:rsid w:val="006B2866"/>
    <w:rsid w:val="006B4219"/>
    <w:rsid w:val="00723D79"/>
    <w:rsid w:val="007A0175"/>
    <w:rsid w:val="00881500"/>
    <w:rsid w:val="008A0659"/>
    <w:rsid w:val="009174B1"/>
    <w:rsid w:val="00955799"/>
    <w:rsid w:val="00992EC6"/>
    <w:rsid w:val="009B5810"/>
    <w:rsid w:val="009F198A"/>
    <w:rsid w:val="009F2440"/>
    <w:rsid w:val="00A467E9"/>
    <w:rsid w:val="00AB0F2E"/>
    <w:rsid w:val="00B429E2"/>
    <w:rsid w:val="00B4322D"/>
    <w:rsid w:val="00B567D7"/>
    <w:rsid w:val="00B673FF"/>
    <w:rsid w:val="00B70744"/>
    <w:rsid w:val="00B718D3"/>
    <w:rsid w:val="00B9751D"/>
    <w:rsid w:val="00C308B8"/>
    <w:rsid w:val="00C92076"/>
    <w:rsid w:val="00D4790B"/>
    <w:rsid w:val="00D503CD"/>
    <w:rsid w:val="00DC12E6"/>
    <w:rsid w:val="00DD10EE"/>
    <w:rsid w:val="00E35E36"/>
    <w:rsid w:val="00E374FB"/>
    <w:rsid w:val="00E52A28"/>
    <w:rsid w:val="00E74028"/>
    <w:rsid w:val="00ED0EDB"/>
    <w:rsid w:val="00EF33F1"/>
    <w:rsid w:val="00F03C1E"/>
    <w:rsid w:val="00F6494F"/>
    <w:rsid w:val="00F76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32D0"/>
  <w15:chartTrackingRefBased/>
  <w15:docId w15:val="{9056590B-8C84-4934-A915-7D70F47A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133"/>
    <w:rPr>
      <w:rFonts w:eastAsiaTheme="majorEastAsia" w:cstheme="majorBidi"/>
      <w:color w:val="272727" w:themeColor="text1" w:themeTint="D8"/>
    </w:rPr>
  </w:style>
  <w:style w:type="paragraph" w:styleId="Title">
    <w:name w:val="Title"/>
    <w:basedOn w:val="Normal"/>
    <w:next w:val="Normal"/>
    <w:link w:val="TitleChar"/>
    <w:uiPriority w:val="10"/>
    <w:qFormat/>
    <w:rsid w:val="00263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133"/>
    <w:pPr>
      <w:spacing w:before="160"/>
      <w:jc w:val="center"/>
    </w:pPr>
    <w:rPr>
      <w:i/>
      <w:iCs/>
      <w:color w:val="404040" w:themeColor="text1" w:themeTint="BF"/>
    </w:rPr>
  </w:style>
  <w:style w:type="character" w:customStyle="1" w:styleId="QuoteChar">
    <w:name w:val="Quote Char"/>
    <w:basedOn w:val="DefaultParagraphFont"/>
    <w:link w:val="Quote"/>
    <w:uiPriority w:val="29"/>
    <w:rsid w:val="00263133"/>
    <w:rPr>
      <w:i/>
      <w:iCs/>
      <w:color w:val="404040" w:themeColor="text1" w:themeTint="BF"/>
    </w:rPr>
  </w:style>
  <w:style w:type="paragraph" w:styleId="ListParagraph">
    <w:name w:val="List Paragraph"/>
    <w:basedOn w:val="Normal"/>
    <w:uiPriority w:val="34"/>
    <w:qFormat/>
    <w:rsid w:val="00263133"/>
    <w:pPr>
      <w:ind w:left="720"/>
      <w:contextualSpacing/>
    </w:pPr>
  </w:style>
  <w:style w:type="character" w:styleId="IntenseEmphasis">
    <w:name w:val="Intense Emphasis"/>
    <w:basedOn w:val="DefaultParagraphFont"/>
    <w:uiPriority w:val="21"/>
    <w:qFormat/>
    <w:rsid w:val="00263133"/>
    <w:rPr>
      <w:i/>
      <w:iCs/>
      <w:color w:val="0F4761" w:themeColor="accent1" w:themeShade="BF"/>
    </w:rPr>
  </w:style>
  <w:style w:type="paragraph" w:styleId="IntenseQuote">
    <w:name w:val="Intense Quote"/>
    <w:basedOn w:val="Normal"/>
    <w:next w:val="Normal"/>
    <w:link w:val="IntenseQuoteChar"/>
    <w:uiPriority w:val="30"/>
    <w:qFormat/>
    <w:rsid w:val="00263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133"/>
    <w:rPr>
      <w:i/>
      <w:iCs/>
      <w:color w:val="0F4761" w:themeColor="accent1" w:themeShade="BF"/>
    </w:rPr>
  </w:style>
  <w:style w:type="character" w:styleId="IntenseReference">
    <w:name w:val="Intense Reference"/>
    <w:basedOn w:val="DefaultParagraphFont"/>
    <w:uiPriority w:val="32"/>
    <w:qFormat/>
    <w:rsid w:val="00263133"/>
    <w:rPr>
      <w:b/>
      <w:bCs/>
      <w:smallCaps/>
      <w:color w:val="0F4761" w:themeColor="accent1" w:themeShade="BF"/>
      <w:spacing w:val="5"/>
    </w:rPr>
  </w:style>
  <w:style w:type="paragraph" w:styleId="Header">
    <w:name w:val="header"/>
    <w:basedOn w:val="Normal"/>
    <w:link w:val="HeaderChar"/>
    <w:uiPriority w:val="99"/>
    <w:unhideWhenUsed/>
    <w:rsid w:val="009B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810"/>
  </w:style>
  <w:style w:type="paragraph" w:styleId="Footer">
    <w:name w:val="footer"/>
    <w:basedOn w:val="Normal"/>
    <w:link w:val="FooterChar"/>
    <w:uiPriority w:val="99"/>
    <w:unhideWhenUsed/>
    <w:rsid w:val="009B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5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76B0-2970-4194-A257-BD4D0E17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14024</Words>
  <Characters>79943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Wakil Dekan 1-FSH</dc:creator>
  <cp:keywords/>
  <dc:description/>
  <cp:lastModifiedBy>Wakil Dekan 1-FSH</cp:lastModifiedBy>
  <cp:revision>3</cp:revision>
  <dcterms:created xsi:type="dcterms:W3CDTF">2025-05-13T14:53:00Z</dcterms:created>
  <dcterms:modified xsi:type="dcterms:W3CDTF">2025-05-14T13:07:00Z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48653239-9dc6-3d47-8516-877bdbcf27cb</vt:lpwstr>
  </property>
  <property fmtid="{D5CDD505-2E9C-101B-9397-08002B2CF9AE}" pid="24" name="Mendeley Citation Style_1">
    <vt:lpwstr>http://www.zotero.org/styles/apa</vt:lpwstr>
  </property>
</Properties>
</file>