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0E6F6" w14:textId="5F14F6BF" w:rsidR="004362E2" w:rsidRPr="00515518" w:rsidRDefault="00CD44F0" w:rsidP="004362E2">
      <w:pPr>
        <w:jc w:val="center"/>
        <w:rPr>
          <w:rFonts w:asciiTheme="majorBidi" w:hAnsiTheme="majorBidi" w:cstheme="majorBidi"/>
          <w:b/>
          <w:bCs/>
          <w:sz w:val="24"/>
          <w:szCs w:val="24"/>
        </w:rPr>
      </w:pPr>
      <w:r>
        <w:rPr>
          <w:rFonts w:asciiTheme="majorBidi" w:hAnsiTheme="majorBidi" w:cstheme="majorBidi"/>
          <w:b/>
          <w:bCs/>
          <w:sz w:val="28"/>
          <w:szCs w:val="28"/>
        </w:rPr>
        <w:t xml:space="preserve">The Impact </w:t>
      </w:r>
      <w:r w:rsidRPr="00B06A7D">
        <w:rPr>
          <w:rFonts w:asciiTheme="majorBidi" w:hAnsiTheme="majorBidi" w:cstheme="majorBidi"/>
          <w:b/>
          <w:bCs/>
          <w:i/>
          <w:iCs/>
          <w:sz w:val="28"/>
          <w:szCs w:val="28"/>
        </w:rPr>
        <w:t xml:space="preserve">of Collaborative Strategic Reading </w:t>
      </w:r>
      <w:r>
        <w:rPr>
          <w:rFonts w:asciiTheme="majorBidi" w:hAnsiTheme="majorBidi" w:cstheme="majorBidi"/>
          <w:b/>
          <w:bCs/>
          <w:sz w:val="28"/>
          <w:szCs w:val="28"/>
        </w:rPr>
        <w:br/>
        <w:t>on Reading Comprehension and Reading Anxiety of Arabic Language Education Students of Semarang State University</w:t>
      </w:r>
    </w:p>
    <w:p w14:paraId="46465AB9" w14:textId="7DC5C0D8" w:rsidR="004362E2" w:rsidRDefault="004362E2" w:rsidP="00073355">
      <w:pPr>
        <w:spacing w:after="120"/>
        <w:jc w:val="center"/>
        <w:rPr>
          <w:rFonts w:asciiTheme="majorBidi" w:hAnsiTheme="majorBidi"/>
          <w:sz w:val="24"/>
          <w:szCs w:val="24"/>
        </w:rPr>
      </w:pPr>
      <w:r w:rsidRPr="00CC4C94">
        <w:rPr>
          <w:rFonts w:asciiTheme="majorBidi" w:hAnsiTheme="majorBidi"/>
          <w:sz w:val="24"/>
          <w:szCs w:val="24"/>
        </w:rPr>
        <w:t>Mohamad Yusuf Ahmad Hasyim</w:t>
      </w:r>
      <w:r w:rsidR="001A4B50" w:rsidRPr="001A4B50">
        <w:rPr>
          <w:rFonts w:asciiTheme="majorBidi" w:hAnsiTheme="majorBidi"/>
          <w:sz w:val="24"/>
          <w:szCs w:val="24"/>
          <w:vertAlign w:val="superscript"/>
        </w:rPr>
        <w:t>a</w:t>
      </w:r>
      <w:r w:rsidRPr="00CC4C94">
        <w:rPr>
          <w:rFonts w:asciiTheme="majorBidi" w:hAnsiTheme="majorBidi"/>
          <w:sz w:val="24"/>
          <w:szCs w:val="24"/>
        </w:rPr>
        <w:t xml:space="preserve">, </w:t>
      </w:r>
      <w:r w:rsidR="00F96072">
        <w:rPr>
          <w:rFonts w:asciiTheme="majorBidi" w:hAnsiTheme="majorBidi"/>
          <w:sz w:val="24"/>
          <w:szCs w:val="24"/>
          <w:lang w:val="en-US"/>
        </w:rPr>
        <w:t xml:space="preserve">Muhammad </w:t>
      </w:r>
      <w:proofErr w:type="spellStart"/>
      <w:r w:rsidR="00F96072">
        <w:rPr>
          <w:rFonts w:asciiTheme="majorBidi" w:hAnsiTheme="majorBidi"/>
          <w:sz w:val="24"/>
          <w:szCs w:val="24"/>
          <w:lang w:val="en-US"/>
        </w:rPr>
        <w:t>azam</w:t>
      </w:r>
      <w:r w:rsidR="00F96072" w:rsidRPr="00F96072">
        <w:rPr>
          <w:rFonts w:asciiTheme="majorBidi" w:hAnsiTheme="majorBidi"/>
          <w:sz w:val="24"/>
          <w:szCs w:val="24"/>
          <w:vertAlign w:val="superscript"/>
          <w:lang w:val="en-US"/>
        </w:rPr>
        <w:t>B</w:t>
      </w:r>
      <w:proofErr w:type="spellEnd"/>
      <w:r w:rsidR="00F96072">
        <w:rPr>
          <w:rFonts w:asciiTheme="majorBidi" w:hAnsiTheme="majorBidi"/>
          <w:sz w:val="24"/>
          <w:szCs w:val="24"/>
          <w:vertAlign w:val="superscript"/>
          <w:lang w:val="en-US"/>
        </w:rPr>
        <w:t xml:space="preserve"> </w:t>
      </w:r>
      <w:r w:rsidR="001A4B50" w:rsidRPr="00CC4C94">
        <w:rPr>
          <w:rFonts w:asciiTheme="majorBidi" w:hAnsiTheme="majorBidi"/>
          <w:sz w:val="24"/>
          <w:szCs w:val="24"/>
        </w:rPr>
        <w:t>Mudrofin</w:t>
      </w:r>
      <w:r w:rsidR="001A4B50" w:rsidRPr="001A4B50">
        <w:rPr>
          <w:rFonts w:asciiTheme="majorBidi" w:hAnsiTheme="majorBidi"/>
          <w:sz w:val="24"/>
          <w:szCs w:val="24"/>
          <w:vertAlign w:val="superscript"/>
        </w:rPr>
        <w:t>b</w:t>
      </w:r>
      <w:r w:rsidR="001A4B50">
        <w:rPr>
          <w:rFonts w:asciiTheme="majorBidi" w:hAnsiTheme="majorBidi"/>
          <w:sz w:val="24"/>
          <w:szCs w:val="24"/>
        </w:rPr>
        <w:t>,</w:t>
      </w:r>
      <w:r w:rsidR="001A4B50" w:rsidRPr="00CC4C94">
        <w:rPr>
          <w:rFonts w:asciiTheme="majorBidi" w:hAnsiTheme="majorBidi"/>
          <w:sz w:val="24"/>
          <w:szCs w:val="24"/>
        </w:rPr>
        <w:t xml:space="preserve"> </w:t>
      </w:r>
      <w:r w:rsidRPr="00CC4C94">
        <w:rPr>
          <w:rFonts w:asciiTheme="majorBidi" w:hAnsiTheme="majorBidi"/>
          <w:sz w:val="24"/>
          <w:szCs w:val="24"/>
        </w:rPr>
        <w:t>Ahmad Miftahuddin</w:t>
      </w:r>
      <w:r w:rsidR="001A4B50">
        <w:rPr>
          <w:rFonts w:asciiTheme="majorBidi" w:hAnsiTheme="majorBidi"/>
          <w:sz w:val="24"/>
          <w:szCs w:val="24"/>
          <w:vertAlign w:val="superscript"/>
        </w:rPr>
        <w:t>c</w:t>
      </w:r>
    </w:p>
    <w:p w14:paraId="655443AC" w14:textId="4588BB3A" w:rsidR="00073355" w:rsidRDefault="001A4B50" w:rsidP="00073355">
      <w:pPr>
        <w:spacing w:after="120"/>
        <w:jc w:val="center"/>
        <w:rPr>
          <w:rFonts w:asciiTheme="majorBidi" w:hAnsiTheme="majorBidi"/>
          <w:i/>
          <w:iCs/>
          <w:sz w:val="24"/>
          <w:szCs w:val="24"/>
        </w:rPr>
      </w:pPr>
      <w:r>
        <w:rPr>
          <w:rFonts w:asciiTheme="majorBidi" w:hAnsiTheme="majorBidi"/>
          <w:i/>
          <w:iCs/>
          <w:sz w:val="24"/>
          <w:szCs w:val="24"/>
          <w:vertAlign w:val="superscript"/>
        </w:rPr>
        <w:t>ac</w:t>
      </w:r>
      <w:r>
        <w:rPr>
          <w:rFonts w:asciiTheme="majorBidi" w:hAnsiTheme="majorBidi"/>
          <w:i/>
          <w:iCs/>
          <w:sz w:val="24"/>
          <w:szCs w:val="24"/>
        </w:rPr>
        <w:t>Universitas Negeri S</w:t>
      </w:r>
      <w:r w:rsidR="00073355" w:rsidRPr="00073355">
        <w:rPr>
          <w:rFonts w:asciiTheme="majorBidi" w:hAnsiTheme="majorBidi"/>
          <w:i/>
          <w:iCs/>
          <w:sz w:val="24"/>
          <w:szCs w:val="24"/>
        </w:rPr>
        <w:t>emaran</w:t>
      </w:r>
      <w:r>
        <w:rPr>
          <w:rFonts w:asciiTheme="majorBidi" w:hAnsiTheme="majorBidi"/>
          <w:i/>
          <w:iCs/>
          <w:sz w:val="24"/>
          <w:szCs w:val="24"/>
        </w:rPr>
        <w:t xml:space="preserve">g, </w:t>
      </w:r>
      <w:r>
        <w:rPr>
          <w:rFonts w:asciiTheme="majorBidi" w:hAnsiTheme="majorBidi"/>
          <w:i/>
          <w:iCs/>
          <w:sz w:val="24"/>
          <w:szCs w:val="24"/>
          <w:vertAlign w:val="superscript"/>
        </w:rPr>
        <w:t>b</w:t>
      </w:r>
      <w:r>
        <w:rPr>
          <w:rFonts w:asciiTheme="majorBidi" w:hAnsiTheme="majorBidi"/>
          <w:i/>
          <w:iCs/>
          <w:sz w:val="24"/>
          <w:szCs w:val="24"/>
        </w:rPr>
        <w:t>UIN Walisongo Semarang</w:t>
      </w:r>
    </w:p>
    <w:p w14:paraId="2684165C" w14:textId="1C7BBA5B" w:rsidR="00F96072" w:rsidRPr="00F96072" w:rsidRDefault="00F96072" w:rsidP="00F96072">
      <w:pPr>
        <w:jc w:val="center"/>
        <w:rPr>
          <w:bCs/>
          <w:color w:val="0563C1" w:themeColor="hyperlink"/>
          <w:sz w:val="24"/>
          <w:szCs w:val="24"/>
          <w:u w:val="single"/>
        </w:rPr>
      </w:pPr>
      <w:r w:rsidRPr="00F96072">
        <w:rPr>
          <w:rFonts w:asciiTheme="majorBidi" w:hAnsiTheme="majorBidi"/>
          <w:i/>
          <w:iCs/>
          <w:sz w:val="24"/>
          <w:szCs w:val="24"/>
          <w:vertAlign w:val="superscript"/>
          <w:lang w:val="en-US"/>
        </w:rPr>
        <w:t>B</w:t>
      </w:r>
      <w:r w:rsidRPr="00F96072">
        <w:rPr>
          <w:sz w:val="24"/>
          <w:szCs w:val="24"/>
        </w:rPr>
        <w:t xml:space="preserve"> </w:t>
      </w:r>
      <w:r w:rsidRPr="00C54F51">
        <w:rPr>
          <w:sz w:val="24"/>
          <w:szCs w:val="24"/>
        </w:rPr>
        <w:t>Al-Iraqia University</w:t>
      </w:r>
      <w:proofErr w:type="gramStart"/>
      <w:r w:rsidRPr="00C54F51">
        <w:rPr>
          <w:sz w:val="24"/>
          <w:szCs w:val="24"/>
        </w:rPr>
        <w:t>,Baghdad</w:t>
      </w:r>
      <w:proofErr w:type="gramEnd"/>
      <w:r w:rsidRPr="00C54F51">
        <w:rPr>
          <w:sz w:val="24"/>
          <w:szCs w:val="24"/>
        </w:rPr>
        <w:t>, Iraq</w:t>
      </w:r>
    </w:p>
    <w:p w14:paraId="48668A9A" w14:textId="130880BC" w:rsidR="00073355" w:rsidRDefault="001A4B50" w:rsidP="00073355">
      <w:pPr>
        <w:spacing w:after="120"/>
        <w:jc w:val="center"/>
        <w:rPr>
          <w:rFonts w:asciiTheme="majorBidi" w:hAnsiTheme="majorBidi"/>
          <w:sz w:val="24"/>
          <w:szCs w:val="24"/>
        </w:rPr>
      </w:pPr>
      <w:r w:rsidRPr="001A4B50">
        <w:rPr>
          <w:rFonts w:asciiTheme="majorBidi" w:hAnsiTheme="majorBidi"/>
          <w:sz w:val="24"/>
          <w:szCs w:val="24"/>
          <w:vertAlign w:val="superscript"/>
        </w:rPr>
        <w:t>a</w:t>
      </w:r>
      <w:hyperlink r:id="rId8" w:history="1">
        <w:r w:rsidRPr="000A6A69">
          <w:rPr>
            <w:rStyle w:val="Hyperlink"/>
            <w:rFonts w:asciiTheme="majorBidi" w:hAnsiTheme="majorBidi"/>
            <w:sz w:val="24"/>
            <w:szCs w:val="24"/>
          </w:rPr>
          <w:t>yusufarab@mail.unnes.ac.id</w:t>
        </w:r>
      </w:hyperlink>
      <w:r>
        <w:rPr>
          <w:rFonts w:asciiTheme="majorBidi" w:hAnsiTheme="majorBidi"/>
          <w:sz w:val="24"/>
          <w:szCs w:val="24"/>
        </w:rPr>
        <w:t xml:space="preserve">, </w:t>
      </w:r>
      <w:r w:rsidRPr="001A4B50">
        <w:rPr>
          <w:rFonts w:asciiTheme="majorBidi" w:hAnsiTheme="majorBidi"/>
          <w:sz w:val="24"/>
          <w:szCs w:val="24"/>
          <w:vertAlign w:val="superscript"/>
        </w:rPr>
        <w:t>b</w:t>
      </w:r>
      <w:hyperlink r:id="rId9" w:history="1">
        <w:r w:rsidRPr="000A6A69">
          <w:rPr>
            <w:rStyle w:val="Hyperlink"/>
            <w:rFonts w:asciiTheme="majorBidi" w:hAnsiTheme="majorBidi"/>
            <w:sz w:val="24"/>
            <w:szCs w:val="24"/>
          </w:rPr>
          <w:t>mudrofinnn@gmail.com</w:t>
        </w:r>
      </w:hyperlink>
      <w:r>
        <w:rPr>
          <w:rFonts w:asciiTheme="majorBidi" w:hAnsiTheme="majorBidi"/>
          <w:sz w:val="24"/>
          <w:szCs w:val="24"/>
        </w:rPr>
        <w:t xml:space="preserve">, </w:t>
      </w:r>
      <w:r w:rsidRPr="001A4B50">
        <w:rPr>
          <w:rFonts w:asciiTheme="majorBidi" w:hAnsiTheme="majorBidi"/>
          <w:sz w:val="24"/>
          <w:szCs w:val="24"/>
          <w:vertAlign w:val="superscript"/>
        </w:rPr>
        <w:t>c</w:t>
      </w:r>
      <w:hyperlink r:id="rId10" w:history="1">
        <w:r w:rsidRPr="00394B75">
          <w:rPr>
            <w:rStyle w:val="Hyperlink"/>
            <w:rFonts w:asciiTheme="majorBidi" w:hAnsiTheme="majorBidi"/>
            <w:sz w:val="24"/>
            <w:szCs w:val="24"/>
          </w:rPr>
          <w:t>ahmadmiftahuddin_82@mail.unnes.ac.id</w:t>
        </w:r>
      </w:hyperlink>
      <w:r>
        <w:rPr>
          <w:rFonts w:asciiTheme="majorBidi" w:hAnsiTheme="majorBidi"/>
          <w:sz w:val="24"/>
          <w:szCs w:val="24"/>
        </w:rPr>
        <w:t xml:space="preserve">   </w:t>
      </w:r>
    </w:p>
    <w:p w14:paraId="08BB7A03" w14:textId="77777777" w:rsidR="00F96072" w:rsidRPr="00C54F51" w:rsidRDefault="00F96072" w:rsidP="00F96072">
      <w:pPr>
        <w:jc w:val="center"/>
        <w:rPr>
          <w:sz w:val="24"/>
          <w:szCs w:val="24"/>
        </w:rPr>
      </w:pPr>
      <w:r w:rsidRPr="00F96072">
        <w:rPr>
          <w:rFonts w:asciiTheme="majorBidi" w:hAnsiTheme="majorBidi"/>
          <w:sz w:val="24"/>
          <w:szCs w:val="24"/>
          <w:vertAlign w:val="superscript"/>
          <w:lang w:val="en-US"/>
        </w:rPr>
        <w:t>B</w:t>
      </w:r>
      <w:r>
        <w:rPr>
          <w:rFonts w:asciiTheme="majorBidi" w:hAnsiTheme="majorBidi"/>
          <w:sz w:val="24"/>
          <w:szCs w:val="24"/>
          <w:vertAlign w:val="superscript"/>
          <w:lang w:val="en-US"/>
        </w:rPr>
        <w:t xml:space="preserve"> </w:t>
      </w:r>
      <w:hyperlink r:id="rId11" w:history="1">
        <w:r w:rsidRPr="00C54F51">
          <w:rPr>
            <w:rStyle w:val="Hyperlink"/>
            <w:sz w:val="24"/>
            <w:szCs w:val="24"/>
          </w:rPr>
          <w:t>muhammd.a.azam@aliraqia.edu.iq</w:t>
        </w:r>
      </w:hyperlink>
    </w:p>
    <w:p w14:paraId="51A906BB" w14:textId="78B55E10" w:rsidR="00F96072" w:rsidRPr="00F96072" w:rsidRDefault="00F96072" w:rsidP="00073355">
      <w:pPr>
        <w:spacing w:after="120"/>
        <w:jc w:val="center"/>
        <w:rPr>
          <w:rFonts w:asciiTheme="majorBidi" w:hAnsiTheme="majorBidi"/>
          <w:sz w:val="24"/>
          <w:szCs w:val="24"/>
          <w:vertAlign w:val="superscript"/>
        </w:rPr>
      </w:pPr>
    </w:p>
    <w:p w14:paraId="17CECCBC" w14:textId="1B64562B" w:rsidR="00073355" w:rsidRPr="00073355" w:rsidRDefault="00073355" w:rsidP="00073355">
      <w:pPr>
        <w:spacing w:before="240" w:line="240" w:lineRule="auto"/>
        <w:jc w:val="both"/>
        <w:rPr>
          <w:rFonts w:ascii="Times New Roman" w:hAnsi="Times New Roman" w:cs="Times New Roman"/>
          <w:b/>
          <w:bCs/>
          <w:sz w:val="24"/>
          <w:szCs w:val="24"/>
        </w:rPr>
      </w:pPr>
      <w:r w:rsidRPr="00073355">
        <w:rPr>
          <w:rFonts w:ascii="Times New Roman" w:hAnsi="Times New Roman" w:cs="Times New Roman"/>
          <w:b/>
          <w:bCs/>
          <w:sz w:val="24"/>
          <w:szCs w:val="24"/>
        </w:rPr>
        <w:t>Abstract</w:t>
      </w:r>
    </w:p>
    <w:p w14:paraId="44019B75" w14:textId="4AB03CAD" w:rsidR="008229FA" w:rsidRDefault="00C21500" w:rsidP="00073355">
      <w:pPr>
        <w:spacing w:before="240" w:line="240" w:lineRule="auto"/>
        <w:ind w:firstLine="709"/>
        <w:jc w:val="both"/>
        <w:rPr>
          <w:rFonts w:ascii="Times New Roman" w:hAnsi="Times New Roman" w:cs="Times New Roman"/>
          <w:sz w:val="24"/>
          <w:szCs w:val="24"/>
        </w:rPr>
      </w:pPr>
      <w:r w:rsidRPr="0055316A">
        <w:rPr>
          <w:rFonts w:ascii="Times New Roman" w:hAnsi="Times New Roman" w:cs="Times New Roman"/>
          <w:sz w:val="24"/>
          <w:szCs w:val="24"/>
        </w:rPr>
        <w:t xml:space="preserve">Foreign language </w:t>
      </w:r>
      <w:r w:rsidR="007E3C54">
        <w:rPr>
          <w:rFonts w:ascii="Times New Roman" w:hAnsi="Times New Roman" w:cs="Times New Roman"/>
          <w:sz w:val="24"/>
          <w:szCs w:val="24"/>
        </w:rPr>
        <w:t>r</w:t>
      </w:r>
      <w:r w:rsidR="001E41F6" w:rsidRPr="0055316A">
        <w:rPr>
          <w:rFonts w:ascii="Times New Roman" w:hAnsi="Times New Roman" w:cs="Times New Roman"/>
          <w:sz w:val="24"/>
          <w:szCs w:val="24"/>
        </w:rPr>
        <w:t>eading anxiety, especially in students le</w:t>
      </w:r>
      <w:bookmarkStart w:id="0" w:name="_GoBack"/>
      <w:bookmarkEnd w:id="0"/>
      <w:r w:rsidR="001E41F6" w:rsidRPr="0055316A">
        <w:rPr>
          <w:rFonts w:ascii="Times New Roman" w:hAnsi="Times New Roman" w:cs="Times New Roman"/>
          <w:sz w:val="24"/>
          <w:szCs w:val="24"/>
        </w:rPr>
        <w:t>arning Arabic, can have a negative impact on cognitive abilities while reading. This study aims to investigate the impact of Collaborative Strategic Reading (CSR) on improving reading comprehension and reducing reading anxiety among students of the Arabic Language Education Study Program at Semarang State University. This study used a 4-week intervention approach involving 50 students who were selected based on certain criteria. Data were collected through questionnaires, reading tests, and semi-structured interviews to measure reading comprehension as well as anxiety levels before and after treatment. The results showed that CSR significantly improved reading comprehension, with an average difference of 19.76 points higher than that of the control group, and significantly reduced reading anxiety, with an average decrease of 10</w:t>
      </w:r>
      <w:r w:rsidR="005815C3" w:rsidRPr="0055316A">
        <w:rPr>
          <w:rFonts w:ascii="Times New Roman" w:hAnsi="Times New Roman" w:cs="Times New Roman"/>
          <w:sz w:val="24"/>
          <w:szCs w:val="24"/>
        </w:rPr>
        <w:t>.</w:t>
      </w:r>
      <w:r w:rsidR="001E41F6" w:rsidRPr="0055316A">
        <w:rPr>
          <w:rFonts w:ascii="Times New Roman" w:hAnsi="Times New Roman" w:cs="Times New Roman"/>
          <w:sz w:val="24"/>
          <w:szCs w:val="24"/>
        </w:rPr>
        <w:t>120 points. In addition, there was a strong negative association between reading comprehension and anxiety (r = -0.889), meaning that the higher the reading comprehension, the lower the anxiety level. These findings are expected to be an important reference in the development of effective teaching methods for Arabic language learning in Indonesia, and the results of the research will be published in accredited national journals</w:t>
      </w:r>
      <w:r w:rsidR="001E41F6" w:rsidRPr="001E41F6">
        <w:rPr>
          <w:rFonts w:ascii="Times New Roman" w:hAnsi="Times New Roman" w:cs="Times New Roman"/>
          <w:sz w:val="24"/>
          <w:szCs w:val="24"/>
        </w:rPr>
        <w:t>.</w:t>
      </w:r>
    </w:p>
    <w:p w14:paraId="39B665BE" w14:textId="30D87398" w:rsidR="00E33491" w:rsidRPr="008229FA" w:rsidRDefault="002F0652" w:rsidP="008229FA">
      <w:pPr>
        <w:spacing w:before="240" w:line="240" w:lineRule="auto"/>
        <w:ind w:left="1418" w:hanging="1418"/>
        <w:jc w:val="both"/>
        <w:rPr>
          <w:rFonts w:asciiTheme="majorBidi" w:hAnsiTheme="majorBidi" w:cstheme="majorBidi"/>
          <w:sz w:val="24"/>
          <w:szCs w:val="24"/>
        </w:rPr>
      </w:pPr>
      <w:r w:rsidRPr="008229FA">
        <w:rPr>
          <w:rFonts w:asciiTheme="majorBidi" w:hAnsiTheme="majorBidi" w:cstheme="majorBidi"/>
          <w:b/>
          <w:bCs/>
          <w:sz w:val="24"/>
          <w:szCs w:val="24"/>
        </w:rPr>
        <w:t xml:space="preserve">Keywords: </w:t>
      </w:r>
      <w:r w:rsidRPr="008229FA">
        <w:rPr>
          <w:rFonts w:asciiTheme="majorBidi" w:hAnsiTheme="majorBidi" w:cstheme="majorBidi"/>
          <w:sz w:val="24"/>
          <w:szCs w:val="24"/>
        </w:rPr>
        <w:t xml:space="preserve">Anxiety; </w:t>
      </w:r>
      <w:r w:rsidR="00B06A7D" w:rsidRPr="00B06A7D">
        <w:rPr>
          <w:rFonts w:asciiTheme="majorBidi" w:hAnsiTheme="majorBidi" w:cstheme="majorBidi"/>
          <w:i/>
          <w:iCs/>
          <w:sz w:val="24"/>
          <w:szCs w:val="24"/>
        </w:rPr>
        <w:t>Collaborative Strategic Reading</w:t>
      </w:r>
      <w:r w:rsidRPr="008229FA">
        <w:rPr>
          <w:rFonts w:asciiTheme="majorBidi" w:hAnsiTheme="majorBidi" w:cstheme="majorBidi"/>
          <w:sz w:val="24"/>
          <w:szCs w:val="24"/>
        </w:rPr>
        <w:t>; reading anxiety; Maharah Qira'ah</w:t>
      </w:r>
    </w:p>
    <w:p w14:paraId="256A0357" w14:textId="77777777" w:rsidR="00CC4F35" w:rsidRPr="00AF1835" w:rsidRDefault="00E33491" w:rsidP="00F43D7B">
      <w:pPr>
        <w:pStyle w:val="Heading1"/>
        <w:spacing w:before="0"/>
      </w:pPr>
      <w:bookmarkStart w:id="1" w:name="_Toc162515295"/>
      <w:r>
        <w:t>INTRODUCTION</w:t>
      </w:r>
      <w:bookmarkEnd w:id="1"/>
    </w:p>
    <w:p w14:paraId="158A7906" w14:textId="0752129C" w:rsidR="00321128" w:rsidRDefault="005A4B0F" w:rsidP="009246DD">
      <w:pPr>
        <w:pStyle w:val="NormalWeb"/>
        <w:spacing w:before="0" w:beforeAutospacing="0" w:after="0" w:afterAutospacing="0"/>
        <w:ind w:firstLine="709"/>
        <w:jc w:val="both"/>
      </w:pPr>
      <w:r w:rsidRPr="005A4B0F">
        <w:t>Reading in a foreign language is a difficult activity for students</w:t>
      </w:r>
      <w:r w:rsidR="00E54550">
        <w:t xml:space="preserve"> </w:t>
      </w:r>
      <w:r w:rsidR="00E54550">
        <w:fldChar w:fldCharType="begin" w:fldLock="1"/>
      </w:r>
      <w:r w:rsidR="002D046B">
        <w:instrText>ADDIN CSL_CITATION {"citationItems":[{"id":"ITEM-1","itemData":{"DOI":"10.1016/j.sbspro.2012.11.279","ISSN":"18770428","author":[{"dropping-particle":"","family":"Rajab","given":"Azizah","non-dropping-particle":"","parse-names":false,"suffix":""},{"dropping-particle":"","family":"Zakaria","given":"Wan Zarina Wan","non-dropping-particle":"","parse-names":false,"suffix":""},{"dropping-particle":"","family":"Rahman","given":"Hamidah Abdul","non-dropping-particle":"","parse-names":false,"suffix":""},{"dropping-particle":"","family":"Hosni","given":"Alia Diyana","non-dropping-particle":"","parse-names":false,"suffix":""},{"dropping-particle":"","family":"Hassani","given":"Samira","non-dropping-particle":"","parse-names":false,"suffix":""}],"container-title":"Procedia - Social and Behavioral Sciences","id":"ITEM-1","issued":{"date-parts":[["2012"]]},"language":"en","page":"362-369","title":"Reading Anxiety among Second Language Learners","type":"article-journal","volume":"66"},"uris":["http://www.mendeley.com/documents/?uuid=8e115314-1a69-4ea9-b133-badac8d7af55"]}],"mendeley":{"formattedCitation":"(Rajab et al., 2012)","plainTextFormattedCitation":"(Rajab et al., 2012)","previouslyFormattedCitation":"[1]"},"properties":{"noteIndex":0},"schema":"https://github.com/citation-style-language/schema/raw/master/csl-citation.json"}</w:instrText>
      </w:r>
      <w:r w:rsidR="00E54550">
        <w:fldChar w:fldCharType="separate"/>
      </w:r>
      <w:r w:rsidR="002D046B" w:rsidRPr="002D046B">
        <w:rPr>
          <w:noProof/>
        </w:rPr>
        <w:t>(Rajab et al., 2012)</w:t>
      </w:r>
      <w:r w:rsidR="00E54550">
        <w:fldChar w:fldCharType="end"/>
      </w:r>
      <w:r w:rsidR="003648C0">
        <w:t xml:space="preserve">. In reading activities at the university level, </w:t>
      </w:r>
      <w:r w:rsidR="002C5E45" w:rsidRPr="002C5E45">
        <w:t>foreign language students are expected to pronounce foreign language texts correctly</w:t>
      </w:r>
      <w:r w:rsidR="003648C0">
        <w:t xml:space="preserve">. This is difficult for them, considering that the mother tongue and the foreign language they learn have different characteristics </w:t>
      </w:r>
      <w:r w:rsidR="00AC6D20">
        <w:fldChar w:fldCharType="begin" w:fldLock="1"/>
      </w:r>
      <w:r w:rsidR="002D046B">
        <w:instrText>ADDIN CSL_CITATION {"citationItems":[{"id":"ITEM-1","itemData":{"DOI":"10.1016/j.jneuroling.2017.11.001","ISSN":"09116044","author":[{"dropping-particle":"","family":"Saiegh-Haddad","given":"Elinor","non-dropping-particle":"","parse-names":false,"suffix":""}],"container-title":"Journal of Neurolinguistics","id":"ITEM-1","issued":{"date-parts":[["2019"]]},"language":"EN","page":"17-27","title":"What is phonological awareness in L2?","type":"article-journal","volume":"50"},"uris":["http://www.mendeley.com/documents/?uuid=7a6b1897-6972-475e-a9e1-76972eca8d86"]}],"mendeley":{"formattedCitation":"(Saiegh-Haddad, 2019)","plainTextFormattedCitation":"(Saiegh-Haddad, 2019)","previouslyFormattedCitation":"[2]"},"properties":{"noteIndex":0},"schema":"https://github.com/citation-style-language/schema/raw/master/csl-citation.json"}</w:instrText>
      </w:r>
      <w:r w:rsidR="00AC6D20">
        <w:fldChar w:fldCharType="separate"/>
      </w:r>
      <w:r w:rsidR="002D046B" w:rsidRPr="002D046B">
        <w:rPr>
          <w:noProof/>
        </w:rPr>
        <w:t>(Saiegh-Haddad, 2019)</w:t>
      </w:r>
      <w:r w:rsidR="00AC6D20">
        <w:fldChar w:fldCharType="end"/>
      </w:r>
      <w:r w:rsidR="00795F5D">
        <w:t xml:space="preserve">. For example, the pronunciation of letters and words in English is different from the pronunciation of Indonesian words and sentences. However, the shape of the letters used is still the same. Reading a foreign language will be even more difficult if the letters used in the language are completely different, such as Chinese, Korean, Japanese, and Arabic </w:t>
      </w:r>
      <w:r w:rsidR="009D5F9C">
        <w:fldChar w:fldCharType="begin" w:fldLock="1"/>
      </w:r>
      <w:r w:rsidR="002D046B">
        <w:instrText>ADDIN CSL_CITATION {"citationItems":[{"id":"ITEM-1","itemData":{"DOI":"10.2991/conaplin-18.2019.251","ISBN":"978-94-6252-749-2","author":[{"dropping-particle":"","family":"Santiar","given":"Lea","non-dropping-particle":"","parse-names":false,"suffix":""},{"dropping-particle":"","family":"Emzir","given":"Emzir","non-dropping-particle":"","parse-names":false,"suffix":""},{"dropping-particle":"","family":"Rasyid","given":"Yumna","non-dropping-particle":"","parse-names":false,"suffix":""}],"collection-title":"Advances in Social Science, Education and Humanities Research","container-title":"Proceedings of the Eleventh Conference on Applied Linguistics (CONAPLIN 2018)","id":"ITEM-1","issued":{"date-parts":[["2019"]]},"language":"EN","page":"180-185","publisher":"Atlantis Press","publisher-place":"Paris","title":"Reading Strategies to Overcome Difficulties in Understanding Japanese Sentences","type":"paper-conference","volume":"254"},"uris":["http://www.mendeley.com/documents/?uuid=debe46a6-8ac3-4304-b0af-e2684be01f36"]},{"id":"ITEM-2","itemData":{"DOI":"10.1007/s10936-005-6140-x","ISSN":"0090-6905","author":[{"dropping-particle":"","family":"Cho","given":"Jeung-Ryeul","non-dropping-particle":"","parse-names":false,"suffix":""},{"dropping-particle":"","family":"Chen","given":"Hsuan-Chih","non-dropping-particle":"","parse-names":false,"suffix":""}],"container-title":"Journal of Psycholinguistic Research","id":"ITEM-2","issue":"4","issued":{"date-parts":[["2005"]]},"language":"en","page":"401-414","title":"Semantic and Phonological Processing in Reading Korean Hangul and Hanja Words","type":"article-journal","volume":"34"},"uris":["http://www.mendeley.com/documents/?uuid=f3c2ba48-0d4a-4eee-9d26-368f217fff99"]},{"id":"ITEM-3","itemData":{"DOI":"10.1093/oxfordhb/9780199324576.013.14","author":[{"dropping-particle":"","family":"Li","given":"Xingshan","non-dropping-particle":"","parse-names":false,"suffix":""},{"dropping-particle":"","family":"Zang","given":"Chuanli","non-dropping-particle":"","parse-names":false,"suffix":""},{"dropping-particle":"","family":"Liversedge","given":"Simon P.","non-dropping-particle":"","parse-names":false,"suffix":""},{"dropping-particle":"","family":"Pollatsek","given":"Alexander","non-dropping-particle":"","parse-names":false,"suffix":""}],"container-title":"The Oxford Handbook of Reading","editor":[{"dropping-particle":"","family":"Pollatsek","given":"Alexander","non-dropping-particle":"","parse-names":false,"suffix":""},{"dropping-particle":"","family":"Treiman","given":"Rebecca","non-dropping-particle":"","parse-names":false,"suffix":""}],"id":"ITEM-3","issued":{"date-parts":[["2015","9","1"]]},"language":"EN","page":"232–244","publisher":"Oxford University Press","publisher-place":"Oxford, UK","title":"The Role of Words in Chinese Reading","type":"chapter"},"uris":["http://www.mendeley.com/documents/?uuid=5ee1555e-90a0-4a95-946c-db32a550483e"]},{"id":"ITEM-4","itemData":{"DOI":"10.1007/978-3-030-55152-0_5","author":[{"dropping-particle":"","family":"Pae","given":"Hye K.","non-dropping-particle":"","parse-names":false,"suffix":""}],"collection-title":"Literacy Studies","container-title":"Script Effects as the Hidden Drive of the Mind, Cognition, and Culture","id":"ITEM-4","issued":{"date-parts":[["2020"]]},"language":"en","page":"71-105","publisher":"Springer","publisher-place":"Cham","title":"Chinese, Japanese, and Korean Writing Systems: All East-Asian but Different Scripts","type":"chapter","volume":"21"},"uris":["http://www.mendeley.com/documents/?uuid=0dfb42fd-8a28-452b-94fe-3ae82168d8a6"]},{"id":"ITEM-5","itemData":{"DOI":"10.1111/lnc3.12400","ISSN":"1749-818X","abstract":"Current reading models were largely designed to explain findings from experiments of the reading of English and other European languages (Reichle, 2020, Computational models of reading: A handbook ). Recent evidence from studies of other languages and writing systems (e.g., Chinese) has demonstrated the need to critically evaluate the assumptions of these models, and whether they are sufficient to explain the full range of findings related to reading, as required, for example, to understand the universal and specific cognitive principles that support reading. In this article, we review the recent behavioural and cognitive‐neuroscience research on the reading of Arabic, a world language that until recently has received scant attention despite the fact that its writing system poses fundamental challenges for current models of reading. We also highlight the points of convergence and difference between what has been learned about the reading of Arabic and the reading of another, more widely studied Semitic language, Hebrew. We then discuss the theoretical implications of these findings for existing models of reading.","author":[{"dropping-particle":"","family":"Hermena","given":"Ehab W.","non-dropping-particle":"","parse-names":false,"suffix":""},{"dropping-particle":"","family":"Reichle","given":"Erik D.","non-dropping-particle":"","parse-names":false,"suffix":""}],"container-title":"Language and Linguistics Compass","id":"ITEM-5","issue":"10","issued":{"date-parts":[["2020"]]},"language":"en","page":"1-26","title":"Insights from the study of Arabic reading","type":"article-journal","volume":"14"},"uris":["http://www.mendeley.com/documents/?uuid=fcad984d-17fa-48da-b2d5-2deb2be9fb47"]}],"mendeley":{"formattedCitation":"(Cho &amp; Chen, 2005; Hermena &amp; Reichle, 2020; Li et al., 2015; Pae, 2020; Santiar et al., 2019)","plainTextFormattedCitation":"(Cho &amp; Chen, 2005; Hermena &amp; Reichle, 2020; Li et al., 2015; Pae, 2020; Santiar et al., 2019)","previouslyFormattedCitation":"[3–7]"},"properties":{"noteIndex":0},"schema":"https://github.com/citation-style-language/schema/raw/master/csl-citation.json"}</w:instrText>
      </w:r>
      <w:r w:rsidR="009D5F9C">
        <w:fldChar w:fldCharType="separate"/>
      </w:r>
      <w:r w:rsidR="002D046B" w:rsidRPr="002D046B">
        <w:rPr>
          <w:noProof/>
        </w:rPr>
        <w:t>(Cho &amp; Chen, 2005; Hermena &amp; Reichle, 2020; Li et al., 2015; Pae, 2020; Santiar et al., 2019)</w:t>
      </w:r>
      <w:r w:rsidR="009D5F9C">
        <w:fldChar w:fldCharType="end"/>
      </w:r>
      <w:r w:rsidR="00321128">
        <w:t>. The script system in these languages is completely different from the script system used in Indonesian and English.</w:t>
      </w:r>
    </w:p>
    <w:p w14:paraId="549469D9" w14:textId="782A6A08" w:rsidR="006B3A2D" w:rsidRDefault="005B1D70" w:rsidP="009246DD">
      <w:pPr>
        <w:pStyle w:val="NormalWeb"/>
        <w:spacing w:before="0" w:beforeAutospacing="0" w:after="0" w:afterAutospacing="0"/>
        <w:ind w:firstLine="709"/>
        <w:jc w:val="both"/>
      </w:pPr>
      <w:r>
        <w:t xml:space="preserve">Arabic as a foreign language in Indonesia is considered to be a very difficult foreign language for most students </w:t>
      </w:r>
      <w:r w:rsidR="0028033F">
        <w:fldChar w:fldCharType="begin" w:fldLock="1"/>
      </w:r>
      <w:r w:rsidR="002D046B">
        <w:instrText>ADDIN CSL_CITATION {"citationItems":[{"id":"ITEM-1","itemData":{"DOI":"10.17762/pae.v57i8.775","ISSN":"1556-5068","author":[{"dropping-particle":"","family":"Muradi","given":"Ahmad","non-dropping-particle":"","parse-names":false,"suffix":""},{"dropping-particle":"","family":"Mubarak","given":"Faisal","non-dropping-particle":"","parse-names":false,"suffix":""},{"dropping-particle":"","family":"Permana","given":"Farid","non-dropping-particle":"","parse-names":false,"suffix":""},{"dropping-particle":"","family":"Hidayat","given":"Yusuf","non-dropping-particle":"","parse-names":false,"suffix":""},{"dropping-particle":"","family":"Wekke","given":"Ismail","non-dropping-particle":"","parse-names":false,"suffix":""}],"container-title":"Psychology and Education","id":"ITEM-1","issue":"8","issued":{"date-parts":[["2020"]]},"language":"en","page":"505-514","title":"Revitalization of the Existence of Arabic in Indonesia","type":"article-journal","volume":"57"},"uris":["http://www.mendeley.com/documents/?uuid=c56a09c2-0221-481f-b68a-8b96404bca6e"]}],"mendeley":{"formattedCitation":"(Muradi et al., 2020)","plainTextFormattedCitation":"(Muradi et al., 2020)","previouslyFormattedCitation":"[8]"},"properties":{"noteIndex":0},"schema":"https://github.com/citation-style-language/schema/raw/master/csl-citation.json"}</w:instrText>
      </w:r>
      <w:r w:rsidR="0028033F">
        <w:fldChar w:fldCharType="separate"/>
      </w:r>
      <w:r w:rsidR="002D046B" w:rsidRPr="002D046B">
        <w:rPr>
          <w:noProof/>
        </w:rPr>
        <w:t>(Muradi et al., 2020)</w:t>
      </w:r>
      <w:r w:rsidR="0028033F">
        <w:fldChar w:fldCharType="end"/>
      </w:r>
      <w:r w:rsidR="0028033F">
        <w:t xml:space="preserve">. In addition to a script system that is different from Indonesian, Arabic is a flexible language, that is, a language whose words undergo changes in form in connection with changes in subject, type, and time in the context of certain sentences </w:t>
      </w:r>
      <w:r w:rsidR="0028033F">
        <w:fldChar w:fldCharType="begin" w:fldLock="1"/>
      </w:r>
      <w:r w:rsidR="002D046B">
        <w:instrText>ADDIN CSL_CITATION {"citationItems":[{"id":"ITEM-1","itemData":{"DOI":"10.1111/lnc3.12400","ISSN":"1749-818X","abstract":"Current reading models were largely designed to explain findings from experiments of the reading of English and other European languages (Reichle, 2020, Computational models of reading: A handbook ). Recent evidence from studies of other languages and writing systems (e.g., Chinese) has demonstrated the need to critically evaluate the assumptions of these models, and whether they are sufficient to explain the full range of findings related to reading, as required, for example, to understand the universal and specific cognitive principles that support reading. In this article, we review the recent behavioural and cognitive‐neuroscience research on the reading of Arabic, a world language that until recently has received scant attention despite the fact that its writing system poses fundamental challenges for current models of reading. We also highlight the points of convergence and difference between what has been learned about the reading of Arabic and the reading of another, more widely studied Semitic language, Hebrew. We then discuss the theoretical implications of these findings for existing models of reading.","author":[{"dropping-particle":"","family":"Hermena","given":"Ehab W.","non-dropping-particle":"","parse-names":false,"suffix":""},{"dropping-particle":"","family":"Reichle","given":"Erik D.","non-dropping-particle":"","parse-names":false,"suffix":""}],"container-title":"Language and Linguistics Compass","id":"ITEM-1","issue":"10","issued":{"date-parts":[["2020"]]},"language":"en","page":"1-26","title":"Insights from the study of Arabic reading","type":"article-journal","volume":"14"},"locator":"11","uris":["http://www.mendeley.com/documents/?uuid=fcad984d-17fa-48da-b2d5-2deb2be9fb47"]}],"mendeley":{"formattedCitation":"(Hermena &amp; Reichle, 2020, p. 11)","plainTextFormattedCitation":"(Hermena &amp; Reichle, 2020, p. 11)","previouslyFormattedCitation":"[7]"},"properties":{"noteIndex":0},"schema":"https://github.com/citation-style-language/schema/raw/master/csl-citation.json"}</w:instrText>
      </w:r>
      <w:r w:rsidR="0028033F">
        <w:fldChar w:fldCharType="separate"/>
      </w:r>
      <w:r w:rsidR="002D046B" w:rsidRPr="002D046B">
        <w:rPr>
          <w:noProof/>
        </w:rPr>
        <w:t>(Hermena &amp; Reichle, 2020, p. 11)</w:t>
      </w:r>
      <w:r w:rsidR="0028033F">
        <w:fldChar w:fldCharType="end"/>
      </w:r>
      <w:r>
        <w:t xml:space="preserve">. Thus, students are required to know all kinds of word changes in order to be able to read them fluently. Viewed in terms of syntax, Arabic has certain grammatical markers that mark the position of a word in a sentence. For example, grammatical markers for gender and the sum of nouns (singular, </w:t>
      </w:r>
      <w:r>
        <w:lastRenderedPageBreak/>
        <w:t xml:space="preserve">dual, plural) can greatly affect the meaning of a sentence. This grammatical marker is what often makes it difficult for students to read Arabic </w:t>
      </w:r>
      <w:r w:rsidR="005B4442">
        <w:fldChar w:fldCharType="begin" w:fldLock="1"/>
      </w:r>
      <w:r w:rsidR="002D046B">
        <w:instrText>ADDIN CSL_CITATION {"citationItems":[{"id":"ITEM-1","itemData":{"DOI":"10.1016/j.jksuci.2022.08.020","ISSN":"13191578","author":[{"dropping-particle":"","family":"Mannaa","given":"Zarah M.","non-dropping-particle":"","parse-names":false,"suffix":""},{"dropping-particle":"","family":"Azmi","given":"Aqil M.","non-dropping-particle":"","parse-names":false,"suffix":""},{"dropping-particle":"","family":"Aboalsamh","given":"Hatim A.","non-dropping-particle":"","parse-names":false,"suffix":""}],"container-title":"Journal of King Saud University - Computer and Information Sciences","id":"ITEM-1","issue":"10","issued":{"date-parts":[["2022"]]},"language":"en","page":"8909-8926","title":"Computer-assisted i‘raab of Arabic sentences for teaching grammar to students","type":"article-journal","volume":"34"},"uris":["http://www.mendeley.com/documents/?uuid=7fa7781e-1ffc-4f7a-85a0-4bb84b9e9d3d"]}],"mendeley":{"formattedCitation":"(Mannaa et al., 2022)","plainTextFormattedCitation":"(Mannaa et al., 2022)","previouslyFormattedCitation":"[9]"},"properties":{"noteIndex":0},"schema":"https://github.com/citation-style-language/schema/raw/master/csl-citation.json"}</w:instrText>
      </w:r>
      <w:r w:rsidR="005B4442">
        <w:fldChar w:fldCharType="separate"/>
      </w:r>
      <w:r w:rsidR="002D046B" w:rsidRPr="002D046B">
        <w:rPr>
          <w:noProof/>
        </w:rPr>
        <w:t>(Mannaa et al., 2022)</w:t>
      </w:r>
      <w:r w:rsidR="005B4442">
        <w:fldChar w:fldCharType="end"/>
      </w:r>
      <w:r w:rsidR="00511E6C">
        <w:t>.</w:t>
      </w:r>
    </w:p>
    <w:p w14:paraId="701D84E9" w14:textId="4CCCB65B" w:rsidR="00E64012" w:rsidRDefault="003648C0" w:rsidP="009246DD">
      <w:pPr>
        <w:pStyle w:val="NormalWeb"/>
        <w:spacing w:before="0" w:beforeAutospacing="0" w:after="0" w:afterAutospacing="0"/>
        <w:ind w:firstLine="709"/>
        <w:jc w:val="both"/>
      </w:pPr>
      <w:r>
        <w:t xml:space="preserve">The activity of reading Arabic texts, in addition to being related to the activity of reciting sentences correctly, is also related to understanding the meaning of reading. In other words, reading activities in Arabic are not only about recognizing the structure of written sentences in Arabic by reciting, but also the reader must understand the content of the reading text </w:t>
      </w:r>
      <w:r w:rsidR="001E30B4">
        <w:fldChar w:fldCharType="begin" w:fldLock="1"/>
      </w:r>
      <w:r w:rsidR="002D046B">
        <w:instrText>ADDIN CSL_CITATION {"citationItems":[{"id":"ITEM-1","itemData":{"DOI":"10.15294/la.v7i1.26082","abstract":"… Masalah tersebut antara lain : (1) minat membaca siswa (terutama dalam membaca teks-teks arab gundul) masih kurang, kategori kurang dalam hal ini dapat dilihat dari respon siswa …","author":[{"dropping-particle":"","family":"Fikri","given":"Wahyu Ngainul","non-dropping-particle":"","parse-names":false,"suffix":""},{"dropping-particle":"","family":"Hasyim","given":"Mohamad Yusuf Ahmad","non-dropping-particle":"","parse-names":false,"suffix":""},{"dropping-particle":"","family":"Qutni","given":"Darul","non-dropping-particle":"","parse-names":false,"suffix":""}],"container-title":"Lisanul Arab: Journal of Arabic Learning and Teaching","id":"ITEM-1","issue":"1","issued":{"date-parts":[["2018"]]},"language":"id","page":"63-68","title":"Efektivitas penerapan metode hikari dalam meningkatkan keterampilan membaca arab gundul dan arab berharokat siswa kelas XI MAN 2 Kebumen tahun ajaran 2016/2017","type":"article-journal","volume":"7"},"uris":["http://www.mendeley.com/documents/?uuid=31638932-565e-455e-a71a-a04954462b7b"]}],"mendeley":{"formattedCitation":"(Fikri et al., 2018)","plainTextFormattedCitation":"(Fikri et al., 2018)","previouslyFormattedCitation":"[10]"},"properties":{"noteIndex":0},"schema":"https://github.com/citation-style-language/schema/raw/master/csl-citation.json"}</w:instrText>
      </w:r>
      <w:r w:rsidR="001E30B4">
        <w:fldChar w:fldCharType="separate"/>
      </w:r>
      <w:r w:rsidR="002D046B" w:rsidRPr="002D046B">
        <w:rPr>
          <w:noProof/>
        </w:rPr>
        <w:t>(Fikri et al., 2018)</w:t>
      </w:r>
      <w:r w:rsidR="001E30B4">
        <w:fldChar w:fldCharType="end"/>
      </w:r>
      <w:r w:rsidR="001E30B4" w:rsidRPr="001E30B4">
        <w:t xml:space="preserve">. Reading meaning understanding can be understood as the ability to understand a text, analyze information, and interpret what the author means correctly </w:t>
      </w:r>
      <w:r w:rsidR="00B6192B">
        <w:fldChar w:fldCharType="begin" w:fldLock="1"/>
      </w:r>
      <w:r w:rsidR="002D046B">
        <w:instrText>ADDIN CSL_CITATION {"citationItems":[{"id":"ITEM-1","itemData":{"DOI":"10.1186/2229-0443-2-1-45","ISSN":"2229-0443","author":[{"dropping-particle":"","family":"Mckee","given":"Steve","non-dropping-particle":"","parse-names":false,"suffix":""}],"container-title":"Language Testing in Asia","id":"ITEM-1","issue":"1","issued":{"date-parts":[["2012"]]},"language":"en","page":"45","title":"Reading comprehension, what we know: a review of research 1995 to 2011","type":"article-journal","volume":"2"},"uris":["http://www.mendeley.com/documents/?uuid=07080990-6c07-4f79-8cfd-c2c60bdb28db"]}],"mendeley":{"formattedCitation":"(Mckee, 2012)","plainTextFormattedCitation":"(Mckee, 2012)","previouslyFormattedCitation":"[11]"},"properties":{"noteIndex":0},"schema":"https://github.com/citation-style-language/schema/raw/master/csl-citation.json"}</w:instrText>
      </w:r>
      <w:r w:rsidR="00B6192B">
        <w:fldChar w:fldCharType="separate"/>
      </w:r>
      <w:r w:rsidR="002D046B" w:rsidRPr="002D046B">
        <w:rPr>
          <w:noProof/>
        </w:rPr>
        <w:t>(Mckee, 2012)</w:t>
      </w:r>
      <w:r w:rsidR="00B6192B">
        <w:fldChar w:fldCharType="end"/>
      </w:r>
      <w:r w:rsidR="00111B16">
        <w:t xml:space="preserve">. As a flexible language that adheres to grammatical aspects, correct sentence pronunciation and reading comprehension are very closely related. To be able to understand the meaning of Arabic texts well, students must be able to read the text correctly. </w:t>
      </w:r>
      <w:r w:rsidR="002C5E45" w:rsidRPr="002C5E45">
        <w:t>Students making mistakes in determining grammatical markers at the end of words will find it difficult to understand the reading</w:t>
      </w:r>
      <w:r w:rsidR="00111B16">
        <w:t xml:space="preserve">. </w:t>
      </w:r>
      <w:r w:rsidR="002C5E45" w:rsidRPr="002C5E45">
        <w:t>Furthermore, students may misunderstand the text</w:t>
      </w:r>
      <w:r w:rsidR="00111B16">
        <w:t>.</w:t>
      </w:r>
    </w:p>
    <w:p w14:paraId="5FB9A0D3" w14:textId="08E2BEF3" w:rsidR="00887398" w:rsidRDefault="0020576A" w:rsidP="009246DD">
      <w:pPr>
        <w:pStyle w:val="NormalWeb"/>
        <w:spacing w:before="0" w:beforeAutospacing="0" w:after="0" w:afterAutospacing="0"/>
        <w:ind w:firstLine="709"/>
        <w:jc w:val="both"/>
      </w:pPr>
      <w:r>
        <w:t xml:space="preserve">The above problems were also experienced by students of the Arabic Language Education Study Program at Semarang State University who </w:t>
      </w:r>
      <w:r w:rsidR="002C5E45" w:rsidRPr="002C5E45">
        <w:t xml:space="preserve">took the </w:t>
      </w:r>
      <w:r w:rsidR="002C5E45" w:rsidRPr="002C5E45">
        <w:rPr>
          <w:i/>
          <w:iCs/>
        </w:rPr>
        <w:t>Muthala'ah Mukatsafah</w:t>
      </w:r>
      <w:r w:rsidR="0099065C">
        <w:t xml:space="preserve"> (Reading 3) or advanced reading. Students who take this course are students who have graduated in the two reading skills courses they previously participated in </w:t>
      </w:r>
      <w:r w:rsidR="00EA63F3">
        <w:fldChar w:fldCharType="begin" w:fldLock="1"/>
      </w:r>
      <w:r w:rsidR="002D046B">
        <w:instrText>ADDIN CSL_CITATION {"citationItems":[{"id":"ITEM-1","itemData":{"URL":"http://pba.unnes.ac.id/kurikulum-pendidikan-bahasa-arab-universitas-negeri-semarang/","accessed":{"date-parts":[["2021","3","8"]]},"author":[{"dropping-particle":"","family":"PBA UNNES","given":"","non-dropping-particle":"","parse-names":false,"suffix":""},{"dropping-particle":"","family":"Program Studi Pendidikan Bahasa Arab","given":"","non-dropping-particle":"","parse-names":false,"suffix":""}],"container-title":"pba.unnes.ac.id","id":"ITEM-1","issued":{"date-parts":[["2020"]]},"publisher":"Universitas Negeri Semarang","publisher-place":"Semarang","title":"Kurikulum PBA UNNES 2020 (Kampus Merdeka)","type":"webpage"},"uris":["http://www.mendeley.com/documents/?uuid=48368421-63e1-474b-bde4-82df4b5c1e06"]}],"mendeley":{"formattedCitation":"(PBA UNNES &amp; Program Studi Pendidikan Bahasa Arab, 2020)","plainTextFormattedCitation":"(PBA UNNES &amp; Program Studi Pendidikan Bahasa Arab, 2020)","previouslyFormattedCitation":"[12]"},"properties":{"noteIndex":0},"schema":"https://github.com/citation-style-language/schema/raw/master/csl-citation.json"}</w:instrText>
      </w:r>
      <w:r w:rsidR="00EA63F3">
        <w:fldChar w:fldCharType="separate"/>
      </w:r>
      <w:r w:rsidR="002D046B" w:rsidRPr="002D046B">
        <w:rPr>
          <w:noProof/>
        </w:rPr>
        <w:t>(PBA UNNES &amp; Arabic Language Education Study Program, 2020)</w:t>
      </w:r>
      <w:r w:rsidR="00EA63F3">
        <w:fldChar w:fldCharType="end"/>
      </w:r>
      <w:r w:rsidR="00B556AB">
        <w:t>. The assumption is that students who take this course can read and understand Arabic texts well. Nevertheless, the facts on the ground show otherwise. Based on the observations made, they still encounter difficulties both in determining grammatical markers and in understanding the meaning of Arabic texts.</w:t>
      </w:r>
    </w:p>
    <w:p w14:paraId="693C1B0A" w14:textId="7191FC6A" w:rsidR="00887398" w:rsidRDefault="007170B1" w:rsidP="009246DD">
      <w:pPr>
        <w:pStyle w:val="NormalWeb"/>
        <w:spacing w:before="0" w:beforeAutospacing="0" w:after="0" w:afterAutospacing="0"/>
        <w:ind w:firstLine="709"/>
        <w:jc w:val="both"/>
      </w:pPr>
      <w:r w:rsidRPr="007170B1">
        <w:t xml:space="preserve">The difficulties faced in the process of understanding Arabic texts, from determining the right grammatical markers to understanding the content of the text, often cause anxiety among students. This anxiety is not without reason, given that mistakes in understanding these aspects can result in a misunderstanding of the reading. Fear of error and concern over possible misinterpretation of Arabic texts often place a heavy psychological burden on the reader </w:t>
      </w:r>
      <w:r w:rsidR="00677F83">
        <w:fldChar w:fldCharType="begin" w:fldLock="1"/>
      </w:r>
      <w:r w:rsidR="002D046B">
        <w:instrText>ADDIN CSL_CITATION {"citationItems":[{"id":"ITEM-1","itemData":{"DOI":"10.1016/j.sbspro.2012.11.279","ISSN":"18770428","author":[{"dropping-particle":"","family":"Rajab","given":"Azizah","non-dropping-particle":"","parse-names":false,"suffix":""},{"dropping-particle":"","family":"Zakaria","given":"Wan Zarina Wan","non-dropping-particle":"","parse-names":false,"suffix":""},{"dropping-particle":"","family":"Rahman","given":"Hamidah Abdul","non-dropping-particle":"","parse-names":false,"suffix":""},{"dropping-particle":"","family":"Hosni","given":"Alia Diyana","non-dropping-particle":"","parse-names":false,"suffix":""},{"dropping-particle":"","family":"Hassani","given":"Samira","non-dropping-particle":"","parse-names":false,"suffix":""}],"container-title":"Procedia - Social and Behavioral Sciences","id":"ITEM-1","issued":{"date-parts":[["2012"]]},"language":"en","page":"362-369","title":"Reading Anxiety among Second Language Learners","type":"article-journal","volume":"66"},"uris":["http://www.mendeley.com/documents/?uuid=8e115314-1a69-4ea9-b133-badac8d7af55"]}],"mendeley":{"formattedCitation":"(Rajab et al., 2012)","plainTextFormattedCitation":"(Rajab et al., 2012)","previouslyFormattedCitation":"[1]"},"properties":{"noteIndex":0},"schema":"https://github.com/citation-style-language/schema/raw/master/csl-citation.json"}</w:instrText>
      </w:r>
      <w:r w:rsidR="00677F83">
        <w:fldChar w:fldCharType="separate"/>
      </w:r>
      <w:r w:rsidR="002D046B" w:rsidRPr="002D046B">
        <w:rPr>
          <w:noProof/>
        </w:rPr>
        <w:t>(Rajab et al., 2012)</w:t>
      </w:r>
      <w:r w:rsidR="00677F83">
        <w:fldChar w:fldCharType="end"/>
      </w:r>
      <w:r w:rsidRPr="007170B1">
        <w:t xml:space="preserve">. Several studies have revealed that reading anxiety in foreign language learning can reduce student motivation </w:t>
      </w:r>
      <w:r w:rsidR="00B855E5">
        <w:fldChar w:fldCharType="begin" w:fldLock="1"/>
      </w:r>
      <w:r w:rsidR="002D046B">
        <w:instrText>ADDIN CSL_CITATION {"citationItems":[{"id":"ITEM-1","itemData":{"DOI":"10.1016/j.system.2022.102842","ISSN":"0346251X","author":[{"dropping-particle":"","family":"Chen","given":"Shifa","non-dropping-particle":"","parse-names":false,"suffix":""},{"dropping-particle":"","family":"Du","given":"Huinan","non-dropping-particle":"","parse-names":false,"suffix":""},{"dropping-particle":"","family":"Wang","given":"Shaoxin","non-dropping-particle":"","parse-names":false,"suffix":""},{"dropping-particle":"","family":"Yang","given":"Lianrui","non-dropping-particle":"","parse-names":false,"suffix":""}],"container-title":"System","id":"ITEM-1","issued":{"date-parts":[["2022"]]},"language":"en","page":"102842","title":"Understanding EFL reading anxiety in relation to learning motivation, attitudes and strategies for Chinese and Spanish undergraduates","type":"article-journal","volume":"108"},"uris":["http://www.mendeley.com/documents/?uuid=9f693fbb-666f-43ac-86e0-c18d1cae43af"]}],"mendeley":{"formattedCitation":"(Chen et al., 2022)","plainTextFormattedCitation":"(Chen et al., 2022)","previouslyFormattedCitation":"[13]"},"properties":{"noteIndex":0},"schema":"https://github.com/citation-style-language/schema/raw/master/csl-citation.json"}</w:instrText>
      </w:r>
      <w:r w:rsidR="00B855E5">
        <w:fldChar w:fldCharType="separate"/>
      </w:r>
      <w:r w:rsidR="002D046B" w:rsidRPr="002D046B">
        <w:rPr>
          <w:noProof/>
        </w:rPr>
        <w:t>(Chen et al., 2022)</w:t>
      </w:r>
      <w:r w:rsidR="00B855E5">
        <w:fldChar w:fldCharType="end"/>
      </w:r>
      <w:r w:rsidR="00C01C94">
        <w:t xml:space="preserve">, as well as negatively impacting language learning </w:t>
      </w:r>
      <w:r w:rsidR="00526AE0">
        <w:fldChar w:fldCharType="begin" w:fldLock="1"/>
      </w:r>
      <w:r w:rsidR="002D046B">
        <w:instrText>ADDIN CSL_CITATION {"citationItems":[{"id":"ITEM-1","itemData":{"DOI":"10.1016/j.sbspro.2012.11.279","ISSN":"18770428","author":[{"dropping-particle":"","family":"Rajab","given":"Azizah","non-dropping-particle":"","parse-names":false,"suffix":""},{"dropping-particle":"","family":"Zakaria","given":"Wan Zarina Wan","non-dropping-particle":"","parse-names":false,"suffix":""},{"dropping-particle":"","family":"Rahman","given":"Hamidah Abdul","non-dropping-particle":"","parse-names":false,"suffix":""},{"dropping-particle":"","family":"Hosni","given":"Alia Diyana","non-dropping-particle":"","parse-names":false,"suffix":""},{"dropping-particle":"","family":"Hassani","given":"Samira","non-dropping-particle":"","parse-names":false,"suffix":""}],"container-title":"Procedia - Social and Behavioral Sciences","id":"ITEM-1","issued":{"date-parts":[["2012"]]},"language":"en","page":"362-369","title":"Reading Anxiety among Second Language Learners","type":"article-journal","volume":"66"},"uris":["http://www.mendeley.com/documents/?uuid=8e115314-1a69-4ea9-b133-badac8d7af55"]}],"mendeley":{"formattedCitation":"(Rajab et al., 2012)","plainTextFormattedCitation":"(Rajab et al., 2012)","previouslyFormattedCitation":"[1]"},"properties":{"noteIndex":0},"schema":"https://github.com/citation-style-language/schema/raw/master/csl-citation.json"}</w:instrText>
      </w:r>
      <w:r w:rsidR="00526AE0">
        <w:fldChar w:fldCharType="separate"/>
      </w:r>
      <w:r w:rsidR="002D046B" w:rsidRPr="002D046B">
        <w:rPr>
          <w:noProof/>
        </w:rPr>
        <w:t>(Rajab et al., 2012)</w:t>
      </w:r>
      <w:r w:rsidR="00526AE0">
        <w:fldChar w:fldCharType="end"/>
      </w:r>
      <w:r w:rsidR="008A2FD8">
        <w:t>. Ultimately, reading anxiety can hinder their ability to master Arabic reading skills well. Therefore, it is important to identify the sources of th</w:t>
      </w:r>
      <w:r w:rsidR="000935EA">
        <w:t>i</w:t>
      </w:r>
      <w:r w:rsidR="008A2FD8">
        <w:t>s anxiety and look for strategies to overcome them, so that students can learn Arabic more confidently and effectively.</w:t>
      </w:r>
    </w:p>
    <w:p w14:paraId="159C4550" w14:textId="2521738B" w:rsidR="00477F90" w:rsidRPr="00031D5A" w:rsidRDefault="0050205B" w:rsidP="009246DD">
      <w:pPr>
        <w:pStyle w:val="NormalWeb"/>
        <w:spacing w:before="0" w:beforeAutospacing="0" w:after="0" w:afterAutospacing="0"/>
        <w:ind w:firstLine="709"/>
        <w:jc w:val="both"/>
      </w:pPr>
      <w:r w:rsidRPr="00C779D1">
        <w:t xml:space="preserve">To answer concerns that learning Arabic may be hampered by difficulties in reading comprehension, various studies have developed a strategy known as </w:t>
      </w:r>
      <w:r w:rsidR="00E53A6B">
        <w:rPr>
          <w:i/>
          <w:iCs/>
        </w:rPr>
        <w:t>Collaborative Strategies Reading</w:t>
      </w:r>
      <w:r w:rsidRPr="00C779D1">
        <w:t xml:space="preserve"> (CSR) </w:t>
      </w:r>
      <w:r w:rsidR="00F112AA">
        <w:fldChar w:fldCharType="begin" w:fldLock="1"/>
      </w:r>
      <w:r w:rsidR="002D046B">
        <w:instrText>ADDIN CSL_CITATION {"citationItems":[{"id":"ITEM-1","itemData":{"ISSN":"00340561","author":[{"dropping-particle":"","family":"Klingner","given":"Janette K","non-dropping-particle":"","parse-names":false,"suffix":""},{"dropping-particle":"","family":"Vaughn","given":"Sharon","non-dropping-particle":"","parse-names":false,"suffix":""}],"container-title":"The Reading Teacher","id":"ITEM-1","issue":"7","issued":{"date-parts":[["1999"]]},"language":"en","page":"738-747","publisher":"Wiley, International Reading Association","title":"Promoting reading comprehension, content learning, and english acquisition though collaborative strategic reading (CSR)","type":"article-journal","volume":"52"},"uris":["http://www.mendeley.com/documents/?uuid=df1bcd63-1859-42ac-8650-2acd55f6d51f"]}],"mendeley":{"formattedCitation":"(Klingner &amp; Vaughn, 1999)","plainTextFormattedCitation":"(Klingner &amp; Vaughn, 1999)","previouslyFormattedCitation":"[14]"},"properties":{"noteIndex":0},"schema":"https://github.com/citation-style-language/schema/raw/master/csl-citation.json"}</w:instrText>
      </w:r>
      <w:r w:rsidR="00F112AA">
        <w:fldChar w:fldCharType="separate"/>
      </w:r>
      <w:r w:rsidR="002D046B" w:rsidRPr="002D046B">
        <w:rPr>
          <w:noProof/>
        </w:rPr>
        <w:t>(Klingner &amp; Vaughn, 1999)</w:t>
      </w:r>
      <w:r w:rsidR="00F112AA">
        <w:fldChar w:fldCharType="end"/>
      </w:r>
      <w:r w:rsidR="001A07A6">
        <w:t xml:space="preserve">, which supports foreign language learning by focusing on strategies to improve reading comprehension. Reading comprehension strategies are a group of independent learning strategies that involve deliberate and effortful activities carried out by readers to support reading comprehension </w:t>
      </w:r>
      <w:r w:rsidR="00111B16" w:rsidRPr="00031D5A">
        <w:fldChar w:fldCharType="begin" w:fldLock="1"/>
      </w:r>
      <w:r w:rsidR="002D046B">
        <w:instrText>ADDIN CSL_CITATION {"citationItems":[{"id":"ITEM-1","itemData":{"DOI":"10.1016/j.lindif.2014.11.016","ISSN":"1041-6080","abstract":"The goals of this study were to examine individual differences in adolescents' reading comprehension strategy use related to reading proficiency, grade level, and gender and to investigate the factor structure and psychometric properties of a newly-developed scenario-based self-report survey. Participants were 1134 students in grades 7–12. The instrument measures four theoretically-consistent constructs related to strategies for (a) the Evaluation and Integration of current text information with previous text information and prior knowledge, (b) Note-Taking, (c) Regulation, and (d) Help-Seeking. The scales demonstrated adequate reliability and validity. Adequate comprehenders reported higher use of Evaluation/Integration and Regulation strategies than struggling comprehenders, while the use of Help-Seeking and Note-Taking did not differ between these groups. Students at higher grade levels reported greater use of Evaluation/Integration and Regulation strategies than those in lower grades. Females reported higher use of all strategy types than males. Implications for theory, research, and practice are discussed.","author":[{"dropping-particle":"","family":"Denton","given":"Carolyn A","non-dropping-particle":"","parse-names":false,"suffix":""},{"dropping-particle":"","family":"Wolters","given":"Christopher A","non-dropping-particle":"","parse-names":false,"suffix":""},{"dropping-particle":"","family":"York","given":"Mary J","non-dropping-particle":"","parse-names":false,"suffix":""},{"dropping-particle":"","family":"Swanson","given":"Elizabeth","non-dropping-particle":"","parse-names":false,"suffix":""},{"dropping-particle":"","family":"Kulesz","given":"Paulina A","non-dropping-particle":"","parse-names":false,"suffix":""},{"dropping-particle":"","family":"Francis","given":"David J","non-dropping-particle":"","parse-names":false,"suffix":""}],"container-title":"Learning and Individual Differences","id":"ITEM-1","issued":{"date-parts":[["2015"]]},"language":"en","page":"81-95","title":"Adolescents' use of reading comprehension strategies: Differences related to reading proficiency, grade level, and gender","type":"article-journal","volume":"37"},"uris":["http://www.mendeley.com/documents/?uuid=fc851baa-4679-4cac-9e99-2bc34bb286cf"]}],"mendeley":{"formattedCitation":"(Denton et al., 2015)","plainTextFormattedCitation":"(Denton et al., 2015)","previouslyFormattedCitation":"[15]"},"properties":{"noteIndex":0},"schema":"https://github.com/citation-style-language/schema/raw/master/csl-citation.json"}</w:instrText>
      </w:r>
      <w:r w:rsidR="00111B16" w:rsidRPr="00031D5A">
        <w:fldChar w:fldCharType="separate"/>
      </w:r>
      <w:r w:rsidR="002D046B" w:rsidRPr="002D046B">
        <w:rPr>
          <w:noProof/>
        </w:rPr>
        <w:t>(Denton et al., 2015)</w:t>
      </w:r>
      <w:r w:rsidR="00111B16" w:rsidRPr="00031D5A">
        <w:fldChar w:fldCharType="end"/>
      </w:r>
      <w:r w:rsidR="006401F8" w:rsidRPr="00031D5A">
        <w:t xml:space="preserve">. The use of strategies in learning to read foreign languages has indeed been proven to have a positive impact on reading learning outcomes </w:t>
      </w:r>
      <w:r w:rsidR="00156855" w:rsidRPr="00031D5A">
        <w:fldChar w:fldCharType="begin" w:fldLock="1"/>
      </w:r>
      <w:r w:rsidR="002D046B">
        <w:instrText>ADDIN CSL_CITATION {"citationItems":[{"id":"ITEM-1","itemData":{"DOI":"10.18326/lisania.v5i1.1-18","ISSN":"2580-1716","abstract":"Reading proficiency is considered as one of the language skills that must be mastered by prospective Arabic educators or practitioners. Besides, in the era of industry 4.0, students not only require core competencies from the field of study they are studying but also have a lifelong character of a learner. The conditions found in the field, as well as in previous studies, showed that learning in higher education currently tends to be centred on lecturers rather than on the students. This study aims to examine the effectiveness of the implementation of a student-centred learning method in the form of a problem-based learning method with seven-jumps (seven-steps) approach in increasing the reading proficiency in Arabic. The subjects of this research were 50 people of Muthala’ah Mukatsafah class, and the test and non-test were employed as instruments. The reading proficiency test prepared by the researcher was used to figure out the subjects’ reading ability. Meanwhile, the subjects’ characters or soft skills were measured through a non-test instrument in the form of a questionnaire. The design applied in this study was a group design (one group pretest-posttest design). The data analysis was performed through a significance test before and after treatment. The results show that there are differences in the subjects’ advanced reading proficiency level as well as an increase in empathy soft skill before and after the implementation of the learning method.","author":[{"dropping-particle":"","family":"Hasyim","given":"Mohamad Yusuf Ahmad","non-dropping-particle":"","parse-names":false,"suffix":""}],"container-title":"LISANIA: Journal of Arabic Education and Literature","id":"ITEM-1","issue":"1","issued":{"date-parts":[["2021"]]},"language":"en","page":"1-18","title":"The Effectiveness of Problem-Based Learning on Advanced Reading Comprehension Skill in Online Arabic Language Teaching","type":"article-journal","volume":"5"},"uris":["http://www.mendeley.com/documents/?uuid=7cd81d94-6125-46c8-bf73-f33d55225954"]},{"id":"ITEM-2","itemData":{"DOI":"10.1007/978-3-030-95266-2_1","author":[{"dropping-particle":"","family":"Bruggink","given":"Marian","non-dropping-particle":"","parse-names":false,"suffix":""},{"dropping-particle":"","family":"Swart","given":"Nicole","non-dropping-particle":"","parse-names":false,"suffix":""},{"dropping-particle":"","family":"Lee","given":"Annelies","non-dropping-particle":"van der","parse-names":false,"suffix":""},{"dropping-particle":"","family":"Segers","given":"Eliane","non-dropping-particle":"","parse-names":false,"suffix":""}],"collection-title":"IEA Research for Educators","container-title":"Putting PIRLS to Use in Classrooms Across the Globe","id":"ITEM-2","issued":{"date-parts":[["2022"]]},"language":"en","page":"3-19","publisher":"Springer","publisher-place":"Cham","title":"Theories of reading comprehension","type":"chapter","volume":"1"},"uris":["http://www.mendeley.com/documents/?uuid=990ef662-e65a-4b91-8298-696d7b021615"]},{"id":"ITEM-3","itemData":{"DOI":"10.1075/jsls.19013.yap","ISSN":"2542-3835","abstract":"Effective readers consciously or unconsciously use reading strategies to help them process information on what they read. All readers can benefit from reading strategy instruction but, empirical research on which strategies are effective is lacking. Less is known about reading strategy effectiveness in a second language (L2). This meta-analysis of 46 L2 reading strategy studies analysed ten reading strategies, also in combination with a range of pedagogical approaches, and found an overall mean effect size of 0.91, underscoring the benefits of multi strategy teaching. Effect sizes were calculated for each strategy, as well as the combination of strategy with approach, instructor type, intervention duration and type of test used. Some strategies were more effective than others. Also, differences in effect sizes are dependent on the approach used. Some pedagogical approaches are effective for some strategies but not with all. We recommend further research in L2 reading strategy interventions and instruction.","author":[{"dropping-particle":"","family":"Yapp","given":"Deborah June","non-dropping-particle":"","parse-names":false,"suffix":""},{"dropping-particle":"","family":"Graaff","given":"Rick","non-dropping-particle":"de","parse-names":false,"suffix":""},{"dropping-particle":"","family":"Bergh","given":"Huub","non-dropping-particle":"van den","parse-names":false,"suffix":""}],"container-title":"Journal of Second Language Studies","id":"ITEM-3","issue":"1","issued":{"date-parts":[["2021"]]},"language":"en","page":"154-192","title":"Improving second language reading comprehension through reading strategies","type":"article-journal","volume":"4"},"uris":["http://www.mendeley.com/documents/?uuid=af56e7de-ebf1-47f2-931f-1442186040ed"]}],"mendeley":{"formattedCitation":"(Bruggink et al., 2022; Hasyim, 2021; Yapp et al., 2021)","plainTextFormattedCitation":"(Bruggink et al., 2022; Hasyim, 2021; Yapp et al., 2021)","previouslyFormattedCitation":"[16–18]"},"properties":{"noteIndex":0},"schema":"https://github.com/citation-style-language/schema/raw/master/csl-citation.json"}</w:instrText>
      </w:r>
      <w:r w:rsidR="00156855" w:rsidRPr="00031D5A">
        <w:fldChar w:fldCharType="separate"/>
      </w:r>
      <w:r w:rsidR="002D046B" w:rsidRPr="002D046B">
        <w:rPr>
          <w:noProof/>
        </w:rPr>
        <w:t>(Bruggink et al., 2022; Hasyim, 2021; Yapp et al., 2021)</w:t>
      </w:r>
      <w:r w:rsidR="00156855" w:rsidRPr="00031D5A">
        <w:fldChar w:fldCharType="end"/>
      </w:r>
      <w:r w:rsidR="00156855" w:rsidRPr="00031D5A">
        <w:t>. However, there have not been many studies that have examined the impact of CSR on affective aspects, such as anxiety reading Arabic texts as a foreign language.</w:t>
      </w:r>
    </w:p>
    <w:p w14:paraId="0C997B30" w14:textId="718AB63A" w:rsidR="00C00D83" w:rsidRPr="00031D5A" w:rsidRDefault="00F7518F" w:rsidP="009246DD">
      <w:pPr>
        <w:pStyle w:val="NormalWeb"/>
        <w:spacing w:before="0" w:beforeAutospacing="0" w:after="0" w:afterAutospacing="0"/>
        <w:ind w:firstLine="709"/>
        <w:jc w:val="both"/>
      </w:pPr>
      <w:r w:rsidRPr="00031D5A">
        <w:t xml:space="preserve">In general, studies related to language anxiety are more focused on speech anxiety </w:t>
      </w:r>
      <w:r w:rsidR="00684A3E" w:rsidRPr="00031D5A">
        <w:fldChar w:fldCharType="begin" w:fldLock="1"/>
      </w:r>
      <w:r w:rsidR="002D046B">
        <w:instrText>ADDIN CSL_CITATION {"citationItems":[{"id":"ITEM-1","itemData":{"DOI":"10.1016/j.system.2022.102732","ISSN":"0346251X","author":[{"dropping-particle":"","family":"Zuniga","given":"Michael","non-dropping-particle":"","parse-names":false,"suffix":""},{"dropping-particle":"","family":"Simard","given":"Daphnée","non-dropping-particle":"","parse-names":false,"suffix":""}],"container-title":"System","id":"ITEM-1","issued":{"date-parts":[["2022"]]},"language":"en","page":"102732","title":"Exploring the intricate relationship between foreign language anxiety, attention and self-repairs during L2 speech production","type":"article-journal","volume":"105"},"uris":["http://www.mendeley.com/documents/?uuid=925f6af1-1be3-49f8-9e53-27a4828a6a4b"]},{"id":"ITEM-2","itemData":{"DOI":"10.1111/ijal.12494","ISSN":"0802-6106","abstract":"The association between speaking anxiety and L2 speech production, including L2 pronunciation, remains largely under‐researched, especially in relation to task complexity. The present study investigates the effect of task complexity on speaking anxiety and their impact on specific dimensions of L2 speech production: speaking fluency (speed, breakdown, and repair) and accuracy (grammar, lexis and pronunciation); and global assessments of L2 speaking performance: accentedness and comprehensibility. Forty‐two Spanish learners of English performed simple and complex versions of a monologic oral narrative task. The results indicated that task complexity affected learners’ anxiety levels and was detrimental to their L2 speaking fluency, pronunciation accuracy, and accentedness. Moreover, higher self‐perceived anxiety was associated with lower breakdown fluency and less lexico‐grammatical accuracy. Last, once the contributions of L2 proficiency and working memory were controlled for, anxiety accounted for a significant 13%–15% of variance in breakdown fluency.","author":[{"dropping-particle":"","family":"Mora","given":"Joan C.","non-dropping-particle":"","parse-names":false,"suffix":""},{"dropping-particle":"","family":"Mora‐Plaza","given":"Ingrid","non-dropping-particle":"","parse-names":false,"suffix":""},{"dropping-particle":"","family":"Bermejo Miranda","given":"Gonzalo","non-dropping-particle":"","parse-names":false,"suffix":""}],"container-title":"International Journal of Applied Linguistics","id":"ITEM-2","issue":"1","issued":{"date-parts":[["2024"]]},"language":"en","page":"292-315","title":"Speaking anxiety and task complexity effects on second language speech","type":"article-journal","volume":"34"},"uris":["http://www.mendeley.com/documents/?uuid=a260c9a2-5e26-4ceb-a883-5ee6d9c0e130"]},{"id":"ITEM-3","itemData":{"DOI":"10.1016/j.system.2021.102647","ISSN":"0346251X","author":[{"dropping-particle":"","family":"Sun","given":"Peijian Paul","non-dropping-particle":"","parse-names":false,"suffix":""},{"dropping-particle":"","family":"Teng","given":"Lin Sophie","non-dropping-particle":"","parse-names":false,"suffix":""}],"container-title":"System","id":"ITEM-3","issued":{"date-parts":[["2021"]]},"language":"en","page":"102647","title":"Why so nervous? Revisiting the sources of speech anxiety in Chinese as a second language","type":"article-journal","volume":"103"},"uris":["http://www.mendeley.com/documents/?uuid=edcb7e13-a363-46d0-8342-be3014876e4b"]},{"id":"ITEM-4","itemData":{"DOI":"10.18778/1731-7533.21.4.02","ISSN":"1731-7533","abstract":"The study examines selected temporal markers of L2 utterance fluency in the speech of advanced L2 learners who exhibit high (HLA) and low (LLA) language anxiety levels. Out of the pool of 59 participants, six HLA and six LLA individuals were selected for an in-depth analysis on the basis of their scores on the Foreign Language Classroom Anxiety Scale (the FLCAS) (Horwitz, Horwitz, &amp; Cope, 1986). Speech samples from a monologue task were examined for selected L2 utterance fluency measures: filled (FP) and silent pause (SP) frequency, mean length of silent pause (MLSP), articulation rate (AR), speech rate (SR), and mean length of run (MLR). The results provided insights into the L2 speech fluency profiles of anxious and non-anxious individuals. The analysis disclosed relatively higher frequency and disparate application of FPs, slower speed of speech, and more varied profiles in MLR in the HLA group as compared to the LLA group. The findings yield pedagogical and methodological implications.","author":[{"dropping-particle":"","family":"Szyszka","given":"Magdalena","non-dropping-particle":"","parse-names":false,"suffix":""},{"dropping-particle":"","family":"Lintunen","given":"Pekka","non-dropping-particle":"","parse-names":false,"suffix":""}],"container-title":"Research in Language","id":"ITEM-4","issue":"4","issued":{"date-parts":[["2023"]]},"language":"en","page":"357-376","title":"Zooming into the L2 Speech Fluency Markers of Anxious and Non-Anxious Advanced L2 Learners – an Extreme Case Sampling Report","type":"article-journal","volume":"21"},"uris":["http://www.mendeley.com/documents/?uuid=029b14bd-5e0c-4169-bce4-5e30d134e898"]}],"mendeley":{"formattedCitation":"(Mora et al., 2024; Sun &amp; Teng, 2021; Szyszka &amp; Lintunen, 2023; Zuniga &amp; Simard, 2022)","plainTextFormattedCitation":"(Mora et al., 2024; Sun &amp; Teng, 2021; Szyszka &amp; Lintunen, 2023; Zuniga &amp; Simard, 2022)","previouslyFormattedCitation":"[19–22]"},"properties":{"noteIndex":0},"schema":"https://github.com/citation-style-language/schema/raw/master/csl-citation.json"}</w:instrText>
      </w:r>
      <w:r w:rsidR="00684A3E" w:rsidRPr="00031D5A">
        <w:fldChar w:fldCharType="separate"/>
      </w:r>
      <w:r w:rsidR="002D046B" w:rsidRPr="002D046B">
        <w:rPr>
          <w:noProof/>
        </w:rPr>
        <w:t>(Mora et al., 2024; Sun &amp; Teng, 2021; Szyszka &amp; Lintunen, 2023; Zuniga &amp; Simard, 2022)</w:t>
      </w:r>
      <w:r w:rsidR="00684A3E" w:rsidRPr="00031D5A">
        <w:fldChar w:fldCharType="end"/>
      </w:r>
      <w:r w:rsidRPr="00031D5A">
        <w:t xml:space="preserve">. Even so far, studies related to language anxiety in Arabic learners are still very minimal </w:t>
      </w:r>
      <w:r w:rsidR="004616FC" w:rsidRPr="00031D5A">
        <w:fldChar w:fldCharType="begin" w:fldLock="1"/>
      </w:r>
      <w:r w:rsidR="002D046B">
        <w:instrText>ADDIN CSL_CITATION {"citationItems":[{"id":"ITEM-1","itemData":{"DOI":"10.1111/j.1540-4781.2005.00275.x","ISSN":"00267902","author":[{"dropping-particle":"","family":"Elkhafaifi","given":"Hussein","non-dropping-particle":"","parse-names":false,"suffix":""}],"container-title":"The Modern Language Journal","id":"ITEM-1","issue":"2","issued":{"date-parts":[["2005"]]},"language":"en","page":"206-220","title":"Listening Comprehension and Anxiety in the Arabic Language Classroom","type":"article-journal","volume":"89"},"uris":["http://www.mendeley.com/documents/?uuid=7ad65fa6-36b5-41a5-98f2-4f979b928b82"]},{"id":"ITEM-2","itemData":{"DOI":"10.1016/j.system.2018.12.008","ISSN":"0346251X","author":[{"dropping-particle":"","family":"Nassif","given":"Lama","non-dropping-particle":"","parse-names":false,"suffix":""}],"container-title":"System","id":"ITEM-2","issued":{"date-parts":[["2019"]]},"language":"en","page":"304-317","title":"The relationship of language anxiety with noticing and oral production of L2 forms: A study of beginning learners of Arabic","type":"article-journal","volume":"80"},"uris":["http://www.mendeley.com/documents/?uuid=9aad3216-5049-4617-9a8c-d66e6cbe39fb"]},{"id":"ITEM-3","itemData":{"DOI":"10.1080/2331186X.2023.2238150","ISSN":"2331-186X","author":[{"dropping-particle":"","family":"Abuhussein","given":"Haya Fayyad","non-dropping-particle":"","parse-names":false,"suffix":""},{"dropping-particle":"","family":"Qassrawi","given":"Rania Mohammad","non-dropping-particle":"","parse-names":false,"suffix":""},{"dropping-particle":"","family":"Shaath","given":"Sami","non-dropping-particle":"","parse-names":false,"suffix":""}],"container-title":"Cogent Education","id":"ITEM-3","issue":"2","issued":{"date-parts":[["2023"]]},"language":"en","page":"1-12","title":"Utilizing remote speaking tasks for tackling foreign language anxiety","type":"article-journal","volume":"10"},"uris":["http://www.mendeley.com/documents/?uuid=f0f77eec-dd4b-436c-b74e-3d446e3676c8"]},{"id":"ITEM-4","itemData":{"DOI":"10.1080/2331186X.2023.2280309","ISSN":"2331-186X","author":[{"dropping-particle":"","family":"Waked","given":"Arifi","non-dropping-particle":"","parse-names":false,"suffix":""},{"dropping-particle":"","family":"Alaoui","given":"Khadija","non-dropping-particle":"El","parse-names":false,"suffix":""},{"dropping-particle":"","family":"Pilotti","given":"Maura A. E.","non-dropping-particle":"","parse-names":false,"suffix":""}],"container-title":"Cogent Education","id":"ITEM-4","issue":"2","issued":{"date-parts":[["2023"]]},"language":"en","page":"1-17","title":"Second-language writing anxiety and its correlates: A challenge to sustainable education in a post-pandemic world","type":"article-journal","volume":"10"},"uris":["http://www.mendeley.com/documents/?uuid=910b11c8-c659-46ad-87b0-d83c80f5c9e5"]}],"mendeley":{"formattedCitation":"(Abuhussein et al., 2023; Elkhafaifi, 2005; Nassif, 2019; Waked et al., 2023)","plainTextFormattedCitation":"(Abuhussein et al., 2023; Elkhafaifi, 2005; Nassif, 2019; Waked et al., 2023)","previouslyFormattedCitation":"[23–26]"},"properties":{"noteIndex":0},"schema":"https://github.com/citation-style-language/schema/raw/master/csl-citation.json"}</w:instrText>
      </w:r>
      <w:r w:rsidR="004616FC" w:rsidRPr="00031D5A">
        <w:fldChar w:fldCharType="separate"/>
      </w:r>
      <w:r w:rsidR="002D046B" w:rsidRPr="002D046B">
        <w:rPr>
          <w:noProof/>
        </w:rPr>
        <w:t>(Abuhussein et al., 2023; Elkhafaifi, 2005; Nassif, 2019; Waked et al., 2023)</w:t>
      </w:r>
      <w:r w:rsidR="004616FC" w:rsidRPr="00031D5A">
        <w:fldChar w:fldCharType="end"/>
      </w:r>
      <w:r w:rsidR="004616FC" w:rsidRPr="00031D5A">
        <w:t xml:space="preserve">. Reading skills are the only Arabic language skills that have not been studied for their association with language anxiety. To be able to read and understand Arabic texts well, a student is required to have good cognitive abilities as well. Not only cognitive factors, affective factors also affect a person's foreign language ability as discussed earlier. According to MacKinnon &amp; Hoey, cognitive and affective factors are interrelated in the human mind </w:t>
      </w:r>
      <w:r w:rsidR="00A9064C" w:rsidRPr="00031D5A">
        <w:fldChar w:fldCharType="begin" w:fldLock="1"/>
      </w:r>
      <w:r w:rsidR="002D046B">
        <w:instrText>ADDIN CSL_CITATION {"citationItems":[{"id":"ITEM-1","itemData":{"DOI":"10.1177/17540739211014946","ISSN":"1754-0739","abstract":"This article introduces the somatic transform that operationalizes the relation between affect and cognition at the psychological level of analysis by capitalizing on the relation between the cognitive-denotative and affective-connotative meaning of concepts as measured with semantic differential rating scales. Following discussion of levels of analysis, the importance of language at the psychological level, and two principles (inextricability and complementarity) summarizing the relation between affect and cognition that are rendered explicit by the somatic transform, we present affect control theory (ACT) and its Bayesian extension (BayesACT) containing the somatic transform. We conclude by identifying examples of inextricability and complementarity in the social science and neuroscience literatures and discussing how our psychological model might be implemented in a realistic neural model.","author":[{"dropping-particle":"","family":"MacKinnon","given":"Neil J.","non-dropping-particle":"","parse-names":false,"suffix":""},{"dropping-particle":"","family":"Hoey","given":"Jesse","non-dropping-particle":"","parse-names":false,"suffix":""}],"container-title":"Emotion Review","id":"ITEM-1","issue":"3","issued":{"date-parts":[["2021"]]},"language":"en","page":"245-256","title":"Operationalizing the Relation Between Affect and Cognition With the Somatic Transform","type":"article-journal","volume":"13"},"uris":["http://www.mendeley.com/documents/?uuid=90e3c7c1-056d-4802-b9a6-779045877203"]}],"mendeley":{"formattedCitation":"(MacKinnon &amp; Hoey, 2021)","plainTextFormattedCitation":"(MacKinnon &amp; Hoey, 2021)","previouslyFormattedCitation":"[27]"},"properties":{"noteIndex":0},"schema":"https://github.com/citation-style-language/schema/raw/master/csl-citation.json"}</w:instrText>
      </w:r>
      <w:r w:rsidR="00A9064C" w:rsidRPr="00031D5A">
        <w:fldChar w:fldCharType="separate"/>
      </w:r>
      <w:r w:rsidR="002D046B" w:rsidRPr="002D046B">
        <w:rPr>
          <w:noProof/>
        </w:rPr>
        <w:t>(MacKinnon &amp; Hoey, 2021)</w:t>
      </w:r>
      <w:r w:rsidR="00A9064C" w:rsidRPr="00031D5A">
        <w:fldChar w:fldCharType="end"/>
      </w:r>
      <w:r w:rsidR="004616FC" w:rsidRPr="00031D5A">
        <w:t xml:space="preserve">, so both aspects are important to research. CSR has been proven to overcome language anxiety. However, research on the impact of CSR on language anxiety and Arabic </w:t>
      </w:r>
      <w:r w:rsidR="004616FC" w:rsidRPr="00031D5A">
        <w:lastRenderedPageBreak/>
        <w:t>reading comprehension has never been done before. Therefore, this research is intended to fill the empty space.</w:t>
      </w:r>
    </w:p>
    <w:p w14:paraId="68C7787A" w14:textId="734A6198" w:rsidR="00176CFB" w:rsidRPr="00031D5A" w:rsidRDefault="00176CFB" w:rsidP="009246DD">
      <w:pPr>
        <w:pStyle w:val="NormalWeb"/>
        <w:spacing w:before="0" w:beforeAutospacing="0" w:after="0" w:afterAutospacing="0"/>
        <w:ind w:firstLine="709"/>
        <w:jc w:val="both"/>
      </w:pPr>
      <w:r w:rsidRPr="00031D5A">
        <w:t xml:space="preserve">Based on the above, this study aims to investigate the extent to which CSR can create a reading environment that encourages and reduces anxiety triggers in which Arabic language learners are more likely to engage in reading tasks, both physically and intellectually, and how a decrease in anxiety reading a foreign language correlates with improved reading comprehension. These findings are expected to be an important reference for the development of effective teaching methods in learning or educational innovation in the field of Arabic teaching and learning process management in Indonesia as an effort to conserve the Arabic language in Indonesia. </w:t>
      </w:r>
    </w:p>
    <w:p w14:paraId="29E1D929" w14:textId="468B647A" w:rsidR="006E6173" w:rsidRPr="00031D5A" w:rsidRDefault="006E6173" w:rsidP="009246DD">
      <w:pPr>
        <w:pStyle w:val="Heading1"/>
        <w:spacing w:line="240" w:lineRule="auto"/>
      </w:pPr>
      <w:bookmarkStart w:id="2" w:name="_Toc162515296"/>
      <w:r w:rsidRPr="00031D5A">
        <w:t>METHOD</w:t>
      </w:r>
      <w:bookmarkEnd w:id="2"/>
    </w:p>
    <w:p w14:paraId="435D8D25" w14:textId="7BE31EB3" w:rsidR="008C6D10" w:rsidRPr="00031D5A" w:rsidRDefault="00B27520" w:rsidP="009246DD">
      <w:pPr>
        <w:pStyle w:val="NormalWeb"/>
        <w:spacing w:before="0" w:beforeAutospacing="0" w:after="0" w:afterAutospacing="0"/>
        <w:ind w:firstLine="709"/>
        <w:jc w:val="both"/>
        <w:rPr>
          <w:rFonts w:asciiTheme="majorBidi" w:hAnsiTheme="majorBidi" w:cstheme="majorBidi"/>
        </w:rPr>
      </w:pPr>
      <w:r>
        <w:t xml:space="preserve">This </w:t>
      </w:r>
      <w:r w:rsidR="00001B45" w:rsidRPr="00031D5A">
        <w:t>Research</w:t>
      </w:r>
      <w:r w:rsidR="00001B45" w:rsidRPr="00031D5A">
        <w:rPr>
          <w:rFonts w:asciiTheme="majorBidi" w:hAnsiTheme="majorBidi" w:cstheme="majorBidi"/>
        </w:rPr>
        <w:t xml:space="preserve"> adopts an embedded mixed methodology (</w:t>
      </w:r>
      <w:r w:rsidR="0018364A" w:rsidRPr="00031D5A">
        <w:rPr>
          <w:rFonts w:asciiTheme="majorBidi" w:hAnsiTheme="majorBidi" w:cstheme="majorBidi"/>
          <w:i/>
          <w:iCs/>
        </w:rPr>
        <w:t>embeded mixed method</w:t>
      </w:r>
      <w:r w:rsidR="0018364A" w:rsidRPr="00031D5A">
        <w:rPr>
          <w:rFonts w:asciiTheme="majorBidi" w:hAnsiTheme="majorBidi" w:cstheme="majorBidi"/>
        </w:rPr>
        <w:t xml:space="preserve">) </w:t>
      </w:r>
      <w:r w:rsidR="0018364A" w:rsidRPr="00031D5A">
        <w:rPr>
          <w:rFonts w:asciiTheme="majorBidi" w:hAnsiTheme="majorBidi" w:cstheme="majorBidi"/>
        </w:rPr>
        <w:fldChar w:fldCharType="begin" w:fldLock="1"/>
      </w:r>
      <w:r w:rsidR="002D046B">
        <w:rPr>
          <w:rFonts w:asciiTheme="majorBidi" w:hAnsiTheme="majorBidi" w:cstheme="majorBidi"/>
        </w:rPr>
        <w:instrText>ADDIN CSL_CITATION {"citationItems":[{"id":"ITEM-1","itemData":{"author":[{"dropping-particle":"","family":"Creswell","given":"J. W","non-dropping-particle":"","parse-names":false,"suffix":""},{"dropping-particle":"","family":"Clark","given":"V. L. P.","non-dropping-particle":"","parse-names":false,"suffix":""}],"id":"ITEM-1","issued":{"date-parts":[["2011"]]},"language":"en","publisher":"SAGE Publications","publisher-place":"Los Angeles","title":"Designing and conducting mixed methods research","type":"book"},"uris":["http://www.mendeley.com/documents/?uuid=c34dcdbf-b796-4c1e-86ff-94cb42b3853d"]}],"mendeley":{"formattedCitation":"(Creswell &amp; Clark, 2011)","plainTextFormattedCitation":"(Creswell &amp; Clark, 2011)","previouslyFormattedCitation":"[28]"},"properties":{"noteIndex":0},"schema":"https://github.com/citation-style-language/schema/raw/master/csl-citation.json"}</w:instrText>
      </w:r>
      <w:r w:rsidR="0018364A" w:rsidRPr="00031D5A">
        <w:rPr>
          <w:rFonts w:asciiTheme="majorBidi" w:hAnsiTheme="majorBidi" w:cstheme="majorBidi"/>
        </w:rPr>
        <w:fldChar w:fldCharType="separate"/>
      </w:r>
      <w:r w:rsidR="002D046B" w:rsidRPr="002D046B">
        <w:rPr>
          <w:rFonts w:asciiTheme="majorBidi" w:hAnsiTheme="majorBidi" w:cstheme="majorBidi"/>
          <w:noProof/>
        </w:rPr>
        <w:t>(Creswell &amp; Clark, 2011)</w:t>
      </w:r>
      <w:r w:rsidR="0018364A" w:rsidRPr="00031D5A">
        <w:rPr>
          <w:rFonts w:asciiTheme="majorBidi" w:hAnsiTheme="majorBidi" w:cstheme="majorBidi"/>
        </w:rPr>
        <w:fldChar w:fldCharType="end"/>
      </w:r>
      <w:r w:rsidR="00001B45" w:rsidRPr="00031D5A">
        <w:rPr>
          <w:rFonts w:asciiTheme="majorBidi" w:hAnsiTheme="majorBidi" w:cstheme="majorBidi"/>
        </w:rPr>
        <w:t xml:space="preserve">, which combines a quantitative approach through surveys and reading comprehension tests, as well as a qualitative approach through interviews, to assess the effectiveness of CSR strategies. This study involved 50 students of the Arabic Language Education Study Program, Semarang State University who took the Muthala'ah Mukatsafah course (Reading 3). </w:t>
      </w:r>
      <w:r w:rsidRPr="00B27520">
        <w:rPr>
          <w:rFonts w:asciiTheme="majorBidi" w:hAnsiTheme="majorBidi" w:cstheme="majorBidi"/>
        </w:rPr>
        <w:t>The 50 students involved were divided into experimental and control classes</w:t>
      </w:r>
      <w:r w:rsidR="00001B45" w:rsidRPr="00031D5A">
        <w:rPr>
          <w:rFonts w:asciiTheme="majorBidi" w:hAnsiTheme="majorBidi" w:cstheme="majorBidi"/>
        </w:rPr>
        <w:t xml:space="preserve"> consisting of 25 students each. The students involved have learned reading skills in the course </w:t>
      </w:r>
      <w:r w:rsidR="00F333E2" w:rsidRPr="00031D5A">
        <w:rPr>
          <w:rFonts w:asciiTheme="majorBidi" w:hAnsiTheme="majorBidi" w:cstheme="majorBidi"/>
          <w:i/>
          <w:iCs/>
        </w:rPr>
        <w:t>Qira’ah Basithah</w:t>
      </w:r>
      <w:r w:rsidR="00F333E2" w:rsidRPr="00031D5A">
        <w:rPr>
          <w:rFonts w:asciiTheme="majorBidi" w:hAnsiTheme="majorBidi" w:cstheme="majorBidi"/>
        </w:rPr>
        <w:t xml:space="preserve"> (Read 1) and </w:t>
      </w:r>
      <w:r w:rsidR="00F333E2" w:rsidRPr="00031D5A">
        <w:rPr>
          <w:rFonts w:asciiTheme="majorBidi" w:hAnsiTheme="majorBidi" w:cstheme="majorBidi"/>
          <w:i/>
          <w:iCs/>
        </w:rPr>
        <w:t>Muthala’ah</w:t>
      </w:r>
      <w:r w:rsidR="00F333E2" w:rsidRPr="00031D5A">
        <w:rPr>
          <w:rFonts w:asciiTheme="majorBidi" w:hAnsiTheme="majorBidi" w:cstheme="majorBidi"/>
        </w:rPr>
        <w:t xml:space="preserve"> (Read 2).</w:t>
      </w:r>
    </w:p>
    <w:p w14:paraId="3F1EFD4E" w14:textId="7CF06B15" w:rsidR="00001B45" w:rsidRPr="00031D5A" w:rsidRDefault="00B41CF8" w:rsidP="009246DD">
      <w:pPr>
        <w:pStyle w:val="NormalWeb"/>
        <w:spacing w:before="0" w:beforeAutospacing="0" w:after="0" w:afterAutospacing="0"/>
        <w:ind w:firstLine="709"/>
        <w:jc w:val="both"/>
        <w:rPr>
          <w:rFonts w:asciiTheme="majorBidi" w:hAnsiTheme="majorBidi" w:cstheme="majorBidi"/>
        </w:rPr>
      </w:pPr>
      <w:r w:rsidRPr="00031D5A">
        <w:rPr>
          <w:rFonts w:asciiTheme="majorBidi" w:hAnsiTheme="majorBidi" w:cstheme="majorBidi"/>
        </w:rPr>
        <w:t xml:space="preserve">The instruments used in this study include a reading comprehension test adapted from </w:t>
      </w:r>
      <w:r w:rsidR="00662F97" w:rsidRPr="00031D5A">
        <w:rPr>
          <w:rFonts w:asciiTheme="majorBidi" w:hAnsiTheme="majorBidi" w:cstheme="majorBidi"/>
          <w:i/>
          <w:iCs/>
        </w:rPr>
        <w:t xml:space="preserve">Test of Arabic as a Foreign Language </w:t>
      </w:r>
      <w:r w:rsidR="00662F97" w:rsidRPr="00031D5A">
        <w:rPr>
          <w:rFonts w:asciiTheme="majorBidi" w:hAnsiTheme="majorBidi" w:cstheme="majorBidi"/>
        </w:rPr>
        <w:t>(TOAFL), which consists of 30 multiple-choice questions from five different readings, and the Foreign Language Reading Anxiety Scale (</w:t>
      </w:r>
      <w:r w:rsidR="005B4CEB" w:rsidRPr="00031D5A">
        <w:rPr>
          <w:rFonts w:asciiTheme="majorBidi" w:hAnsiTheme="majorBidi" w:cstheme="majorBidi"/>
          <w:i/>
          <w:iCs/>
        </w:rPr>
        <w:t>Foreign Language Reading Anxiety Scale</w:t>
      </w:r>
      <w:r w:rsidR="005B4CEB" w:rsidRPr="00031D5A">
        <w:rPr>
          <w:rFonts w:asciiTheme="majorBidi" w:hAnsiTheme="majorBidi" w:cstheme="majorBidi"/>
        </w:rPr>
        <w:t xml:space="preserve"> or abbreviated as FLRAS) </w:t>
      </w:r>
      <w:r w:rsidR="0007242F" w:rsidRPr="00031D5A">
        <w:rPr>
          <w:rFonts w:asciiTheme="majorBidi" w:hAnsiTheme="majorBidi" w:cstheme="majorBidi"/>
        </w:rPr>
        <w:fldChar w:fldCharType="begin" w:fldLock="1"/>
      </w:r>
      <w:r w:rsidR="002D046B">
        <w:rPr>
          <w:rFonts w:asciiTheme="majorBidi" w:hAnsiTheme="majorBidi" w:cstheme="majorBidi"/>
        </w:rPr>
        <w:instrText>ADDIN CSL_CITATION {"citationItems":[{"id":"ITEM-1","itemData":{"ISSN":"00267902, 15404781","abstract":"[Whereas most discussions of foreign language (FL) anxiety have centered on the difficulties caused by anxiety with respect to oral performance, this article discusses the possibility of anxiety in response to foreign or second language reading. It introduces the construct of FL reading anxiety, offers a scale for its measurement, and reports on a preliminary study of reading anxiety in 30 intact first-semester classes of Spanish, Russian, and Japanese. The study found that contrary to previous teacher intuitions, reading in a FL can be anxiety provoking to some students. Whereas general FL anxiety has been found to be independent of target language, levels of reading anxiety were found to vary by target language and seem to be related to the specific writing systems. In addition, students' reading anxiety levels increased with their perceptions of the difficulty of reading in their FL, and their grades decreased in conjunction with their levels of reading anxiety and general FL anxiety.]","author":[{"dropping-particle":"","family":"Saito","given":"Yoshiko","non-dropping-particle":"","parse-names":false,"suffix":""},{"dropping-particle":"","family":"Horwitz","given":"Elaine K","non-dropping-particle":"","parse-names":false,"suffix":""},{"dropping-particle":"","family":"Garza","given":"Thomas J","non-dropping-particle":"","parse-names":false,"suffix":""}],"container-title":"The Modern Language Journal","id":"ITEM-1","issue":"2","issued":{"date-parts":[["1999"]]},"language":"en","page":"202-218","publisher":"[National Federation of Modern Language Teachers Associations, Wiley]","title":"Foreign Language Reading Anxiety","type":"article-journal","volume":"83"},"uris":["http://www.mendeley.com/documents/?uuid=68ac3390-dac6-49b4-838e-bcc07baa6c28"]}],"mendeley":{"formattedCitation":"(Saito et al., 1999)","plainTextFormattedCitation":"(Saito et al., 1999)","previouslyFormattedCitation":"[29]"},"properties":{"noteIndex":0},"schema":"https://github.com/citation-style-language/schema/raw/master/csl-citation.json"}</w:instrText>
      </w:r>
      <w:r w:rsidR="0007242F" w:rsidRPr="00031D5A">
        <w:rPr>
          <w:rFonts w:asciiTheme="majorBidi" w:hAnsiTheme="majorBidi" w:cstheme="majorBidi"/>
        </w:rPr>
        <w:fldChar w:fldCharType="separate"/>
      </w:r>
      <w:r w:rsidR="002D046B" w:rsidRPr="002D046B">
        <w:rPr>
          <w:rFonts w:asciiTheme="majorBidi" w:hAnsiTheme="majorBidi" w:cstheme="majorBidi"/>
          <w:noProof/>
        </w:rPr>
        <w:t>(Saito et al., 1999)</w:t>
      </w:r>
      <w:r w:rsidR="0007242F" w:rsidRPr="00031D5A">
        <w:rPr>
          <w:rFonts w:asciiTheme="majorBidi" w:hAnsiTheme="majorBidi" w:cstheme="majorBidi"/>
        </w:rPr>
        <w:fldChar w:fldCharType="end"/>
      </w:r>
      <w:r w:rsidR="00001B45" w:rsidRPr="00031D5A">
        <w:rPr>
          <w:rFonts w:asciiTheme="majorBidi" w:hAnsiTheme="majorBidi" w:cstheme="majorBidi"/>
        </w:rPr>
        <w:t>, which aims to measure students' levels of foreign language reading anxiety before and after being given treatment</w:t>
      </w:r>
      <w:r w:rsidR="00043C94" w:rsidRPr="00031D5A">
        <w:rPr>
          <w:rFonts w:asciiTheme="majorBidi" w:hAnsiTheme="majorBidi"/>
        </w:rPr>
        <w:t>. FLRAS is a five-level Likert scale-based assessment instrument, which includes 20 questions. The instrument was designed to collect self-reporting data from the research subjects regarding their perceptions of challenges in reading a foreign language, the level of anxiety they felt about certain aspects of reading, and self-evaluation of their reading performance. Responses to these questions can range from "strongly agree" to "strongly disagree," with total scores earned in a range of 20 to 100. A higher score on this scale indicates a higher level of anxiety reading a foreign language.</w:t>
      </w:r>
    </w:p>
    <w:p w14:paraId="427F939D" w14:textId="120A5992" w:rsidR="00001B45" w:rsidRPr="00031D5A" w:rsidRDefault="00001B45" w:rsidP="009246DD">
      <w:pPr>
        <w:pStyle w:val="NormalWeb"/>
        <w:spacing w:before="0" w:beforeAutospacing="0" w:after="0" w:afterAutospacing="0"/>
        <w:ind w:firstLine="709"/>
        <w:jc w:val="both"/>
        <w:rPr>
          <w:rFonts w:asciiTheme="majorBidi" w:hAnsiTheme="majorBidi" w:cstheme="majorBidi"/>
        </w:rPr>
      </w:pPr>
      <w:r w:rsidRPr="00031D5A">
        <w:t>The</w:t>
      </w:r>
      <w:r w:rsidRPr="00031D5A">
        <w:rPr>
          <w:rFonts w:asciiTheme="majorBidi" w:hAnsiTheme="majorBidi" w:cstheme="majorBidi"/>
        </w:rPr>
        <w:t xml:space="preserve"> data collection process was carried out for four weeks. In this process, FLRAS is translated into Indonesian and tested first to minimize misunderstandings. Reading comprehension tests are conducted before and after the treatment, with strict supervision to ensure the integrity of the process. </w:t>
      </w:r>
      <w:r w:rsidR="00B27520" w:rsidRPr="00B27520">
        <w:rPr>
          <w:rFonts w:asciiTheme="majorBidi" w:hAnsiTheme="majorBidi" w:cstheme="majorBidi"/>
        </w:rPr>
        <w:t>CSR was implemented through the formation of small groups, where each member had a defined role, carried out over four sessions</w:t>
      </w:r>
      <w:r w:rsidRPr="00031D5A">
        <w:rPr>
          <w:rFonts w:asciiTheme="majorBidi" w:hAnsiTheme="majorBidi" w:cstheme="majorBidi"/>
        </w:rPr>
        <w:t>. The study also involved semi-structured interviews with five students, to collect qualitative data on their experiences during treatment.</w:t>
      </w:r>
    </w:p>
    <w:p w14:paraId="28459D75" w14:textId="078F0A58" w:rsidR="002D06DA" w:rsidRPr="00031D5A" w:rsidRDefault="00001B45" w:rsidP="009246DD">
      <w:pPr>
        <w:pStyle w:val="NormalWeb"/>
        <w:spacing w:before="0" w:beforeAutospacing="0" w:after="0" w:afterAutospacing="0"/>
        <w:ind w:firstLine="709"/>
        <w:jc w:val="both"/>
      </w:pPr>
      <w:r w:rsidRPr="00031D5A">
        <w:t xml:space="preserve">For </w:t>
      </w:r>
      <w:r w:rsidR="00876EE2">
        <w:rPr>
          <w:rFonts w:asciiTheme="majorBidi" w:hAnsiTheme="majorBidi" w:cstheme="majorBidi"/>
        </w:rPr>
        <w:t>the control class, traditional learning methods were applied that emphasized the introduction of new vocabulary, reading activities, and translation with students and lecturers. This study aims to measure the impact of the implementation of CSR strategies on reading comprehension ability and anxiety level in reading Arabic as a foreign language.</w:t>
      </w:r>
    </w:p>
    <w:p w14:paraId="2FFF6624" w14:textId="5FADC863" w:rsidR="00B9120B" w:rsidRDefault="009246DD" w:rsidP="009246DD">
      <w:pPr>
        <w:pStyle w:val="Heading1"/>
        <w:spacing w:line="240" w:lineRule="auto"/>
      </w:pPr>
      <w:bookmarkStart w:id="3" w:name="_Hlk178017009"/>
      <w:bookmarkStart w:id="4" w:name="_Toc162515299"/>
      <w:r>
        <w:t>RESULTS AND DISCUSSION</w:t>
      </w:r>
    </w:p>
    <w:p w14:paraId="7F32F67B" w14:textId="307B8A44" w:rsidR="00C22067" w:rsidRPr="00F332F4" w:rsidRDefault="00C22067" w:rsidP="00131F43">
      <w:pPr>
        <w:spacing w:after="0" w:line="240" w:lineRule="auto"/>
        <w:ind w:firstLine="720"/>
        <w:jc w:val="both"/>
        <w:rPr>
          <w:rFonts w:asciiTheme="majorBidi" w:hAnsiTheme="majorBidi" w:cstheme="majorBidi"/>
          <w:sz w:val="24"/>
          <w:szCs w:val="24"/>
        </w:rPr>
      </w:pPr>
      <w:r w:rsidRPr="00F332F4">
        <w:rPr>
          <w:rFonts w:asciiTheme="majorBidi" w:hAnsiTheme="majorBidi" w:cstheme="majorBidi"/>
          <w:sz w:val="24"/>
          <w:szCs w:val="24"/>
        </w:rPr>
        <w:t xml:space="preserve">This study aims to determine the impact of </w:t>
      </w:r>
      <w:r w:rsidR="00B06A7D" w:rsidRPr="00B06A7D">
        <w:rPr>
          <w:rFonts w:asciiTheme="majorBidi" w:hAnsiTheme="majorBidi" w:cstheme="majorBidi"/>
          <w:i/>
          <w:iCs/>
          <w:sz w:val="24"/>
          <w:szCs w:val="24"/>
        </w:rPr>
        <w:t>Collaborative Strategic Reading</w:t>
      </w:r>
      <w:r w:rsidRPr="00F332F4">
        <w:rPr>
          <w:rFonts w:asciiTheme="majorBidi" w:hAnsiTheme="majorBidi" w:cstheme="majorBidi"/>
          <w:sz w:val="24"/>
          <w:szCs w:val="24"/>
        </w:rPr>
        <w:t xml:space="preserve"> (CSR) on reading comprehension and reading anxiety of students of the Arabic Language Education Study Program, State University of Semarang. The study was conducted on 50 students who were divided into two groups: the experimental class and the control class. The experimental class used the CSR method, while the control class used conventional learning methods. This research was carried out from February to May 2024. The data collected were analyzed to determine the influence of CSR on both variables, namely reading comprehension and anxiety.</w:t>
      </w:r>
    </w:p>
    <w:p w14:paraId="6126C9F6" w14:textId="18C9AE96" w:rsidR="00C22067" w:rsidRPr="00B9120B" w:rsidRDefault="00C22067" w:rsidP="009246DD">
      <w:pPr>
        <w:spacing w:line="240" w:lineRule="auto"/>
        <w:rPr>
          <w:rFonts w:asciiTheme="majorBidi" w:hAnsiTheme="majorBidi" w:cstheme="majorBidi"/>
          <w:b/>
          <w:bCs/>
          <w:sz w:val="24"/>
          <w:szCs w:val="24"/>
        </w:rPr>
      </w:pPr>
      <w:r w:rsidRPr="00B9120B">
        <w:rPr>
          <w:rFonts w:asciiTheme="majorBidi" w:hAnsiTheme="majorBidi" w:cstheme="majorBidi"/>
          <w:b/>
          <w:bCs/>
          <w:sz w:val="24"/>
          <w:szCs w:val="24"/>
        </w:rPr>
        <w:t xml:space="preserve">The Impact </w:t>
      </w:r>
      <w:r w:rsidR="00B06A7D" w:rsidRPr="00B06A7D">
        <w:rPr>
          <w:rFonts w:asciiTheme="majorBidi" w:hAnsiTheme="majorBidi" w:cstheme="majorBidi"/>
          <w:b/>
          <w:bCs/>
          <w:i/>
          <w:iCs/>
          <w:sz w:val="24"/>
          <w:szCs w:val="24"/>
        </w:rPr>
        <w:t>of Collaborative Strategic Reading</w:t>
      </w:r>
      <w:r w:rsidRPr="00B9120B">
        <w:rPr>
          <w:rFonts w:asciiTheme="majorBidi" w:hAnsiTheme="majorBidi" w:cstheme="majorBidi"/>
          <w:b/>
          <w:bCs/>
          <w:sz w:val="24"/>
          <w:szCs w:val="24"/>
        </w:rPr>
        <w:t xml:space="preserve"> on Reading Comprehension</w:t>
      </w:r>
    </w:p>
    <w:p w14:paraId="281ED72F" w14:textId="77777777" w:rsidR="00C22067" w:rsidRPr="00F332F4" w:rsidRDefault="00C22067" w:rsidP="00131F43">
      <w:pPr>
        <w:spacing w:after="0" w:line="240" w:lineRule="auto"/>
        <w:ind w:firstLine="720"/>
        <w:jc w:val="both"/>
        <w:rPr>
          <w:rFonts w:asciiTheme="majorBidi" w:hAnsiTheme="majorBidi" w:cstheme="majorBidi"/>
          <w:sz w:val="24"/>
          <w:szCs w:val="24"/>
        </w:rPr>
      </w:pPr>
      <w:r w:rsidRPr="00F332F4">
        <w:rPr>
          <w:rFonts w:asciiTheme="majorBidi" w:hAnsiTheme="majorBidi" w:cstheme="majorBidi"/>
          <w:sz w:val="24"/>
          <w:szCs w:val="24"/>
        </w:rPr>
        <w:lastRenderedPageBreak/>
        <w:t>This section will discuss the results of research related to the impact of the use of CSR on students' reading comprehension. Before analyzing the results, the first step is to ensure that the instruments used in this study are valid and reliable. Validity tests aim to ensure that the instrument is actually measuring what it is supposed to measure, while reliability tests aim to ensure that the instrument delivers consistent results. These two tests are essential to guarantee the accuracy of the research results and the conclusions that can be drawn.</w:t>
      </w:r>
    </w:p>
    <w:p w14:paraId="764112C7" w14:textId="489306CB" w:rsidR="00E50045" w:rsidRDefault="00C22067" w:rsidP="00131F43">
      <w:pPr>
        <w:spacing w:after="0" w:line="240" w:lineRule="auto"/>
        <w:ind w:firstLine="720"/>
        <w:jc w:val="both"/>
        <w:rPr>
          <w:rFonts w:asciiTheme="majorBidi" w:hAnsiTheme="majorBidi" w:cstheme="majorBidi"/>
          <w:sz w:val="24"/>
          <w:szCs w:val="24"/>
        </w:rPr>
      </w:pPr>
      <w:r w:rsidRPr="00F332F4">
        <w:rPr>
          <w:rFonts w:asciiTheme="majorBidi" w:hAnsiTheme="majorBidi" w:cstheme="majorBidi"/>
          <w:sz w:val="24"/>
          <w:szCs w:val="24"/>
        </w:rPr>
        <w:t>The validity of the instrument is measured to ensure that the instrument used (reading comprehension test) actually measures the variables to be measured. The validity test was carried out using</w:t>
      </w:r>
      <w:r w:rsidR="00B27520">
        <w:rPr>
          <w:rFonts w:asciiTheme="majorBidi" w:hAnsiTheme="majorBidi" w:cstheme="majorBidi"/>
          <w:sz w:val="24"/>
          <w:szCs w:val="24"/>
        </w:rPr>
        <w:t xml:space="preserve"> the</w:t>
      </w:r>
      <w:r w:rsidRPr="00F332F4">
        <w:rPr>
          <w:rFonts w:asciiTheme="majorBidi" w:hAnsiTheme="majorBidi" w:cstheme="majorBidi"/>
          <w:sz w:val="24"/>
          <w:szCs w:val="24"/>
        </w:rPr>
        <w:t xml:space="preserve"> </w:t>
      </w:r>
      <w:r w:rsidRPr="00F332F4">
        <w:rPr>
          <w:rFonts w:asciiTheme="majorBidi" w:hAnsiTheme="majorBidi" w:cstheme="majorBidi"/>
          <w:i/>
          <w:iCs/>
          <w:sz w:val="24"/>
          <w:szCs w:val="24"/>
        </w:rPr>
        <w:t>Pearson's Product Moment</w:t>
      </w:r>
      <w:r w:rsidRPr="00F332F4">
        <w:rPr>
          <w:rFonts w:asciiTheme="majorBidi" w:hAnsiTheme="majorBidi" w:cstheme="majorBidi"/>
          <w:sz w:val="24"/>
          <w:szCs w:val="24"/>
        </w:rPr>
        <w:t xml:space="preserve"> technique. The </w:t>
      </w:r>
      <w:r w:rsidRPr="00F332F4">
        <w:rPr>
          <w:rFonts w:asciiTheme="majorBidi" w:hAnsiTheme="majorBidi" w:cstheme="majorBidi"/>
          <w:i/>
          <w:iCs/>
          <w:sz w:val="24"/>
          <w:szCs w:val="24"/>
        </w:rPr>
        <w:t>calculated r</w:t>
      </w:r>
      <w:r w:rsidRPr="00F332F4">
        <w:rPr>
          <w:rFonts w:asciiTheme="majorBidi" w:hAnsiTheme="majorBidi" w:cstheme="majorBidi"/>
          <w:sz w:val="24"/>
          <w:szCs w:val="24"/>
        </w:rPr>
        <w:t xml:space="preserve"> value  was compared to  the </w:t>
      </w:r>
      <w:r w:rsidRPr="00F332F4">
        <w:rPr>
          <w:rFonts w:asciiTheme="majorBidi" w:hAnsiTheme="majorBidi" w:cstheme="majorBidi"/>
          <w:i/>
          <w:iCs/>
          <w:sz w:val="24"/>
          <w:szCs w:val="24"/>
        </w:rPr>
        <w:t>table r</w:t>
      </w:r>
      <w:r w:rsidRPr="00F332F4">
        <w:rPr>
          <w:rFonts w:asciiTheme="majorBidi" w:hAnsiTheme="majorBidi" w:cstheme="majorBidi"/>
          <w:sz w:val="24"/>
          <w:szCs w:val="24"/>
        </w:rPr>
        <w:t xml:space="preserve"> value  at a significant level of 5% and 1% with a sample of 25 respondents. Of the 30 reading comprehension test questions, all of them were declared valid because they had </w:t>
      </w:r>
      <w:r w:rsidR="00E50045" w:rsidRPr="00F332F4">
        <w:rPr>
          <w:rFonts w:asciiTheme="majorBidi" w:hAnsiTheme="majorBidi" w:cstheme="majorBidi"/>
          <w:i/>
          <w:iCs/>
          <w:sz w:val="24"/>
          <w:szCs w:val="24"/>
        </w:rPr>
        <w:t>a value of r</w:t>
      </w:r>
      <w:r w:rsidR="00E50045" w:rsidRPr="00F332F4">
        <w:rPr>
          <w:rFonts w:asciiTheme="majorBidi" w:hAnsiTheme="majorBidi" w:cstheme="majorBidi"/>
          <w:sz w:val="24"/>
          <w:szCs w:val="24"/>
        </w:rPr>
        <w:t xml:space="preserve"> calculated &gt; </w:t>
      </w:r>
      <w:r w:rsidR="00E50045" w:rsidRPr="00F332F4">
        <w:rPr>
          <w:rFonts w:asciiTheme="majorBidi" w:hAnsiTheme="majorBidi" w:cstheme="majorBidi"/>
          <w:i/>
          <w:iCs/>
          <w:sz w:val="24"/>
          <w:szCs w:val="24"/>
        </w:rPr>
        <w:t>r</w:t>
      </w:r>
      <w:r w:rsidR="00E50045" w:rsidRPr="00F332F4">
        <w:rPr>
          <w:rFonts w:asciiTheme="majorBidi" w:hAnsiTheme="majorBidi" w:cstheme="majorBidi"/>
          <w:sz w:val="24"/>
          <w:szCs w:val="24"/>
        </w:rPr>
        <w:t xml:space="preserve"> table (0.396) at a significant level of 5%. Thus, reading comprehension instruments can be used to measure students' reading comprehension in Arabic texts.</w:t>
      </w:r>
    </w:p>
    <w:p w14:paraId="57937046" w14:textId="41060658" w:rsidR="00C00128" w:rsidRPr="00C00128" w:rsidRDefault="00C22067" w:rsidP="00131F43">
      <w:pPr>
        <w:spacing w:after="0" w:line="240" w:lineRule="auto"/>
        <w:ind w:firstLine="720"/>
        <w:jc w:val="both"/>
        <w:rPr>
          <w:rFonts w:asciiTheme="majorBidi" w:hAnsiTheme="majorBidi" w:cstheme="majorBidi"/>
          <w:sz w:val="24"/>
          <w:szCs w:val="24"/>
        </w:rPr>
      </w:pPr>
      <w:r w:rsidRPr="00F332F4">
        <w:rPr>
          <w:rFonts w:asciiTheme="majorBidi" w:hAnsiTheme="majorBidi" w:cstheme="majorBidi"/>
          <w:sz w:val="24"/>
          <w:szCs w:val="24"/>
        </w:rPr>
        <w:t xml:space="preserve">Reliability tests are performed to see the consistency of the instrument in measuring the same variable. </w:t>
      </w:r>
      <w:r w:rsidR="00B27520" w:rsidRPr="00B27520">
        <w:rPr>
          <w:rFonts w:asciiTheme="majorBidi" w:hAnsiTheme="majorBidi" w:cstheme="majorBidi"/>
          <w:sz w:val="24"/>
          <w:szCs w:val="24"/>
        </w:rPr>
        <w:t>The reliability test of the reading comprehension instrument showed a Cronbach's Alpha value of 0.936 based on 30 items</w:t>
      </w:r>
      <w:r w:rsidRPr="00F332F4">
        <w:rPr>
          <w:rFonts w:asciiTheme="majorBidi" w:hAnsiTheme="majorBidi" w:cstheme="majorBidi"/>
          <w:sz w:val="24"/>
          <w:szCs w:val="24"/>
        </w:rPr>
        <w:t>. Cronbach's Alpha value is included in the very good category because it has a significance value of α &gt; 0.6 which indicates that the instrument has high internal consistency. This means that the items in this test are significantly correlated with each other and together measure reading comprehension constructs consistently. With this reliability value, the reading comprehension test instrument is reliable and trustworthy to be used in various educational or research evaluation contexts, providing confidence that the scores obtained reflect the participants' reading comprehension abilities accurately and consistently.</w:t>
      </w:r>
    </w:p>
    <w:p w14:paraId="343C00FA" w14:textId="5F319ED9" w:rsidR="00C22067" w:rsidRPr="00F332F4" w:rsidRDefault="00C22067" w:rsidP="00131F43">
      <w:pPr>
        <w:spacing w:after="0" w:line="240" w:lineRule="auto"/>
        <w:ind w:firstLine="720"/>
        <w:jc w:val="both"/>
        <w:rPr>
          <w:rFonts w:asciiTheme="majorBidi" w:hAnsiTheme="majorBidi" w:cstheme="majorBidi"/>
          <w:sz w:val="24"/>
          <w:szCs w:val="24"/>
        </w:rPr>
      </w:pPr>
      <w:r w:rsidRPr="00F332F4">
        <w:rPr>
          <w:rFonts w:asciiTheme="majorBidi" w:hAnsiTheme="majorBidi" w:cstheme="majorBidi"/>
          <w:sz w:val="24"/>
          <w:szCs w:val="24"/>
        </w:rPr>
        <w:t xml:space="preserve">This study shows a significant impact of the application  of </w:t>
      </w:r>
      <w:r w:rsidR="00B06A7D" w:rsidRPr="00B06A7D">
        <w:rPr>
          <w:rFonts w:asciiTheme="majorBidi" w:hAnsiTheme="majorBidi" w:cstheme="majorBidi"/>
          <w:i/>
          <w:iCs/>
          <w:sz w:val="24"/>
          <w:szCs w:val="24"/>
        </w:rPr>
        <w:t>Collaborative Strategic Reading</w:t>
      </w:r>
      <w:r w:rsidRPr="00F332F4">
        <w:rPr>
          <w:rFonts w:asciiTheme="majorBidi" w:hAnsiTheme="majorBidi" w:cstheme="majorBidi"/>
          <w:sz w:val="24"/>
          <w:szCs w:val="24"/>
        </w:rPr>
        <w:t xml:space="preserve"> (CSR) on students' reading comprehension. To measure the effectiveness of CSR, pretests and posttests were carried out using a reading comprehension test adapted from </w:t>
      </w:r>
      <w:r w:rsidRPr="00F332F4">
        <w:rPr>
          <w:rFonts w:asciiTheme="majorBidi" w:hAnsiTheme="majorBidi" w:cstheme="majorBidi"/>
          <w:i/>
          <w:iCs/>
          <w:sz w:val="24"/>
          <w:szCs w:val="24"/>
        </w:rPr>
        <w:t>the Test of Arabic as a Foreign Language</w:t>
      </w:r>
      <w:r w:rsidRPr="00F332F4">
        <w:rPr>
          <w:rFonts w:asciiTheme="majorBidi" w:hAnsiTheme="majorBidi" w:cstheme="majorBidi"/>
          <w:sz w:val="24"/>
          <w:szCs w:val="24"/>
        </w:rPr>
        <w:t xml:space="preserve"> (TOAFL). The test consists of 30 multiple-choice questions that include five different readings, with each correct answer earning one point, so the maximum total score is 30.</w:t>
      </w:r>
    </w:p>
    <w:p w14:paraId="7CFE3DB3" w14:textId="77777777" w:rsidR="00C22067" w:rsidRDefault="00C22067" w:rsidP="00131F43">
      <w:pPr>
        <w:spacing w:after="0" w:line="240" w:lineRule="auto"/>
        <w:ind w:firstLine="720"/>
        <w:jc w:val="both"/>
        <w:rPr>
          <w:rFonts w:asciiTheme="majorBidi" w:hAnsiTheme="majorBidi" w:cstheme="majorBidi"/>
          <w:sz w:val="24"/>
          <w:szCs w:val="24"/>
        </w:rPr>
      </w:pPr>
      <w:r w:rsidRPr="00F332F4">
        <w:rPr>
          <w:rFonts w:asciiTheme="majorBidi" w:hAnsiTheme="majorBidi" w:cstheme="majorBidi"/>
          <w:sz w:val="24"/>
          <w:szCs w:val="24"/>
        </w:rPr>
        <w:t>Of the total 50 students involved in the study, 25 students were grouped into experimental classes that received CSR treatments, while the other 25 students were in control classes that received traditional learning. The following are the results of the pretest and posttest scores for each student in the experimental class and the control class:</w:t>
      </w:r>
    </w:p>
    <w:p w14:paraId="1B868B6D" w14:textId="41A3E3B7" w:rsidR="00C22067" w:rsidRPr="00FB3B13" w:rsidRDefault="00073355"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The lowest score on the pretest score was 48 and the highest score was 62 with an average of 54.24. Meanwhile, in the posttest of the experimental class, it is known that the lowest score is 75 and the highest score is 88 with an average of 82.20. The lowest score on the pretest score was 53 and the highest score was 61 with an average of 57. Meanwhile, in the control class posttest, it is known that the lowest score is 57 and the highest score is 67 with an average of 62.12.</w:t>
      </w:r>
    </w:p>
    <w:p w14:paraId="6D0B51DA" w14:textId="673E275C" w:rsidR="00C22067" w:rsidRDefault="00C22067"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The normality test aims to find out whether the data used is normally distributed or not. This test uses the Shapiro-Wilk method at a significant level of 5% because the number of research subjects is 50 people. The results of the normality test of reading comprehension instruments can be seen in the following table 5.</w:t>
      </w:r>
    </w:p>
    <w:p w14:paraId="28ADFF6C" w14:textId="0F51982F" w:rsidR="00C22067" w:rsidRPr="00F332F4" w:rsidRDefault="00073355" w:rsidP="00131F43">
      <w:pPr>
        <w:spacing w:after="0" w:line="240" w:lineRule="auto"/>
        <w:ind w:firstLine="720"/>
        <w:jc w:val="both"/>
        <w:rPr>
          <w:rFonts w:asciiTheme="majorBidi" w:hAnsiTheme="majorBidi" w:cstheme="majorBidi"/>
          <w:sz w:val="24"/>
          <w:szCs w:val="24"/>
        </w:rPr>
      </w:pPr>
      <w:r w:rsidRPr="00506909">
        <w:rPr>
          <w:rFonts w:asciiTheme="majorBidi" w:hAnsiTheme="majorBidi" w:cstheme="majorBidi"/>
          <w:sz w:val="24"/>
          <w:szCs w:val="24"/>
        </w:rPr>
        <w:t>The pretest and posttest score data for both classes, namely experiment and control, meet the normality assumption. Each variable tested—including the pretest and posttest for the experimental class and the pretest and posttest for the control class—showed a significance value (p-value) greater than 0.05 on either the Shapiro-Wilk test. For example, the experimental pretest had a p-value of 0.646 on the Shapiro-Wilk test which exceeded the significance threshold of 0.05. Similarly, the experimental posttest, control pretest, and control posttest each showed a p-value higher than 0.05 on the Shapiro-Wilk test. This shows that the pretest and posttest data for the two groups are distributed normally.</w:t>
      </w:r>
    </w:p>
    <w:p w14:paraId="263A3679" w14:textId="04631841" w:rsidR="00C22067" w:rsidRPr="00F332F4" w:rsidRDefault="00C22067"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 xml:space="preserve">The t-test was conducted to compare the average pretest and posttest reading comprehension between the experimental class (which received the CSR treatment) and the control class (which used the traditional method). This t-test aims to find out if there is a significant difference between the two </w:t>
      </w:r>
      <w:r w:rsidRPr="00FB3B13">
        <w:rPr>
          <w:rFonts w:asciiTheme="majorBidi" w:hAnsiTheme="majorBidi" w:cstheme="majorBidi"/>
          <w:sz w:val="24"/>
          <w:szCs w:val="24"/>
        </w:rPr>
        <w:lastRenderedPageBreak/>
        <w:t xml:space="preserve">groups. The t-test used in this study is an </w:t>
      </w:r>
      <w:r w:rsidR="00876EE2">
        <w:rPr>
          <w:rFonts w:asciiTheme="majorBidi" w:hAnsiTheme="majorBidi" w:cstheme="majorBidi"/>
          <w:i/>
          <w:iCs/>
          <w:sz w:val="24"/>
          <w:szCs w:val="24"/>
        </w:rPr>
        <w:t>independent sample T-test</w:t>
      </w:r>
      <w:r w:rsidR="00876EE2">
        <w:rPr>
          <w:rFonts w:asciiTheme="majorBidi" w:hAnsiTheme="majorBidi" w:cstheme="majorBidi"/>
          <w:sz w:val="24"/>
          <w:szCs w:val="24"/>
        </w:rPr>
        <w:t xml:space="preserve"> to compare the experimental class posttest and the control class. This is intended to determine the difference in the results of students' reading comprehension in classes that use CSR and classes that use conventional methods. The hypothesis of this research is:</w:t>
      </w:r>
    </w:p>
    <w:p w14:paraId="403D0A07" w14:textId="77777777" w:rsidR="00613473" w:rsidRDefault="00C22067" w:rsidP="00131F43">
      <w:pPr>
        <w:pStyle w:val="ListParagraph"/>
        <w:numPr>
          <w:ilvl w:val="0"/>
          <w:numId w:val="30"/>
        </w:numPr>
        <w:spacing w:after="0" w:line="240" w:lineRule="auto"/>
        <w:jc w:val="both"/>
        <w:rPr>
          <w:rFonts w:asciiTheme="majorBidi" w:hAnsiTheme="majorBidi" w:cstheme="majorBidi"/>
          <w:sz w:val="24"/>
          <w:szCs w:val="24"/>
        </w:rPr>
      </w:pPr>
      <w:r w:rsidRPr="00613473">
        <w:rPr>
          <w:rFonts w:asciiTheme="majorBidi" w:hAnsiTheme="majorBidi" w:cstheme="majorBidi"/>
          <w:sz w:val="24"/>
          <w:szCs w:val="24"/>
        </w:rPr>
        <w:t>H₀: There is no significant difference between the experimental class posttest and the control class.</w:t>
      </w:r>
    </w:p>
    <w:p w14:paraId="53F3B34B" w14:textId="654C6EA1" w:rsidR="00C22067" w:rsidRPr="00613473" w:rsidRDefault="00C22067" w:rsidP="00131F43">
      <w:pPr>
        <w:pStyle w:val="ListParagraph"/>
        <w:numPr>
          <w:ilvl w:val="0"/>
          <w:numId w:val="30"/>
        </w:numPr>
        <w:spacing w:after="0" w:line="240" w:lineRule="auto"/>
        <w:jc w:val="both"/>
        <w:rPr>
          <w:rFonts w:asciiTheme="majorBidi" w:hAnsiTheme="majorBidi" w:cstheme="majorBidi"/>
          <w:sz w:val="24"/>
          <w:szCs w:val="24"/>
        </w:rPr>
      </w:pPr>
      <w:r w:rsidRPr="00613473">
        <w:rPr>
          <w:rFonts w:asciiTheme="majorBidi" w:hAnsiTheme="majorBidi" w:cstheme="majorBidi"/>
          <w:sz w:val="24"/>
          <w:szCs w:val="24"/>
        </w:rPr>
        <w:t>H₁: There is a significant difference between the experimental class posttest and the control class.</w:t>
      </w:r>
    </w:p>
    <w:p w14:paraId="7476ABEE" w14:textId="7708DE11" w:rsidR="00551D1C" w:rsidRPr="00551D1C" w:rsidRDefault="00551D1C" w:rsidP="00131F43">
      <w:pPr>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 results of the </w:t>
      </w:r>
      <w:r>
        <w:rPr>
          <w:rFonts w:asciiTheme="majorBidi" w:hAnsiTheme="majorBidi" w:cstheme="majorBidi"/>
          <w:i/>
          <w:iCs/>
          <w:sz w:val="24"/>
          <w:szCs w:val="24"/>
        </w:rPr>
        <w:t>Independent Sample T-Test</w:t>
      </w:r>
      <w:r>
        <w:rPr>
          <w:rFonts w:asciiTheme="majorBidi" w:hAnsiTheme="majorBidi" w:cstheme="majorBidi"/>
          <w:sz w:val="24"/>
          <w:szCs w:val="24"/>
        </w:rPr>
        <w:t xml:space="preserve"> can be seen in the following table.</w:t>
      </w:r>
    </w:p>
    <w:p w14:paraId="1FFE6448" w14:textId="0B1DD8A8" w:rsidR="00551D1C" w:rsidRPr="00551D1C" w:rsidRDefault="00551D1C" w:rsidP="009246DD">
      <w:pPr>
        <w:spacing w:after="0" w:line="240" w:lineRule="auto"/>
        <w:jc w:val="center"/>
        <w:rPr>
          <w:rFonts w:asciiTheme="majorBidi" w:hAnsiTheme="majorBidi" w:cstheme="majorBidi"/>
          <w:sz w:val="24"/>
          <w:szCs w:val="24"/>
        </w:rPr>
      </w:pPr>
      <w:r>
        <w:rPr>
          <w:rFonts w:asciiTheme="majorBidi" w:hAnsiTheme="majorBidi" w:cstheme="majorBidi"/>
          <w:sz w:val="24"/>
          <w:szCs w:val="24"/>
        </w:rPr>
        <w:t>Table 1. Independent Sample T-Test Posttest Reading Comprehension Classroom Experiment and Control</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52"/>
        <w:gridCol w:w="1160"/>
        <w:gridCol w:w="740"/>
        <w:gridCol w:w="758"/>
        <w:gridCol w:w="550"/>
        <w:gridCol w:w="550"/>
        <w:gridCol w:w="666"/>
        <w:gridCol w:w="986"/>
        <w:gridCol w:w="1072"/>
        <w:gridCol w:w="852"/>
        <w:gridCol w:w="852"/>
      </w:tblGrid>
      <w:tr w:rsidR="00551D1C" w:rsidRPr="00551D1C" w14:paraId="7D77FB3B" w14:textId="77777777" w:rsidTr="006644D5">
        <w:trPr>
          <w:cantSplit/>
        </w:trPr>
        <w:tc>
          <w:tcPr>
            <w:tcW w:w="0" w:type="auto"/>
            <w:gridSpan w:val="11"/>
            <w:tcBorders>
              <w:top w:val="single" w:sz="4" w:space="0" w:color="auto"/>
              <w:bottom w:val="single" w:sz="4" w:space="0" w:color="auto"/>
            </w:tcBorders>
            <w:shd w:val="clear" w:color="auto" w:fill="auto"/>
          </w:tcPr>
          <w:p w14:paraId="7D59EA21"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b/>
                <w:bCs/>
                <w:sz w:val="20"/>
                <w:szCs w:val="20"/>
              </w:rPr>
              <w:t>Independent Samples Test</w:t>
            </w:r>
          </w:p>
        </w:tc>
      </w:tr>
      <w:tr w:rsidR="00551D1C" w:rsidRPr="00551D1C" w14:paraId="69C71059" w14:textId="77777777" w:rsidTr="006644D5">
        <w:trPr>
          <w:cantSplit/>
        </w:trPr>
        <w:tc>
          <w:tcPr>
            <w:tcW w:w="0" w:type="auto"/>
            <w:gridSpan w:val="2"/>
            <w:vMerge w:val="restart"/>
            <w:tcBorders>
              <w:top w:val="single" w:sz="4" w:space="0" w:color="auto"/>
              <w:bottom w:val="single" w:sz="4" w:space="0" w:color="auto"/>
            </w:tcBorders>
            <w:shd w:val="clear" w:color="auto" w:fill="auto"/>
          </w:tcPr>
          <w:p w14:paraId="7EEE0163"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gridSpan w:val="2"/>
            <w:tcBorders>
              <w:top w:val="single" w:sz="4" w:space="0" w:color="auto"/>
              <w:bottom w:val="single" w:sz="4" w:space="0" w:color="auto"/>
            </w:tcBorders>
            <w:shd w:val="clear" w:color="auto" w:fill="auto"/>
          </w:tcPr>
          <w:p w14:paraId="0BB83605"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Levene's Test for Equality of Variances</w:t>
            </w:r>
          </w:p>
        </w:tc>
        <w:tc>
          <w:tcPr>
            <w:tcW w:w="0" w:type="auto"/>
            <w:gridSpan w:val="7"/>
            <w:tcBorders>
              <w:top w:val="single" w:sz="4" w:space="0" w:color="auto"/>
              <w:bottom w:val="single" w:sz="4" w:space="0" w:color="auto"/>
            </w:tcBorders>
            <w:shd w:val="clear" w:color="auto" w:fill="auto"/>
          </w:tcPr>
          <w:p w14:paraId="34FD0574"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t-test for Equality of Means</w:t>
            </w:r>
          </w:p>
        </w:tc>
      </w:tr>
      <w:tr w:rsidR="00551D1C" w:rsidRPr="00551D1C" w14:paraId="36A88410" w14:textId="77777777" w:rsidTr="006644D5">
        <w:trPr>
          <w:cantSplit/>
        </w:trPr>
        <w:tc>
          <w:tcPr>
            <w:tcW w:w="0" w:type="auto"/>
            <w:gridSpan w:val="2"/>
            <w:vMerge/>
            <w:tcBorders>
              <w:top w:val="single" w:sz="4" w:space="0" w:color="auto"/>
              <w:bottom w:val="nil"/>
            </w:tcBorders>
            <w:shd w:val="clear" w:color="auto" w:fill="auto"/>
          </w:tcPr>
          <w:p w14:paraId="14CB250A"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vMerge w:val="restart"/>
            <w:tcBorders>
              <w:top w:val="single" w:sz="4" w:space="0" w:color="auto"/>
              <w:bottom w:val="nil"/>
            </w:tcBorders>
            <w:shd w:val="clear" w:color="auto" w:fill="auto"/>
          </w:tcPr>
          <w:p w14:paraId="5058AA07"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F</w:t>
            </w:r>
          </w:p>
        </w:tc>
        <w:tc>
          <w:tcPr>
            <w:tcW w:w="0" w:type="auto"/>
            <w:vMerge w:val="restart"/>
            <w:tcBorders>
              <w:top w:val="single" w:sz="4" w:space="0" w:color="auto"/>
              <w:bottom w:val="nil"/>
            </w:tcBorders>
            <w:shd w:val="clear" w:color="auto" w:fill="auto"/>
          </w:tcPr>
          <w:p w14:paraId="747FADA0"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Itself.</w:t>
            </w:r>
          </w:p>
        </w:tc>
        <w:tc>
          <w:tcPr>
            <w:tcW w:w="0" w:type="auto"/>
            <w:vMerge w:val="restart"/>
            <w:tcBorders>
              <w:top w:val="single" w:sz="4" w:space="0" w:color="auto"/>
              <w:bottom w:val="nil"/>
            </w:tcBorders>
            <w:shd w:val="clear" w:color="auto" w:fill="auto"/>
          </w:tcPr>
          <w:p w14:paraId="6134C038"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t</w:t>
            </w:r>
          </w:p>
        </w:tc>
        <w:tc>
          <w:tcPr>
            <w:tcW w:w="0" w:type="auto"/>
            <w:vMerge w:val="restart"/>
            <w:tcBorders>
              <w:top w:val="single" w:sz="4" w:space="0" w:color="auto"/>
              <w:bottom w:val="nil"/>
            </w:tcBorders>
            <w:shd w:val="clear" w:color="auto" w:fill="auto"/>
          </w:tcPr>
          <w:p w14:paraId="3FBF102A"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df</w:t>
            </w:r>
          </w:p>
        </w:tc>
        <w:tc>
          <w:tcPr>
            <w:tcW w:w="0" w:type="auto"/>
            <w:vMerge w:val="restart"/>
            <w:tcBorders>
              <w:top w:val="single" w:sz="4" w:space="0" w:color="auto"/>
              <w:bottom w:val="nil"/>
            </w:tcBorders>
            <w:shd w:val="clear" w:color="auto" w:fill="auto"/>
          </w:tcPr>
          <w:p w14:paraId="1FDC03B6"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Sig. (2-tailed)</w:t>
            </w:r>
          </w:p>
        </w:tc>
        <w:tc>
          <w:tcPr>
            <w:tcW w:w="0" w:type="auto"/>
            <w:vMerge w:val="restart"/>
            <w:tcBorders>
              <w:top w:val="single" w:sz="4" w:space="0" w:color="auto"/>
              <w:bottom w:val="nil"/>
            </w:tcBorders>
            <w:shd w:val="clear" w:color="auto" w:fill="auto"/>
          </w:tcPr>
          <w:p w14:paraId="56871889"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Mean Difference</w:t>
            </w:r>
          </w:p>
        </w:tc>
        <w:tc>
          <w:tcPr>
            <w:tcW w:w="0" w:type="auto"/>
            <w:vMerge w:val="restart"/>
            <w:tcBorders>
              <w:top w:val="single" w:sz="4" w:space="0" w:color="auto"/>
              <w:bottom w:val="nil"/>
            </w:tcBorders>
            <w:shd w:val="clear" w:color="auto" w:fill="auto"/>
          </w:tcPr>
          <w:p w14:paraId="17C51B2F"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Std. Error Difference</w:t>
            </w:r>
          </w:p>
        </w:tc>
        <w:tc>
          <w:tcPr>
            <w:tcW w:w="0" w:type="auto"/>
            <w:gridSpan w:val="2"/>
            <w:tcBorders>
              <w:top w:val="single" w:sz="4" w:space="0" w:color="auto"/>
              <w:bottom w:val="nil"/>
            </w:tcBorders>
            <w:shd w:val="clear" w:color="auto" w:fill="auto"/>
          </w:tcPr>
          <w:p w14:paraId="7FB0A4A0"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95% Confidence Interval of the Difference</w:t>
            </w:r>
          </w:p>
        </w:tc>
      </w:tr>
      <w:tr w:rsidR="00551D1C" w:rsidRPr="00551D1C" w14:paraId="0BFC1E24" w14:textId="77777777" w:rsidTr="006644D5">
        <w:trPr>
          <w:cantSplit/>
        </w:trPr>
        <w:tc>
          <w:tcPr>
            <w:tcW w:w="0" w:type="auto"/>
            <w:gridSpan w:val="2"/>
            <w:vMerge/>
            <w:tcBorders>
              <w:top w:val="nil"/>
              <w:bottom w:val="single" w:sz="4" w:space="0" w:color="auto"/>
            </w:tcBorders>
            <w:shd w:val="clear" w:color="auto" w:fill="auto"/>
          </w:tcPr>
          <w:p w14:paraId="79DF300D"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0243658D"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6E9B8B64"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603F6BDF"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7C1A342F"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1450D7AD"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7C6ED133"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425C8B10"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tcBorders>
              <w:top w:val="nil"/>
              <w:bottom w:val="single" w:sz="4" w:space="0" w:color="auto"/>
            </w:tcBorders>
            <w:shd w:val="clear" w:color="auto" w:fill="auto"/>
          </w:tcPr>
          <w:p w14:paraId="734FB043"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Lower</w:t>
            </w:r>
          </w:p>
        </w:tc>
        <w:tc>
          <w:tcPr>
            <w:tcW w:w="0" w:type="auto"/>
            <w:tcBorders>
              <w:top w:val="nil"/>
              <w:bottom w:val="single" w:sz="4" w:space="0" w:color="auto"/>
            </w:tcBorders>
            <w:shd w:val="clear" w:color="auto" w:fill="auto"/>
          </w:tcPr>
          <w:p w14:paraId="5329F72B"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Upper</w:t>
            </w:r>
          </w:p>
        </w:tc>
      </w:tr>
      <w:tr w:rsidR="00551D1C" w:rsidRPr="00551D1C" w14:paraId="0D9C3505" w14:textId="77777777" w:rsidTr="006644D5">
        <w:trPr>
          <w:cantSplit/>
        </w:trPr>
        <w:tc>
          <w:tcPr>
            <w:tcW w:w="0" w:type="auto"/>
            <w:vMerge w:val="restart"/>
            <w:tcBorders>
              <w:top w:val="single" w:sz="4" w:space="0" w:color="auto"/>
            </w:tcBorders>
            <w:shd w:val="clear" w:color="auto" w:fill="auto"/>
          </w:tcPr>
          <w:p w14:paraId="621D05AC" w14:textId="77777777" w:rsidR="00551D1C" w:rsidRPr="00551D1C" w:rsidRDefault="00551D1C" w:rsidP="009246DD">
            <w:pPr>
              <w:spacing w:after="0" w:line="240" w:lineRule="auto"/>
              <w:rPr>
                <w:rFonts w:asciiTheme="majorBidi" w:hAnsiTheme="majorBidi" w:cstheme="majorBidi"/>
                <w:sz w:val="20"/>
                <w:szCs w:val="20"/>
              </w:rPr>
            </w:pPr>
            <w:r w:rsidRPr="00551D1C">
              <w:rPr>
                <w:rFonts w:asciiTheme="majorBidi" w:hAnsiTheme="majorBidi" w:cstheme="majorBidi"/>
                <w:sz w:val="20"/>
                <w:szCs w:val="20"/>
              </w:rPr>
              <w:t>Reading Comprehension</w:t>
            </w:r>
          </w:p>
        </w:tc>
        <w:tc>
          <w:tcPr>
            <w:tcW w:w="0" w:type="auto"/>
            <w:tcBorders>
              <w:top w:val="single" w:sz="4" w:space="0" w:color="auto"/>
            </w:tcBorders>
            <w:shd w:val="clear" w:color="auto" w:fill="auto"/>
          </w:tcPr>
          <w:p w14:paraId="0E6F72FA" w14:textId="77777777" w:rsidR="00551D1C" w:rsidRPr="00551D1C" w:rsidRDefault="00551D1C" w:rsidP="009246DD">
            <w:pPr>
              <w:spacing w:after="0" w:line="240" w:lineRule="auto"/>
              <w:rPr>
                <w:rFonts w:asciiTheme="majorBidi" w:hAnsiTheme="majorBidi" w:cstheme="majorBidi"/>
                <w:sz w:val="20"/>
                <w:szCs w:val="20"/>
              </w:rPr>
            </w:pPr>
            <w:r w:rsidRPr="00551D1C">
              <w:rPr>
                <w:rFonts w:asciiTheme="majorBidi" w:hAnsiTheme="majorBidi" w:cstheme="majorBidi"/>
                <w:sz w:val="20"/>
                <w:szCs w:val="20"/>
              </w:rPr>
              <w:t>Equal variances assumed</w:t>
            </w:r>
          </w:p>
        </w:tc>
        <w:tc>
          <w:tcPr>
            <w:tcW w:w="0" w:type="auto"/>
            <w:tcBorders>
              <w:top w:val="single" w:sz="4" w:space="0" w:color="auto"/>
            </w:tcBorders>
            <w:shd w:val="clear" w:color="auto" w:fill="auto"/>
          </w:tcPr>
          <w:p w14:paraId="649A8BFA"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3.777</w:t>
            </w:r>
          </w:p>
        </w:tc>
        <w:tc>
          <w:tcPr>
            <w:tcW w:w="0" w:type="auto"/>
            <w:tcBorders>
              <w:top w:val="single" w:sz="4" w:space="0" w:color="auto"/>
            </w:tcBorders>
            <w:shd w:val="clear" w:color="auto" w:fill="auto"/>
          </w:tcPr>
          <w:p w14:paraId="17F8E7A4"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.058</w:t>
            </w:r>
          </w:p>
        </w:tc>
        <w:tc>
          <w:tcPr>
            <w:tcW w:w="0" w:type="auto"/>
            <w:tcBorders>
              <w:top w:val="single" w:sz="4" w:space="0" w:color="auto"/>
            </w:tcBorders>
            <w:shd w:val="clear" w:color="auto" w:fill="auto"/>
          </w:tcPr>
          <w:p w14:paraId="42DB2EAF"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21.749</w:t>
            </w:r>
          </w:p>
        </w:tc>
        <w:tc>
          <w:tcPr>
            <w:tcW w:w="0" w:type="auto"/>
            <w:tcBorders>
              <w:top w:val="single" w:sz="4" w:space="0" w:color="auto"/>
            </w:tcBorders>
            <w:shd w:val="clear" w:color="auto" w:fill="auto"/>
          </w:tcPr>
          <w:p w14:paraId="6D9ABA93"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48</w:t>
            </w:r>
          </w:p>
        </w:tc>
        <w:tc>
          <w:tcPr>
            <w:tcW w:w="0" w:type="auto"/>
            <w:tcBorders>
              <w:top w:val="single" w:sz="4" w:space="0" w:color="auto"/>
            </w:tcBorders>
            <w:shd w:val="clear" w:color="auto" w:fill="auto"/>
          </w:tcPr>
          <w:p w14:paraId="63F492C9"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.000</w:t>
            </w:r>
          </w:p>
        </w:tc>
        <w:tc>
          <w:tcPr>
            <w:tcW w:w="0" w:type="auto"/>
            <w:tcBorders>
              <w:top w:val="single" w:sz="4" w:space="0" w:color="auto"/>
            </w:tcBorders>
            <w:shd w:val="clear" w:color="auto" w:fill="auto"/>
          </w:tcPr>
          <w:p w14:paraId="38B00CC0"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19.760</w:t>
            </w:r>
          </w:p>
        </w:tc>
        <w:tc>
          <w:tcPr>
            <w:tcW w:w="0" w:type="auto"/>
            <w:tcBorders>
              <w:top w:val="single" w:sz="4" w:space="0" w:color="auto"/>
            </w:tcBorders>
            <w:shd w:val="clear" w:color="auto" w:fill="auto"/>
          </w:tcPr>
          <w:p w14:paraId="54E5F286"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.909</w:t>
            </w:r>
          </w:p>
        </w:tc>
        <w:tc>
          <w:tcPr>
            <w:tcW w:w="0" w:type="auto"/>
            <w:tcBorders>
              <w:top w:val="single" w:sz="4" w:space="0" w:color="auto"/>
            </w:tcBorders>
            <w:shd w:val="clear" w:color="auto" w:fill="auto"/>
          </w:tcPr>
          <w:p w14:paraId="1495D12E"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17.933</w:t>
            </w:r>
          </w:p>
        </w:tc>
        <w:tc>
          <w:tcPr>
            <w:tcW w:w="0" w:type="auto"/>
            <w:tcBorders>
              <w:top w:val="single" w:sz="4" w:space="0" w:color="auto"/>
            </w:tcBorders>
            <w:shd w:val="clear" w:color="auto" w:fill="auto"/>
          </w:tcPr>
          <w:p w14:paraId="528684A9"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21.587</w:t>
            </w:r>
          </w:p>
        </w:tc>
      </w:tr>
      <w:tr w:rsidR="00551D1C" w:rsidRPr="00551D1C" w14:paraId="434D43FE" w14:textId="77777777" w:rsidTr="006644D5">
        <w:trPr>
          <w:cantSplit/>
        </w:trPr>
        <w:tc>
          <w:tcPr>
            <w:tcW w:w="0" w:type="auto"/>
            <w:vMerge/>
            <w:shd w:val="clear" w:color="auto" w:fill="auto"/>
          </w:tcPr>
          <w:p w14:paraId="3CAAAA54"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shd w:val="clear" w:color="auto" w:fill="auto"/>
          </w:tcPr>
          <w:p w14:paraId="7A55241D" w14:textId="42DD4C07" w:rsidR="00551D1C" w:rsidRPr="00551D1C" w:rsidRDefault="00551D1C" w:rsidP="009246DD">
            <w:pPr>
              <w:spacing w:after="0" w:line="240" w:lineRule="auto"/>
              <w:rPr>
                <w:rFonts w:asciiTheme="majorBidi" w:hAnsiTheme="majorBidi" w:cstheme="majorBidi"/>
                <w:sz w:val="20"/>
                <w:szCs w:val="20"/>
              </w:rPr>
            </w:pPr>
            <w:r w:rsidRPr="00551D1C">
              <w:rPr>
                <w:rFonts w:asciiTheme="majorBidi" w:hAnsiTheme="majorBidi" w:cstheme="majorBidi"/>
                <w:sz w:val="20"/>
                <w:szCs w:val="20"/>
              </w:rPr>
              <w:t>Equal variances not assumed</w:t>
            </w:r>
          </w:p>
        </w:tc>
        <w:tc>
          <w:tcPr>
            <w:tcW w:w="0" w:type="auto"/>
            <w:shd w:val="clear" w:color="auto" w:fill="auto"/>
          </w:tcPr>
          <w:p w14:paraId="2F57774E"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shd w:val="clear" w:color="auto" w:fill="auto"/>
          </w:tcPr>
          <w:p w14:paraId="4988AE19" w14:textId="77777777" w:rsidR="00551D1C" w:rsidRPr="00551D1C" w:rsidRDefault="00551D1C" w:rsidP="009246DD">
            <w:pPr>
              <w:spacing w:after="0" w:line="240" w:lineRule="auto"/>
              <w:jc w:val="center"/>
              <w:rPr>
                <w:rFonts w:asciiTheme="majorBidi" w:hAnsiTheme="majorBidi" w:cstheme="majorBidi"/>
                <w:sz w:val="20"/>
                <w:szCs w:val="20"/>
              </w:rPr>
            </w:pPr>
          </w:p>
        </w:tc>
        <w:tc>
          <w:tcPr>
            <w:tcW w:w="0" w:type="auto"/>
            <w:shd w:val="clear" w:color="auto" w:fill="auto"/>
          </w:tcPr>
          <w:p w14:paraId="1B8BC8DB"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21.749</w:t>
            </w:r>
          </w:p>
        </w:tc>
        <w:tc>
          <w:tcPr>
            <w:tcW w:w="0" w:type="auto"/>
            <w:shd w:val="clear" w:color="auto" w:fill="auto"/>
          </w:tcPr>
          <w:p w14:paraId="5CA52FE1"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43.768</w:t>
            </w:r>
          </w:p>
        </w:tc>
        <w:tc>
          <w:tcPr>
            <w:tcW w:w="0" w:type="auto"/>
            <w:shd w:val="clear" w:color="auto" w:fill="auto"/>
          </w:tcPr>
          <w:p w14:paraId="482ABF07"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.000</w:t>
            </w:r>
          </w:p>
        </w:tc>
        <w:tc>
          <w:tcPr>
            <w:tcW w:w="0" w:type="auto"/>
            <w:shd w:val="clear" w:color="auto" w:fill="auto"/>
          </w:tcPr>
          <w:p w14:paraId="2AEF45C9"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19.760</w:t>
            </w:r>
          </w:p>
        </w:tc>
        <w:tc>
          <w:tcPr>
            <w:tcW w:w="0" w:type="auto"/>
            <w:shd w:val="clear" w:color="auto" w:fill="auto"/>
          </w:tcPr>
          <w:p w14:paraId="38550C7B"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.909</w:t>
            </w:r>
          </w:p>
        </w:tc>
        <w:tc>
          <w:tcPr>
            <w:tcW w:w="0" w:type="auto"/>
            <w:shd w:val="clear" w:color="auto" w:fill="auto"/>
          </w:tcPr>
          <w:p w14:paraId="31CCAA12"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17.929</w:t>
            </w:r>
          </w:p>
        </w:tc>
        <w:tc>
          <w:tcPr>
            <w:tcW w:w="0" w:type="auto"/>
            <w:shd w:val="clear" w:color="auto" w:fill="auto"/>
          </w:tcPr>
          <w:p w14:paraId="13A530C9" w14:textId="77777777" w:rsidR="00551D1C" w:rsidRPr="00551D1C" w:rsidRDefault="00551D1C" w:rsidP="009246DD">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21.591</w:t>
            </w:r>
          </w:p>
        </w:tc>
      </w:tr>
    </w:tbl>
    <w:p w14:paraId="5B51E1DD" w14:textId="1EA7AE4A" w:rsidR="00551D1C" w:rsidRDefault="00A43A51" w:rsidP="009246DD">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Based on the table above, it is known  that the results of the </w:t>
      </w:r>
      <w:r w:rsidR="00B06A7D" w:rsidRPr="00B06A7D">
        <w:rPr>
          <w:rFonts w:asciiTheme="majorBidi" w:hAnsiTheme="majorBidi" w:cstheme="majorBidi"/>
          <w:i/>
          <w:iCs/>
          <w:sz w:val="24"/>
          <w:szCs w:val="24"/>
        </w:rPr>
        <w:t>Independent Samples T-Test</w:t>
      </w:r>
      <w:r w:rsidRPr="00A43A51">
        <w:rPr>
          <w:rFonts w:asciiTheme="majorBidi" w:hAnsiTheme="majorBidi" w:cstheme="majorBidi"/>
          <w:sz w:val="24"/>
          <w:szCs w:val="24"/>
        </w:rPr>
        <w:t xml:space="preserve"> show that the assumption of equality of variance between the two groups tested using </w:t>
      </w:r>
      <w:r w:rsidRPr="00A43A51">
        <w:rPr>
          <w:rFonts w:asciiTheme="majorBidi" w:hAnsiTheme="majorBidi" w:cstheme="majorBidi"/>
          <w:i/>
          <w:iCs/>
          <w:sz w:val="24"/>
          <w:szCs w:val="24"/>
        </w:rPr>
        <w:t>Levene's Test for Equality of Variances</w:t>
      </w:r>
      <w:r w:rsidRPr="00A43A51">
        <w:rPr>
          <w:rFonts w:asciiTheme="majorBidi" w:hAnsiTheme="majorBidi" w:cstheme="majorBidi"/>
          <w:sz w:val="24"/>
          <w:szCs w:val="24"/>
        </w:rPr>
        <w:t xml:space="preserve"> is met, with an F value of 3.777 and a significance value of 0.058 (greater than 0.05). This shows that there is no significant difference in the variance of the two groups. Furthermore, the t-test on the </w:t>
      </w:r>
      <w:r w:rsidRPr="00A43A51">
        <w:rPr>
          <w:rFonts w:asciiTheme="majorBidi" w:hAnsiTheme="majorBidi" w:cstheme="majorBidi"/>
          <w:i/>
          <w:iCs/>
          <w:sz w:val="24"/>
          <w:szCs w:val="24"/>
        </w:rPr>
        <w:t>Equal variances assumed</w:t>
      </w:r>
      <w:r w:rsidRPr="00A43A51">
        <w:rPr>
          <w:rFonts w:asciiTheme="majorBidi" w:hAnsiTheme="majorBidi" w:cstheme="majorBidi"/>
          <w:sz w:val="24"/>
          <w:szCs w:val="24"/>
        </w:rPr>
        <w:t xml:space="preserve"> line  showed a t-value of 21</w:t>
      </w:r>
      <w:r w:rsidR="005815C3">
        <w:rPr>
          <w:rFonts w:asciiTheme="majorBidi" w:hAnsiTheme="majorBidi" w:cstheme="majorBidi"/>
          <w:sz w:val="24"/>
          <w:szCs w:val="24"/>
        </w:rPr>
        <w:t>.</w:t>
      </w:r>
      <w:r w:rsidRPr="00A43A51">
        <w:rPr>
          <w:rFonts w:asciiTheme="majorBidi" w:hAnsiTheme="majorBidi" w:cstheme="majorBidi"/>
          <w:sz w:val="24"/>
          <w:szCs w:val="24"/>
        </w:rPr>
        <w:t>749 with a degree of freedom (df) of 48, and a significance value (2-tailed) of 0.000. This significance value far below 0.05 shows that there is a very significant difference in average Arabic reading comprehension between the two groups. The average difference is 19</w:t>
      </w:r>
      <w:r w:rsidR="005815C3">
        <w:rPr>
          <w:rFonts w:asciiTheme="majorBidi" w:hAnsiTheme="majorBidi" w:cstheme="majorBidi"/>
          <w:sz w:val="24"/>
          <w:szCs w:val="24"/>
        </w:rPr>
        <w:t>.</w:t>
      </w:r>
      <w:r w:rsidRPr="00A43A51">
        <w:rPr>
          <w:rFonts w:asciiTheme="majorBidi" w:hAnsiTheme="majorBidi" w:cstheme="majorBidi"/>
          <w:sz w:val="24"/>
          <w:szCs w:val="24"/>
        </w:rPr>
        <w:t>760 with a standard error of 0.909. In addition, the 95% confidence interval for the mean difference is in the range of 17</w:t>
      </w:r>
      <w:r w:rsidR="005815C3">
        <w:rPr>
          <w:rFonts w:asciiTheme="majorBidi" w:hAnsiTheme="majorBidi" w:cstheme="majorBidi"/>
          <w:sz w:val="24"/>
          <w:szCs w:val="24"/>
        </w:rPr>
        <w:t>.</w:t>
      </w:r>
      <w:r w:rsidRPr="00A43A51">
        <w:rPr>
          <w:rFonts w:asciiTheme="majorBidi" w:hAnsiTheme="majorBidi" w:cstheme="majorBidi"/>
          <w:sz w:val="24"/>
          <w:szCs w:val="24"/>
        </w:rPr>
        <w:t>933 to 21</w:t>
      </w:r>
      <w:r w:rsidR="005815C3">
        <w:rPr>
          <w:rFonts w:asciiTheme="majorBidi" w:hAnsiTheme="majorBidi" w:cstheme="majorBidi"/>
          <w:sz w:val="24"/>
          <w:szCs w:val="24"/>
        </w:rPr>
        <w:t>.</w:t>
      </w:r>
      <w:r w:rsidRPr="00A43A51">
        <w:rPr>
          <w:rFonts w:asciiTheme="majorBidi" w:hAnsiTheme="majorBidi" w:cstheme="majorBidi"/>
          <w:sz w:val="24"/>
          <w:szCs w:val="24"/>
        </w:rPr>
        <w:t xml:space="preserve">587, which means that it is 95% certain that the mean difference between the two groups is within that range. Thus, there was a significant difference in reading comprehension between the experimental class and the control class, where the experimental class had a higher reading comprehension score of about 19.76 points compared to the control class. Since </w:t>
      </w:r>
      <w:r w:rsidR="00E36304" w:rsidRPr="00F332F4">
        <w:rPr>
          <w:rFonts w:asciiTheme="majorBidi" w:hAnsiTheme="majorBidi" w:cstheme="majorBidi"/>
          <w:i/>
          <w:iCs/>
          <w:sz w:val="24"/>
          <w:szCs w:val="24"/>
        </w:rPr>
        <w:t>the p-value</w:t>
      </w:r>
      <w:r w:rsidR="00E36304" w:rsidRPr="00F332F4">
        <w:rPr>
          <w:rFonts w:asciiTheme="majorBidi" w:hAnsiTheme="majorBidi" w:cstheme="majorBidi"/>
          <w:sz w:val="24"/>
          <w:szCs w:val="24"/>
        </w:rPr>
        <w:t xml:space="preserve"> &lt; 0.05, H₀ is rejected. This indicates that learning to read Arabic using CSR is effective in improving the reading comprehension of students of the Arabic Language Education Study Program, State University of Semarang.</w:t>
      </w:r>
    </w:p>
    <w:p w14:paraId="21663644" w14:textId="77777777" w:rsidR="00D73CB3" w:rsidRDefault="00D73CB3" w:rsidP="00D73CB3">
      <w:pPr>
        <w:spacing w:line="240" w:lineRule="auto"/>
        <w:ind w:firstLine="360"/>
        <w:jc w:val="both"/>
        <w:rPr>
          <w:rFonts w:asciiTheme="majorBidi" w:hAnsiTheme="majorBidi" w:cstheme="majorBidi"/>
          <w:sz w:val="24"/>
          <w:szCs w:val="24"/>
        </w:rPr>
      </w:pPr>
    </w:p>
    <w:p w14:paraId="2FBD6C6C" w14:textId="7AC02EAB" w:rsidR="00C22067" w:rsidRPr="00C22067" w:rsidRDefault="00C22067" w:rsidP="009246DD">
      <w:pPr>
        <w:spacing w:line="240" w:lineRule="auto"/>
        <w:rPr>
          <w:rFonts w:asciiTheme="majorBidi" w:hAnsiTheme="majorBidi" w:cstheme="majorBidi"/>
          <w:b/>
          <w:bCs/>
          <w:sz w:val="24"/>
          <w:szCs w:val="24"/>
        </w:rPr>
      </w:pPr>
      <w:r w:rsidRPr="00C22067">
        <w:rPr>
          <w:rFonts w:asciiTheme="majorBidi" w:hAnsiTheme="majorBidi" w:cstheme="majorBidi"/>
          <w:b/>
          <w:bCs/>
          <w:sz w:val="24"/>
          <w:szCs w:val="24"/>
        </w:rPr>
        <w:t xml:space="preserve">The Impact </w:t>
      </w:r>
      <w:r w:rsidR="00B06A7D" w:rsidRPr="00B06A7D">
        <w:rPr>
          <w:rFonts w:asciiTheme="majorBidi" w:hAnsiTheme="majorBidi" w:cstheme="majorBidi"/>
          <w:b/>
          <w:bCs/>
          <w:i/>
          <w:iCs/>
          <w:sz w:val="24"/>
          <w:szCs w:val="24"/>
        </w:rPr>
        <w:t>of Collaborative Strategic Reading</w:t>
      </w:r>
      <w:r w:rsidRPr="00C22067">
        <w:rPr>
          <w:rFonts w:asciiTheme="majorBidi" w:hAnsiTheme="majorBidi" w:cstheme="majorBidi"/>
          <w:b/>
          <w:bCs/>
          <w:sz w:val="24"/>
          <w:szCs w:val="24"/>
        </w:rPr>
        <w:t xml:space="preserve"> on Reading Anxiety</w:t>
      </w:r>
    </w:p>
    <w:p w14:paraId="6AC30A13" w14:textId="45D5E144" w:rsidR="00B9120B" w:rsidRPr="00FB3B13" w:rsidRDefault="008A2CC2"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 xml:space="preserve">This study also measured the impact  of </w:t>
      </w:r>
      <w:r w:rsidR="00B06A7D" w:rsidRPr="00B06A7D">
        <w:rPr>
          <w:rFonts w:asciiTheme="majorBidi" w:hAnsiTheme="majorBidi" w:cstheme="majorBidi"/>
          <w:i/>
          <w:iCs/>
          <w:sz w:val="24"/>
          <w:szCs w:val="24"/>
        </w:rPr>
        <w:t>Collaborative Strategic Reading</w:t>
      </w:r>
      <w:r w:rsidRPr="00FB3B13">
        <w:rPr>
          <w:rFonts w:asciiTheme="majorBidi" w:hAnsiTheme="majorBidi" w:cstheme="majorBidi"/>
          <w:sz w:val="24"/>
          <w:szCs w:val="24"/>
        </w:rPr>
        <w:t xml:space="preserve"> (CSR) on students' reading anxiety using  the </w:t>
      </w:r>
      <w:r w:rsidRPr="00FB3B13">
        <w:rPr>
          <w:rFonts w:asciiTheme="majorBidi" w:hAnsiTheme="majorBidi" w:cstheme="majorBidi"/>
          <w:i/>
          <w:iCs/>
          <w:sz w:val="24"/>
          <w:szCs w:val="24"/>
        </w:rPr>
        <w:t>Foreign Language Reading Anxiety Scale</w:t>
      </w:r>
      <w:r w:rsidRPr="00FB3B13">
        <w:rPr>
          <w:rFonts w:asciiTheme="majorBidi" w:hAnsiTheme="majorBidi" w:cstheme="majorBidi"/>
          <w:sz w:val="24"/>
          <w:szCs w:val="24"/>
        </w:rPr>
        <w:t xml:space="preserve"> (FLRAS) instrument. FLRAS consists of 20 statements on a 5-point Likert scale, where total scores range from 20 to 100. The higher the FLRAS score, the higher the level of anxiety of students in reading foreign languages, in this case Arabic.</w:t>
      </w:r>
    </w:p>
    <w:p w14:paraId="2CAF0360" w14:textId="64CE4908" w:rsidR="00073355" w:rsidRDefault="008A2CC2"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The validity of the instrument is measured to ensure that the instrument used (FLRAS scale) actually measures the variables to be measured. The validity test was carried out using</w:t>
      </w:r>
      <w:r w:rsidR="00B27520">
        <w:rPr>
          <w:rFonts w:asciiTheme="majorBidi" w:hAnsiTheme="majorBidi" w:cstheme="majorBidi"/>
          <w:sz w:val="24"/>
          <w:szCs w:val="24"/>
        </w:rPr>
        <w:t xml:space="preserve"> the</w:t>
      </w:r>
      <w:r w:rsidRPr="00FB3B13">
        <w:rPr>
          <w:rFonts w:asciiTheme="majorBidi" w:hAnsiTheme="majorBidi" w:cstheme="majorBidi"/>
          <w:sz w:val="24"/>
          <w:szCs w:val="24"/>
        </w:rPr>
        <w:t xml:space="preserve"> </w:t>
      </w:r>
      <w:r w:rsidRPr="00FB3B13">
        <w:rPr>
          <w:rFonts w:asciiTheme="majorBidi" w:hAnsiTheme="majorBidi" w:cstheme="majorBidi"/>
          <w:i/>
          <w:iCs/>
          <w:sz w:val="24"/>
          <w:szCs w:val="24"/>
        </w:rPr>
        <w:t>Pearson's Product Moment</w:t>
      </w:r>
      <w:r w:rsidRPr="00FB3B13">
        <w:rPr>
          <w:rFonts w:asciiTheme="majorBidi" w:hAnsiTheme="majorBidi" w:cstheme="majorBidi"/>
          <w:sz w:val="24"/>
          <w:szCs w:val="24"/>
        </w:rPr>
        <w:t xml:space="preserve"> technique. The </w:t>
      </w:r>
      <w:r w:rsidRPr="00FB3B13">
        <w:rPr>
          <w:rFonts w:asciiTheme="majorBidi" w:hAnsiTheme="majorBidi" w:cstheme="majorBidi"/>
          <w:i/>
          <w:iCs/>
          <w:sz w:val="24"/>
          <w:szCs w:val="24"/>
        </w:rPr>
        <w:t>calculated r</w:t>
      </w:r>
      <w:r w:rsidRPr="00FB3B13">
        <w:rPr>
          <w:rFonts w:asciiTheme="majorBidi" w:hAnsiTheme="majorBidi" w:cstheme="majorBidi"/>
          <w:sz w:val="24"/>
          <w:szCs w:val="24"/>
        </w:rPr>
        <w:t xml:space="preserve"> value  was compared to  the </w:t>
      </w:r>
      <w:r w:rsidRPr="00FB3B13">
        <w:rPr>
          <w:rFonts w:asciiTheme="majorBidi" w:hAnsiTheme="majorBidi" w:cstheme="majorBidi"/>
          <w:i/>
          <w:iCs/>
          <w:sz w:val="24"/>
          <w:szCs w:val="24"/>
        </w:rPr>
        <w:t>table r</w:t>
      </w:r>
      <w:r w:rsidRPr="00FB3B13">
        <w:rPr>
          <w:rFonts w:asciiTheme="majorBidi" w:hAnsiTheme="majorBidi" w:cstheme="majorBidi"/>
          <w:sz w:val="24"/>
          <w:szCs w:val="24"/>
        </w:rPr>
        <w:t xml:space="preserve"> value  at a significant level of 5% and 1% with a sample of 25 respondents. </w:t>
      </w:r>
    </w:p>
    <w:p w14:paraId="01E2EA6B" w14:textId="51D72D85" w:rsidR="00C17426" w:rsidRDefault="00073355" w:rsidP="00131F43">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Of the 20 FLRAS items, all of them were declared valid because they had </w:t>
      </w:r>
      <w:r w:rsidR="00C17426" w:rsidRPr="00F332F4">
        <w:rPr>
          <w:rFonts w:asciiTheme="majorBidi" w:hAnsiTheme="majorBidi" w:cstheme="majorBidi"/>
          <w:i/>
          <w:iCs/>
          <w:sz w:val="24"/>
          <w:szCs w:val="24"/>
        </w:rPr>
        <w:t>a value of r</w:t>
      </w:r>
      <w:r w:rsidR="00C17426" w:rsidRPr="00F332F4">
        <w:rPr>
          <w:rFonts w:asciiTheme="majorBidi" w:hAnsiTheme="majorBidi" w:cstheme="majorBidi"/>
          <w:sz w:val="24"/>
          <w:szCs w:val="24"/>
        </w:rPr>
        <w:t xml:space="preserve"> calculated &gt; </w:t>
      </w:r>
      <w:r w:rsidR="00C17426" w:rsidRPr="00F332F4">
        <w:rPr>
          <w:rFonts w:asciiTheme="majorBidi" w:hAnsiTheme="majorBidi" w:cstheme="majorBidi"/>
          <w:i/>
          <w:iCs/>
          <w:sz w:val="24"/>
          <w:szCs w:val="24"/>
        </w:rPr>
        <w:t>r</w:t>
      </w:r>
      <w:r w:rsidR="00C17426" w:rsidRPr="00F332F4">
        <w:rPr>
          <w:rFonts w:asciiTheme="majorBidi" w:hAnsiTheme="majorBidi" w:cstheme="majorBidi"/>
          <w:sz w:val="24"/>
          <w:szCs w:val="24"/>
        </w:rPr>
        <w:t xml:space="preserve"> table (0.396) at a significant level of 5%. Thus, the FLRAS instrument can be used to measure students' reading anxiety when reading Arabic texts.</w:t>
      </w:r>
    </w:p>
    <w:p w14:paraId="4063DD91" w14:textId="64C61074" w:rsidR="006E5606" w:rsidRDefault="008A2CC2"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Reliability tests are performed to see the consistency of the instrument in measuring the same variable. Based on the results of the reading anxiety test instrument shown in table 8, Cronbach's Alpha value of 0.878 indicates that the instrument used has an excellent level of reliability because it has a significance value of α &gt; 0.6. In general, Cronbach's Alpha values above 0.6 are considered adequate to indicate the internal consistency of the instrument, and values above 0.8 indicate high reliability. Thus, it can be said that the instrument consisting of 20 questions is quite reliable to measure the level of reading anxiety in respondents consistently.</w:t>
      </w:r>
    </w:p>
    <w:p w14:paraId="2420442E" w14:textId="7401E6C5" w:rsidR="00073355" w:rsidRPr="00FB3B13" w:rsidRDefault="008A2CC2" w:rsidP="00131F43">
      <w:pPr>
        <w:spacing w:after="0" w:line="240" w:lineRule="auto"/>
        <w:ind w:firstLine="720"/>
        <w:jc w:val="both"/>
        <w:rPr>
          <w:rFonts w:asciiTheme="majorBidi" w:hAnsiTheme="majorBidi" w:cstheme="majorBidi"/>
          <w:sz w:val="24"/>
          <w:szCs w:val="24"/>
        </w:rPr>
      </w:pPr>
      <w:r w:rsidRPr="00F332F4">
        <w:rPr>
          <w:rFonts w:asciiTheme="majorBidi" w:hAnsiTheme="majorBidi" w:cstheme="majorBidi"/>
          <w:sz w:val="24"/>
          <w:szCs w:val="24"/>
        </w:rPr>
        <w:t>Of the total 50 students involved in the study, 25 students were grouped into experimental classes that received CSR treatments, while the other 25 students were in control classes that received traditional learning.</w:t>
      </w:r>
    </w:p>
    <w:p w14:paraId="2E0BAAD3" w14:textId="68283C90" w:rsidR="00B67DF3" w:rsidRPr="00FB3B13" w:rsidRDefault="00073355"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The lowest score on the FLRAS pretest score was 72 and the highest score was 79 with an average of 67.20. Meanwhile, in the FLRAS posttest of the experimental class, it is known that the lowest score is 54 and the highest score is 64 with an average of 52.80.</w:t>
      </w:r>
    </w:p>
    <w:p w14:paraId="58E32EFD" w14:textId="1784488B" w:rsidR="00095A34" w:rsidRPr="00FB3B13" w:rsidRDefault="00073355"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The lowest score on the FLRAS pretest score is 72 and the highest score is 77 with an average of 65.30. Meanwhile, in the FLRAS posttest of the control class, it is known that the lowest score is 67 and the highest score is 72 with an average of 62.00.</w:t>
      </w:r>
    </w:p>
    <w:p w14:paraId="3D8007B5" w14:textId="13F47885" w:rsidR="00014144" w:rsidRPr="00F332F4" w:rsidRDefault="007E6F5D"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 xml:space="preserve">The normality test aims to find out whether the data used is normally distributed or not. This test uses the Kolmogorov-Smirnov method at a significant level of 5%. The Shapiro-Wilk test showed that the overall significance value (Sig.) for the pretest and posttest in both experimental and control classes was above 0.05 (α &gt; 0.05). In the Shapiro-Wilk test, the lowest value was 0.111 for the pretest and posttest of the control class. Since all significance values exceed the 0.05 threshold, the pretest and posttest data in both classes are normally distributed. </w:t>
      </w:r>
    </w:p>
    <w:p w14:paraId="5FA8F5B7" w14:textId="0DAB9D9C" w:rsidR="00EE73F2" w:rsidRPr="00F332F4" w:rsidRDefault="007E6F5D" w:rsidP="00131F43">
      <w:pPr>
        <w:spacing w:after="0" w:line="240" w:lineRule="auto"/>
        <w:ind w:firstLine="720"/>
        <w:jc w:val="both"/>
        <w:rPr>
          <w:rFonts w:asciiTheme="majorBidi" w:hAnsiTheme="majorBidi" w:cstheme="majorBidi"/>
          <w:sz w:val="24"/>
          <w:szCs w:val="24"/>
        </w:rPr>
      </w:pPr>
      <w:r w:rsidRPr="00FB3B13">
        <w:rPr>
          <w:rFonts w:asciiTheme="majorBidi" w:hAnsiTheme="majorBidi" w:cstheme="majorBidi"/>
          <w:sz w:val="24"/>
          <w:szCs w:val="24"/>
        </w:rPr>
        <w:t xml:space="preserve">The t-test was conducted to compare the average posttest reading anxiety between the experimental class (which received CSR treatment) and the control class (which used traditional methods). This t-test aims to find out if there is a significant difference between the two groups. The t-test used in this study is an </w:t>
      </w:r>
      <w:r w:rsidR="00EE73F2">
        <w:rPr>
          <w:rFonts w:asciiTheme="majorBidi" w:hAnsiTheme="majorBidi" w:cstheme="majorBidi"/>
          <w:i/>
          <w:iCs/>
          <w:sz w:val="24"/>
          <w:szCs w:val="24"/>
        </w:rPr>
        <w:t>independent sample T-test</w:t>
      </w:r>
      <w:r w:rsidR="00EE73F2">
        <w:rPr>
          <w:rFonts w:asciiTheme="majorBidi" w:hAnsiTheme="majorBidi" w:cstheme="majorBidi"/>
          <w:sz w:val="24"/>
          <w:szCs w:val="24"/>
        </w:rPr>
        <w:t xml:space="preserve"> to compare the experimental class posttest and the control class. This is intended to determine the difference in the results of students' reading anxiety in classes that use CSR and classes that use conventional methods. The hypothesis of this research is:</w:t>
      </w:r>
    </w:p>
    <w:p w14:paraId="6FE74645" w14:textId="77777777" w:rsidR="00EE73F2" w:rsidRDefault="00EE73F2" w:rsidP="00131F43">
      <w:pPr>
        <w:pStyle w:val="ListParagraph"/>
        <w:numPr>
          <w:ilvl w:val="0"/>
          <w:numId w:val="30"/>
        </w:numPr>
        <w:spacing w:after="0" w:line="240" w:lineRule="auto"/>
        <w:jc w:val="both"/>
        <w:rPr>
          <w:rFonts w:asciiTheme="majorBidi" w:hAnsiTheme="majorBidi" w:cstheme="majorBidi"/>
          <w:sz w:val="24"/>
          <w:szCs w:val="24"/>
        </w:rPr>
      </w:pPr>
      <w:r w:rsidRPr="00613473">
        <w:rPr>
          <w:rFonts w:asciiTheme="majorBidi" w:hAnsiTheme="majorBidi" w:cstheme="majorBidi"/>
          <w:sz w:val="24"/>
          <w:szCs w:val="24"/>
        </w:rPr>
        <w:t>H₀: There is no significant difference between the experimental class posttest and the control class.</w:t>
      </w:r>
    </w:p>
    <w:p w14:paraId="167FA846" w14:textId="77777777" w:rsidR="00EE73F2" w:rsidRPr="00613473" w:rsidRDefault="00EE73F2" w:rsidP="00131F43">
      <w:pPr>
        <w:pStyle w:val="ListParagraph"/>
        <w:numPr>
          <w:ilvl w:val="0"/>
          <w:numId w:val="30"/>
        </w:numPr>
        <w:spacing w:after="0" w:line="240" w:lineRule="auto"/>
        <w:jc w:val="both"/>
        <w:rPr>
          <w:rFonts w:asciiTheme="majorBidi" w:hAnsiTheme="majorBidi" w:cstheme="majorBidi"/>
          <w:sz w:val="24"/>
          <w:szCs w:val="24"/>
        </w:rPr>
      </w:pPr>
      <w:r w:rsidRPr="00613473">
        <w:rPr>
          <w:rFonts w:asciiTheme="majorBidi" w:hAnsiTheme="majorBidi" w:cstheme="majorBidi"/>
          <w:sz w:val="24"/>
          <w:szCs w:val="24"/>
        </w:rPr>
        <w:t>H₁: There is a significant difference between the experimental class posttest and the control class.</w:t>
      </w:r>
    </w:p>
    <w:p w14:paraId="3E9E5E10" w14:textId="77777777" w:rsidR="00D73CB3" w:rsidRDefault="00D73CB3" w:rsidP="00131F43">
      <w:pPr>
        <w:spacing w:after="0" w:line="240" w:lineRule="auto"/>
        <w:ind w:firstLine="360"/>
        <w:jc w:val="both"/>
        <w:rPr>
          <w:rFonts w:asciiTheme="majorBidi" w:hAnsiTheme="majorBidi" w:cstheme="majorBidi"/>
          <w:sz w:val="24"/>
          <w:szCs w:val="24"/>
        </w:rPr>
      </w:pPr>
    </w:p>
    <w:p w14:paraId="6BB8FE79" w14:textId="77777777" w:rsidR="00D73CB3" w:rsidRDefault="00D73CB3" w:rsidP="00D73CB3">
      <w:pPr>
        <w:spacing w:after="0" w:line="240" w:lineRule="auto"/>
        <w:ind w:firstLine="360"/>
        <w:jc w:val="both"/>
        <w:rPr>
          <w:rFonts w:asciiTheme="majorBidi" w:hAnsiTheme="majorBidi" w:cstheme="majorBidi"/>
          <w:sz w:val="24"/>
          <w:szCs w:val="24"/>
        </w:rPr>
      </w:pPr>
    </w:p>
    <w:p w14:paraId="3E0000F8" w14:textId="77777777" w:rsidR="00D73CB3" w:rsidRDefault="00D73CB3" w:rsidP="00D73CB3">
      <w:pPr>
        <w:spacing w:after="0" w:line="240" w:lineRule="auto"/>
        <w:ind w:firstLine="360"/>
        <w:jc w:val="both"/>
        <w:rPr>
          <w:rFonts w:asciiTheme="majorBidi" w:hAnsiTheme="majorBidi" w:cstheme="majorBidi"/>
          <w:sz w:val="24"/>
          <w:szCs w:val="24"/>
        </w:rPr>
      </w:pPr>
    </w:p>
    <w:p w14:paraId="176612A5" w14:textId="77777777" w:rsidR="00D73CB3" w:rsidRDefault="00D73CB3" w:rsidP="00D73CB3">
      <w:pPr>
        <w:spacing w:after="0" w:line="240" w:lineRule="auto"/>
        <w:ind w:firstLine="360"/>
        <w:jc w:val="both"/>
        <w:rPr>
          <w:rFonts w:asciiTheme="majorBidi" w:hAnsiTheme="majorBidi" w:cstheme="majorBidi"/>
          <w:sz w:val="24"/>
          <w:szCs w:val="24"/>
        </w:rPr>
      </w:pPr>
    </w:p>
    <w:p w14:paraId="3003A204" w14:textId="77777777" w:rsidR="00D73CB3" w:rsidRDefault="00D73CB3" w:rsidP="00D73CB3">
      <w:pPr>
        <w:spacing w:after="0" w:line="240" w:lineRule="auto"/>
        <w:ind w:firstLine="360"/>
        <w:jc w:val="both"/>
        <w:rPr>
          <w:rFonts w:asciiTheme="majorBidi" w:hAnsiTheme="majorBidi" w:cstheme="majorBidi"/>
          <w:sz w:val="24"/>
          <w:szCs w:val="24"/>
        </w:rPr>
      </w:pPr>
    </w:p>
    <w:p w14:paraId="2C2AF74F" w14:textId="77777777" w:rsidR="00D73CB3" w:rsidRDefault="00D73CB3" w:rsidP="00D73CB3">
      <w:pPr>
        <w:spacing w:after="0" w:line="240" w:lineRule="auto"/>
        <w:ind w:firstLine="360"/>
        <w:jc w:val="both"/>
        <w:rPr>
          <w:rFonts w:asciiTheme="majorBidi" w:hAnsiTheme="majorBidi" w:cstheme="majorBidi"/>
          <w:sz w:val="24"/>
          <w:szCs w:val="24"/>
        </w:rPr>
      </w:pPr>
    </w:p>
    <w:p w14:paraId="3A674BCA" w14:textId="166B4461" w:rsidR="00EE73F2" w:rsidRPr="00551D1C" w:rsidRDefault="00EE73F2" w:rsidP="00D73CB3">
      <w:pPr>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 results of the </w:t>
      </w:r>
      <w:r>
        <w:rPr>
          <w:rFonts w:asciiTheme="majorBidi" w:hAnsiTheme="majorBidi" w:cstheme="majorBidi"/>
          <w:i/>
          <w:iCs/>
          <w:sz w:val="24"/>
          <w:szCs w:val="24"/>
        </w:rPr>
        <w:t>Independent Sample T-Test</w:t>
      </w:r>
      <w:r>
        <w:rPr>
          <w:rFonts w:asciiTheme="majorBidi" w:hAnsiTheme="majorBidi" w:cstheme="majorBidi"/>
          <w:sz w:val="24"/>
          <w:szCs w:val="24"/>
        </w:rPr>
        <w:t xml:space="preserve"> can be seen in the following table.</w:t>
      </w:r>
    </w:p>
    <w:p w14:paraId="27D34D5D" w14:textId="35F3E10B" w:rsidR="00EE73F2" w:rsidRPr="00551D1C" w:rsidRDefault="00EE73F2" w:rsidP="00D73CB3">
      <w:pPr>
        <w:spacing w:after="0" w:line="240" w:lineRule="auto"/>
        <w:jc w:val="center"/>
        <w:rPr>
          <w:rFonts w:asciiTheme="majorBidi" w:hAnsiTheme="majorBidi" w:cstheme="majorBidi"/>
          <w:sz w:val="24"/>
          <w:szCs w:val="24"/>
        </w:rPr>
      </w:pPr>
      <w:r>
        <w:rPr>
          <w:rFonts w:asciiTheme="majorBidi" w:hAnsiTheme="majorBidi" w:cstheme="majorBidi"/>
          <w:sz w:val="24"/>
          <w:szCs w:val="24"/>
        </w:rPr>
        <w:t>Table 12. Independent Sample T-Test Posttest Anxiety Reading Classroom Experiment and Control</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36"/>
        <w:gridCol w:w="1125"/>
        <w:gridCol w:w="775"/>
        <w:gridCol w:w="712"/>
        <w:gridCol w:w="630"/>
        <w:gridCol w:w="614"/>
        <w:gridCol w:w="653"/>
        <w:gridCol w:w="975"/>
        <w:gridCol w:w="1054"/>
        <w:gridCol w:w="911"/>
        <w:gridCol w:w="753"/>
      </w:tblGrid>
      <w:tr w:rsidR="00EE73F2" w:rsidRPr="00551D1C" w14:paraId="24FD8B3B" w14:textId="77777777" w:rsidTr="00743BF7">
        <w:trPr>
          <w:cantSplit/>
        </w:trPr>
        <w:tc>
          <w:tcPr>
            <w:tcW w:w="0" w:type="auto"/>
            <w:gridSpan w:val="11"/>
            <w:tcBorders>
              <w:top w:val="single" w:sz="4" w:space="0" w:color="auto"/>
              <w:bottom w:val="single" w:sz="4" w:space="0" w:color="auto"/>
            </w:tcBorders>
            <w:shd w:val="clear" w:color="auto" w:fill="auto"/>
          </w:tcPr>
          <w:p w14:paraId="704BBF79"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b/>
                <w:bCs/>
                <w:sz w:val="20"/>
                <w:szCs w:val="20"/>
              </w:rPr>
              <w:t>Independent Samples Test</w:t>
            </w:r>
          </w:p>
        </w:tc>
      </w:tr>
      <w:tr w:rsidR="00EE73F2" w:rsidRPr="00551D1C" w14:paraId="7E65A90E" w14:textId="77777777" w:rsidTr="00743BF7">
        <w:trPr>
          <w:cantSplit/>
        </w:trPr>
        <w:tc>
          <w:tcPr>
            <w:tcW w:w="0" w:type="auto"/>
            <w:gridSpan w:val="2"/>
            <w:vMerge w:val="restart"/>
            <w:tcBorders>
              <w:top w:val="single" w:sz="4" w:space="0" w:color="auto"/>
              <w:bottom w:val="single" w:sz="4" w:space="0" w:color="auto"/>
            </w:tcBorders>
            <w:shd w:val="clear" w:color="auto" w:fill="auto"/>
          </w:tcPr>
          <w:p w14:paraId="2DD31D18"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gridSpan w:val="2"/>
            <w:tcBorders>
              <w:top w:val="single" w:sz="4" w:space="0" w:color="auto"/>
              <w:bottom w:val="single" w:sz="4" w:space="0" w:color="auto"/>
            </w:tcBorders>
            <w:shd w:val="clear" w:color="auto" w:fill="auto"/>
          </w:tcPr>
          <w:p w14:paraId="170FE036"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Levene's Test for Equality of Variances</w:t>
            </w:r>
          </w:p>
        </w:tc>
        <w:tc>
          <w:tcPr>
            <w:tcW w:w="0" w:type="auto"/>
            <w:gridSpan w:val="7"/>
            <w:tcBorders>
              <w:top w:val="single" w:sz="4" w:space="0" w:color="auto"/>
              <w:bottom w:val="single" w:sz="4" w:space="0" w:color="auto"/>
            </w:tcBorders>
            <w:shd w:val="clear" w:color="auto" w:fill="auto"/>
          </w:tcPr>
          <w:p w14:paraId="57193DD3"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t-test for Equality of Means</w:t>
            </w:r>
          </w:p>
        </w:tc>
      </w:tr>
      <w:tr w:rsidR="00EE73F2" w:rsidRPr="00551D1C" w14:paraId="0D98F8B8" w14:textId="77777777" w:rsidTr="00743BF7">
        <w:trPr>
          <w:cantSplit/>
        </w:trPr>
        <w:tc>
          <w:tcPr>
            <w:tcW w:w="0" w:type="auto"/>
            <w:gridSpan w:val="2"/>
            <w:vMerge/>
            <w:tcBorders>
              <w:top w:val="single" w:sz="4" w:space="0" w:color="auto"/>
              <w:bottom w:val="nil"/>
            </w:tcBorders>
            <w:shd w:val="clear" w:color="auto" w:fill="auto"/>
          </w:tcPr>
          <w:p w14:paraId="1D138363"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vMerge w:val="restart"/>
            <w:tcBorders>
              <w:top w:val="single" w:sz="4" w:space="0" w:color="auto"/>
              <w:bottom w:val="nil"/>
            </w:tcBorders>
            <w:shd w:val="clear" w:color="auto" w:fill="auto"/>
          </w:tcPr>
          <w:p w14:paraId="10A425D7"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F</w:t>
            </w:r>
          </w:p>
        </w:tc>
        <w:tc>
          <w:tcPr>
            <w:tcW w:w="0" w:type="auto"/>
            <w:vMerge w:val="restart"/>
            <w:tcBorders>
              <w:top w:val="single" w:sz="4" w:space="0" w:color="auto"/>
              <w:bottom w:val="nil"/>
            </w:tcBorders>
            <w:shd w:val="clear" w:color="auto" w:fill="auto"/>
          </w:tcPr>
          <w:p w14:paraId="044C576A"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Itself.</w:t>
            </w:r>
          </w:p>
        </w:tc>
        <w:tc>
          <w:tcPr>
            <w:tcW w:w="0" w:type="auto"/>
            <w:vMerge w:val="restart"/>
            <w:tcBorders>
              <w:top w:val="single" w:sz="4" w:space="0" w:color="auto"/>
              <w:bottom w:val="nil"/>
            </w:tcBorders>
            <w:shd w:val="clear" w:color="auto" w:fill="auto"/>
          </w:tcPr>
          <w:p w14:paraId="7FC23AB8"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t</w:t>
            </w:r>
          </w:p>
        </w:tc>
        <w:tc>
          <w:tcPr>
            <w:tcW w:w="0" w:type="auto"/>
            <w:vMerge w:val="restart"/>
            <w:tcBorders>
              <w:top w:val="single" w:sz="4" w:space="0" w:color="auto"/>
              <w:bottom w:val="nil"/>
            </w:tcBorders>
            <w:shd w:val="clear" w:color="auto" w:fill="auto"/>
          </w:tcPr>
          <w:p w14:paraId="5953B468"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df</w:t>
            </w:r>
          </w:p>
        </w:tc>
        <w:tc>
          <w:tcPr>
            <w:tcW w:w="0" w:type="auto"/>
            <w:vMerge w:val="restart"/>
            <w:tcBorders>
              <w:top w:val="single" w:sz="4" w:space="0" w:color="auto"/>
              <w:bottom w:val="nil"/>
            </w:tcBorders>
            <w:shd w:val="clear" w:color="auto" w:fill="auto"/>
          </w:tcPr>
          <w:p w14:paraId="7B3CD484"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Sig. (2-tailed)</w:t>
            </w:r>
          </w:p>
        </w:tc>
        <w:tc>
          <w:tcPr>
            <w:tcW w:w="0" w:type="auto"/>
            <w:vMerge w:val="restart"/>
            <w:tcBorders>
              <w:top w:val="single" w:sz="4" w:space="0" w:color="auto"/>
              <w:bottom w:val="nil"/>
            </w:tcBorders>
            <w:shd w:val="clear" w:color="auto" w:fill="auto"/>
          </w:tcPr>
          <w:p w14:paraId="67B1CAE1"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Mean Difference</w:t>
            </w:r>
          </w:p>
        </w:tc>
        <w:tc>
          <w:tcPr>
            <w:tcW w:w="0" w:type="auto"/>
            <w:vMerge w:val="restart"/>
            <w:tcBorders>
              <w:top w:val="single" w:sz="4" w:space="0" w:color="auto"/>
              <w:bottom w:val="nil"/>
            </w:tcBorders>
            <w:shd w:val="clear" w:color="auto" w:fill="auto"/>
          </w:tcPr>
          <w:p w14:paraId="2AC10E8E"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Std. Error Difference</w:t>
            </w:r>
          </w:p>
        </w:tc>
        <w:tc>
          <w:tcPr>
            <w:tcW w:w="0" w:type="auto"/>
            <w:gridSpan w:val="2"/>
            <w:tcBorders>
              <w:top w:val="single" w:sz="4" w:space="0" w:color="auto"/>
              <w:bottom w:val="nil"/>
            </w:tcBorders>
            <w:shd w:val="clear" w:color="auto" w:fill="auto"/>
          </w:tcPr>
          <w:p w14:paraId="4B5817E1"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95% Confidence Interval of the Difference</w:t>
            </w:r>
          </w:p>
        </w:tc>
      </w:tr>
      <w:tr w:rsidR="00EE73F2" w:rsidRPr="00551D1C" w14:paraId="0665DDB7" w14:textId="77777777" w:rsidTr="00743BF7">
        <w:trPr>
          <w:cantSplit/>
        </w:trPr>
        <w:tc>
          <w:tcPr>
            <w:tcW w:w="0" w:type="auto"/>
            <w:gridSpan w:val="2"/>
            <w:vMerge/>
            <w:tcBorders>
              <w:top w:val="nil"/>
              <w:bottom w:val="single" w:sz="4" w:space="0" w:color="auto"/>
            </w:tcBorders>
            <w:shd w:val="clear" w:color="auto" w:fill="auto"/>
          </w:tcPr>
          <w:p w14:paraId="408A667D"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188A935E"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17443B57"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2FA5494E"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72FA00DC"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7BFFFBB8"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2668AF2B"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vMerge/>
            <w:tcBorders>
              <w:top w:val="nil"/>
              <w:bottom w:val="single" w:sz="4" w:space="0" w:color="auto"/>
            </w:tcBorders>
            <w:shd w:val="clear" w:color="auto" w:fill="auto"/>
          </w:tcPr>
          <w:p w14:paraId="1914B8B3" w14:textId="77777777" w:rsidR="00EE73F2" w:rsidRPr="00551D1C" w:rsidRDefault="00EE73F2" w:rsidP="00131F43">
            <w:pPr>
              <w:spacing w:after="0" w:line="240" w:lineRule="auto"/>
              <w:jc w:val="center"/>
              <w:rPr>
                <w:rFonts w:asciiTheme="majorBidi" w:hAnsiTheme="majorBidi" w:cstheme="majorBidi"/>
                <w:sz w:val="20"/>
                <w:szCs w:val="20"/>
              </w:rPr>
            </w:pPr>
          </w:p>
        </w:tc>
        <w:tc>
          <w:tcPr>
            <w:tcW w:w="0" w:type="auto"/>
            <w:tcBorders>
              <w:top w:val="nil"/>
              <w:bottom w:val="single" w:sz="4" w:space="0" w:color="auto"/>
            </w:tcBorders>
            <w:shd w:val="clear" w:color="auto" w:fill="auto"/>
          </w:tcPr>
          <w:p w14:paraId="4AFE67B8"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Lower</w:t>
            </w:r>
          </w:p>
        </w:tc>
        <w:tc>
          <w:tcPr>
            <w:tcW w:w="0" w:type="auto"/>
            <w:tcBorders>
              <w:top w:val="nil"/>
              <w:bottom w:val="single" w:sz="4" w:space="0" w:color="auto"/>
            </w:tcBorders>
            <w:shd w:val="clear" w:color="auto" w:fill="auto"/>
          </w:tcPr>
          <w:p w14:paraId="1CDDDCA1" w14:textId="77777777" w:rsidR="00EE73F2" w:rsidRPr="00551D1C" w:rsidRDefault="00EE73F2" w:rsidP="00131F43">
            <w:pPr>
              <w:spacing w:after="0" w:line="240" w:lineRule="auto"/>
              <w:jc w:val="center"/>
              <w:rPr>
                <w:rFonts w:asciiTheme="majorBidi" w:hAnsiTheme="majorBidi" w:cstheme="majorBidi"/>
                <w:sz w:val="20"/>
                <w:szCs w:val="20"/>
              </w:rPr>
            </w:pPr>
            <w:r w:rsidRPr="00551D1C">
              <w:rPr>
                <w:rFonts w:asciiTheme="majorBidi" w:hAnsiTheme="majorBidi" w:cstheme="majorBidi"/>
                <w:sz w:val="20"/>
                <w:szCs w:val="20"/>
              </w:rPr>
              <w:t>Upper</w:t>
            </w:r>
          </w:p>
        </w:tc>
      </w:tr>
      <w:tr w:rsidR="00A66DD9" w:rsidRPr="00551D1C" w14:paraId="119CDF27" w14:textId="77777777" w:rsidTr="00743BF7">
        <w:trPr>
          <w:cantSplit/>
        </w:trPr>
        <w:tc>
          <w:tcPr>
            <w:tcW w:w="0" w:type="auto"/>
            <w:vMerge w:val="restart"/>
            <w:tcBorders>
              <w:top w:val="single" w:sz="4" w:space="0" w:color="auto"/>
            </w:tcBorders>
            <w:shd w:val="clear" w:color="auto" w:fill="auto"/>
          </w:tcPr>
          <w:p w14:paraId="0CF76510" w14:textId="77777777" w:rsidR="00A66DD9" w:rsidRPr="00551D1C" w:rsidRDefault="00A66DD9" w:rsidP="00131F43">
            <w:pPr>
              <w:spacing w:after="0" w:line="240" w:lineRule="auto"/>
              <w:rPr>
                <w:rFonts w:asciiTheme="majorBidi" w:hAnsiTheme="majorBidi" w:cstheme="majorBidi"/>
                <w:sz w:val="20"/>
                <w:szCs w:val="20"/>
              </w:rPr>
            </w:pPr>
            <w:r w:rsidRPr="00551D1C">
              <w:rPr>
                <w:rFonts w:asciiTheme="majorBidi" w:hAnsiTheme="majorBidi" w:cstheme="majorBidi"/>
                <w:sz w:val="20"/>
                <w:szCs w:val="20"/>
              </w:rPr>
              <w:lastRenderedPageBreak/>
              <w:t>Reading Comprehension</w:t>
            </w:r>
          </w:p>
        </w:tc>
        <w:tc>
          <w:tcPr>
            <w:tcW w:w="0" w:type="auto"/>
            <w:tcBorders>
              <w:top w:val="single" w:sz="4" w:space="0" w:color="auto"/>
            </w:tcBorders>
            <w:shd w:val="clear" w:color="auto" w:fill="auto"/>
          </w:tcPr>
          <w:p w14:paraId="09ECD768" w14:textId="77777777" w:rsidR="00A66DD9" w:rsidRPr="00551D1C" w:rsidRDefault="00A66DD9" w:rsidP="00131F43">
            <w:pPr>
              <w:spacing w:after="0" w:line="240" w:lineRule="auto"/>
              <w:rPr>
                <w:rFonts w:asciiTheme="majorBidi" w:hAnsiTheme="majorBidi" w:cstheme="majorBidi"/>
                <w:sz w:val="20"/>
                <w:szCs w:val="20"/>
              </w:rPr>
            </w:pPr>
            <w:r w:rsidRPr="00551D1C">
              <w:rPr>
                <w:rFonts w:asciiTheme="majorBidi" w:hAnsiTheme="majorBidi" w:cstheme="majorBidi"/>
                <w:sz w:val="20"/>
                <w:szCs w:val="20"/>
              </w:rPr>
              <w:t>Equal variances assumed</w:t>
            </w:r>
          </w:p>
        </w:tc>
        <w:tc>
          <w:tcPr>
            <w:tcW w:w="0" w:type="auto"/>
            <w:tcBorders>
              <w:top w:val="single" w:sz="4" w:space="0" w:color="auto"/>
            </w:tcBorders>
            <w:shd w:val="clear" w:color="auto" w:fill="auto"/>
          </w:tcPr>
          <w:p w14:paraId="5E1053EC" w14:textId="2A247494" w:rsidR="00A66DD9" w:rsidRPr="00551D1C" w:rsidRDefault="00A66DD9" w:rsidP="00131F43">
            <w:pPr>
              <w:spacing w:after="0" w:line="240" w:lineRule="auto"/>
              <w:jc w:val="center"/>
              <w:rPr>
                <w:rFonts w:asciiTheme="majorBidi" w:hAnsiTheme="majorBidi" w:cstheme="majorBidi"/>
                <w:sz w:val="20"/>
                <w:szCs w:val="20"/>
              </w:rPr>
            </w:pPr>
            <w:r w:rsidRPr="002157AF">
              <w:t>6.221</w:t>
            </w:r>
          </w:p>
        </w:tc>
        <w:tc>
          <w:tcPr>
            <w:tcW w:w="0" w:type="auto"/>
            <w:tcBorders>
              <w:top w:val="single" w:sz="4" w:space="0" w:color="auto"/>
            </w:tcBorders>
            <w:shd w:val="clear" w:color="auto" w:fill="auto"/>
          </w:tcPr>
          <w:p w14:paraId="337065D8" w14:textId="32CC51C8" w:rsidR="00A66DD9" w:rsidRPr="00551D1C" w:rsidRDefault="00A66DD9" w:rsidP="00131F43">
            <w:pPr>
              <w:spacing w:after="0" w:line="240" w:lineRule="auto"/>
              <w:jc w:val="center"/>
              <w:rPr>
                <w:rFonts w:asciiTheme="majorBidi" w:hAnsiTheme="majorBidi" w:cstheme="majorBidi"/>
                <w:sz w:val="20"/>
                <w:szCs w:val="20"/>
              </w:rPr>
            </w:pPr>
            <w:r w:rsidRPr="002157AF">
              <w:t>.016</w:t>
            </w:r>
          </w:p>
        </w:tc>
        <w:tc>
          <w:tcPr>
            <w:tcW w:w="0" w:type="auto"/>
            <w:tcBorders>
              <w:top w:val="single" w:sz="4" w:space="0" w:color="auto"/>
            </w:tcBorders>
            <w:shd w:val="clear" w:color="auto" w:fill="auto"/>
          </w:tcPr>
          <w:p w14:paraId="79FFD287" w14:textId="798F30CB" w:rsidR="00A66DD9" w:rsidRPr="00551D1C" w:rsidRDefault="00A66DD9" w:rsidP="00131F43">
            <w:pPr>
              <w:spacing w:after="0" w:line="240" w:lineRule="auto"/>
              <w:jc w:val="center"/>
              <w:rPr>
                <w:rFonts w:asciiTheme="majorBidi" w:hAnsiTheme="majorBidi" w:cstheme="majorBidi"/>
                <w:sz w:val="20"/>
                <w:szCs w:val="20"/>
              </w:rPr>
            </w:pPr>
            <w:r w:rsidRPr="002157AF">
              <w:t>-16.688</w:t>
            </w:r>
          </w:p>
        </w:tc>
        <w:tc>
          <w:tcPr>
            <w:tcW w:w="0" w:type="auto"/>
            <w:tcBorders>
              <w:top w:val="single" w:sz="4" w:space="0" w:color="auto"/>
            </w:tcBorders>
            <w:shd w:val="clear" w:color="auto" w:fill="auto"/>
          </w:tcPr>
          <w:p w14:paraId="663C74AF" w14:textId="64B2BFA4" w:rsidR="00A66DD9" w:rsidRPr="00551D1C" w:rsidRDefault="00A66DD9" w:rsidP="00131F43">
            <w:pPr>
              <w:spacing w:after="0" w:line="240" w:lineRule="auto"/>
              <w:jc w:val="center"/>
              <w:rPr>
                <w:rFonts w:asciiTheme="majorBidi" w:hAnsiTheme="majorBidi" w:cstheme="majorBidi"/>
                <w:sz w:val="20"/>
                <w:szCs w:val="20"/>
              </w:rPr>
            </w:pPr>
            <w:r w:rsidRPr="002157AF">
              <w:t>48</w:t>
            </w:r>
          </w:p>
        </w:tc>
        <w:tc>
          <w:tcPr>
            <w:tcW w:w="0" w:type="auto"/>
            <w:tcBorders>
              <w:top w:val="single" w:sz="4" w:space="0" w:color="auto"/>
            </w:tcBorders>
            <w:shd w:val="clear" w:color="auto" w:fill="auto"/>
          </w:tcPr>
          <w:p w14:paraId="3855504A" w14:textId="125D5B15" w:rsidR="00A66DD9" w:rsidRPr="00551D1C" w:rsidRDefault="00A66DD9" w:rsidP="00131F43">
            <w:pPr>
              <w:spacing w:after="0" w:line="240" w:lineRule="auto"/>
              <w:jc w:val="center"/>
              <w:rPr>
                <w:rFonts w:asciiTheme="majorBidi" w:hAnsiTheme="majorBidi" w:cstheme="majorBidi"/>
                <w:sz w:val="20"/>
                <w:szCs w:val="20"/>
              </w:rPr>
            </w:pPr>
            <w:r w:rsidRPr="002157AF">
              <w:t>.000</w:t>
            </w:r>
          </w:p>
        </w:tc>
        <w:tc>
          <w:tcPr>
            <w:tcW w:w="0" w:type="auto"/>
            <w:tcBorders>
              <w:top w:val="single" w:sz="4" w:space="0" w:color="auto"/>
            </w:tcBorders>
            <w:shd w:val="clear" w:color="auto" w:fill="auto"/>
          </w:tcPr>
          <w:p w14:paraId="3BF6043E" w14:textId="09C2E01C" w:rsidR="00A66DD9" w:rsidRPr="00551D1C" w:rsidRDefault="00A66DD9" w:rsidP="00131F43">
            <w:pPr>
              <w:spacing w:after="0" w:line="240" w:lineRule="auto"/>
              <w:jc w:val="center"/>
              <w:rPr>
                <w:rFonts w:asciiTheme="majorBidi" w:hAnsiTheme="majorBidi" w:cstheme="majorBidi"/>
                <w:sz w:val="20"/>
                <w:szCs w:val="20"/>
              </w:rPr>
            </w:pPr>
            <w:r w:rsidRPr="002157AF">
              <w:t>-10.120</w:t>
            </w:r>
          </w:p>
        </w:tc>
        <w:tc>
          <w:tcPr>
            <w:tcW w:w="0" w:type="auto"/>
            <w:tcBorders>
              <w:top w:val="single" w:sz="4" w:space="0" w:color="auto"/>
            </w:tcBorders>
            <w:shd w:val="clear" w:color="auto" w:fill="auto"/>
          </w:tcPr>
          <w:p w14:paraId="680DA4CC" w14:textId="1B5566BB" w:rsidR="00A66DD9" w:rsidRPr="00551D1C" w:rsidRDefault="00A66DD9" w:rsidP="00131F43">
            <w:pPr>
              <w:spacing w:after="0" w:line="240" w:lineRule="auto"/>
              <w:jc w:val="center"/>
              <w:rPr>
                <w:rFonts w:asciiTheme="majorBidi" w:hAnsiTheme="majorBidi" w:cstheme="majorBidi"/>
                <w:sz w:val="20"/>
                <w:szCs w:val="20"/>
              </w:rPr>
            </w:pPr>
            <w:r w:rsidRPr="002157AF">
              <w:t>.606</w:t>
            </w:r>
          </w:p>
        </w:tc>
        <w:tc>
          <w:tcPr>
            <w:tcW w:w="0" w:type="auto"/>
            <w:tcBorders>
              <w:top w:val="single" w:sz="4" w:space="0" w:color="auto"/>
            </w:tcBorders>
            <w:shd w:val="clear" w:color="auto" w:fill="auto"/>
          </w:tcPr>
          <w:p w14:paraId="6E7823FD" w14:textId="215131F7" w:rsidR="00A66DD9" w:rsidRPr="00551D1C" w:rsidRDefault="00A66DD9" w:rsidP="00131F43">
            <w:pPr>
              <w:spacing w:after="0" w:line="240" w:lineRule="auto"/>
              <w:jc w:val="center"/>
              <w:rPr>
                <w:rFonts w:asciiTheme="majorBidi" w:hAnsiTheme="majorBidi" w:cstheme="majorBidi"/>
                <w:sz w:val="20"/>
                <w:szCs w:val="20"/>
              </w:rPr>
            </w:pPr>
            <w:r w:rsidRPr="002157AF">
              <w:t>-11.339</w:t>
            </w:r>
          </w:p>
        </w:tc>
        <w:tc>
          <w:tcPr>
            <w:tcW w:w="0" w:type="auto"/>
            <w:tcBorders>
              <w:top w:val="single" w:sz="4" w:space="0" w:color="auto"/>
            </w:tcBorders>
            <w:shd w:val="clear" w:color="auto" w:fill="auto"/>
          </w:tcPr>
          <w:p w14:paraId="120980BF" w14:textId="07ECC367" w:rsidR="00A66DD9" w:rsidRPr="00551D1C" w:rsidRDefault="00A66DD9" w:rsidP="00131F43">
            <w:pPr>
              <w:spacing w:after="0" w:line="240" w:lineRule="auto"/>
              <w:jc w:val="center"/>
              <w:rPr>
                <w:rFonts w:asciiTheme="majorBidi" w:hAnsiTheme="majorBidi" w:cstheme="majorBidi"/>
                <w:sz w:val="20"/>
                <w:szCs w:val="20"/>
              </w:rPr>
            </w:pPr>
            <w:r w:rsidRPr="002157AF">
              <w:t>-8.901</w:t>
            </w:r>
          </w:p>
        </w:tc>
      </w:tr>
      <w:tr w:rsidR="00A66DD9" w:rsidRPr="00551D1C" w14:paraId="6F4481B7" w14:textId="77777777" w:rsidTr="00743BF7">
        <w:trPr>
          <w:cantSplit/>
        </w:trPr>
        <w:tc>
          <w:tcPr>
            <w:tcW w:w="0" w:type="auto"/>
            <w:vMerge/>
            <w:shd w:val="clear" w:color="auto" w:fill="auto"/>
          </w:tcPr>
          <w:p w14:paraId="4A29A4BF" w14:textId="77777777" w:rsidR="00A66DD9" w:rsidRPr="00551D1C" w:rsidRDefault="00A66DD9" w:rsidP="00131F43">
            <w:pPr>
              <w:spacing w:after="0" w:line="240" w:lineRule="auto"/>
              <w:jc w:val="center"/>
              <w:rPr>
                <w:rFonts w:asciiTheme="majorBidi" w:hAnsiTheme="majorBidi" w:cstheme="majorBidi"/>
                <w:sz w:val="20"/>
                <w:szCs w:val="20"/>
              </w:rPr>
            </w:pPr>
          </w:p>
        </w:tc>
        <w:tc>
          <w:tcPr>
            <w:tcW w:w="0" w:type="auto"/>
            <w:shd w:val="clear" w:color="auto" w:fill="auto"/>
          </w:tcPr>
          <w:p w14:paraId="3AA21B76" w14:textId="77777777" w:rsidR="00A66DD9" w:rsidRPr="00551D1C" w:rsidRDefault="00A66DD9" w:rsidP="00131F43">
            <w:pPr>
              <w:spacing w:after="0" w:line="240" w:lineRule="auto"/>
              <w:rPr>
                <w:rFonts w:asciiTheme="majorBidi" w:hAnsiTheme="majorBidi" w:cstheme="majorBidi"/>
                <w:sz w:val="20"/>
                <w:szCs w:val="20"/>
              </w:rPr>
            </w:pPr>
            <w:r w:rsidRPr="00551D1C">
              <w:rPr>
                <w:rFonts w:asciiTheme="majorBidi" w:hAnsiTheme="majorBidi" w:cstheme="majorBidi"/>
                <w:sz w:val="20"/>
                <w:szCs w:val="20"/>
              </w:rPr>
              <w:t>Equal variances not assumed</w:t>
            </w:r>
          </w:p>
        </w:tc>
        <w:tc>
          <w:tcPr>
            <w:tcW w:w="0" w:type="auto"/>
            <w:shd w:val="clear" w:color="auto" w:fill="auto"/>
          </w:tcPr>
          <w:p w14:paraId="7804632B" w14:textId="77777777" w:rsidR="00A66DD9" w:rsidRPr="00551D1C" w:rsidRDefault="00A66DD9" w:rsidP="00131F43">
            <w:pPr>
              <w:spacing w:after="0" w:line="240" w:lineRule="auto"/>
              <w:jc w:val="center"/>
              <w:rPr>
                <w:rFonts w:asciiTheme="majorBidi" w:hAnsiTheme="majorBidi" w:cstheme="majorBidi"/>
                <w:sz w:val="20"/>
                <w:szCs w:val="20"/>
              </w:rPr>
            </w:pPr>
          </w:p>
        </w:tc>
        <w:tc>
          <w:tcPr>
            <w:tcW w:w="0" w:type="auto"/>
            <w:shd w:val="clear" w:color="auto" w:fill="auto"/>
          </w:tcPr>
          <w:p w14:paraId="5B5D58A3" w14:textId="77777777" w:rsidR="00A66DD9" w:rsidRPr="00551D1C" w:rsidRDefault="00A66DD9" w:rsidP="00131F43">
            <w:pPr>
              <w:spacing w:after="0" w:line="240" w:lineRule="auto"/>
              <w:jc w:val="center"/>
              <w:rPr>
                <w:rFonts w:asciiTheme="majorBidi" w:hAnsiTheme="majorBidi" w:cstheme="majorBidi"/>
                <w:sz w:val="20"/>
                <w:szCs w:val="20"/>
              </w:rPr>
            </w:pPr>
          </w:p>
        </w:tc>
        <w:tc>
          <w:tcPr>
            <w:tcW w:w="0" w:type="auto"/>
            <w:shd w:val="clear" w:color="auto" w:fill="auto"/>
          </w:tcPr>
          <w:p w14:paraId="271E5456" w14:textId="21F98741" w:rsidR="00A66DD9" w:rsidRPr="00551D1C" w:rsidRDefault="00A66DD9" w:rsidP="00131F43">
            <w:pPr>
              <w:spacing w:after="0" w:line="240" w:lineRule="auto"/>
              <w:jc w:val="center"/>
              <w:rPr>
                <w:rFonts w:asciiTheme="majorBidi" w:hAnsiTheme="majorBidi" w:cstheme="majorBidi"/>
                <w:sz w:val="20"/>
                <w:szCs w:val="20"/>
              </w:rPr>
            </w:pPr>
            <w:r w:rsidRPr="002157AF">
              <w:t>-16.688</w:t>
            </w:r>
          </w:p>
        </w:tc>
        <w:tc>
          <w:tcPr>
            <w:tcW w:w="0" w:type="auto"/>
            <w:shd w:val="clear" w:color="auto" w:fill="auto"/>
          </w:tcPr>
          <w:p w14:paraId="51962907" w14:textId="6A02BCF1" w:rsidR="00A66DD9" w:rsidRPr="00551D1C" w:rsidRDefault="00A66DD9" w:rsidP="00131F43">
            <w:pPr>
              <w:spacing w:after="0" w:line="240" w:lineRule="auto"/>
              <w:jc w:val="center"/>
              <w:rPr>
                <w:rFonts w:asciiTheme="majorBidi" w:hAnsiTheme="majorBidi" w:cstheme="majorBidi"/>
                <w:sz w:val="20"/>
                <w:szCs w:val="20"/>
              </w:rPr>
            </w:pPr>
            <w:r w:rsidRPr="002157AF">
              <w:t>37.133</w:t>
            </w:r>
          </w:p>
        </w:tc>
        <w:tc>
          <w:tcPr>
            <w:tcW w:w="0" w:type="auto"/>
            <w:shd w:val="clear" w:color="auto" w:fill="auto"/>
          </w:tcPr>
          <w:p w14:paraId="08B0DDD1" w14:textId="48B74003" w:rsidR="00A66DD9" w:rsidRPr="00551D1C" w:rsidRDefault="00A66DD9" w:rsidP="00131F43">
            <w:pPr>
              <w:spacing w:after="0" w:line="240" w:lineRule="auto"/>
              <w:jc w:val="center"/>
              <w:rPr>
                <w:rFonts w:asciiTheme="majorBidi" w:hAnsiTheme="majorBidi" w:cstheme="majorBidi"/>
                <w:sz w:val="20"/>
                <w:szCs w:val="20"/>
              </w:rPr>
            </w:pPr>
            <w:r w:rsidRPr="002157AF">
              <w:t>.000</w:t>
            </w:r>
          </w:p>
        </w:tc>
        <w:tc>
          <w:tcPr>
            <w:tcW w:w="0" w:type="auto"/>
            <w:shd w:val="clear" w:color="auto" w:fill="auto"/>
          </w:tcPr>
          <w:p w14:paraId="043A6077" w14:textId="0BF5468C" w:rsidR="00A66DD9" w:rsidRPr="00551D1C" w:rsidRDefault="00A66DD9" w:rsidP="00131F43">
            <w:pPr>
              <w:spacing w:after="0" w:line="240" w:lineRule="auto"/>
              <w:jc w:val="center"/>
              <w:rPr>
                <w:rFonts w:asciiTheme="majorBidi" w:hAnsiTheme="majorBidi" w:cstheme="majorBidi"/>
                <w:sz w:val="20"/>
                <w:szCs w:val="20"/>
              </w:rPr>
            </w:pPr>
            <w:r w:rsidRPr="002157AF">
              <w:t>-10.120</w:t>
            </w:r>
          </w:p>
        </w:tc>
        <w:tc>
          <w:tcPr>
            <w:tcW w:w="0" w:type="auto"/>
            <w:shd w:val="clear" w:color="auto" w:fill="auto"/>
          </w:tcPr>
          <w:p w14:paraId="4E9357EC" w14:textId="2A9987D4" w:rsidR="00A66DD9" w:rsidRPr="00551D1C" w:rsidRDefault="00A66DD9" w:rsidP="00131F43">
            <w:pPr>
              <w:spacing w:after="0" w:line="240" w:lineRule="auto"/>
              <w:jc w:val="center"/>
              <w:rPr>
                <w:rFonts w:asciiTheme="majorBidi" w:hAnsiTheme="majorBidi" w:cstheme="majorBidi"/>
                <w:sz w:val="20"/>
                <w:szCs w:val="20"/>
              </w:rPr>
            </w:pPr>
            <w:r w:rsidRPr="002157AF">
              <w:t>.606</w:t>
            </w:r>
          </w:p>
        </w:tc>
        <w:tc>
          <w:tcPr>
            <w:tcW w:w="0" w:type="auto"/>
            <w:shd w:val="clear" w:color="auto" w:fill="auto"/>
          </w:tcPr>
          <w:p w14:paraId="05A0D666" w14:textId="1927C09F" w:rsidR="00A66DD9" w:rsidRPr="00551D1C" w:rsidRDefault="00A66DD9" w:rsidP="00131F43">
            <w:pPr>
              <w:spacing w:after="0" w:line="240" w:lineRule="auto"/>
              <w:jc w:val="center"/>
              <w:rPr>
                <w:rFonts w:asciiTheme="majorBidi" w:hAnsiTheme="majorBidi" w:cstheme="majorBidi"/>
                <w:sz w:val="20"/>
                <w:szCs w:val="20"/>
              </w:rPr>
            </w:pPr>
            <w:r w:rsidRPr="002157AF">
              <w:t>-11.349</w:t>
            </w:r>
          </w:p>
        </w:tc>
        <w:tc>
          <w:tcPr>
            <w:tcW w:w="0" w:type="auto"/>
            <w:shd w:val="clear" w:color="auto" w:fill="auto"/>
          </w:tcPr>
          <w:p w14:paraId="064DBC7B" w14:textId="3B580C79" w:rsidR="00A66DD9" w:rsidRPr="00551D1C" w:rsidRDefault="00A66DD9" w:rsidP="00131F43">
            <w:pPr>
              <w:spacing w:after="0" w:line="240" w:lineRule="auto"/>
              <w:jc w:val="center"/>
              <w:rPr>
                <w:rFonts w:asciiTheme="majorBidi" w:hAnsiTheme="majorBidi" w:cstheme="majorBidi"/>
                <w:sz w:val="20"/>
                <w:szCs w:val="20"/>
              </w:rPr>
            </w:pPr>
            <w:r w:rsidRPr="002157AF">
              <w:t>-8.891</w:t>
            </w:r>
          </w:p>
        </w:tc>
      </w:tr>
    </w:tbl>
    <w:p w14:paraId="52C42498" w14:textId="77777777" w:rsidR="00A66DD9" w:rsidRDefault="00A66DD9" w:rsidP="00131F43">
      <w:pPr>
        <w:spacing w:after="0" w:line="240" w:lineRule="auto"/>
        <w:jc w:val="both"/>
        <w:rPr>
          <w:rFonts w:asciiTheme="majorBidi" w:hAnsiTheme="majorBidi" w:cstheme="majorBidi"/>
          <w:sz w:val="24"/>
          <w:szCs w:val="24"/>
        </w:rPr>
      </w:pPr>
    </w:p>
    <w:p w14:paraId="6A50B995" w14:textId="57768D6E" w:rsidR="00A66DD9" w:rsidRPr="00FB3B13" w:rsidRDefault="00A66DD9" w:rsidP="00131F43">
      <w:pPr>
        <w:spacing w:after="0" w:line="240" w:lineRule="auto"/>
        <w:ind w:firstLine="720"/>
        <w:jc w:val="both"/>
        <w:rPr>
          <w:rFonts w:asciiTheme="majorBidi" w:hAnsiTheme="majorBidi" w:cstheme="majorBidi"/>
          <w:sz w:val="24"/>
          <w:szCs w:val="24"/>
        </w:rPr>
      </w:pPr>
      <w:r w:rsidRPr="00A66DD9">
        <w:rPr>
          <w:rFonts w:asciiTheme="majorBidi" w:hAnsiTheme="majorBidi" w:cstheme="majorBidi"/>
          <w:sz w:val="24"/>
          <w:szCs w:val="24"/>
        </w:rPr>
        <w:t xml:space="preserve">Based on the results of the </w:t>
      </w:r>
      <w:r>
        <w:rPr>
          <w:rFonts w:asciiTheme="majorBidi" w:hAnsiTheme="majorBidi" w:cstheme="majorBidi"/>
          <w:i/>
          <w:iCs/>
          <w:sz w:val="24"/>
          <w:szCs w:val="24"/>
        </w:rPr>
        <w:t>independent t-test</w:t>
      </w:r>
      <w:r w:rsidRPr="00A66DD9">
        <w:rPr>
          <w:rFonts w:asciiTheme="majorBidi" w:hAnsiTheme="majorBidi" w:cstheme="majorBidi"/>
          <w:sz w:val="24"/>
          <w:szCs w:val="24"/>
        </w:rPr>
        <w:t>, an F value of 6.221 was obtained with a significance of 0.016 from Levene's Test, which showed that the variance between groups was not homogeneous (p &lt; 0.05). Furthermore, the results of the t-test assuming the same variance showed a value of t = -16</w:t>
      </w:r>
      <w:r w:rsidR="005815C3">
        <w:rPr>
          <w:rFonts w:asciiTheme="majorBidi" w:hAnsiTheme="majorBidi" w:cstheme="majorBidi"/>
          <w:sz w:val="24"/>
          <w:szCs w:val="24"/>
        </w:rPr>
        <w:t>.</w:t>
      </w:r>
      <w:r w:rsidRPr="00A66DD9">
        <w:rPr>
          <w:rFonts w:asciiTheme="majorBidi" w:hAnsiTheme="majorBidi" w:cstheme="majorBidi"/>
          <w:sz w:val="24"/>
          <w:szCs w:val="24"/>
        </w:rPr>
        <w:t>688, df = 48, and p-value = 0.000, which means that there was a significant difference between the two groups. The mean difference between groups was -10</w:t>
      </w:r>
      <w:r w:rsidR="005815C3">
        <w:rPr>
          <w:rFonts w:asciiTheme="majorBidi" w:hAnsiTheme="majorBidi" w:cstheme="majorBidi"/>
          <w:sz w:val="24"/>
          <w:szCs w:val="24"/>
        </w:rPr>
        <w:t>.</w:t>
      </w:r>
      <w:r w:rsidRPr="00A66DD9">
        <w:rPr>
          <w:rFonts w:asciiTheme="majorBidi" w:hAnsiTheme="majorBidi" w:cstheme="majorBidi"/>
          <w:sz w:val="24"/>
          <w:szCs w:val="24"/>
        </w:rPr>
        <w:t>120 with a 95% confidence interval between -11</w:t>
      </w:r>
      <w:r w:rsidR="005815C3">
        <w:rPr>
          <w:rFonts w:asciiTheme="majorBidi" w:hAnsiTheme="majorBidi" w:cstheme="majorBidi"/>
          <w:sz w:val="24"/>
          <w:szCs w:val="24"/>
        </w:rPr>
        <w:t>.</w:t>
      </w:r>
      <w:r w:rsidRPr="00A66DD9">
        <w:rPr>
          <w:rFonts w:asciiTheme="majorBidi" w:hAnsiTheme="majorBidi" w:cstheme="majorBidi"/>
          <w:sz w:val="24"/>
          <w:szCs w:val="24"/>
        </w:rPr>
        <w:t>339 to -8</w:t>
      </w:r>
      <w:r w:rsidR="005815C3">
        <w:rPr>
          <w:rFonts w:asciiTheme="majorBidi" w:hAnsiTheme="majorBidi" w:cstheme="majorBidi"/>
          <w:sz w:val="24"/>
          <w:szCs w:val="24"/>
        </w:rPr>
        <w:t>.</w:t>
      </w:r>
      <w:r w:rsidRPr="00A66DD9">
        <w:rPr>
          <w:rFonts w:asciiTheme="majorBidi" w:hAnsiTheme="majorBidi" w:cstheme="majorBidi"/>
          <w:sz w:val="24"/>
          <w:szCs w:val="24"/>
        </w:rPr>
        <w:t>901, indicating that the mean value in one group was lower by about 10</w:t>
      </w:r>
      <w:r w:rsidR="005815C3">
        <w:rPr>
          <w:rFonts w:asciiTheme="majorBidi" w:hAnsiTheme="majorBidi" w:cstheme="majorBidi"/>
          <w:sz w:val="24"/>
          <w:szCs w:val="24"/>
        </w:rPr>
        <w:t>.</w:t>
      </w:r>
      <w:r w:rsidRPr="00A66DD9">
        <w:rPr>
          <w:rFonts w:asciiTheme="majorBidi" w:hAnsiTheme="majorBidi" w:cstheme="majorBidi"/>
          <w:sz w:val="24"/>
          <w:szCs w:val="24"/>
        </w:rPr>
        <w:t>120 than in the other. Similar results were obtained in the test assuming the variance was not the same, with the same t-value, p-value = 0.000, and a 95% confidence interval between -11</w:t>
      </w:r>
      <w:r w:rsidR="005815C3">
        <w:rPr>
          <w:rFonts w:asciiTheme="majorBidi" w:hAnsiTheme="majorBidi" w:cstheme="majorBidi"/>
          <w:sz w:val="24"/>
          <w:szCs w:val="24"/>
        </w:rPr>
        <w:t>.</w:t>
      </w:r>
      <w:r w:rsidRPr="00A66DD9">
        <w:rPr>
          <w:rFonts w:asciiTheme="majorBidi" w:hAnsiTheme="majorBidi" w:cstheme="majorBidi"/>
          <w:sz w:val="24"/>
          <w:szCs w:val="24"/>
        </w:rPr>
        <w:t>349 to -8</w:t>
      </w:r>
      <w:r w:rsidR="005815C3">
        <w:rPr>
          <w:rFonts w:asciiTheme="majorBidi" w:hAnsiTheme="majorBidi" w:cstheme="majorBidi"/>
          <w:sz w:val="24"/>
          <w:szCs w:val="24"/>
        </w:rPr>
        <w:t>.</w:t>
      </w:r>
      <w:r w:rsidRPr="00A66DD9">
        <w:rPr>
          <w:rFonts w:asciiTheme="majorBidi" w:hAnsiTheme="majorBidi" w:cstheme="majorBidi"/>
          <w:sz w:val="24"/>
          <w:szCs w:val="24"/>
        </w:rPr>
        <w:t>891. Thus, there was a significant difference in reading anxiety between the experimental class and the control class, with the experimental class having a lower reading anxiety score of about -10</w:t>
      </w:r>
      <w:r w:rsidR="005815C3">
        <w:rPr>
          <w:rFonts w:asciiTheme="majorBidi" w:hAnsiTheme="majorBidi" w:cstheme="majorBidi"/>
          <w:sz w:val="24"/>
          <w:szCs w:val="24"/>
        </w:rPr>
        <w:t>.</w:t>
      </w:r>
      <w:r w:rsidRPr="00A66DD9">
        <w:rPr>
          <w:rFonts w:asciiTheme="majorBidi" w:hAnsiTheme="majorBidi" w:cstheme="majorBidi"/>
          <w:sz w:val="24"/>
          <w:szCs w:val="24"/>
        </w:rPr>
        <w:t xml:space="preserve">120 points compared to the control class. Since </w:t>
      </w:r>
      <w:r w:rsidRPr="00F332F4">
        <w:rPr>
          <w:rFonts w:asciiTheme="majorBidi" w:hAnsiTheme="majorBidi" w:cstheme="majorBidi"/>
          <w:i/>
          <w:iCs/>
          <w:sz w:val="24"/>
          <w:szCs w:val="24"/>
        </w:rPr>
        <w:t>the p-value</w:t>
      </w:r>
      <w:r w:rsidRPr="00F332F4">
        <w:rPr>
          <w:rFonts w:asciiTheme="majorBidi" w:hAnsiTheme="majorBidi" w:cstheme="majorBidi"/>
          <w:sz w:val="24"/>
          <w:szCs w:val="24"/>
        </w:rPr>
        <w:t xml:space="preserve"> &lt; 0.05, H₀ is rejected. This indicates that learning to read Arabic using CSR is effective in reducing reading anxiety for students of the Arabic Language Education Study Program, Semarang State University.</w:t>
      </w:r>
    </w:p>
    <w:p w14:paraId="6ED4522C" w14:textId="17AFC7FF" w:rsidR="00DB2969" w:rsidRPr="00DB2969" w:rsidRDefault="00DB2969" w:rsidP="009246DD">
      <w:pPr>
        <w:spacing w:line="240" w:lineRule="auto"/>
        <w:jc w:val="both"/>
        <w:rPr>
          <w:rFonts w:asciiTheme="majorBidi" w:hAnsiTheme="majorBidi" w:cstheme="majorBidi"/>
          <w:b/>
          <w:bCs/>
          <w:sz w:val="24"/>
          <w:szCs w:val="24"/>
        </w:rPr>
      </w:pPr>
      <w:r w:rsidRPr="00DB2969">
        <w:rPr>
          <w:rFonts w:asciiTheme="majorBidi" w:hAnsiTheme="majorBidi" w:cstheme="majorBidi"/>
          <w:b/>
          <w:bCs/>
          <w:sz w:val="24"/>
          <w:szCs w:val="24"/>
        </w:rPr>
        <w:t>The Relationship Between Reading Comprehension and Reading Anxiety</w:t>
      </w:r>
    </w:p>
    <w:p w14:paraId="4B710F16" w14:textId="785D58CC" w:rsidR="00DB2969" w:rsidRPr="00DB2969" w:rsidRDefault="00DB2969" w:rsidP="00131F43">
      <w:pPr>
        <w:spacing w:after="0" w:line="240" w:lineRule="auto"/>
        <w:ind w:firstLine="720"/>
        <w:jc w:val="both"/>
        <w:rPr>
          <w:rFonts w:asciiTheme="majorBidi" w:hAnsiTheme="majorBidi" w:cstheme="majorBidi"/>
          <w:sz w:val="24"/>
          <w:szCs w:val="24"/>
        </w:rPr>
      </w:pPr>
      <w:r w:rsidRPr="00DB2969">
        <w:rPr>
          <w:rFonts w:asciiTheme="majorBidi" w:hAnsiTheme="majorBidi" w:cstheme="majorBidi"/>
          <w:sz w:val="24"/>
          <w:szCs w:val="24"/>
        </w:rPr>
        <w:t>The study also measured the relationship between reading comprehension and reading anxiety in experimental and control classes. The Pearson correlation test was used to see the extent to which these two variables were related to each other after the treatment (</w:t>
      </w:r>
      <w:r w:rsidR="00B06A7D" w:rsidRPr="00B06A7D">
        <w:rPr>
          <w:rFonts w:asciiTheme="majorBidi" w:hAnsiTheme="majorBidi" w:cstheme="majorBidi"/>
          <w:i/>
          <w:iCs/>
          <w:sz w:val="24"/>
          <w:szCs w:val="24"/>
        </w:rPr>
        <w:t>Collaborative Strategic Reading</w:t>
      </w:r>
      <w:r w:rsidRPr="00DB2969">
        <w:rPr>
          <w:rFonts w:asciiTheme="majorBidi" w:hAnsiTheme="majorBidi" w:cstheme="majorBidi"/>
          <w:sz w:val="24"/>
          <w:szCs w:val="24"/>
        </w:rPr>
        <w:t>) was given.</w:t>
      </w:r>
    </w:p>
    <w:p w14:paraId="5AEB5AF1" w14:textId="04DD5120" w:rsidR="00DB2969" w:rsidRDefault="00DB2969" w:rsidP="00131F43">
      <w:pPr>
        <w:spacing w:after="0" w:line="240" w:lineRule="auto"/>
        <w:jc w:val="center"/>
        <w:rPr>
          <w:rFonts w:asciiTheme="majorBidi" w:hAnsiTheme="majorBidi" w:cstheme="majorBidi"/>
          <w:sz w:val="24"/>
          <w:szCs w:val="24"/>
        </w:rPr>
      </w:pPr>
      <w:r>
        <w:rPr>
          <w:rFonts w:asciiTheme="majorBidi" w:hAnsiTheme="majorBidi" w:cstheme="majorBidi"/>
          <w:sz w:val="24"/>
          <w:szCs w:val="24"/>
        </w:rPr>
        <w:t>Table 5. Pearson Correlation of Reading Comprehension and Reading Anxiety</w:t>
      </w:r>
    </w:p>
    <w:tbl>
      <w:tblPr>
        <w:tblW w:w="5000" w:type="pct"/>
        <w:tblCellMar>
          <w:left w:w="0" w:type="dxa"/>
          <w:right w:w="0" w:type="dxa"/>
        </w:tblCellMar>
        <w:tblLook w:val="0000" w:firstRow="0" w:lastRow="0" w:firstColumn="0" w:lastColumn="0" w:noHBand="0" w:noVBand="0"/>
      </w:tblPr>
      <w:tblGrid>
        <w:gridCol w:w="3147"/>
        <w:gridCol w:w="2531"/>
        <w:gridCol w:w="3148"/>
        <w:gridCol w:w="812"/>
      </w:tblGrid>
      <w:tr w:rsidR="00DB2969" w:rsidRPr="00DB2969" w14:paraId="12FC3661" w14:textId="77777777" w:rsidTr="005815C3">
        <w:tc>
          <w:tcPr>
            <w:tcW w:w="2946" w:type="pct"/>
            <w:gridSpan w:val="2"/>
            <w:tcBorders>
              <w:top w:val="single" w:sz="4" w:space="0" w:color="auto"/>
              <w:bottom w:val="single" w:sz="4" w:space="0" w:color="auto"/>
            </w:tcBorders>
            <w:shd w:val="clear" w:color="auto" w:fill="auto"/>
            <w:vAlign w:val="bottom"/>
          </w:tcPr>
          <w:p w14:paraId="6F71AC77" w14:textId="77777777" w:rsidR="00DB2969" w:rsidRPr="00DB2969" w:rsidRDefault="00DB2969" w:rsidP="00131F43">
            <w:pPr>
              <w:spacing w:after="0" w:line="240" w:lineRule="auto"/>
              <w:jc w:val="both"/>
              <w:rPr>
                <w:rFonts w:asciiTheme="majorBidi" w:hAnsiTheme="majorBidi" w:cstheme="majorBidi"/>
                <w:sz w:val="24"/>
                <w:szCs w:val="24"/>
              </w:rPr>
            </w:pPr>
          </w:p>
        </w:tc>
        <w:tc>
          <w:tcPr>
            <w:tcW w:w="1633" w:type="pct"/>
            <w:tcBorders>
              <w:top w:val="single" w:sz="4" w:space="0" w:color="auto"/>
              <w:bottom w:val="single" w:sz="4" w:space="0" w:color="auto"/>
            </w:tcBorders>
            <w:shd w:val="clear" w:color="auto" w:fill="auto"/>
            <w:vAlign w:val="bottom"/>
          </w:tcPr>
          <w:p w14:paraId="76F24FC8" w14:textId="13E760FC"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Reading Comprehension</w:t>
            </w:r>
          </w:p>
        </w:tc>
        <w:tc>
          <w:tcPr>
            <w:tcW w:w="421" w:type="pct"/>
            <w:tcBorders>
              <w:top w:val="single" w:sz="4" w:space="0" w:color="auto"/>
              <w:bottom w:val="single" w:sz="4" w:space="0" w:color="auto"/>
            </w:tcBorders>
            <w:shd w:val="clear" w:color="auto" w:fill="auto"/>
            <w:vAlign w:val="bottom"/>
          </w:tcPr>
          <w:p w14:paraId="48EBA3EA"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FLRA</w:t>
            </w:r>
          </w:p>
        </w:tc>
      </w:tr>
      <w:tr w:rsidR="00DB2969" w:rsidRPr="00DB2969" w14:paraId="1FDAAD28" w14:textId="77777777" w:rsidTr="005815C3">
        <w:trPr>
          <w:trHeight w:val="249"/>
        </w:trPr>
        <w:tc>
          <w:tcPr>
            <w:tcW w:w="1633" w:type="pct"/>
            <w:vMerge w:val="restart"/>
            <w:tcBorders>
              <w:top w:val="single" w:sz="4" w:space="0" w:color="auto"/>
            </w:tcBorders>
            <w:shd w:val="clear" w:color="auto" w:fill="auto"/>
          </w:tcPr>
          <w:p w14:paraId="70BEF011" w14:textId="0C6F14AA" w:rsidR="00DB2969" w:rsidRPr="00DB2969" w:rsidRDefault="00DB2969" w:rsidP="005815C3">
            <w:pPr>
              <w:tabs>
                <w:tab w:val="left" w:pos="1725"/>
              </w:tabs>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Reading Comprehension</w:t>
            </w:r>
          </w:p>
        </w:tc>
        <w:tc>
          <w:tcPr>
            <w:tcW w:w="1313" w:type="pct"/>
            <w:tcBorders>
              <w:top w:val="single" w:sz="4" w:space="0" w:color="auto"/>
            </w:tcBorders>
            <w:shd w:val="clear" w:color="auto" w:fill="auto"/>
          </w:tcPr>
          <w:p w14:paraId="680CAB4B"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Pearson Correlation</w:t>
            </w:r>
          </w:p>
        </w:tc>
        <w:tc>
          <w:tcPr>
            <w:tcW w:w="1633" w:type="pct"/>
            <w:tcBorders>
              <w:top w:val="single" w:sz="4" w:space="0" w:color="auto"/>
            </w:tcBorders>
            <w:shd w:val="clear" w:color="auto" w:fill="auto"/>
          </w:tcPr>
          <w:p w14:paraId="49144479"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1</w:t>
            </w:r>
          </w:p>
        </w:tc>
        <w:tc>
          <w:tcPr>
            <w:tcW w:w="421" w:type="pct"/>
            <w:tcBorders>
              <w:top w:val="single" w:sz="4" w:space="0" w:color="auto"/>
            </w:tcBorders>
            <w:shd w:val="clear" w:color="auto" w:fill="auto"/>
          </w:tcPr>
          <w:p w14:paraId="2993A2D6" w14:textId="699FA8BD"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-.889</w:t>
            </w:r>
          </w:p>
        </w:tc>
      </w:tr>
      <w:tr w:rsidR="00DB2969" w:rsidRPr="00DB2969" w14:paraId="720B1872" w14:textId="77777777" w:rsidTr="005815C3">
        <w:tc>
          <w:tcPr>
            <w:tcW w:w="1633" w:type="pct"/>
            <w:vMerge/>
            <w:shd w:val="clear" w:color="auto" w:fill="auto"/>
          </w:tcPr>
          <w:p w14:paraId="2331A0F7" w14:textId="77777777" w:rsidR="00DB2969" w:rsidRPr="00DB2969" w:rsidRDefault="00DB2969" w:rsidP="00131F43">
            <w:pPr>
              <w:spacing w:after="0" w:line="240" w:lineRule="auto"/>
              <w:jc w:val="both"/>
              <w:rPr>
                <w:rFonts w:asciiTheme="majorBidi" w:hAnsiTheme="majorBidi" w:cstheme="majorBidi"/>
                <w:sz w:val="24"/>
                <w:szCs w:val="24"/>
              </w:rPr>
            </w:pPr>
          </w:p>
        </w:tc>
        <w:tc>
          <w:tcPr>
            <w:tcW w:w="1313" w:type="pct"/>
            <w:shd w:val="clear" w:color="auto" w:fill="auto"/>
          </w:tcPr>
          <w:p w14:paraId="41F8D782"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Sig. (2-tailed)</w:t>
            </w:r>
          </w:p>
        </w:tc>
        <w:tc>
          <w:tcPr>
            <w:tcW w:w="1633" w:type="pct"/>
            <w:shd w:val="clear" w:color="auto" w:fill="auto"/>
            <w:vAlign w:val="center"/>
          </w:tcPr>
          <w:p w14:paraId="02705D6A" w14:textId="77777777" w:rsidR="00DB2969" w:rsidRPr="00DB2969" w:rsidRDefault="00DB2969" w:rsidP="00131F43">
            <w:pPr>
              <w:spacing w:after="0" w:line="240" w:lineRule="auto"/>
              <w:jc w:val="both"/>
              <w:rPr>
                <w:rFonts w:asciiTheme="majorBidi" w:hAnsiTheme="majorBidi" w:cstheme="majorBidi"/>
                <w:sz w:val="24"/>
                <w:szCs w:val="24"/>
              </w:rPr>
            </w:pPr>
          </w:p>
        </w:tc>
        <w:tc>
          <w:tcPr>
            <w:tcW w:w="421" w:type="pct"/>
            <w:shd w:val="clear" w:color="auto" w:fill="auto"/>
          </w:tcPr>
          <w:p w14:paraId="2BBC4E0D"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.000</w:t>
            </w:r>
          </w:p>
        </w:tc>
      </w:tr>
      <w:tr w:rsidR="00DB2969" w:rsidRPr="00DB2969" w14:paraId="787A52A2" w14:textId="77777777" w:rsidTr="005815C3">
        <w:tc>
          <w:tcPr>
            <w:tcW w:w="1633" w:type="pct"/>
            <w:vMerge/>
            <w:shd w:val="clear" w:color="auto" w:fill="auto"/>
          </w:tcPr>
          <w:p w14:paraId="2EB5C873" w14:textId="77777777" w:rsidR="00DB2969" w:rsidRPr="00DB2969" w:rsidRDefault="00DB2969" w:rsidP="00131F43">
            <w:pPr>
              <w:spacing w:after="0" w:line="240" w:lineRule="auto"/>
              <w:jc w:val="both"/>
              <w:rPr>
                <w:rFonts w:asciiTheme="majorBidi" w:hAnsiTheme="majorBidi" w:cstheme="majorBidi"/>
                <w:sz w:val="24"/>
                <w:szCs w:val="24"/>
              </w:rPr>
            </w:pPr>
          </w:p>
        </w:tc>
        <w:tc>
          <w:tcPr>
            <w:tcW w:w="1313" w:type="pct"/>
            <w:shd w:val="clear" w:color="auto" w:fill="auto"/>
          </w:tcPr>
          <w:p w14:paraId="0ED7A126"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N</w:t>
            </w:r>
          </w:p>
        </w:tc>
        <w:tc>
          <w:tcPr>
            <w:tcW w:w="1633" w:type="pct"/>
            <w:shd w:val="clear" w:color="auto" w:fill="auto"/>
          </w:tcPr>
          <w:p w14:paraId="014DD938"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50</w:t>
            </w:r>
          </w:p>
        </w:tc>
        <w:tc>
          <w:tcPr>
            <w:tcW w:w="421" w:type="pct"/>
            <w:shd w:val="clear" w:color="auto" w:fill="auto"/>
          </w:tcPr>
          <w:p w14:paraId="2292E57B"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50</w:t>
            </w:r>
          </w:p>
        </w:tc>
      </w:tr>
      <w:tr w:rsidR="00DB2969" w:rsidRPr="00DB2969" w14:paraId="6E22D50F" w14:textId="77777777" w:rsidTr="005815C3">
        <w:tc>
          <w:tcPr>
            <w:tcW w:w="1633" w:type="pct"/>
            <w:vMerge w:val="restart"/>
            <w:shd w:val="clear" w:color="auto" w:fill="auto"/>
          </w:tcPr>
          <w:p w14:paraId="07C109FA"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FLRA</w:t>
            </w:r>
          </w:p>
        </w:tc>
        <w:tc>
          <w:tcPr>
            <w:tcW w:w="1313" w:type="pct"/>
            <w:shd w:val="clear" w:color="auto" w:fill="auto"/>
          </w:tcPr>
          <w:p w14:paraId="13A87418"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Pearson Correlation</w:t>
            </w:r>
          </w:p>
        </w:tc>
        <w:tc>
          <w:tcPr>
            <w:tcW w:w="1633" w:type="pct"/>
            <w:shd w:val="clear" w:color="auto" w:fill="auto"/>
          </w:tcPr>
          <w:p w14:paraId="407A8001" w14:textId="3BC63B40"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-.889</w:t>
            </w:r>
          </w:p>
        </w:tc>
        <w:tc>
          <w:tcPr>
            <w:tcW w:w="421" w:type="pct"/>
            <w:shd w:val="clear" w:color="auto" w:fill="auto"/>
          </w:tcPr>
          <w:p w14:paraId="368D848D"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1</w:t>
            </w:r>
          </w:p>
        </w:tc>
      </w:tr>
      <w:tr w:rsidR="00DB2969" w:rsidRPr="00DB2969" w14:paraId="68D2A67C" w14:textId="77777777" w:rsidTr="005815C3">
        <w:tc>
          <w:tcPr>
            <w:tcW w:w="1633" w:type="pct"/>
            <w:vMerge/>
            <w:shd w:val="clear" w:color="auto" w:fill="auto"/>
          </w:tcPr>
          <w:p w14:paraId="4954975C" w14:textId="77777777" w:rsidR="00DB2969" w:rsidRPr="00DB2969" w:rsidRDefault="00DB2969" w:rsidP="00131F43">
            <w:pPr>
              <w:spacing w:after="0" w:line="240" w:lineRule="auto"/>
              <w:jc w:val="both"/>
              <w:rPr>
                <w:rFonts w:asciiTheme="majorBidi" w:hAnsiTheme="majorBidi" w:cstheme="majorBidi"/>
                <w:sz w:val="24"/>
                <w:szCs w:val="24"/>
              </w:rPr>
            </w:pPr>
          </w:p>
        </w:tc>
        <w:tc>
          <w:tcPr>
            <w:tcW w:w="1313" w:type="pct"/>
            <w:shd w:val="clear" w:color="auto" w:fill="auto"/>
          </w:tcPr>
          <w:p w14:paraId="4D3F8873"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Sig. (2-tailed)</w:t>
            </w:r>
          </w:p>
        </w:tc>
        <w:tc>
          <w:tcPr>
            <w:tcW w:w="1633" w:type="pct"/>
            <w:shd w:val="clear" w:color="auto" w:fill="auto"/>
          </w:tcPr>
          <w:p w14:paraId="1962906D"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.000</w:t>
            </w:r>
          </w:p>
        </w:tc>
        <w:tc>
          <w:tcPr>
            <w:tcW w:w="421" w:type="pct"/>
            <w:shd w:val="clear" w:color="auto" w:fill="auto"/>
            <w:vAlign w:val="center"/>
          </w:tcPr>
          <w:p w14:paraId="754B679B" w14:textId="77777777" w:rsidR="00DB2969" w:rsidRPr="00DB2969" w:rsidRDefault="00DB2969" w:rsidP="00131F43">
            <w:pPr>
              <w:spacing w:after="0" w:line="240" w:lineRule="auto"/>
              <w:jc w:val="both"/>
              <w:rPr>
                <w:rFonts w:asciiTheme="majorBidi" w:hAnsiTheme="majorBidi" w:cstheme="majorBidi"/>
                <w:sz w:val="24"/>
                <w:szCs w:val="24"/>
              </w:rPr>
            </w:pPr>
          </w:p>
        </w:tc>
      </w:tr>
      <w:tr w:rsidR="00DB2969" w:rsidRPr="00DB2969" w14:paraId="65B39CD8" w14:textId="77777777" w:rsidTr="005815C3">
        <w:tc>
          <w:tcPr>
            <w:tcW w:w="1633" w:type="pct"/>
            <w:vMerge/>
            <w:tcBorders>
              <w:bottom w:val="single" w:sz="4" w:space="0" w:color="auto"/>
            </w:tcBorders>
            <w:shd w:val="clear" w:color="auto" w:fill="auto"/>
          </w:tcPr>
          <w:p w14:paraId="7449C294" w14:textId="77777777" w:rsidR="00DB2969" w:rsidRPr="00DB2969" w:rsidRDefault="00DB2969" w:rsidP="00131F43">
            <w:pPr>
              <w:spacing w:after="0" w:line="240" w:lineRule="auto"/>
              <w:jc w:val="both"/>
              <w:rPr>
                <w:rFonts w:asciiTheme="majorBidi" w:hAnsiTheme="majorBidi" w:cstheme="majorBidi"/>
                <w:sz w:val="24"/>
                <w:szCs w:val="24"/>
              </w:rPr>
            </w:pPr>
          </w:p>
        </w:tc>
        <w:tc>
          <w:tcPr>
            <w:tcW w:w="1313" w:type="pct"/>
            <w:tcBorders>
              <w:bottom w:val="single" w:sz="4" w:space="0" w:color="auto"/>
            </w:tcBorders>
            <w:shd w:val="clear" w:color="auto" w:fill="auto"/>
          </w:tcPr>
          <w:p w14:paraId="4CBA984F"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N</w:t>
            </w:r>
          </w:p>
        </w:tc>
        <w:tc>
          <w:tcPr>
            <w:tcW w:w="1633" w:type="pct"/>
            <w:tcBorders>
              <w:bottom w:val="single" w:sz="4" w:space="0" w:color="auto"/>
            </w:tcBorders>
            <w:shd w:val="clear" w:color="auto" w:fill="auto"/>
          </w:tcPr>
          <w:p w14:paraId="2D71E1F2"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50</w:t>
            </w:r>
          </w:p>
        </w:tc>
        <w:tc>
          <w:tcPr>
            <w:tcW w:w="421" w:type="pct"/>
            <w:tcBorders>
              <w:bottom w:val="single" w:sz="4" w:space="0" w:color="auto"/>
            </w:tcBorders>
            <w:shd w:val="clear" w:color="auto" w:fill="auto"/>
          </w:tcPr>
          <w:p w14:paraId="04F5D330" w14:textId="77777777"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50</w:t>
            </w:r>
          </w:p>
        </w:tc>
      </w:tr>
      <w:tr w:rsidR="00DB2969" w:rsidRPr="00DB2969" w14:paraId="0DD8A4E5" w14:textId="77777777" w:rsidTr="005815C3">
        <w:tc>
          <w:tcPr>
            <w:tcW w:w="5000" w:type="pct"/>
            <w:gridSpan w:val="4"/>
            <w:tcBorders>
              <w:top w:val="single" w:sz="4" w:space="0" w:color="auto"/>
            </w:tcBorders>
            <w:shd w:val="clear" w:color="auto" w:fill="auto"/>
          </w:tcPr>
          <w:p w14:paraId="36950474" w14:textId="11C0E018" w:rsidR="00DB2969" w:rsidRPr="00DB2969" w:rsidRDefault="00DB2969" w:rsidP="00131F43">
            <w:pPr>
              <w:spacing w:after="0" w:line="240" w:lineRule="auto"/>
              <w:jc w:val="both"/>
              <w:rPr>
                <w:rFonts w:asciiTheme="majorBidi" w:hAnsiTheme="majorBidi" w:cstheme="majorBidi"/>
                <w:sz w:val="24"/>
                <w:szCs w:val="24"/>
              </w:rPr>
            </w:pPr>
            <w:r w:rsidRPr="00DB2969">
              <w:rPr>
                <w:rFonts w:asciiTheme="majorBidi" w:hAnsiTheme="majorBidi" w:cstheme="majorBidi"/>
                <w:sz w:val="24"/>
                <w:szCs w:val="24"/>
              </w:rPr>
              <w:t>. Correlation is significant at the 0.01 level (2-tailed).</w:t>
            </w:r>
          </w:p>
        </w:tc>
      </w:tr>
    </w:tbl>
    <w:p w14:paraId="71257233" w14:textId="328D0020" w:rsidR="005C2895" w:rsidRDefault="00DB2969" w:rsidP="00131F43">
      <w:pPr>
        <w:spacing w:after="0" w:line="240" w:lineRule="auto"/>
        <w:ind w:firstLine="720"/>
        <w:jc w:val="both"/>
        <w:rPr>
          <w:rFonts w:asciiTheme="majorBidi" w:hAnsiTheme="majorBidi" w:cstheme="majorBidi"/>
          <w:sz w:val="24"/>
          <w:szCs w:val="24"/>
        </w:rPr>
      </w:pPr>
      <w:r w:rsidRPr="00DB2969">
        <w:rPr>
          <w:rFonts w:asciiTheme="majorBidi" w:hAnsiTheme="majorBidi" w:cstheme="majorBidi"/>
          <w:sz w:val="24"/>
          <w:szCs w:val="24"/>
        </w:rPr>
        <w:t>Based on Pearson's correlation analysis in table 5, the correlation coefficient r=−0.889 with a significance value of p=0.000 was obtained. The correlation value of r=−0.889 shows that the relationship between reading comprehension and reading anxiety is very strong, but in the opposite direction. This means that when reading comprehension increases, reading anxiety tends to decrease very significantly. A significance value (0.000) indicates that the relationship is statistically significant, and it is likely that this result did not occur by chance. This shows that there is a very strong negative relationship between reading comprehension and reading anxiety. These results were significant at a significance level of 0.01 (2-tailed), meaning that the higher the students' reading comprehension, the lower their reading anxiety levels, and vice versa.</w:t>
      </w:r>
    </w:p>
    <w:p w14:paraId="4611A955" w14:textId="00FB3D81" w:rsidR="00387BED" w:rsidRDefault="00DB2969" w:rsidP="00131F43">
      <w:pPr>
        <w:spacing w:after="0" w:line="240" w:lineRule="auto"/>
        <w:ind w:firstLine="720"/>
        <w:jc w:val="both"/>
        <w:rPr>
          <w:rFonts w:asciiTheme="majorBidi" w:hAnsiTheme="majorBidi" w:cstheme="majorBidi"/>
          <w:sz w:val="24"/>
          <w:szCs w:val="24"/>
        </w:rPr>
      </w:pPr>
      <w:r w:rsidRPr="00DB2969">
        <w:rPr>
          <w:rFonts w:asciiTheme="majorBidi" w:hAnsiTheme="majorBidi" w:cstheme="majorBidi"/>
          <w:sz w:val="24"/>
          <w:szCs w:val="24"/>
        </w:rPr>
        <w:t xml:space="preserve">A very strong negative association between reading comprehension and reading anxiety (r=−0.889) suggests that </w:t>
      </w:r>
      <w:r w:rsidR="00B06A7D" w:rsidRPr="00B06A7D">
        <w:rPr>
          <w:rFonts w:asciiTheme="majorBidi" w:hAnsiTheme="majorBidi" w:cstheme="majorBidi"/>
          <w:i/>
          <w:iCs/>
          <w:sz w:val="24"/>
          <w:szCs w:val="24"/>
        </w:rPr>
        <w:t>Collaborative Strategic Reading</w:t>
      </w:r>
      <w:r w:rsidRPr="00DB2969">
        <w:rPr>
          <w:rFonts w:asciiTheme="majorBidi" w:hAnsiTheme="majorBidi" w:cstheme="majorBidi"/>
          <w:sz w:val="24"/>
          <w:szCs w:val="24"/>
        </w:rPr>
        <w:t xml:space="preserve"> (CSR) interventions not only help improve reading comprehension, but also contribute significantly to lowering reading anxiety. A value of p=0.000 indicates that this relationship is very significant, meaning that this result did not appear by chance.</w:t>
      </w:r>
    </w:p>
    <w:p w14:paraId="114F6312" w14:textId="77777777" w:rsidR="00387BED" w:rsidRDefault="00DB2969" w:rsidP="00131F43">
      <w:pPr>
        <w:spacing w:after="0" w:line="240" w:lineRule="auto"/>
        <w:ind w:firstLine="720"/>
        <w:jc w:val="both"/>
        <w:rPr>
          <w:rFonts w:asciiTheme="majorBidi" w:hAnsiTheme="majorBidi" w:cstheme="majorBidi"/>
          <w:sz w:val="24"/>
          <w:szCs w:val="24"/>
        </w:rPr>
      </w:pPr>
      <w:r w:rsidRPr="00DB2969">
        <w:rPr>
          <w:rFonts w:asciiTheme="majorBidi" w:hAnsiTheme="majorBidi" w:cstheme="majorBidi"/>
          <w:sz w:val="24"/>
          <w:szCs w:val="24"/>
        </w:rPr>
        <w:t>This strong negative correlation means that when reading comprehension improves (e.g., through CSR strategies), the anxiety felt by students when reading Arabic texts decreases significantly. This is relevant in the context of learning a foreign language, where anxiety can often hinder students' ability to understand texts well.</w:t>
      </w:r>
    </w:p>
    <w:p w14:paraId="30613EB7" w14:textId="57276E3B" w:rsidR="00DB2969" w:rsidRPr="00DB2969" w:rsidRDefault="00DB2969" w:rsidP="00131F43">
      <w:pPr>
        <w:spacing w:after="0" w:line="240" w:lineRule="auto"/>
        <w:ind w:firstLine="720"/>
        <w:jc w:val="both"/>
        <w:rPr>
          <w:rFonts w:asciiTheme="majorBidi" w:hAnsiTheme="majorBidi" w:cstheme="majorBidi"/>
          <w:sz w:val="24"/>
          <w:szCs w:val="24"/>
        </w:rPr>
      </w:pPr>
      <w:r w:rsidRPr="00DB2969">
        <w:rPr>
          <w:rFonts w:asciiTheme="majorBidi" w:hAnsiTheme="majorBidi" w:cstheme="majorBidi"/>
          <w:sz w:val="24"/>
          <w:szCs w:val="24"/>
        </w:rPr>
        <w:lastRenderedPageBreak/>
        <w:t xml:space="preserve">These results confirm that there is a significant negative relationship between reading comprehension and reading anxiety. These findings are in line with the theory that increased competence in a skill is often accompanied by a decrease in anxiety levels </w:t>
      </w:r>
      <w:r w:rsidR="00387BED">
        <w:rPr>
          <w:rStyle w:val="FootnoteReference"/>
          <w:rFonts w:asciiTheme="majorBidi" w:hAnsiTheme="majorBidi" w:cstheme="majorBidi"/>
          <w:sz w:val="24"/>
          <w:szCs w:val="24"/>
        </w:rPr>
        <w:fldChar w:fldCharType="begin" w:fldLock="1"/>
      </w:r>
      <w:r w:rsidR="002D046B">
        <w:rPr>
          <w:rFonts w:asciiTheme="majorBidi" w:hAnsiTheme="majorBidi" w:cstheme="majorBidi"/>
          <w:sz w:val="24"/>
          <w:szCs w:val="24"/>
        </w:rPr>
        <w:instrText>ADDIN CSL_CITATION {"citationItems":[{"id":"ITEM-1","itemData":{"DOI":"10.1111/j.1540-4781.1986.tb05256.x","ISSN":"0026-7902","author":[{"dropping-particle":"","family":"Horwitz","given":"Elaine K.","non-dropping-particle":"","parse-names":false,"suffix":""},{"dropping-particle":"","family":"Horwitz","given":"Michael B.","non-dropping-particle":"","parse-names":false,"suffix":""},{"dropping-particle":"","family":"Cope","given":"Joann","non-dropping-particle":"","parse-names":false,"suffix":""}],"container-title":"The Modern Language Journal","id":"ITEM-1","issue":"2","issued":{"date-parts":[["1986"]]},"language":"en","page":"125-132","title":"Foreign Language Classroom Anxiety","type":"article-journal","volume":"70"},"uris":["http://www.mendeley.com/documents/?uuid=9b9068d9-2225-4179-bae2-77e2d2b40207"]}],"mendeley":{"formattedCitation":"(Horwitz et al., 1986)","plainTextFormattedCitation":"(Horwitz et al., 1986)","previouslyFormattedCitation":"[30]"},"properties":{"noteIndex":0},"schema":"https://github.com/citation-style-language/schema/raw/master/csl-citation.json"}</w:instrText>
      </w:r>
      <w:r w:rsidR="00387BED">
        <w:rPr>
          <w:rStyle w:val="FootnoteReference"/>
          <w:rFonts w:asciiTheme="majorBidi" w:hAnsiTheme="majorBidi" w:cstheme="majorBidi"/>
          <w:sz w:val="24"/>
          <w:szCs w:val="24"/>
        </w:rPr>
        <w:fldChar w:fldCharType="separate"/>
      </w:r>
      <w:r w:rsidR="002D046B" w:rsidRPr="002D046B">
        <w:rPr>
          <w:rFonts w:asciiTheme="majorBidi" w:hAnsiTheme="majorBidi" w:cstheme="majorBidi"/>
          <w:noProof/>
          <w:sz w:val="24"/>
          <w:szCs w:val="24"/>
        </w:rPr>
        <w:t>(Horwitz et al., 1986)</w:t>
      </w:r>
      <w:r w:rsidR="00387BED">
        <w:rPr>
          <w:rStyle w:val="FootnoteReference"/>
          <w:rFonts w:asciiTheme="majorBidi" w:hAnsiTheme="majorBidi" w:cstheme="majorBidi"/>
          <w:sz w:val="24"/>
          <w:szCs w:val="24"/>
        </w:rPr>
        <w:fldChar w:fldCharType="end"/>
      </w:r>
      <w:r w:rsidRPr="00DB2969">
        <w:rPr>
          <w:rFonts w:asciiTheme="majorBidi" w:hAnsiTheme="majorBidi" w:cstheme="majorBidi"/>
          <w:sz w:val="24"/>
          <w:szCs w:val="24"/>
        </w:rPr>
        <w:t xml:space="preserve">. In this case, </w:t>
      </w:r>
      <w:r w:rsidR="00B06A7D" w:rsidRPr="00B06A7D">
        <w:rPr>
          <w:rFonts w:asciiTheme="majorBidi" w:hAnsiTheme="majorBidi" w:cstheme="majorBidi"/>
          <w:i/>
          <w:iCs/>
          <w:sz w:val="24"/>
          <w:szCs w:val="24"/>
        </w:rPr>
        <w:t>Collaborative Strategic Reading</w:t>
      </w:r>
      <w:r w:rsidRPr="00DB2969">
        <w:rPr>
          <w:rFonts w:asciiTheme="majorBidi" w:hAnsiTheme="majorBidi" w:cstheme="majorBidi"/>
          <w:sz w:val="24"/>
          <w:szCs w:val="24"/>
        </w:rPr>
        <w:t xml:space="preserve"> not only improves cognitive abilities (reading comprehension), but also provides affective benefits by reducing student anxiety.</w:t>
      </w:r>
    </w:p>
    <w:p w14:paraId="1DAFC009" w14:textId="24C04615" w:rsidR="00DB2969" w:rsidRDefault="00B73366" w:rsidP="009246DD">
      <w:pPr>
        <w:spacing w:line="240" w:lineRule="auto"/>
        <w:jc w:val="both"/>
        <w:rPr>
          <w:rFonts w:asciiTheme="majorBidi" w:hAnsiTheme="majorBidi" w:cstheme="majorBidi"/>
          <w:b/>
          <w:bCs/>
          <w:sz w:val="24"/>
          <w:szCs w:val="24"/>
        </w:rPr>
      </w:pPr>
      <w:r w:rsidRPr="00B73366">
        <w:rPr>
          <w:rFonts w:asciiTheme="majorBidi" w:hAnsiTheme="majorBidi" w:cstheme="majorBidi"/>
          <w:b/>
          <w:bCs/>
          <w:sz w:val="24"/>
          <w:szCs w:val="24"/>
        </w:rPr>
        <w:t>CONCLUSION</w:t>
      </w:r>
    </w:p>
    <w:p w14:paraId="6955EEE7" w14:textId="6BB02699" w:rsidR="00B06A7D" w:rsidRPr="00B06A7D" w:rsidRDefault="00B06A7D" w:rsidP="00131F43">
      <w:pPr>
        <w:spacing w:after="0" w:line="240" w:lineRule="auto"/>
        <w:ind w:firstLine="709"/>
        <w:jc w:val="both"/>
        <w:rPr>
          <w:rFonts w:asciiTheme="majorBidi" w:hAnsiTheme="majorBidi" w:cstheme="majorBidi"/>
          <w:sz w:val="24"/>
          <w:szCs w:val="24"/>
        </w:rPr>
      </w:pPr>
      <w:r w:rsidRPr="00B06A7D">
        <w:rPr>
          <w:rFonts w:asciiTheme="majorBidi" w:hAnsiTheme="majorBidi" w:cstheme="majorBidi"/>
          <w:sz w:val="24"/>
          <w:szCs w:val="24"/>
        </w:rPr>
        <w:t xml:space="preserve">Based on the results of the study, it can be concluded that the use of </w:t>
      </w:r>
      <w:r w:rsidRPr="00B06A7D">
        <w:rPr>
          <w:rFonts w:asciiTheme="majorBidi" w:hAnsiTheme="majorBidi" w:cstheme="majorBidi"/>
          <w:i/>
          <w:iCs/>
          <w:sz w:val="24"/>
          <w:szCs w:val="24"/>
        </w:rPr>
        <w:t>Collaborative Strategic Reading</w:t>
      </w:r>
      <w:r w:rsidRPr="00B06A7D">
        <w:rPr>
          <w:rFonts w:asciiTheme="majorBidi" w:hAnsiTheme="majorBidi" w:cstheme="majorBidi"/>
          <w:sz w:val="24"/>
          <w:szCs w:val="24"/>
        </w:rPr>
        <w:t xml:space="preserve"> (CSR) significantly improves Arabic reading comprehension while reducing students' reading anxiety levels. The results of </w:t>
      </w:r>
      <w:r w:rsidRPr="00B06A7D">
        <w:rPr>
          <w:rFonts w:asciiTheme="majorBidi" w:hAnsiTheme="majorBidi" w:cstheme="majorBidi"/>
          <w:i/>
          <w:iCs/>
          <w:sz w:val="24"/>
          <w:szCs w:val="24"/>
        </w:rPr>
        <w:t>the Independent Samples T-Test</w:t>
      </w:r>
      <w:r w:rsidRPr="00B06A7D">
        <w:rPr>
          <w:rFonts w:asciiTheme="majorBidi" w:hAnsiTheme="majorBidi" w:cstheme="majorBidi"/>
          <w:sz w:val="24"/>
          <w:szCs w:val="24"/>
        </w:rPr>
        <w:t xml:space="preserve"> showed that the experimental class that used the CSR method had a much higher reading comprehension than the control class, with an average difference of 19.76 points. In addition, CSR was also shown to be effective in reducing reading anxiety, where the experimental class showed a reduction in anxiety of about 10</w:t>
      </w:r>
      <w:r w:rsidR="005815C3">
        <w:rPr>
          <w:rFonts w:asciiTheme="majorBidi" w:hAnsiTheme="majorBidi" w:cstheme="majorBidi"/>
          <w:sz w:val="24"/>
          <w:szCs w:val="24"/>
        </w:rPr>
        <w:t>.</w:t>
      </w:r>
      <w:r w:rsidRPr="00B06A7D">
        <w:rPr>
          <w:rFonts w:asciiTheme="majorBidi" w:hAnsiTheme="majorBidi" w:cstheme="majorBidi"/>
          <w:sz w:val="24"/>
          <w:szCs w:val="24"/>
        </w:rPr>
        <w:t>120 points compared to the control class. The results of Pearson's correlation analysis revealed a very strong negative relationship between reading comprehension and anxiety, with a correlation coefficient of r = -0.889, which means that the higher the reading comprehension, the lower the reading anxiety level. Overall, the results of this study indicate that CSR not only improves students' cognitive ability to understand Arabic texts, but also plays an important role in reducing the anxiety they feel when reading, thus providing benefits both cognitively and affectively.</w:t>
      </w:r>
    </w:p>
    <w:p w14:paraId="0209B2C6" w14:textId="633157CC" w:rsidR="00B73366" w:rsidRPr="00DB2969" w:rsidRDefault="00451CB5" w:rsidP="00131F43">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The researcher is aware of the limitations of this study. For this reason, the researcher provides suggestions for future research to </w:t>
      </w:r>
      <w:r w:rsidR="00CB2090" w:rsidRPr="00CB2090">
        <w:rPr>
          <w:rFonts w:asciiTheme="majorBidi" w:hAnsiTheme="majorBidi" w:cstheme="majorBidi"/>
          <w:sz w:val="24"/>
          <w:szCs w:val="24"/>
        </w:rPr>
        <w:t>involve a more diverse group of participants in terms of educational background</w:t>
      </w:r>
      <w:r>
        <w:rPr>
          <w:rFonts w:asciiTheme="majorBidi" w:hAnsiTheme="majorBidi" w:cstheme="majorBidi"/>
          <w:sz w:val="24"/>
          <w:szCs w:val="24"/>
        </w:rPr>
        <w:t xml:space="preserve">, age, and skill level in Arabic. This aims to expand insights into the effectiveness of </w:t>
      </w:r>
      <w:r w:rsidR="00B06A7D" w:rsidRPr="00B06A7D">
        <w:rPr>
          <w:rFonts w:asciiTheme="majorBidi" w:hAnsiTheme="majorBidi" w:cstheme="majorBidi"/>
          <w:i/>
          <w:iCs/>
          <w:sz w:val="24"/>
          <w:szCs w:val="24"/>
        </w:rPr>
        <w:t>Collaborative Strategic Reading</w:t>
      </w:r>
      <w:r w:rsidR="00B06A7D" w:rsidRPr="00B06A7D">
        <w:rPr>
          <w:rFonts w:asciiTheme="majorBidi" w:hAnsiTheme="majorBidi" w:cstheme="majorBidi"/>
          <w:sz w:val="24"/>
          <w:szCs w:val="24"/>
        </w:rPr>
        <w:t xml:space="preserve"> (CSR) in various learning contexts. In addition, research can be developed by examining other variables that may affect reading comprehension and anxiety, such as learning motivation, confidence levels, and memory abilities. Comparisons with other learning methods, such as group discussions or visualization techniques, are also important to see if these methods can produce similar or better effects in improving comprehension and lowering anxiety. Longitudinal research is strongly recommended to test whether the positive effects of CSR on reading comprehension and anxiety are long-term or only temporary. Finally, the development of more specific assessment instruments can be carried out to explore the dimensions of comprehension and anxiety in more depth, especially related to more complex texts or in the context of more interactive Arabic communication.</w:t>
      </w:r>
    </w:p>
    <w:bookmarkEnd w:id="3"/>
    <w:p w14:paraId="0A4B8DA8" w14:textId="3E99DEA6" w:rsidR="006E6173" w:rsidRPr="00AF1835" w:rsidRDefault="006E6173" w:rsidP="009246DD">
      <w:pPr>
        <w:pStyle w:val="Heading1"/>
        <w:spacing w:line="240" w:lineRule="auto"/>
      </w:pPr>
      <w:r w:rsidRPr="00AF1835">
        <w:t>BIBLIOGRAPHY</w:t>
      </w:r>
      <w:bookmarkEnd w:id="4"/>
    </w:p>
    <w:p w14:paraId="2E952583" w14:textId="171EC4B9" w:rsidR="002D046B" w:rsidRPr="002D046B" w:rsidRDefault="00D13F61"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F1835">
        <w:rPr>
          <w:rFonts w:ascii="Times New Roman" w:hAnsi="Times New Roman" w:cs="Times New Roman"/>
          <w:sz w:val="24"/>
          <w:szCs w:val="24"/>
        </w:rPr>
        <w:fldChar w:fldCharType="begin" w:fldLock="1"/>
      </w:r>
      <w:r w:rsidRPr="00AF1835">
        <w:rPr>
          <w:rFonts w:ascii="Times New Roman" w:hAnsi="Times New Roman" w:cs="Times New Roman"/>
          <w:sz w:val="24"/>
          <w:szCs w:val="24"/>
        </w:rPr>
        <w:instrText xml:space="preserve">ADDIN Mendeley Bibliography CSL_BIBLIOGRAPHY </w:instrText>
      </w:r>
      <w:r w:rsidRPr="00AF1835">
        <w:rPr>
          <w:rFonts w:ascii="Times New Roman" w:hAnsi="Times New Roman" w:cs="Times New Roman"/>
          <w:sz w:val="24"/>
          <w:szCs w:val="24"/>
        </w:rPr>
        <w:fldChar w:fldCharType="separate"/>
      </w:r>
      <w:r w:rsidR="002D046B" w:rsidRPr="002D046B">
        <w:rPr>
          <w:rFonts w:ascii="Times New Roman" w:hAnsi="Times New Roman" w:cs="Times New Roman"/>
          <w:noProof/>
          <w:sz w:val="24"/>
          <w:szCs w:val="24"/>
        </w:rPr>
        <w:t xml:space="preserve">Abuhussein, H. F., Qassrawi, R. M., &amp; Shaath, S. (2023). Utilizing remote speaking tasks for tackling foreign language anxiety. </w:t>
      </w:r>
      <w:r w:rsidR="002D046B" w:rsidRPr="002D046B">
        <w:rPr>
          <w:rFonts w:ascii="Times New Roman" w:hAnsi="Times New Roman" w:cs="Times New Roman"/>
          <w:i/>
          <w:iCs/>
          <w:noProof/>
          <w:sz w:val="24"/>
          <w:szCs w:val="24"/>
        </w:rPr>
        <w:t>Cogent Education</w:t>
      </w:r>
      <w:r w:rsidR="002D046B" w:rsidRPr="002D046B">
        <w:rPr>
          <w:rFonts w:ascii="Times New Roman" w:hAnsi="Times New Roman" w:cs="Times New Roman"/>
          <w:noProof/>
          <w:sz w:val="24"/>
          <w:szCs w:val="24"/>
        </w:rPr>
        <w:t xml:space="preserve">, </w:t>
      </w:r>
      <w:r w:rsidR="002D046B" w:rsidRPr="002D046B">
        <w:rPr>
          <w:rFonts w:ascii="Times New Roman" w:hAnsi="Times New Roman" w:cs="Times New Roman"/>
          <w:i/>
          <w:iCs/>
          <w:noProof/>
          <w:sz w:val="24"/>
          <w:szCs w:val="24"/>
        </w:rPr>
        <w:t>10</w:t>
      </w:r>
      <w:r w:rsidR="002D046B" w:rsidRPr="002D046B">
        <w:rPr>
          <w:rFonts w:ascii="Times New Roman" w:hAnsi="Times New Roman" w:cs="Times New Roman"/>
          <w:noProof/>
          <w:sz w:val="24"/>
          <w:szCs w:val="24"/>
        </w:rPr>
        <w:t>(2), 1–12. https://doi.org/10.1080/2331186X.2023.2238150</w:t>
      </w:r>
    </w:p>
    <w:p w14:paraId="2ACCDB92"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Bruggink, M., Swart, N., van der Lee, A., &amp; Segers, E. (2022). Theories of reading comprehension. In </w:t>
      </w:r>
      <w:r w:rsidRPr="002D046B">
        <w:rPr>
          <w:rFonts w:ascii="Times New Roman" w:hAnsi="Times New Roman" w:cs="Times New Roman"/>
          <w:i/>
          <w:iCs/>
          <w:noProof/>
          <w:sz w:val="24"/>
          <w:szCs w:val="24"/>
        </w:rPr>
        <w:t>Putting PIRLS to Use in Classrooms Across the Globe</w:t>
      </w:r>
      <w:r w:rsidRPr="002D046B">
        <w:rPr>
          <w:rFonts w:ascii="Times New Roman" w:hAnsi="Times New Roman" w:cs="Times New Roman"/>
          <w:noProof/>
          <w:sz w:val="24"/>
          <w:szCs w:val="24"/>
        </w:rPr>
        <w:t xml:space="preserve"> (Vol. 1, pp. 3–19). Springer. https://doi.org/10.1007/978-3-030-95266-2_1</w:t>
      </w:r>
    </w:p>
    <w:p w14:paraId="101046BC"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Chen, S., Du, H., Wang, S., &amp; Yang, L. (2022). Understanding EFL reading anxiety in relation to learning motivation, attitudes and strategies for Chinese and Spanish undergraduates. </w:t>
      </w:r>
      <w:r w:rsidRPr="002D046B">
        <w:rPr>
          <w:rFonts w:ascii="Times New Roman" w:hAnsi="Times New Roman" w:cs="Times New Roman"/>
          <w:i/>
          <w:iCs/>
          <w:noProof/>
          <w:sz w:val="24"/>
          <w:szCs w:val="24"/>
        </w:rPr>
        <w:t>System</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108</w:t>
      </w:r>
      <w:r w:rsidRPr="002D046B">
        <w:rPr>
          <w:rFonts w:ascii="Times New Roman" w:hAnsi="Times New Roman" w:cs="Times New Roman"/>
          <w:noProof/>
          <w:sz w:val="24"/>
          <w:szCs w:val="24"/>
        </w:rPr>
        <w:t>, 102842. https://doi.org/10.1016/j.system.2022.102842</w:t>
      </w:r>
    </w:p>
    <w:p w14:paraId="5B7653D7"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Cho, J.-R., &amp; Chen, H.-C. (2005). Semantic and Phonological Processing in Reading Korean Hangul and Hanja Words. </w:t>
      </w:r>
      <w:r w:rsidRPr="002D046B">
        <w:rPr>
          <w:rFonts w:ascii="Times New Roman" w:hAnsi="Times New Roman" w:cs="Times New Roman"/>
          <w:i/>
          <w:iCs/>
          <w:noProof/>
          <w:sz w:val="24"/>
          <w:szCs w:val="24"/>
        </w:rPr>
        <w:t>Journal of Psycholinguistic Research</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34</w:t>
      </w:r>
      <w:r w:rsidRPr="002D046B">
        <w:rPr>
          <w:rFonts w:ascii="Times New Roman" w:hAnsi="Times New Roman" w:cs="Times New Roman"/>
          <w:noProof/>
          <w:sz w:val="24"/>
          <w:szCs w:val="24"/>
        </w:rPr>
        <w:t>(4), 401–414. https://doi.org/10.1007/s10936-005-6140-x</w:t>
      </w:r>
    </w:p>
    <w:p w14:paraId="657B4C20"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Creswell, J. W., &amp; Clark, V. L. P. (2011). </w:t>
      </w:r>
      <w:r w:rsidRPr="002D046B">
        <w:rPr>
          <w:rFonts w:ascii="Times New Roman" w:hAnsi="Times New Roman" w:cs="Times New Roman"/>
          <w:i/>
          <w:iCs/>
          <w:noProof/>
          <w:sz w:val="24"/>
          <w:szCs w:val="24"/>
        </w:rPr>
        <w:t>Designing and conducting mixed methods research</w:t>
      </w:r>
      <w:r w:rsidRPr="002D046B">
        <w:rPr>
          <w:rFonts w:ascii="Times New Roman" w:hAnsi="Times New Roman" w:cs="Times New Roman"/>
          <w:noProof/>
          <w:sz w:val="24"/>
          <w:szCs w:val="24"/>
        </w:rPr>
        <w:t>. SAGE Publications.</w:t>
      </w:r>
    </w:p>
    <w:p w14:paraId="46244C7A"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Denton, C. A., Wolters, C. A., York, M. J., Swanson, E., Kulesz, P. A., &amp; Francis, D. J. (2015). </w:t>
      </w:r>
      <w:r w:rsidRPr="002D046B">
        <w:rPr>
          <w:rFonts w:ascii="Times New Roman" w:hAnsi="Times New Roman" w:cs="Times New Roman"/>
          <w:noProof/>
          <w:sz w:val="24"/>
          <w:szCs w:val="24"/>
        </w:rPr>
        <w:lastRenderedPageBreak/>
        <w:t xml:space="preserve">Adolescents’ use of reading comprehension strategies: Differences related to reading proficiency, grade level, and gender. </w:t>
      </w:r>
      <w:r w:rsidRPr="002D046B">
        <w:rPr>
          <w:rFonts w:ascii="Times New Roman" w:hAnsi="Times New Roman" w:cs="Times New Roman"/>
          <w:i/>
          <w:iCs/>
          <w:noProof/>
          <w:sz w:val="24"/>
          <w:szCs w:val="24"/>
        </w:rPr>
        <w:t>Learning and Individual Differences</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37</w:t>
      </w:r>
      <w:r w:rsidRPr="002D046B">
        <w:rPr>
          <w:rFonts w:ascii="Times New Roman" w:hAnsi="Times New Roman" w:cs="Times New Roman"/>
          <w:noProof/>
          <w:sz w:val="24"/>
          <w:szCs w:val="24"/>
        </w:rPr>
        <w:t>, 81–95. https://doi.org/10.1016/j.lindif.2014.11.016</w:t>
      </w:r>
    </w:p>
    <w:p w14:paraId="7996D0E3"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Elkhafaifi, H. (2005). Listening Comprehension and Anxiety in the Arabic Language Classroom. </w:t>
      </w:r>
      <w:r w:rsidRPr="002D046B">
        <w:rPr>
          <w:rFonts w:ascii="Times New Roman" w:hAnsi="Times New Roman" w:cs="Times New Roman"/>
          <w:i/>
          <w:iCs/>
          <w:noProof/>
          <w:sz w:val="24"/>
          <w:szCs w:val="24"/>
        </w:rPr>
        <w:t>The Modern Language Journal</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89</w:t>
      </w:r>
      <w:r w:rsidRPr="002D046B">
        <w:rPr>
          <w:rFonts w:ascii="Times New Roman" w:hAnsi="Times New Roman" w:cs="Times New Roman"/>
          <w:noProof/>
          <w:sz w:val="24"/>
          <w:szCs w:val="24"/>
        </w:rPr>
        <w:t>(2), 206–220. https://doi.org/10.1111/j.1540-4781.2005.00275.x</w:t>
      </w:r>
    </w:p>
    <w:p w14:paraId="29D89C3D"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Fikri, W. N., Hasyim, M. Y. A., &amp; Qutni, D. (2018). The effectiveness of the application of the hikari method in improving the reading skills of bare Arabic and Arabic is based on the students of grade XI MAN 2 Kebumen for the 2016/2017 school year. </w:t>
      </w:r>
      <w:r w:rsidRPr="002D046B">
        <w:rPr>
          <w:rFonts w:ascii="Times New Roman" w:hAnsi="Times New Roman" w:cs="Times New Roman"/>
          <w:i/>
          <w:iCs/>
          <w:noProof/>
          <w:sz w:val="24"/>
          <w:szCs w:val="24"/>
        </w:rPr>
        <w:t>Lisanul Arab: Journal of Arabic Learning and Teaching</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7</w:t>
      </w:r>
      <w:r w:rsidRPr="002D046B">
        <w:rPr>
          <w:rFonts w:ascii="Times New Roman" w:hAnsi="Times New Roman" w:cs="Times New Roman"/>
          <w:noProof/>
          <w:sz w:val="24"/>
          <w:szCs w:val="24"/>
        </w:rPr>
        <w:t>(1), 63–68. https://doi.org/10.15294/la.v7i1.26082</w:t>
      </w:r>
    </w:p>
    <w:p w14:paraId="75EE88BA"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Hasyim, M. Y. A. (2021). The Effectiveness of Problem-Based Learning on Advanced Reading Comprehension Skill in Online Arabic Language Teaching. </w:t>
      </w:r>
      <w:r w:rsidRPr="002D046B">
        <w:rPr>
          <w:rFonts w:ascii="Times New Roman" w:hAnsi="Times New Roman" w:cs="Times New Roman"/>
          <w:i/>
          <w:iCs/>
          <w:noProof/>
          <w:sz w:val="24"/>
          <w:szCs w:val="24"/>
        </w:rPr>
        <w:t>LISANIA: Journal of Arabic Education and Literature</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5</w:t>
      </w:r>
      <w:r w:rsidRPr="002D046B">
        <w:rPr>
          <w:rFonts w:ascii="Times New Roman" w:hAnsi="Times New Roman" w:cs="Times New Roman"/>
          <w:noProof/>
          <w:sz w:val="24"/>
          <w:szCs w:val="24"/>
        </w:rPr>
        <w:t>(1), 1–18. https://doi.org/10.18326/lisania.v5i1.1-18</w:t>
      </w:r>
    </w:p>
    <w:p w14:paraId="5B004D17"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Hermena, E. W., &amp; Reichle, E. D. (2020). Insights from the study of Arabic reading. </w:t>
      </w:r>
      <w:r w:rsidRPr="002D046B">
        <w:rPr>
          <w:rFonts w:ascii="Times New Roman" w:hAnsi="Times New Roman" w:cs="Times New Roman"/>
          <w:i/>
          <w:iCs/>
          <w:noProof/>
          <w:sz w:val="24"/>
          <w:szCs w:val="24"/>
        </w:rPr>
        <w:t>Language and Linguistics Compass</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14</w:t>
      </w:r>
      <w:r w:rsidRPr="002D046B">
        <w:rPr>
          <w:rFonts w:ascii="Times New Roman" w:hAnsi="Times New Roman" w:cs="Times New Roman"/>
          <w:noProof/>
          <w:sz w:val="24"/>
          <w:szCs w:val="24"/>
        </w:rPr>
        <w:t>(10), 1–26. https://doi.org/10.1111/lnc3.12400</w:t>
      </w:r>
    </w:p>
    <w:p w14:paraId="359A5F92"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Horwitz, E. K., Horwitz, M. B., &amp; Cope, J. (1986). Foreign Language Classroom Anxiety. </w:t>
      </w:r>
      <w:r w:rsidRPr="002D046B">
        <w:rPr>
          <w:rFonts w:ascii="Times New Roman" w:hAnsi="Times New Roman" w:cs="Times New Roman"/>
          <w:i/>
          <w:iCs/>
          <w:noProof/>
          <w:sz w:val="24"/>
          <w:szCs w:val="24"/>
        </w:rPr>
        <w:t>The Modern Language Journal</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70</w:t>
      </w:r>
      <w:r w:rsidRPr="002D046B">
        <w:rPr>
          <w:rFonts w:ascii="Times New Roman" w:hAnsi="Times New Roman" w:cs="Times New Roman"/>
          <w:noProof/>
          <w:sz w:val="24"/>
          <w:szCs w:val="24"/>
        </w:rPr>
        <w:t>(2), 125–132. https://doi.org/10.1111/j.1540-4781.1986.tb05256.x</w:t>
      </w:r>
    </w:p>
    <w:p w14:paraId="7E51334F"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Klingner, J. K., &amp; Vaughn, S. (1999). Promoting reading comprehension, content learning, and english acquisition though collaborative strategic reading (CSR). </w:t>
      </w:r>
      <w:r w:rsidRPr="002D046B">
        <w:rPr>
          <w:rFonts w:ascii="Times New Roman" w:hAnsi="Times New Roman" w:cs="Times New Roman"/>
          <w:i/>
          <w:iCs/>
          <w:noProof/>
          <w:sz w:val="24"/>
          <w:szCs w:val="24"/>
        </w:rPr>
        <w:t>The Reading Teacher</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52</w:t>
      </w:r>
      <w:r w:rsidRPr="002D046B">
        <w:rPr>
          <w:rFonts w:ascii="Times New Roman" w:hAnsi="Times New Roman" w:cs="Times New Roman"/>
          <w:noProof/>
          <w:sz w:val="24"/>
          <w:szCs w:val="24"/>
        </w:rPr>
        <w:t>(7), 738–747. http://www.jstor.org/stable/20204676</w:t>
      </w:r>
    </w:p>
    <w:p w14:paraId="0C2A64A6"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Li, X., Zang, C., Liversedge, S. P., &amp; Pollatsek, A. (2015). The Role of Words in Chinese Reading. In A. Pollatsek &amp; R. Treiman (Eds.), </w:t>
      </w:r>
      <w:r w:rsidRPr="002D046B">
        <w:rPr>
          <w:rFonts w:ascii="Times New Roman" w:hAnsi="Times New Roman" w:cs="Times New Roman"/>
          <w:i/>
          <w:iCs/>
          <w:noProof/>
          <w:sz w:val="24"/>
          <w:szCs w:val="24"/>
        </w:rPr>
        <w:t>The Oxford Handbook of Reading</w:t>
      </w:r>
      <w:r w:rsidRPr="002D046B">
        <w:rPr>
          <w:rFonts w:ascii="Times New Roman" w:hAnsi="Times New Roman" w:cs="Times New Roman"/>
          <w:noProof/>
          <w:sz w:val="24"/>
          <w:szCs w:val="24"/>
        </w:rPr>
        <w:t xml:space="preserve"> (pp. 232–244). Oxford University Press. https://doi.org/10.1093/oxfordhb/9780199324576.013.14</w:t>
      </w:r>
    </w:p>
    <w:p w14:paraId="5163ED06"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MacKinnon, N. J., &amp; Hoey, J. (2021). Operationalizing the Relation Between Affect and Cognition With the Somatic Transform. </w:t>
      </w:r>
      <w:r w:rsidRPr="002D046B">
        <w:rPr>
          <w:rFonts w:ascii="Times New Roman" w:hAnsi="Times New Roman" w:cs="Times New Roman"/>
          <w:i/>
          <w:iCs/>
          <w:noProof/>
          <w:sz w:val="24"/>
          <w:szCs w:val="24"/>
        </w:rPr>
        <w:t>Emotion Review</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13</w:t>
      </w:r>
      <w:r w:rsidRPr="002D046B">
        <w:rPr>
          <w:rFonts w:ascii="Times New Roman" w:hAnsi="Times New Roman" w:cs="Times New Roman"/>
          <w:noProof/>
          <w:sz w:val="24"/>
          <w:szCs w:val="24"/>
        </w:rPr>
        <w:t>(3), 245–256. https://doi.org/10.1177/17540739211014946</w:t>
      </w:r>
    </w:p>
    <w:p w14:paraId="0188EC48"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Mannaa, Z. M., Azmi, A. M., &amp; Aboalsamh, H. A. (2022). Computer-assisted i‘raab of Arabic sentences for teaching grammar to students. </w:t>
      </w:r>
      <w:r w:rsidRPr="002D046B">
        <w:rPr>
          <w:rFonts w:ascii="Times New Roman" w:hAnsi="Times New Roman" w:cs="Times New Roman"/>
          <w:i/>
          <w:iCs/>
          <w:noProof/>
          <w:sz w:val="24"/>
          <w:szCs w:val="24"/>
        </w:rPr>
        <w:t>Journal of King Saud University - Computer and Information Sciences</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34</w:t>
      </w:r>
      <w:r w:rsidRPr="002D046B">
        <w:rPr>
          <w:rFonts w:ascii="Times New Roman" w:hAnsi="Times New Roman" w:cs="Times New Roman"/>
          <w:noProof/>
          <w:sz w:val="24"/>
          <w:szCs w:val="24"/>
        </w:rPr>
        <w:t>(10), 8909–8926. https://doi.org/10.1016/j.jksuci.2022.08.020</w:t>
      </w:r>
    </w:p>
    <w:p w14:paraId="7CDD2540"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Mckee, S. (2012). Reading comprehension, what we know: a review of research 1995 to 2011. </w:t>
      </w:r>
      <w:r w:rsidRPr="002D046B">
        <w:rPr>
          <w:rFonts w:ascii="Times New Roman" w:hAnsi="Times New Roman" w:cs="Times New Roman"/>
          <w:i/>
          <w:iCs/>
          <w:noProof/>
          <w:sz w:val="24"/>
          <w:szCs w:val="24"/>
        </w:rPr>
        <w:t>Language Testing in Asia</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2</w:t>
      </w:r>
      <w:r w:rsidRPr="002D046B">
        <w:rPr>
          <w:rFonts w:ascii="Times New Roman" w:hAnsi="Times New Roman" w:cs="Times New Roman"/>
          <w:noProof/>
          <w:sz w:val="24"/>
          <w:szCs w:val="24"/>
        </w:rPr>
        <w:t>(1), 45. https://doi.org/10.1186/2229-0443-2-1-45</w:t>
      </w:r>
    </w:p>
    <w:p w14:paraId="4AEAF0B3"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Mora, J. C., Mora‐Plaza, I., &amp; Bermejo Miranda, G. (2024). Speaking anxiety and task complexity effects on second language speech. </w:t>
      </w:r>
      <w:r w:rsidRPr="002D046B">
        <w:rPr>
          <w:rFonts w:ascii="Times New Roman" w:hAnsi="Times New Roman" w:cs="Times New Roman"/>
          <w:i/>
          <w:iCs/>
          <w:noProof/>
          <w:sz w:val="24"/>
          <w:szCs w:val="24"/>
        </w:rPr>
        <w:t>International Journal of Applied Linguistics</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34</w:t>
      </w:r>
      <w:r w:rsidRPr="002D046B">
        <w:rPr>
          <w:rFonts w:ascii="Times New Roman" w:hAnsi="Times New Roman" w:cs="Times New Roman"/>
          <w:noProof/>
          <w:sz w:val="24"/>
          <w:szCs w:val="24"/>
        </w:rPr>
        <w:t>(1), 292–315. https://doi.org/10.1111/ijal.12494</w:t>
      </w:r>
    </w:p>
    <w:p w14:paraId="3220F059"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Muradi, A., Mubarak, F., Permana, F., Hidayat, Y., &amp; Wekke, I. (2020). Revitalization of the Existence of Arabic in Indonesia. </w:t>
      </w:r>
      <w:r w:rsidRPr="002D046B">
        <w:rPr>
          <w:rFonts w:ascii="Times New Roman" w:hAnsi="Times New Roman" w:cs="Times New Roman"/>
          <w:i/>
          <w:iCs/>
          <w:noProof/>
          <w:sz w:val="24"/>
          <w:szCs w:val="24"/>
        </w:rPr>
        <w:t>Psychology and Education</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57</w:t>
      </w:r>
      <w:r w:rsidRPr="002D046B">
        <w:rPr>
          <w:rFonts w:ascii="Times New Roman" w:hAnsi="Times New Roman" w:cs="Times New Roman"/>
          <w:noProof/>
          <w:sz w:val="24"/>
          <w:szCs w:val="24"/>
        </w:rPr>
        <w:t>(8), 505–514. https://doi.org/10.17762/pae.v57i8.775</w:t>
      </w:r>
    </w:p>
    <w:p w14:paraId="34B160B2"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Nassif, L. (2019). The relationship of language anxiety with noticing and oral production of L2 forms: A study of beginning learners of Arabic. </w:t>
      </w:r>
      <w:r w:rsidRPr="002D046B">
        <w:rPr>
          <w:rFonts w:ascii="Times New Roman" w:hAnsi="Times New Roman" w:cs="Times New Roman"/>
          <w:i/>
          <w:iCs/>
          <w:noProof/>
          <w:sz w:val="24"/>
          <w:szCs w:val="24"/>
        </w:rPr>
        <w:t>System</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80</w:t>
      </w:r>
      <w:r w:rsidRPr="002D046B">
        <w:rPr>
          <w:rFonts w:ascii="Times New Roman" w:hAnsi="Times New Roman" w:cs="Times New Roman"/>
          <w:noProof/>
          <w:sz w:val="24"/>
          <w:szCs w:val="24"/>
        </w:rPr>
        <w:t>, 304–317. https://doi.org/10.1016/j.system.2018.12.008</w:t>
      </w:r>
    </w:p>
    <w:p w14:paraId="13D768C1"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Pae, H. K. (2020). Chinese, Japanese, and Korean Writing Systems: All East-Asian but Different Scripts. In </w:t>
      </w:r>
      <w:r w:rsidRPr="002D046B">
        <w:rPr>
          <w:rFonts w:ascii="Times New Roman" w:hAnsi="Times New Roman" w:cs="Times New Roman"/>
          <w:i/>
          <w:iCs/>
          <w:noProof/>
          <w:sz w:val="24"/>
          <w:szCs w:val="24"/>
        </w:rPr>
        <w:t>Script Effects as the Hidden Drive of the Mind, Cognition, and Culture</w:t>
      </w:r>
      <w:r w:rsidRPr="002D046B">
        <w:rPr>
          <w:rFonts w:ascii="Times New Roman" w:hAnsi="Times New Roman" w:cs="Times New Roman"/>
          <w:noProof/>
          <w:sz w:val="24"/>
          <w:szCs w:val="24"/>
        </w:rPr>
        <w:t xml:space="preserve"> (Vol. 21, pp. 71–105). Springer. https://doi.org/10.1007/978-3-030-55152-0_5</w:t>
      </w:r>
    </w:p>
    <w:p w14:paraId="49DA70A8"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PBA UNNES, &amp; Arabic Language Education Study Program. (2020). </w:t>
      </w:r>
      <w:r w:rsidRPr="002D046B">
        <w:rPr>
          <w:rFonts w:ascii="Times New Roman" w:hAnsi="Times New Roman" w:cs="Times New Roman"/>
          <w:i/>
          <w:iCs/>
          <w:noProof/>
          <w:sz w:val="24"/>
          <w:szCs w:val="24"/>
        </w:rPr>
        <w:t>PBA UNNES 2020 Curriculum (Independent Campus).</w:t>
      </w:r>
      <w:r w:rsidRPr="002D046B">
        <w:rPr>
          <w:rFonts w:ascii="Times New Roman" w:hAnsi="Times New Roman" w:cs="Times New Roman"/>
          <w:noProof/>
          <w:sz w:val="24"/>
          <w:szCs w:val="24"/>
        </w:rPr>
        <w:t xml:space="preserve"> Pba.Unnes.Ac.Id; Semarang State University. </w:t>
      </w:r>
      <w:r w:rsidRPr="002D046B">
        <w:rPr>
          <w:rFonts w:ascii="Times New Roman" w:hAnsi="Times New Roman" w:cs="Times New Roman"/>
          <w:noProof/>
          <w:sz w:val="24"/>
          <w:szCs w:val="24"/>
        </w:rPr>
        <w:lastRenderedPageBreak/>
        <w:t>http://pba.unnes.ac.id/kurikulum-pendidikan-bahasa-arab-universitas-negeri-semarang/</w:t>
      </w:r>
    </w:p>
    <w:p w14:paraId="5C20ADE1"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Rajab, A., Zakaria, W. Z. W., Rahman, H. A., Hosni, A. D., &amp; Hassani, S. (2012). Reading Anxiety among Second Language Learners. </w:t>
      </w:r>
      <w:r w:rsidRPr="002D046B">
        <w:rPr>
          <w:rFonts w:ascii="Times New Roman" w:hAnsi="Times New Roman" w:cs="Times New Roman"/>
          <w:i/>
          <w:iCs/>
          <w:noProof/>
          <w:sz w:val="24"/>
          <w:szCs w:val="24"/>
        </w:rPr>
        <w:t>Procedia - Social and Behavioral Sciences</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66</w:t>
      </w:r>
      <w:r w:rsidRPr="002D046B">
        <w:rPr>
          <w:rFonts w:ascii="Times New Roman" w:hAnsi="Times New Roman" w:cs="Times New Roman"/>
          <w:noProof/>
          <w:sz w:val="24"/>
          <w:szCs w:val="24"/>
        </w:rPr>
        <w:t>, 362–369. https://doi.org/10.1016/j.sbspro.2012.11.279</w:t>
      </w:r>
    </w:p>
    <w:p w14:paraId="6CBB6A33"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Saiegh-Haddad, E. (2019). What is phonological awareness in L2? </w:t>
      </w:r>
      <w:r w:rsidRPr="002D046B">
        <w:rPr>
          <w:rFonts w:ascii="Times New Roman" w:hAnsi="Times New Roman" w:cs="Times New Roman"/>
          <w:i/>
          <w:iCs/>
          <w:noProof/>
          <w:sz w:val="24"/>
          <w:szCs w:val="24"/>
        </w:rPr>
        <w:t>Journal of Neurolinguistics</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50</w:t>
      </w:r>
      <w:r w:rsidRPr="002D046B">
        <w:rPr>
          <w:rFonts w:ascii="Times New Roman" w:hAnsi="Times New Roman" w:cs="Times New Roman"/>
          <w:noProof/>
          <w:sz w:val="24"/>
          <w:szCs w:val="24"/>
        </w:rPr>
        <w:t>, 17–27. https://doi.org/10.1016/j.jneuroling.2017.11.001</w:t>
      </w:r>
    </w:p>
    <w:p w14:paraId="6CE62215"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Saito, Y., Horwitz, E. K., &amp; Garza, T. J. (1999). Foreign Language Reading Anxiety. </w:t>
      </w:r>
      <w:r w:rsidRPr="002D046B">
        <w:rPr>
          <w:rFonts w:ascii="Times New Roman" w:hAnsi="Times New Roman" w:cs="Times New Roman"/>
          <w:i/>
          <w:iCs/>
          <w:noProof/>
          <w:sz w:val="24"/>
          <w:szCs w:val="24"/>
        </w:rPr>
        <w:t>The Modern Language Journal</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83</w:t>
      </w:r>
      <w:r w:rsidRPr="002D046B">
        <w:rPr>
          <w:rFonts w:ascii="Times New Roman" w:hAnsi="Times New Roman" w:cs="Times New Roman"/>
          <w:noProof/>
          <w:sz w:val="24"/>
          <w:szCs w:val="24"/>
        </w:rPr>
        <w:t>(2), 202–218. http://www.jstor.org/stable/330336</w:t>
      </w:r>
    </w:p>
    <w:p w14:paraId="53B66DB3"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Santiar, L., Emzir, E., &amp; Rasyid, Y. (2019). Reading Strategies to Overcome Difficulties in Understanding Japanese Sentences. </w:t>
      </w:r>
      <w:r w:rsidRPr="002D046B">
        <w:rPr>
          <w:rFonts w:ascii="Times New Roman" w:hAnsi="Times New Roman" w:cs="Times New Roman"/>
          <w:i/>
          <w:iCs/>
          <w:noProof/>
          <w:sz w:val="24"/>
          <w:szCs w:val="24"/>
        </w:rPr>
        <w:t>Proceedings of the Eleventh Conference on Applied Linguistics (CONAPLIN 2018)</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254</w:t>
      </w:r>
      <w:r w:rsidRPr="002D046B">
        <w:rPr>
          <w:rFonts w:ascii="Times New Roman" w:hAnsi="Times New Roman" w:cs="Times New Roman"/>
          <w:noProof/>
          <w:sz w:val="24"/>
          <w:szCs w:val="24"/>
        </w:rPr>
        <w:t>, 180–185. https://doi.org/10.2991/conaplin-18.2019.251</w:t>
      </w:r>
    </w:p>
    <w:p w14:paraId="189B3F6D"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Sun, P. P., &amp; Teng, L. S. (2021). Why so nervous? Revisiting the sources of speech anxiety in Chinese as a second language. </w:t>
      </w:r>
      <w:r w:rsidRPr="002D046B">
        <w:rPr>
          <w:rFonts w:ascii="Times New Roman" w:hAnsi="Times New Roman" w:cs="Times New Roman"/>
          <w:i/>
          <w:iCs/>
          <w:noProof/>
          <w:sz w:val="24"/>
          <w:szCs w:val="24"/>
        </w:rPr>
        <w:t>System</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103</w:t>
      </w:r>
      <w:r w:rsidRPr="002D046B">
        <w:rPr>
          <w:rFonts w:ascii="Times New Roman" w:hAnsi="Times New Roman" w:cs="Times New Roman"/>
          <w:noProof/>
          <w:sz w:val="24"/>
          <w:szCs w:val="24"/>
        </w:rPr>
        <w:t>, 102647. https://doi.org/10.1016/j.system.2021.102647</w:t>
      </w:r>
    </w:p>
    <w:p w14:paraId="16DCF272"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Szyszka, M., &amp; Lintunen, P. (2023). Zooming into the L2 Speech Fluency Markers of Anxious and Non-Anxious Advanced L2 Learners – an Extreme Case Sampling Report. </w:t>
      </w:r>
      <w:r w:rsidRPr="002D046B">
        <w:rPr>
          <w:rFonts w:ascii="Times New Roman" w:hAnsi="Times New Roman" w:cs="Times New Roman"/>
          <w:i/>
          <w:iCs/>
          <w:noProof/>
          <w:sz w:val="24"/>
          <w:szCs w:val="24"/>
        </w:rPr>
        <w:t>Research in Language</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21</w:t>
      </w:r>
      <w:r w:rsidRPr="002D046B">
        <w:rPr>
          <w:rFonts w:ascii="Times New Roman" w:hAnsi="Times New Roman" w:cs="Times New Roman"/>
          <w:noProof/>
          <w:sz w:val="24"/>
          <w:szCs w:val="24"/>
        </w:rPr>
        <w:t>(4), 357–376. https://doi.org/10.18778/1731-7533.21.4.02</w:t>
      </w:r>
    </w:p>
    <w:p w14:paraId="354DBB95"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Waked, A., El Alaoui, K., &amp; Pilotti, M. A. E. (2023). Second-language writing anxiety and its correlates: A challenge to sustainable education in a post-pandemic world. </w:t>
      </w:r>
      <w:r w:rsidRPr="002D046B">
        <w:rPr>
          <w:rFonts w:ascii="Times New Roman" w:hAnsi="Times New Roman" w:cs="Times New Roman"/>
          <w:i/>
          <w:iCs/>
          <w:noProof/>
          <w:sz w:val="24"/>
          <w:szCs w:val="24"/>
        </w:rPr>
        <w:t>Cogent Education</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10</w:t>
      </w:r>
      <w:r w:rsidRPr="002D046B">
        <w:rPr>
          <w:rFonts w:ascii="Times New Roman" w:hAnsi="Times New Roman" w:cs="Times New Roman"/>
          <w:noProof/>
          <w:sz w:val="24"/>
          <w:szCs w:val="24"/>
        </w:rPr>
        <w:t>(2), 1–17. https://doi.org/10.1080/2331186X.2023.2280309</w:t>
      </w:r>
    </w:p>
    <w:p w14:paraId="02221781"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2D046B">
        <w:rPr>
          <w:rFonts w:ascii="Times New Roman" w:hAnsi="Times New Roman" w:cs="Times New Roman"/>
          <w:noProof/>
          <w:sz w:val="24"/>
          <w:szCs w:val="24"/>
        </w:rPr>
        <w:t xml:space="preserve">Yapp, D. J., de Graaff, R., &amp; van den Bergh, H. (2021). Improving second language reading comprehension through reading strategies. </w:t>
      </w:r>
      <w:r w:rsidRPr="002D046B">
        <w:rPr>
          <w:rFonts w:ascii="Times New Roman" w:hAnsi="Times New Roman" w:cs="Times New Roman"/>
          <w:i/>
          <w:iCs/>
          <w:noProof/>
          <w:sz w:val="24"/>
          <w:szCs w:val="24"/>
        </w:rPr>
        <w:t>Journal of Second Language Studies</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4</w:t>
      </w:r>
      <w:r w:rsidRPr="002D046B">
        <w:rPr>
          <w:rFonts w:ascii="Times New Roman" w:hAnsi="Times New Roman" w:cs="Times New Roman"/>
          <w:noProof/>
          <w:sz w:val="24"/>
          <w:szCs w:val="24"/>
        </w:rPr>
        <w:t>(1), 154–192. https://doi.org/10.1075/jsls.19013.yap</w:t>
      </w:r>
    </w:p>
    <w:p w14:paraId="70EC5134" w14:textId="77777777" w:rsidR="002D046B" w:rsidRPr="002D046B" w:rsidRDefault="002D046B" w:rsidP="00CE553D">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2D046B">
        <w:rPr>
          <w:rFonts w:ascii="Times New Roman" w:hAnsi="Times New Roman" w:cs="Times New Roman"/>
          <w:noProof/>
          <w:sz w:val="24"/>
          <w:szCs w:val="24"/>
        </w:rPr>
        <w:t xml:space="preserve">Zuniga, M., &amp; Simard, D. (2022). Exploring the intricate relationship between foreign language anxiety, attention and self-repairs during L2 speech production. </w:t>
      </w:r>
      <w:r w:rsidRPr="002D046B">
        <w:rPr>
          <w:rFonts w:ascii="Times New Roman" w:hAnsi="Times New Roman" w:cs="Times New Roman"/>
          <w:i/>
          <w:iCs/>
          <w:noProof/>
          <w:sz w:val="24"/>
          <w:szCs w:val="24"/>
        </w:rPr>
        <w:t>System</w:t>
      </w:r>
      <w:r w:rsidRPr="002D046B">
        <w:rPr>
          <w:rFonts w:ascii="Times New Roman" w:hAnsi="Times New Roman" w:cs="Times New Roman"/>
          <w:noProof/>
          <w:sz w:val="24"/>
          <w:szCs w:val="24"/>
        </w:rPr>
        <w:t xml:space="preserve">, </w:t>
      </w:r>
      <w:r w:rsidRPr="002D046B">
        <w:rPr>
          <w:rFonts w:ascii="Times New Roman" w:hAnsi="Times New Roman" w:cs="Times New Roman"/>
          <w:i/>
          <w:iCs/>
          <w:noProof/>
          <w:sz w:val="24"/>
          <w:szCs w:val="24"/>
        </w:rPr>
        <w:t>105</w:t>
      </w:r>
      <w:r w:rsidRPr="002D046B">
        <w:rPr>
          <w:rFonts w:ascii="Times New Roman" w:hAnsi="Times New Roman" w:cs="Times New Roman"/>
          <w:noProof/>
          <w:sz w:val="24"/>
          <w:szCs w:val="24"/>
        </w:rPr>
        <w:t>, 102732. https://doi.org/10.1016/j.system.2022.102732</w:t>
      </w:r>
    </w:p>
    <w:p w14:paraId="345D54AA" w14:textId="695E3B47" w:rsidR="001C3506" w:rsidRPr="001C3506" w:rsidRDefault="00D13F61" w:rsidP="00CE553D">
      <w:pPr>
        <w:spacing w:after="120" w:line="240" w:lineRule="auto"/>
        <w:jc w:val="both"/>
        <w:rPr>
          <w:rFonts w:asciiTheme="majorBidi" w:hAnsiTheme="majorBidi" w:cstheme="majorBidi"/>
          <w:b/>
          <w:bCs/>
          <w:sz w:val="24"/>
          <w:szCs w:val="24"/>
          <w:lang w:val="en-US"/>
        </w:rPr>
      </w:pPr>
      <w:r w:rsidRPr="00AF1835">
        <w:rPr>
          <w:rFonts w:ascii="Times New Roman" w:hAnsi="Times New Roman" w:cs="Times New Roman"/>
          <w:sz w:val="24"/>
          <w:szCs w:val="24"/>
        </w:rPr>
        <w:fldChar w:fldCharType="end"/>
      </w:r>
    </w:p>
    <w:sectPr w:rsidR="001C3506" w:rsidRPr="001C3506" w:rsidSect="00D73CB3">
      <w:headerReference w:type="default" r:id="rId12"/>
      <w:footerReference w:type="default" r:id="rId13"/>
      <w:headerReference w:type="first" r:id="rId14"/>
      <w:footerReference w:type="first" r:id="rId15"/>
      <w:pgSz w:w="11906" w:h="16838" w:code="9"/>
      <w:pgMar w:top="1134" w:right="1134" w:bottom="1134" w:left="1134"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E761" w14:textId="77777777" w:rsidR="00D87B61" w:rsidRDefault="00D87B61" w:rsidP="00AA684D">
      <w:pPr>
        <w:spacing w:after="0" w:line="240" w:lineRule="auto"/>
      </w:pPr>
      <w:r>
        <w:separator/>
      </w:r>
    </w:p>
  </w:endnote>
  <w:endnote w:type="continuationSeparator" w:id="0">
    <w:p w14:paraId="295DCE0A" w14:textId="77777777" w:rsidR="00D87B61" w:rsidRDefault="00D87B61" w:rsidP="00AA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8CDF5" w14:textId="77777777" w:rsidR="00A47405" w:rsidRDefault="00A47405" w:rsidP="001911FC">
    <w:pPr>
      <w:pStyle w:val="Footer"/>
    </w:pPr>
  </w:p>
  <w:p w14:paraId="0191F983" w14:textId="77777777" w:rsidR="00A47405" w:rsidRDefault="00A47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257204793"/>
      <w:docPartObj>
        <w:docPartGallery w:val="Page Numbers (Bottom of Page)"/>
        <w:docPartUnique/>
      </w:docPartObj>
    </w:sdtPr>
    <w:sdtEndPr/>
    <w:sdtContent>
      <w:p w14:paraId="0C432D03" w14:textId="2F4DE64C" w:rsidR="005B3C56" w:rsidRPr="005B3C56" w:rsidRDefault="005B3C56">
        <w:pPr>
          <w:pStyle w:val="Footer"/>
          <w:jc w:val="center"/>
          <w:rPr>
            <w:rFonts w:asciiTheme="majorBidi" w:hAnsiTheme="majorBidi" w:cstheme="majorBidi"/>
            <w:sz w:val="24"/>
            <w:szCs w:val="24"/>
          </w:rPr>
        </w:pPr>
        <w:r w:rsidRPr="005B3C56">
          <w:rPr>
            <w:rFonts w:asciiTheme="majorBidi" w:hAnsiTheme="majorBidi" w:cstheme="majorBidi"/>
            <w:sz w:val="24"/>
            <w:szCs w:val="24"/>
          </w:rPr>
          <w:fldChar w:fldCharType="begin"/>
        </w:r>
        <w:r w:rsidRPr="005B3C56">
          <w:rPr>
            <w:rFonts w:asciiTheme="majorBidi" w:hAnsiTheme="majorBidi" w:cstheme="majorBidi"/>
            <w:sz w:val="24"/>
            <w:szCs w:val="24"/>
          </w:rPr>
          <w:instrText>PAGE   \* MERGEFORMAT</w:instrText>
        </w:r>
        <w:r w:rsidRPr="005B3C56">
          <w:rPr>
            <w:rFonts w:asciiTheme="majorBidi" w:hAnsiTheme="majorBidi" w:cstheme="majorBidi"/>
            <w:sz w:val="24"/>
            <w:szCs w:val="24"/>
          </w:rPr>
          <w:fldChar w:fldCharType="separate"/>
        </w:r>
        <w:r w:rsidR="00F96072">
          <w:rPr>
            <w:rFonts w:asciiTheme="majorBidi" w:hAnsiTheme="majorBidi" w:cstheme="majorBidi"/>
            <w:noProof/>
            <w:sz w:val="24"/>
            <w:szCs w:val="24"/>
          </w:rPr>
          <w:t>1</w:t>
        </w:r>
        <w:r w:rsidRPr="005B3C56">
          <w:rPr>
            <w:rFonts w:asciiTheme="majorBidi" w:hAnsiTheme="majorBidi" w:cstheme="majorBidi"/>
            <w:sz w:val="24"/>
            <w:szCs w:val="24"/>
          </w:rPr>
          <w:fldChar w:fldCharType="end"/>
        </w:r>
      </w:p>
    </w:sdtContent>
  </w:sdt>
  <w:p w14:paraId="5A9A01A4" w14:textId="77777777" w:rsidR="00A47405" w:rsidRPr="005B3C56" w:rsidRDefault="00A47405">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36F3F" w14:textId="77777777" w:rsidR="00D87B61" w:rsidRDefault="00D87B61" w:rsidP="00AA684D">
      <w:pPr>
        <w:spacing w:after="0" w:line="240" w:lineRule="auto"/>
      </w:pPr>
      <w:r>
        <w:separator/>
      </w:r>
    </w:p>
  </w:footnote>
  <w:footnote w:type="continuationSeparator" w:id="0">
    <w:p w14:paraId="32D18752" w14:textId="77777777" w:rsidR="00D87B61" w:rsidRDefault="00D87B61" w:rsidP="00AA6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24324480"/>
      <w:docPartObj>
        <w:docPartGallery w:val="Page Numbers (Top of Page)"/>
        <w:docPartUnique/>
      </w:docPartObj>
    </w:sdtPr>
    <w:sdtEndPr/>
    <w:sdtContent>
      <w:p w14:paraId="74D50456" w14:textId="77777777" w:rsidR="00A47405" w:rsidRPr="000275C4" w:rsidRDefault="00A47405">
        <w:pPr>
          <w:pStyle w:val="Header"/>
          <w:rPr>
            <w:rFonts w:ascii="Times New Roman" w:hAnsi="Times New Roman" w:cs="Times New Roman"/>
            <w:sz w:val="24"/>
            <w:szCs w:val="24"/>
          </w:rPr>
        </w:pPr>
        <w:r w:rsidRPr="000275C4">
          <w:rPr>
            <w:rFonts w:ascii="Times New Roman" w:hAnsi="Times New Roman" w:cs="Times New Roman"/>
            <w:sz w:val="24"/>
            <w:szCs w:val="24"/>
          </w:rPr>
          <w:fldChar w:fldCharType="begin"/>
        </w:r>
        <w:r w:rsidRPr="000275C4">
          <w:rPr>
            <w:rFonts w:ascii="Times New Roman" w:hAnsi="Times New Roman" w:cs="Times New Roman"/>
            <w:sz w:val="24"/>
            <w:szCs w:val="24"/>
          </w:rPr>
          <w:instrText>PAGE   \* MERGEFORMAT</w:instrText>
        </w:r>
        <w:r w:rsidRPr="000275C4">
          <w:rPr>
            <w:rFonts w:ascii="Times New Roman" w:hAnsi="Times New Roman" w:cs="Times New Roman"/>
            <w:sz w:val="24"/>
            <w:szCs w:val="24"/>
          </w:rPr>
          <w:fldChar w:fldCharType="separate"/>
        </w:r>
        <w:r w:rsidR="00F96072">
          <w:rPr>
            <w:rFonts w:ascii="Times New Roman" w:hAnsi="Times New Roman" w:cs="Times New Roman"/>
            <w:noProof/>
            <w:sz w:val="24"/>
            <w:szCs w:val="24"/>
          </w:rPr>
          <w:t>10</w:t>
        </w:r>
        <w:r w:rsidRPr="000275C4">
          <w:rPr>
            <w:rFonts w:ascii="Times New Roman" w:hAnsi="Times New Roman" w:cs="Times New Roman"/>
            <w:sz w:val="24"/>
            <w:szCs w:val="24"/>
          </w:rPr>
          <w:fldChar w:fldCharType="end"/>
        </w:r>
      </w:p>
    </w:sdtContent>
  </w:sdt>
  <w:p w14:paraId="2B144ED4" w14:textId="77777777" w:rsidR="00A47405" w:rsidRPr="000275C4" w:rsidRDefault="00A4740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4934F" w14:textId="77777777" w:rsidR="00A47405" w:rsidRDefault="00A47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B39"/>
    <w:multiLevelType w:val="multilevel"/>
    <w:tmpl w:val="72BAA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17609"/>
    <w:multiLevelType w:val="multilevel"/>
    <w:tmpl w:val="F5ECF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B1A41"/>
    <w:multiLevelType w:val="hybridMultilevel"/>
    <w:tmpl w:val="DC1E2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1199A"/>
    <w:multiLevelType w:val="hybridMultilevel"/>
    <w:tmpl w:val="72C8EE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6F681A"/>
    <w:multiLevelType w:val="hybridMultilevel"/>
    <w:tmpl w:val="A806688E"/>
    <w:lvl w:ilvl="0" w:tplc="ECFE7B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28057E17"/>
    <w:multiLevelType w:val="multilevel"/>
    <w:tmpl w:val="15909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5785C"/>
    <w:multiLevelType w:val="multilevel"/>
    <w:tmpl w:val="4C50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10FC3"/>
    <w:multiLevelType w:val="hybridMultilevel"/>
    <w:tmpl w:val="723246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272187"/>
    <w:multiLevelType w:val="hybridMultilevel"/>
    <w:tmpl w:val="DE20124E"/>
    <w:lvl w:ilvl="0" w:tplc="D38C2168">
      <w:start w:val="1"/>
      <w:numFmt w:val="upperLetter"/>
      <w:pStyle w:val="ListParagraph"/>
      <w:lvlText w:val="%1."/>
      <w:lvlJc w:val="left"/>
      <w:pPr>
        <w:ind w:left="720" w:hanging="360"/>
      </w:pPr>
      <w:rPr>
        <w:rFonts w:ascii="Times New Roman" w:eastAsiaTheme="minorHAnsi" w:hAnsi="Times New Roman" w:cs="Courier New"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A03D56"/>
    <w:multiLevelType w:val="hybridMultilevel"/>
    <w:tmpl w:val="12C8DDD6"/>
    <w:lvl w:ilvl="0" w:tplc="C3A4E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8765156"/>
    <w:multiLevelType w:val="hybridMultilevel"/>
    <w:tmpl w:val="E37815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A69520D"/>
    <w:multiLevelType w:val="multilevel"/>
    <w:tmpl w:val="F5020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F0B97"/>
    <w:multiLevelType w:val="hybridMultilevel"/>
    <w:tmpl w:val="7BD0677C"/>
    <w:lvl w:ilvl="0" w:tplc="C818EB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0993899"/>
    <w:multiLevelType w:val="hybridMultilevel"/>
    <w:tmpl w:val="0C50BD92"/>
    <w:lvl w:ilvl="0" w:tplc="8C066BF6">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64833"/>
    <w:multiLevelType w:val="hybridMultilevel"/>
    <w:tmpl w:val="43544DCC"/>
    <w:lvl w:ilvl="0" w:tplc="DC6260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31D44CC"/>
    <w:multiLevelType w:val="hybridMultilevel"/>
    <w:tmpl w:val="930EE884"/>
    <w:lvl w:ilvl="0" w:tplc="43EE8A2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71639E6"/>
    <w:multiLevelType w:val="hybridMultilevel"/>
    <w:tmpl w:val="332EC6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AF70173"/>
    <w:multiLevelType w:val="hybridMultilevel"/>
    <w:tmpl w:val="946CA0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5EDA1D8B"/>
    <w:multiLevelType w:val="hybridMultilevel"/>
    <w:tmpl w:val="E9BEA6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381320"/>
    <w:multiLevelType w:val="multilevel"/>
    <w:tmpl w:val="E454F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F4F54"/>
    <w:multiLevelType w:val="hybridMultilevel"/>
    <w:tmpl w:val="D3B2FF96"/>
    <w:lvl w:ilvl="0" w:tplc="E612CC30">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1" w15:restartNumberingAfterBreak="0">
    <w:nsid w:val="6A7146E2"/>
    <w:multiLevelType w:val="hybridMultilevel"/>
    <w:tmpl w:val="766ECD6A"/>
    <w:lvl w:ilvl="0" w:tplc="742E743E">
      <w:start w:val="1"/>
      <w:numFmt w:val="upperLetter"/>
      <w:lvlText w:val="%1."/>
      <w:lvlJc w:val="left"/>
      <w:pPr>
        <w:ind w:left="720" w:hanging="360"/>
      </w:pPr>
      <w:rPr>
        <w:rFonts w:asciiTheme="majorBidi" w:eastAsiaTheme="minorHAns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0D7443B"/>
    <w:multiLevelType w:val="multilevel"/>
    <w:tmpl w:val="A6602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D6E35"/>
    <w:multiLevelType w:val="hybridMultilevel"/>
    <w:tmpl w:val="4C92142E"/>
    <w:lvl w:ilvl="0" w:tplc="8C066BF6">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9894819"/>
    <w:multiLevelType w:val="multilevel"/>
    <w:tmpl w:val="6E80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5234F8"/>
    <w:multiLevelType w:val="hybridMultilevel"/>
    <w:tmpl w:val="0FF0DA5E"/>
    <w:lvl w:ilvl="0" w:tplc="DC763E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25"/>
  </w:num>
  <w:num w:numId="3">
    <w:abstractNumId w:val="15"/>
  </w:num>
  <w:num w:numId="4">
    <w:abstractNumId w:val="8"/>
  </w:num>
  <w:num w:numId="5">
    <w:abstractNumId w:val="9"/>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21"/>
  </w:num>
  <w:num w:numId="10">
    <w:abstractNumId w:val="14"/>
  </w:num>
  <w:num w:numId="11">
    <w:abstractNumId w:val="8"/>
    <w:lvlOverride w:ilvl="0">
      <w:startOverride w:val="1"/>
    </w:lvlOverride>
  </w:num>
  <w:num w:numId="12">
    <w:abstractNumId w:val="4"/>
  </w:num>
  <w:num w:numId="13">
    <w:abstractNumId w:val="13"/>
  </w:num>
  <w:num w:numId="14">
    <w:abstractNumId w:val="23"/>
  </w:num>
  <w:num w:numId="15">
    <w:abstractNumId w:val="20"/>
  </w:num>
  <w:num w:numId="16">
    <w:abstractNumId w:val="12"/>
  </w:num>
  <w:num w:numId="17">
    <w:abstractNumId w:val="16"/>
  </w:num>
  <w:num w:numId="18">
    <w:abstractNumId w:val="10"/>
  </w:num>
  <w:num w:numId="19">
    <w:abstractNumId w:val="18"/>
  </w:num>
  <w:num w:numId="20">
    <w:abstractNumId w:val="7"/>
  </w:num>
  <w:num w:numId="21">
    <w:abstractNumId w:val="2"/>
  </w:num>
  <w:num w:numId="22">
    <w:abstractNumId w:val="11"/>
  </w:num>
  <w:num w:numId="23">
    <w:abstractNumId w:val="5"/>
  </w:num>
  <w:num w:numId="24">
    <w:abstractNumId w:val="6"/>
  </w:num>
  <w:num w:numId="25">
    <w:abstractNumId w:val="24"/>
  </w:num>
  <w:num w:numId="26">
    <w:abstractNumId w:val="1"/>
  </w:num>
  <w:num w:numId="27">
    <w:abstractNumId w:val="22"/>
  </w:num>
  <w:num w:numId="28">
    <w:abstractNumId w:val="0"/>
  </w:num>
  <w:num w:numId="29">
    <w:abstractNumId w:val="19"/>
  </w:num>
  <w:num w:numId="30">
    <w:abstractNumId w:val="1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35"/>
    <w:rsid w:val="00001179"/>
    <w:rsid w:val="00001300"/>
    <w:rsid w:val="00001B45"/>
    <w:rsid w:val="00003683"/>
    <w:rsid w:val="00005122"/>
    <w:rsid w:val="00005236"/>
    <w:rsid w:val="00005C33"/>
    <w:rsid w:val="00005CD3"/>
    <w:rsid w:val="00006863"/>
    <w:rsid w:val="0001048F"/>
    <w:rsid w:val="000117CA"/>
    <w:rsid w:val="00012023"/>
    <w:rsid w:val="00014144"/>
    <w:rsid w:val="000166B6"/>
    <w:rsid w:val="000275C4"/>
    <w:rsid w:val="000309BF"/>
    <w:rsid w:val="00031D5A"/>
    <w:rsid w:val="00036379"/>
    <w:rsid w:val="0004309E"/>
    <w:rsid w:val="00043C94"/>
    <w:rsid w:val="0004486C"/>
    <w:rsid w:val="000449B1"/>
    <w:rsid w:val="00050D6A"/>
    <w:rsid w:val="00051DAB"/>
    <w:rsid w:val="00055404"/>
    <w:rsid w:val="000556EC"/>
    <w:rsid w:val="0005643C"/>
    <w:rsid w:val="0005716B"/>
    <w:rsid w:val="0005747F"/>
    <w:rsid w:val="00057BE6"/>
    <w:rsid w:val="000607C2"/>
    <w:rsid w:val="000638E0"/>
    <w:rsid w:val="00066BB9"/>
    <w:rsid w:val="00067529"/>
    <w:rsid w:val="0007242F"/>
    <w:rsid w:val="00073355"/>
    <w:rsid w:val="000743FA"/>
    <w:rsid w:val="0007503B"/>
    <w:rsid w:val="00080994"/>
    <w:rsid w:val="00083637"/>
    <w:rsid w:val="00086A02"/>
    <w:rsid w:val="000875C1"/>
    <w:rsid w:val="0008781A"/>
    <w:rsid w:val="0009310E"/>
    <w:rsid w:val="000935EA"/>
    <w:rsid w:val="00094743"/>
    <w:rsid w:val="00094B67"/>
    <w:rsid w:val="000951DB"/>
    <w:rsid w:val="00095A34"/>
    <w:rsid w:val="000A179C"/>
    <w:rsid w:val="000A1B6C"/>
    <w:rsid w:val="000A59A0"/>
    <w:rsid w:val="000A6AAF"/>
    <w:rsid w:val="000A75B5"/>
    <w:rsid w:val="000B0894"/>
    <w:rsid w:val="000B206D"/>
    <w:rsid w:val="000B317F"/>
    <w:rsid w:val="000B4A0A"/>
    <w:rsid w:val="000B5898"/>
    <w:rsid w:val="000B60B2"/>
    <w:rsid w:val="000C1CAC"/>
    <w:rsid w:val="000C281F"/>
    <w:rsid w:val="000C6EA8"/>
    <w:rsid w:val="000C6F67"/>
    <w:rsid w:val="000C739D"/>
    <w:rsid w:val="000D17A6"/>
    <w:rsid w:val="000D276C"/>
    <w:rsid w:val="000D65BE"/>
    <w:rsid w:val="000D696C"/>
    <w:rsid w:val="000E209F"/>
    <w:rsid w:val="000E3484"/>
    <w:rsid w:val="000F2A66"/>
    <w:rsid w:val="000F32EB"/>
    <w:rsid w:val="000F7CA9"/>
    <w:rsid w:val="00103F92"/>
    <w:rsid w:val="00104E3E"/>
    <w:rsid w:val="001055DD"/>
    <w:rsid w:val="00110143"/>
    <w:rsid w:val="001114C9"/>
    <w:rsid w:val="00111B16"/>
    <w:rsid w:val="00111E4A"/>
    <w:rsid w:val="00113858"/>
    <w:rsid w:val="001148E2"/>
    <w:rsid w:val="0011504B"/>
    <w:rsid w:val="00115732"/>
    <w:rsid w:val="001163F0"/>
    <w:rsid w:val="00116D06"/>
    <w:rsid w:val="0012594A"/>
    <w:rsid w:val="0013013F"/>
    <w:rsid w:val="001318E2"/>
    <w:rsid w:val="00131F43"/>
    <w:rsid w:val="0013201F"/>
    <w:rsid w:val="00133212"/>
    <w:rsid w:val="00136762"/>
    <w:rsid w:val="00140F69"/>
    <w:rsid w:val="001417BB"/>
    <w:rsid w:val="00143E06"/>
    <w:rsid w:val="0014477D"/>
    <w:rsid w:val="00144808"/>
    <w:rsid w:val="001502BE"/>
    <w:rsid w:val="00151B1F"/>
    <w:rsid w:val="0015255F"/>
    <w:rsid w:val="00152F04"/>
    <w:rsid w:val="00156349"/>
    <w:rsid w:val="0015678D"/>
    <w:rsid w:val="00156855"/>
    <w:rsid w:val="00166D94"/>
    <w:rsid w:val="00167704"/>
    <w:rsid w:val="001702D3"/>
    <w:rsid w:val="00170F5E"/>
    <w:rsid w:val="001748A1"/>
    <w:rsid w:val="00175A3C"/>
    <w:rsid w:val="00175EFB"/>
    <w:rsid w:val="00176872"/>
    <w:rsid w:val="00176CFB"/>
    <w:rsid w:val="001770F1"/>
    <w:rsid w:val="0018084F"/>
    <w:rsid w:val="00180879"/>
    <w:rsid w:val="0018364A"/>
    <w:rsid w:val="0018750A"/>
    <w:rsid w:val="001911FC"/>
    <w:rsid w:val="001912AB"/>
    <w:rsid w:val="00191430"/>
    <w:rsid w:val="00191DFA"/>
    <w:rsid w:val="00194B48"/>
    <w:rsid w:val="00194E9E"/>
    <w:rsid w:val="00196356"/>
    <w:rsid w:val="001975C7"/>
    <w:rsid w:val="00197673"/>
    <w:rsid w:val="001A07A6"/>
    <w:rsid w:val="001A101D"/>
    <w:rsid w:val="001A4B50"/>
    <w:rsid w:val="001A797C"/>
    <w:rsid w:val="001B1FED"/>
    <w:rsid w:val="001B2259"/>
    <w:rsid w:val="001B5411"/>
    <w:rsid w:val="001C2D56"/>
    <w:rsid w:val="001C2E4B"/>
    <w:rsid w:val="001C3506"/>
    <w:rsid w:val="001C6505"/>
    <w:rsid w:val="001D0BF5"/>
    <w:rsid w:val="001D2150"/>
    <w:rsid w:val="001D254B"/>
    <w:rsid w:val="001E24BA"/>
    <w:rsid w:val="001E29D6"/>
    <w:rsid w:val="001E30B4"/>
    <w:rsid w:val="001E41F6"/>
    <w:rsid w:val="001E7116"/>
    <w:rsid w:val="001F07BF"/>
    <w:rsid w:val="001F1BBA"/>
    <w:rsid w:val="001F33D8"/>
    <w:rsid w:val="001F42DD"/>
    <w:rsid w:val="001F627C"/>
    <w:rsid w:val="001F6453"/>
    <w:rsid w:val="001F7F49"/>
    <w:rsid w:val="00200527"/>
    <w:rsid w:val="00200CAA"/>
    <w:rsid w:val="0020117A"/>
    <w:rsid w:val="00201181"/>
    <w:rsid w:val="00201F01"/>
    <w:rsid w:val="0020576A"/>
    <w:rsid w:val="0020778C"/>
    <w:rsid w:val="00213B06"/>
    <w:rsid w:val="00222348"/>
    <w:rsid w:val="00223304"/>
    <w:rsid w:val="00224DBD"/>
    <w:rsid w:val="0022521E"/>
    <w:rsid w:val="00225E5B"/>
    <w:rsid w:val="0023029A"/>
    <w:rsid w:val="00231410"/>
    <w:rsid w:val="00231E50"/>
    <w:rsid w:val="00231EEB"/>
    <w:rsid w:val="0023248E"/>
    <w:rsid w:val="0023466F"/>
    <w:rsid w:val="00236522"/>
    <w:rsid w:val="0023714F"/>
    <w:rsid w:val="002415A2"/>
    <w:rsid w:val="002424B2"/>
    <w:rsid w:val="002431CA"/>
    <w:rsid w:val="00245628"/>
    <w:rsid w:val="00247143"/>
    <w:rsid w:val="00247512"/>
    <w:rsid w:val="00250873"/>
    <w:rsid w:val="00251271"/>
    <w:rsid w:val="00254A26"/>
    <w:rsid w:val="00256A58"/>
    <w:rsid w:val="00265665"/>
    <w:rsid w:val="002668DA"/>
    <w:rsid w:val="002704F5"/>
    <w:rsid w:val="0027133E"/>
    <w:rsid w:val="00274DD9"/>
    <w:rsid w:val="002771A0"/>
    <w:rsid w:val="00277DF0"/>
    <w:rsid w:val="002802ED"/>
    <w:rsid w:val="0028033F"/>
    <w:rsid w:val="0028377C"/>
    <w:rsid w:val="00290EDE"/>
    <w:rsid w:val="00294566"/>
    <w:rsid w:val="0029534C"/>
    <w:rsid w:val="00296965"/>
    <w:rsid w:val="002A076E"/>
    <w:rsid w:val="002A0B00"/>
    <w:rsid w:val="002A141C"/>
    <w:rsid w:val="002A3486"/>
    <w:rsid w:val="002A721F"/>
    <w:rsid w:val="002A733F"/>
    <w:rsid w:val="002C129D"/>
    <w:rsid w:val="002C172D"/>
    <w:rsid w:val="002C325C"/>
    <w:rsid w:val="002C5E45"/>
    <w:rsid w:val="002D046B"/>
    <w:rsid w:val="002D06DA"/>
    <w:rsid w:val="002D2068"/>
    <w:rsid w:val="002D5122"/>
    <w:rsid w:val="002D7403"/>
    <w:rsid w:val="002E1EA3"/>
    <w:rsid w:val="002E40AA"/>
    <w:rsid w:val="002E51D3"/>
    <w:rsid w:val="002F0425"/>
    <w:rsid w:val="002F0652"/>
    <w:rsid w:val="002F09D4"/>
    <w:rsid w:val="002F0CC5"/>
    <w:rsid w:val="002F1573"/>
    <w:rsid w:val="002F2A7E"/>
    <w:rsid w:val="002F32EB"/>
    <w:rsid w:val="002F350A"/>
    <w:rsid w:val="002F3F41"/>
    <w:rsid w:val="002F5115"/>
    <w:rsid w:val="002F58B7"/>
    <w:rsid w:val="002F70BD"/>
    <w:rsid w:val="00301C37"/>
    <w:rsid w:val="003021F5"/>
    <w:rsid w:val="00304576"/>
    <w:rsid w:val="00305C7C"/>
    <w:rsid w:val="003106D9"/>
    <w:rsid w:val="00310E5F"/>
    <w:rsid w:val="00317638"/>
    <w:rsid w:val="0031776F"/>
    <w:rsid w:val="00320835"/>
    <w:rsid w:val="00320FD7"/>
    <w:rsid w:val="00321128"/>
    <w:rsid w:val="003221B1"/>
    <w:rsid w:val="00325CA5"/>
    <w:rsid w:val="00332B04"/>
    <w:rsid w:val="003428F4"/>
    <w:rsid w:val="00342BBF"/>
    <w:rsid w:val="00350D4E"/>
    <w:rsid w:val="003538BA"/>
    <w:rsid w:val="00360338"/>
    <w:rsid w:val="003648C0"/>
    <w:rsid w:val="00365D1A"/>
    <w:rsid w:val="00365EF7"/>
    <w:rsid w:val="003668C4"/>
    <w:rsid w:val="003712BE"/>
    <w:rsid w:val="0037371F"/>
    <w:rsid w:val="00374667"/>
    <w:rsid w:val="0037468C"/>
    <w:rsid w:val="00375F2A"/>
    <w:rsid w:val="00380DCD"/>
    <w:rsid w:val="0038253A"/>
    <w:rsid w:val="003854AF"/>
    <w:rsid w:val="00386457"/>
    <w:rsid w:val="00386D2B"/>
    <w:rsid w:val="003870F1"/>
    <w:rsid w:val="00387BED"/>
    <w:rsid w:val="0039102C"/>
    <w:rsid w:val="00394814"/>
    <w:rsid w:val="003954AB"/>
    <w:rsid w:val="003A01E0"/>
    <w:rsid w:val="003B0620"/>
    <w:rsid w:val="003B2054"/>
    <w:rsid w:val="003B258E"/>
    <w:rsid w:val="003B39A5"/>
    <w:rsid w:val="003C105A"/>
    <w:rsid w:val="003C15CC"/>
    <w:rsid w:val="003C35B9"/>
    <w:rsid w:val="003C3B58"/>
    <w:rsid w:val="003C4BAC"/>
    <w:rsid w:val="003C69BC"/>
    <w:rsid w:val="003C7EAC"/>
    <w:rsid w:val="003D0098"/>
    <w:rsid w:val="003F25BF"/>
    <w:rsid w:val="00402AB1"/>
    <w:rsid w:val="00402B55"/>
    <w:rsid w:val="00411C0E"/>
    <w:rsid w:val="00413CDC"/>
    <w:rsid w:val="00420005"/>
    <w:rsid w:val="00422A68"/>
    <w:rsid w:val="00424888"/>
    <w:rsid w:val="004320CD"/>
    <w:rsid w:val="00432B2E"/>
    <w:rsid w:val="004362E2"/>
    <w:rsid w:val="0044075B"/>
    <w:rsid w:val="004415BD"/>
    <w:rsid w:val="00442817"/>
    <w:rsid w:val="00443D77"/>
    <w:rsid w:val="00444B1B"/>
    <w:rsid w:val="00444FAA"/>
    <w:rsid w:val="0044683E"/>
    <w:rsid w:val="00450EBA"/>
    <w:rsid w:val="00451CB5"/>
    <w:rsid w:val="00455C1B"/>
    <w:rsid w:val="004616FC"/>
    <w:rsid w:val="00471EB8"/>
    <w:rsid w:val="004737D0"/>
    <w:rsid w:val="0047702F"/>
    <w:rsid w:val="00477F90"/>
    <w:rsid w:val="00477FF2"/>
    <w:rsid w:val="00481F67"/>
    <w:rsid w:val="004868FE"/>
    <w:rsid w:val="004906BC"/>
    <w:rsid w:val="00495C6E"/>
    <w:rsid w:val="0049785A"/>
    <w:rsid w:val="00497F4F"/>
    <w:rsid w:val="004A06C9"/>
    <w:rsid w:val="004A4347"/>
    <w:rsid w:val="004A4589"/>
    <w:rsid w:val="004A4939"/>
    <w:rsid w:val="004A540E"/>
    <w:rsid w:val="004B2399"/>
    <w:rsid w:val="004B2940"/>
    <w:rsid w:val="004B310B"/>
    <w:rsid w:val="004B3F96"/>
    <w:rsid w:val="004B5C05"/>
    <w:rsid w:val="004B6F26"/>
    <w:rsid w:val="004C0E9F"/>
    <w:rsid w:val="004C52FA"/>
    <w:rsid w:val="004C63CE"/>
    <w:rsid w:val="004C6BFF"/>
    <w:rsid w:val="004D35D0"/>
    <w:rsid w:val="004D5ED6"/>
    <w:rsid w:val="004D6AF4"/>
    <w:rsid w:val="004E1361"/>
    <w:rsid w:val="004E14FC"/>
    <w:rsid w:val="004E2178"/>
    <w:rsid w:val="004E25A1"/>
    <w:rsid w:val="004E2D27"/>
    <w:rsid w:val="004E7B10"/>
    <w:rsid w:val="004E7C54"/>
    <w:rsid w:val="004F0118"/>
    <w:rsid w:val="004F39C6"/>
    <w:rsid w:val="004F60D8"/>
    <w:rsid w:val="004F6EC7"/>
    <w:rsid w:val="0050011A"/>
    <w:rsid w:val="0050205B"/>
    <w:rsid w:val="00502077"/>
    <w:rsid w:val="0050284C"/>
    <w:rsid w:val="00503BA5"/>
    <w:rsid w:val="00506909"/>
    <w:rsid w:val="00510F5D"/>
    <w:rsid w:val="00511E6C"/>
    <w:rsid w:val="00512C6A"/>
    <w:rsid w:val="00514492"/>
    <w:rsid w:val="00514B9B"/>
    <w:rsid w:val="00520116"/>
    <w:rsid w:val="005204F6"/>
    <w:rsid w:val="005218F1"/>
    <w:rsid w:val="00522C4C"/>
    <w:rsid w:val="005248C8"/>
    <w:rsid w:val="00526683"/>
    <w:rsid w:val="005266C8"/>
    <w:rsid w:val="00526AE0"/>
    <w:rsid w:val="005336CB"/>
    <w:rsid w:val="00534C67"/>
    <w:rsid w:val="0053792A"/>
    <w:rsid w:val="00542837"/>
    <w:rsid w:val="0054615A"/>
    <w:rsid w:val="00551D1C"/>
    <w:rsid w:val="00552C05"/>
    <w:rsid w:val="0055316A"/>
    <w:rsid w:val="00556347"/>
    <w:rsid w:val="005575D7"/>
    <w:rsid w:val="0056428E"/>
    <w:rsid w:val="00565315"/>
    <w:rsid w:val="005655E8"/>
    <w:rsid w:val="00577B26"/>
    <w:rsid w:val="00577FCA"/>
    <w:rsid w:val="00580ADE"/>
    <w:rsid w:val="005815C3"/>
    <w:rsid w:val="00581F37"/>
    <w:rsid w:val="00583186"/>
    <w:rsid w:val="00591442"/>
    <w:rsid w:val="00595087"/>
    <w:rsid w:val="00597FD2"/>
    <w:rsid w:val="005A4B0F"/>
    <w:rsid w:val="005B0FF2"/>
    <w:rsid w:val="005B1D70"/>
    <w:rsid w:val="005B3C56"/>
    <w:rsid w:val="005B3FD7"/>
    <w:rsid w:val="005B4442"/>
    <w:rsid w:val="005B4CEB"/>
    <w:rsid w:val="005B698D"/>
    <w:rsid w:val="005B7EAF"/>
    <w:rsid w:val="005C2895"/>
    <w:rsid w:val="005C5D54"/>
    <w:rsid w:val="005D1D00"/>
    <w:rsid w:val="005D5D27"/>
    <w:rsid w:val="005E07CA"/>
    <w:rsid w:val="005E1DD4"/>
    <w:rsid w:val="005E2098"/>
    <w:rsid w:val="005E3948"/>
    <w:rsid w:val="005E42C8"/>
    <w:rsid w:val="005E58A2"/>
    <w:rsid w:val="005E5C4E"/>
    <w:rsid w:val="005F269A"/>
    <w:rsid w:val="005F3AFC"/>
    <w:rsid w:val="005F41D5"/>
    <w:rsid w:val="005F42CD"/>
    <w:rsid w:val="005F79A8"/>
    <w:rsid w:val="00604A12"/>
    <w:rsid w:val="006052D8"/>
    <w:rsid w:val="006131EB"/>
    <w:rsid w:val="00613473"/>
    <w:rsid w:val="006167E0"/>
    <w:rsid w:val="00620EE6"/>
    <w:rsid w:val="0062326B"/>
    <w:rsid w:val="00624C8C"/>
    <w:rsid w:val="006252EE"/>
    <w:rsid w:val="0063087E"/>
    <w:rsid w:val="0063313E"/>
    <w:rsid w:val="00634F75"/>
    <w:rsid w:val="006373E2"/>
    <w:rsid w:val="006401F8"/>
    <w:rsid w:val="00640575"/>
    <w:rsid w:val="00642934"/>
    <w:rsid w:val="00642C1C"/>
    <w:rsid w:val="006479D5"/>
    <w:rsid w:val="006522D7"/>
    <w:rsid w:val="00652989"/>
    <w:rsid w:val="00652A7C"/>
    <w:rsid w:val="006556B9"/>
    <w:rsid w:val="006561BB"/>
    <w:rsid w:val="0065798F"/>
    <w:rsid w:val="0066045D"/>
    <w:rsid w:val="00662640"/>
    <w:rsid w:val="00662F97"/>
    <w:rsid w:val="00663ECD"/>
    <w:rsid w:val="006644D5"/>
    <w:rsid w:val="006725E3"/>
    <w:rsid w:val="0067416B"/>
    <w:rsid w:val="00675323"/>
    <w:rsid w:val="006773EC"/>
    <w:rsid w:val="00677E8D"/>
    <w:rsid w:val="00677F83"/>
    <w:rsid w:val="00680806"/>
    <w:rsid w:val="00681689"/>
    <w:rsid w:val="00681A16"/>
    <w:rsid w:val="00682149"/>
    <w:rsid w:val="00684A3E"/>
    <w:rsid w:val="00685A57"/>
    <w:rsid w:val="00687702"/>
    <w:rsid w:val="00693754"/>
    <w:rsid w:val="0069620A"/>
    <w:rsid w:val="00696B4A"/>
    <w:rsid w:val="006B16FF"/>
    <w:rsid w:val="006B17D1"/>
    <w:rsid w:val="006B1845"/>
    <w:rsid w:val="006B3094"/>
    <w:rsid w:val="006B3A2D"/>
    <w:rsid w:val="006B4FC5"/>
    <w:rsid w:val="006B6E0A"/>
    <w:rsid w:val="006C1C3B"/>
    <w:rsid w:val="006C53A3"/>
    <w:rsid w:val="006C7B95"/>
    <w:rsid w:val="006C7CAD"/>
    <w:rsid w:val="006D1224"/>
    <w:rsid w:val="006D26FC"/>
    <w:rsid w:val="006D31A4"/>
    <w:rsid w:val="006D77BC"/>
    <w:rsid w:val="006E444E"/>
    <w:rsid w:val="006E5606"/>
    <w:rsid w:val="006E6173"/>
    <w:rsid w:val="006F044F"/>
    <w:rsid w:val="006F3372"/>
    <w:rsid w:val="006F4A54"/>
    <w:rsid w:val="006F5DCA"/>
    <w:rsid w:val="006F7244"/>
    <w:rsid w:val="006F76A0"/>
    <w:rsid w:val="00700BFC"/>
    <w:rsid w:val="00702F61"/>
    <w:rsid w:val="0070718B"/>
    <w:rsid w:val="00707A1F"/>
    <w:rsid w:val="007123D7"/>
    <w:rsid w:val="00712CA8"/>
    <w:rsid w:val="007132D5"/>
    <w:rsid w:val="00714553"/>
    <w:rsid w:val="00714E5F"/>
    <w:rsid w:val="007156BF"/>
    <w:rsid w:val="00716E5F"/>
    <w:rsid w:val="007170B1"/>
    <w:rsid w:val="007176D4"/>
    <w:rsid w:val="0072121F"/>
    <w:rsid w:val="00727425"/>
    <w:rsid w:val="00730BED"/>
    <w:rsid w:val="00735950"/>
    <w:rsid w:val="00735E58"/>
    <w:rsid w:val="00736632"/>
    <w:rsid w:val="007368E8"/>
    <w:rsid w:val="007375CE"/>
    <w:rsid w:val="00742E9A"/>
    <w:rsid w:val="007433A7"/>
    <w:rsid w:val="00754320"/>
    <w:rsid w:val="00754578"/>
    <w:rsid w:val="007550FC"/>
    <w:rsid w:val="0075644C"/>
    <w:rsid w:val="007573C9"/>
    <w:rsid w:val="007578E2"/>
    <w:rsid w:val="0076368B"/>
    <w:rsid w:val="0077293C"/>
    <w:rsid w:val="00773C87"/>
    <w:rsid w:val="007744B8"/>
    <w:rsid w:val="00775B4E"/>
    <w:rsid w:val="007806E0"/>
    <w:rsid w:val="007806F0"/>
    <w:rsid w:val="00780ED8"/>
    <w:rsid w:val="00782A48"/>
    <w:rsid w:val="00784D1C"/>
    <w:rsid w:val="00785868"/>
    <w:rsid w:val="00791A48"/>
    <w:rsid w:val="00791E2C"/>
    <w:rsid w:val="00795F2C"/>
    <w:rsid w:val="00795F5D"/>
    <w:rsid w:val="007A1B92"/>
    <w:rsid w:val="007A23D5"/>
    <w:rsid w:val="007A30B5"/>
    <w:rsid w:val="007A6DE3"/>
    <w:rsid w:val="007B0017"/>
    <w:rsid w:val="007B1603"/>
    <w:rsid w:val="007C0815"/>
    <w:rsid w:val="007C2321"/>
    <w:rsid w:val="007D13E9"/>
    <w:rsid w:val="007E209C"/>
    <w:rsid w:val="007E3C54"/>
    <w:rsid w:val="007E3DE0"/>
    <w:rsid w:val="007E6F5D"/>
    <w:rsid w:val="007F0CCF"/>
    <w:rsid w:val="0080445C"/>
    <w:rsid w:val="008063BD"/>
    <w:rsid w:val="008142EB"/>
    <w:rsid w:val="00817295"/>
    <w:rsid w:val="008213B6"/>
    <w:rsid w:val="008229FA"/>
    <w:rsid w:val="00823F2D"/>
    <w:rsid w:val="008243A6"/>
    <w:rsid w:val="00831654"/>
    <w:rsid w:val="00832CEA"/>
    <w:rsid w:val="00832F12"/>
    <w:rsid w:val="00833630"/>
    <w:rsid w:val="00834092"/>
    <w:rsid w:val="00834FC8"/>
    <w:rsid w:val="008360AA"/>
    <w:rsid w:val="008430ED"/>
    <w:rsid w:val="008464A1"/>
    <w:rsid w:val="00846F84"/>
    <w:rsid w:val="00847D47"/>
    <w:rsid w:val="00852B72"/>
    <w:rsid w:val="008562E2"/>
    <w:rsid w:val="008606EB"/>
    <w:rsid w:val="008668CA"/>
    <w:rsid w:val="00876EE2"/>
    <w:rsid w:val="00887398"/>
    <w:rsid w:val="00887450"/>
    <w:rsid w:val="00890788"/>
    <w:rsid w:val="0089347B"/>
    <w:rsid w:val="00894A6C"/>
    <w:rsid w:val="008951C6"/>
    <w:rsid w:val="0089564D"/>
    <w:rsid w:val="008A0135"/>
    <w:rsid w:val="008A2CC2"/>
    <w:rsid w:val="008A2FD8"/>
    <w:rsid w:val="008A39F3"/>
    <w:rsid w:val="008A7864"/>
    <w:rsid w:val="008B2FB3"/>
    <w:rsid w:val="008B36E7"/>
    <w:rsid w:val="008B562F"/>
    <w:rsid w:val="008B7F8B"/>
    <w:rsid w:val="008C2926"/>
    <w:rsid w:val="008C5208"/>
    <w:rsid w:val="008C5239"/>
    <w:rsid w:val="008C6D10"/>
    <w:rsid w:val="008D3402"/>
    <w:rsid w:val="008D776B"/>
    <w:rsid w:val="008E6786"/>
    <w:rsid w:val="008F0D7A"/>
    <w:rsid w:val="008F39A0"/>
    <w:rsid w:val="00900253"/>
    <w:rsid w:val="009007FE"/>
    <w:rsid w:val="009018BD"/>
    <w:rsid w:val="00902290"/>
    <w:rsid w:val="00904E52"/>
    <w:rsid w:val="00910270"/>
    <w:rsid w:val="00917278"/>
    <w:rsid w:val="009246DD"/>
    <w:rsid w:val="00926C1F"/>
    <w:rsid w:val="0093027E"/>
    <w:rsid w:val="00932664"/>
    <w:rsid w:val="009330F6"/>
    <w:rsid w:val="00933129"/>
    <w:rsid w:val="00934111"/>
    <w:rsid w:val="00934522"/>
    <w:rsid w:val="00937672"/>
    <w:rsid w:val="0094385A"/>
    <w:rsid w:val="00945CF8"/>
    <w:rsid w:val="00946358"/>
    <w:rsid w:val="009472FB"/>
    <w:rsid w:val="0095679D"/>
    <w:rsid w:val="00966599"/>
    <w:rsid w:val="009669FA"/>
    <w:rsid w:val="009672F9"/>
    <w:rsid w:val="00967638"/>
    <w:rsid w:val="00970D14"/>
    <w:rsid w:val="009723F9"/>
    <w:rsid w:val="00973616"/>
    <w:rsid w:val="00973C81"/>
    <w:rsid w:val="009803FA"/>
    <w:rsid w:val="009807DA"/>
    <w:rsid w:val="00981672"/>
    <w:rsid w:val="0098571D"/>
    <w:rsid w:val="0098755F"/>
    <w:rsid w:val="00987E4E"/>
    <w:rsid w:val="0099065C"/>
    <w:rsid w:val="00993A8D"/>
    <w:rsid w:val="009A6CEA"/>
    <w:rsid w:val="009B0CA7"/>
    <w:rsid w:val="009B3395"/>
    <w:rsid w:val="009B424C"/>
    <w:rsid w:val="009B533C"/>
    <w:rsid w:val="009B66EC"/>
    <w:rsid w:val="009B7754"/>
    <w:rsid w:val="009C0631"/>
    <w:rsid w:val="009C23DF"/>
    <w:rsid w:val="009C2E91"/>
    <w:rsid w:val="009C72F4"/>
    <w:rsid w:val="009C73AB"/>
    <w:rsid w:val="009C74FC"/>
    <w:rsid w:val="009D0731"/>
    <w:rsid w:val="009D4A62"/>
    <w:rsid w:val="009D5F9C"/>
    <w:rsid w:val="009D6871"/>
    <w:rsid w:val="009E1840"/>
    <w:rsid w:val="009E1D21"/>
    <w:rsid w:val="009E5C8B"/>
    <w:rsid w:val="009F4FAD"/>
    <w:rsid w:val="009F60DA"/>
    <w:rsid w:val="00A03143"/>
    <w:rsid w:val="00A117D9"/>
    <w:rsid w:val="00A11BBB"/>
    <w:rsid w:val="00A16B5C"/>
    <w:rsid w:val="00A16D43"/>
    <w:rsid w:val="00A20065"/>
    <w:rsid w:val="00A2343B"/>
    <w:rsid w:val="00A2493B"/>
    <w:rsid w:val="00A268D6"/>
    <w:rsid w:val="00A3235B"/>
    <w:rsid w:val="00A3501A"/>
    <w:rsid w:val="00A36281"/>
    <w:rsid w:val="00A37D27"/>
    <w:rsid w:val="00A400FF"/>
    <w:rsid w:val="00A40132"/>
    <w:rsid w:val="00A43A51"/>
    <w:rsid w:val="00A44D42"/>
    <w:rsid w:val="00A45B69"/>
    <w:rsid w:val="00A47405"/>
    <w:rsid w:val="00A47594"/>
    <w:rsid w:val="00A4790D"/>
    <w:rsid w:val="00A47C3A"/>
    <w:rsid w:val="00A47EE2"/>
    <w:rsid w:val="00A52C14"/>
    <w:rsid w:val="00A5335F"/>
    <w:rsid w:val="00A574A0"/>
    <w:rsid w:val="00A61A8D"/>
    <w:rsid w:val="00A62DDA"/>
    <w:rsid w:val="00A657A8"/>
    <w:rsid w:val="00A65B8B"/>
    <w:rsid w:val="00A66DD9"/>
    <w:rsid w:val="00A70DAB"/>
    <w:rsid w:val="00A7383D"/>
    <w:rsid w:val="00A7750F"/>
    <w:rsid w:val="00A80E06"/>
    <w:rsid w:val="00A83235"/>
    <w:rsid w:val="00A84691"/>
    <w:rsid w:val="00A87C37"/>
    <w:rsid w:val="00A9064C"/>
    <w:rsid w:val="00A90961"/>
    <w:rsid w:val="00A90E60"/>
    <w:rsid w:val="00A95B88"/>
    <w:rsid w:val="00AA684D"/>
    <w:rsid w:val="00AA69D8"/>
    <w:rsid w:val="00AA703E"/>
    <w:rsid w:val="00AA7864"/>
    <w:rsid w:val="00AB43B4"/>
    <w:rsid w:val="00AB4D1E"/>
    <w:rsid w:val="00AB5C91"/>
    <w:rsid w:val="00AC6D20"/>
    <w:rsid w:val="00AD372C"/>
    <w:rsid w:val="00AD5013"/>
    <w:rsid w:val="00AE09DD"/>
    <w:rsid w:val="00AE2A38"/>
    <w:rsid w:val="00AF0AAA"/>
    <w:rsid w:val="00AF1835"/>
    <w:rsid w:val="00AF19F0"/>
    <w:rsid w:val="00B017AC"/>
    <w:rsid w:val="00B02164"/>
    <w:rsid w:val="00B03A17"/>
    <w:rsid w:val="00B03EAF"/>
    <w:rsid w:val="00B057C8"/>
    <w:rsid w:val="00B06652"/>
    <w:rsid w:val="00B06A7D"/>
    <w:rsid w:val="00B13279"/>
    <w:rsid w:val="00B14A36"/>
    <w:rsid w:val="00B151BA"/>
    <w:rsid w:val="00B27520"/>
    <w:rsid w:val="00B27B67"/>
    <w:rsid w:val="00B304DD"/>
    <w:rsid w:val="00B30852"/>
    <w:rsid w:val="00B33265"/>
    <w:rsid w:val="00B336D9"/>
    <w:rsid w:val="00B41CF8"/>
    <w:rsid w:val="00B4536B"/>
    <w:rsid w:val="00B47D93"/>
    <w:rsid w:val="00B50B01"/>
    <w:rsid w:val="00B52E00"/>
    <w:rsid w:val="00B53054"/>
    <w:rsid w:val="00B530D3"/>
    <w:rsid w:val="00B556AB"/>
    <w:rsid w:val="00B5638E"/>
    <w:rsid w:val="00B5734E"/>
    <w:rsid w:val="00B57C79"/>
    <w:rsid w:val="00B6192B"/>
    <w:rsid w:val="00B633A8"/>
    <w:rsid w:val="00B65184"/>
    <w:rsid w:val="00B67DF3"/>
    <w:rsid w:val="00B70A0B"/>
    <w:rsid w:val="00B73366"/>
    <w:rsid w:val="00B734BF"/>
    <w:rsid w:val="00B7675A"/>
    <w:rsid w:val="00B772AC"/>
    <w:rsid w:val="00B82995"/>
    <w:rsid w:val="00B855E5"/>
    <w:rsid w:val="00B85B28"/>
    <w:rsid w:val="00B8688E"/>
    <w:rsid w:val="00B87ADF"/>
    <w:rsid w:val="00B905D9"/>
    <w:rsid w:val="00B9120B"/>
    <w:rsid w:val="00B943FE"/>
    <w:rsid w:val="00B951AC"/>
    <w:rsid w:val="00B95928"/>
    <w:rsid w:val="00BA4D62"/>
    <w:rsid w:val="00BB28B6"/>
    <w:rsid w:val="00BB41ED"/>
    <w:rsid w:val="00BB6985"/>
    <w:rsid w:val="00BC4C13"/>
    <w:rsid w:val="00BD021A"/>
    <w:rsid w:val="00BD12CD"/>
    <w:rsid w:val="00BD41EE"/>
    <w:rsid w:val="00BD474A"/>
    <w:rsid w:val="00BD7561"/>
    <w:rsid w:val="00BE0490"/>
    <w:rsid w:val="00BF015A"/>
    <w:rsid w:val="00BF2E56"/>
    <w:rsid w:val="00BF59EA"/>
    <w:rsid w:val="00BF62BC"/>
    <w:rsid w:val="00BF7A16"/>
    <w:rsid w:val="00BF7DB2"/>
    <w:rsid w:val="00C00128"/>
    <w:rsid w:val="00C00D83"/>
    <w:rsid w:val="00C01C94"/>
    <w:rsid w:val="00C032C3"/>
    <w:rsid w:val="00C150D9"/>
    <w:rsid w:val="00C15E68"/>
    <w:rsid w:val="00C16E3A"/>
    <w:rsid w:val="00C172A0"/>
    <w:rsid w:val="00C17426"/>
    <w:rsid w:val="00C21500"/>
    <w:rsid w:val="00C2158E"/>
    <w:rsid w:val="00C21F74"/>
    <w:rsid w:val="00C22067"/>
    <w:rsid w:val="00C2521F"/>
    <w:rsid w:val="00C25294"/>
    <w:rsid w:val="00C32572"/>
    <w:rsid w:val="00C34854"/>
    <w:rsid w:val="00C34AF2"/>
    <w:rsid w:val="00C411DB"/>
    <w:rsid w:val="00C47E9A"/>
    <w:rsid w:val="00C50AFD"/>
    <w:rsid w:val="00C5552E"/>
    <w:rsid w:val="00C61380"/>
    <w:rsid w:val="00C62BF3"/>
    <w:rsid w:val="00C63E87"/>
    <w:rsid w:val="00C672EA"/>
    <w:rsid w:val="00C677F6"/>
    <w:rsid w:val="00C67F05"/>
    <w:rsid w:val="00C71329"/>
    <w:rsid w:val="00C72F40"/>
    <w:rsid w:val="00C73AD4"/>
    <w:rsid w:val="00C75639"/>
    <w:rsid w:val="00C757CF"/>
    <w:rsid w:val="00C7732C"/>
    <w:rsid w:val="00C779D1"/>
    <w:rsid w:val="00C81535"/>
    <w:rsid w:val="00C81B06"/>
    <w:rsid w:val="00C81DDA"/>
    <w:rsid w:val="00C82B7B"/>
    <w:rsid w:val="00C87102"/>
    <w:rsid w:val="00C873CA"/>
    <w:rsid w:val="00C90EAD"/>
    <w:rsid w:val="00C9372D"/>
    <w:rsid w:val="00C947EE"/>
    <w:rsid w:val="00C95590"/>
    <w:rsid w:val="00C964D3"/>
    <w:rsid w:val="00C974F3"/>
    <w:rsid w:val="00C97C0F"/>
    <w:rsid w:val="00CA3B0C"/>
    <w:rsid w:val="00CA4124"/>
    <w:rsid w:val="00CA4365"/>
    <w:rsid w:val="00CA7ECD"/>
    <w:rsid w:val="00CB04E0"/>
    <w:rsid w:val="00CB123F"/>
    <w:rsid w:val="00CB15AF"/>
    <w:rsid w:val="00CB2090"/>
    <w:rsid w:val="00CB2997"/>
    <w:rsid w:val="00CB5F87"/>
    <w:rsid w:val="00CC3964"/>
    <w:rsid w:val="00CC47FB"/>
    <w:rsid w:val="00CC4F35"/>
    <w:rsid w:val="00CC6892"/>
    <w:rsid w:val="00CC7186"/>
    <w:rsid w:val="00CD016E"/>
    <w:rsid w:val="00CD1A45"/>
    <w:rsid w:val="00CD211E"/>
    <w:rsid w:val="00CD21B2"/>
    <w:rsid w:val="00CD3124"/>
    <w:rsid w:val="00CD3158"/>
    <w:rsid w:val="00CD44F0"/>
    <w:rsid w:val="00CD6A87"/>
    <w:rsid w:val="00CD71E5"/>
    <w:rsid w:val="00CD7BE9"/>
    <w:rsid w:val="00CD7D41"/>
    <w:rsid w:val="00CE3907"/>
    <w:rsid w:val="00CE553D"/>
    <w:rsid w:val="00CF2F93"/>
    <w:rsid w:val="00CF4556"/>
    <w:rsid w:val="00CF51F0"/>
    <w:rsid w:val="00CF62DE"/>
    <w:rsid w:val="00D073F7"/>
    <w:rsid w:val="00D105BE"/>
    <w:rsid w:val="00D13F61"/>
    <w:rsid w:val="00D163EA"/>
    <w:rsid w:val="00D165D7"/>
    <w:rsid w:val="00D21DF3"/>
    <w:rsid w:val="00D2316C"/>
    <w:rsid w:val="00D236F5"/>
    <w:rsid w:val="00D26A06"/>
    <w:rsid w:val="00D3420A"/>
    <w:rsid w:val="00D3528B"/>
    <w:rsid w:val="00D379D1"/>
    <w:rsid w:val="00D43243"/>
    <w:rsid w:val="00D44CF2"/>
    <w:rsid w:val="00D5195E"/>
    <w:rsid w:val="00D55BDA"/>
    <w:rsid w:val="00D569CF"/>
    <w:rsid w:val="00D6057D"/>
    <w:rsid w:val="00D60994"/>
    <w:rsid w:val="00D6168E"/>
    <w:rsid w:val="00D627EB"/>
    <w:rsid w:val="00D652F4"/>
    <w:rsid w:val="00D67CDD"/>
    <w:rsid w:val="00D73CB3"/>
    <w:rsid w:val="00D7411B"/>
    <w:rsid w:val="00D75C6F"/>
    <w:rsid w:val="00D80E9C"/>
    <w:rsid w:val="00D81291"/>
    <w:rsid w:val="00D813FB"/>
    <w:rsid w:val="00D822B5"/>
    <w:rsid w:val="00D8241F"/>
    <w:rsid w:val="00D83176"/>
    <w:rsid w:val="00D84BC1"/>
    <w:rsid w:val="00D85029"/>
    <w:rsid w:val="00D85CBF"/>
    <w:rsid w:val="00D87B61"/>
    <w:rsid w:val="00D9478F"/>
    <w:rsid w:val="00D97D74"/>
    <w:rsid w:val="00DA043D"/>
    <w:rsid w:val="00DA4649"/>
    <w:rsid w:val="00DA75E6"/>
    <w:rsid w:val="00DB0C1A"/>
    <w:rsid w:val="00DB2969"/>
    <w:rsid w:val="00DB5A2A"/>
    <w:rsid w:val="00DC7152"/>
    <w:rsid w:val="00DD1D36"/>
    <w:rsid w:val="00DD2BD6"/>
    <w:rsid w:val="00DD675F"/>
    <w:rsid w:val="00DD7A49"/>
    <w:rsid w:val="00DE084C"/>
    <w:rsid w:val="00DE1BEC"/>
    <w:rsid w:val="00DE7B26"/>
    <w:rsid w:val="00DF2202"/>
    <w:rsid w:val="00DF2972"/>
    <w:rsid w:val="00DF475F"/>
    <w:rsid w:val="00DF4AED"/>
    <w:rsid w:val="00DF4F1F"/>
    <w:rsid w:val="00E01750"/>
    <w:rsid w:val="00E01EAA"/>
    <w:rsid w:val="00E04994"/>
    <w:rsid w:val="00E053E8"/>
    <w:rsid w:val="00E0559B"/>
    <w:rsid w:val="00E060FF"/>
    <w:rsid w:val="00E16C7F"/>
    <w:rsid w:val="00E1722F"/>
    <w:rsid w:val="00E178A4"/>
    <w:rsid w:val="00E20DDE"/>
    <w:rsid w:val="00E21563"/>
    <w:rsid w:val="00E235C9"/>
    <w:rsid w:val="00E3206C"/>
    <w:rsid w:val="00E33491"/>
    <w:rsid w:val="00E36304"/>
    <w:rsid w:val="00E37227"/>
    <w:rsid w:val="00E37BC8"/>
    <w:rsid w:val="00E40724"/>
    <w:rsid w:val="00E44870"/>
    <w:rsid w:val="00E50045"/>
    <w:rsid w:val="00E53A6B"/>
    <w:rsid w:val="00E54550"/>
    <w:rsid w:val="00E5608C"/>
    <w:rsid w:val="00E57B5A"/>
    <w:rsid w:val="00E57B9E"/>
    <w:rsid w:val="00E64012"/>
    <w:rsid w:val="00E66C6C"/>
    <w:rsid w:val="00E70016"/>
    <w:rsid w:val="00E73A23"/>
    <w:rsid w:val="00E75A29"/>
    <w:rsid w:val="00E81DE6"/>
    <w:rsid w:val="00E84BDE"/>
    <w:rsid w:val="00E92094"/>
    <w:rsid w:val="00E95976"/>
    <w:rsid w:val="00E95A32"/>
    <w:rsid w:val="00E9717C"/>
    <w:rsid w:val="00EA0D0C"/>
    <w:rsid w:val="00EA1C1B"/>
    <w:rsid w:val="00EA5175"/>
    <w:rsid w:val="00EA63F3"/>
    <w:rsid w:val="00EB0CAA"/>
    <w:rsid w:val="00EB4EDD"/>
    <w:rsid w:val="00EB7099"/>
    <w:rsid w:val="00ED4099"/>
    <w:rsid w:val="00EE168E"/>
    <w:rsid w:val="00EE1865"/>
    <w:rsid w:val="00EE52F2"/>
    <w:rsid w:val="00EE73F2"/>
    <w:rsid w:val="00EF1380"/>
    <w:rsid w:val="00F01041"/>
    <w:rsid w:val="00F011F2"/>
    <w:rsid w:val="00F02169"/>
    <w:rsid w:val="00F04498"/>
    <w:rsid w:val="00F112AA"/>
    <w:rsid w:val="00F159A8"/>
    <w:rsid w:val="00F20E6A"/>
    <w:rsid w:val="00F27312"/>
    <w:rsid w:val="00F333E2"/>
    <w:rsid w:val="00F34ACC"/>
    <w:rsid w:val="00F34DD6"/>
    <w:rsid w:val="00F34E09"/>
    <w:rsid w:val="00F3684C"/>
    <w:rsid w:val="00F4071B"/>
    <w:rsid w:val="00F4179B"/>
    <w:rsid w:val="00F43D7B"/>
    <w:rsid w:val="00F44D95"/>
    <w:rsid w:val="00F470D9"/>
    <w:rsid w:val="00F47786"/>
    <w:rsid w:val="00F52A54"/>
    <w:rsid w:val="00F532FD"/>
    <w:rsid w:val="00F60100"/>
    <w:rsid w:val="00F60AA9"/>
    <w:rsid w:val="00F61A4E"/>
    <w:rsid w:val="00F6349A"/>
    <w:rsid w:val="00F713E0"/>
    <w:rsid w:val="00F73032"/>
    <w:rsid w:val="00F74903"/>
    <w:rsid w:val="00F7518F"/>
    <w:rsid w:val="00F8042F"/>
    <w:rsid w:val="00F865EB"/>
    <w:rsid w:val="00F86803"/>
    <w:rsid w:val="00F86BE9"/>
    <w:rsid w:val="00F906F9"/>
    <w:rsid w:val="00F919EB"/>
    <w:rsid w:val="00F91BDB"/>
    <w:rsid w:val="00F96072"/>
    <w:rsid w:val="00FA06BD"/>
    <w:rsid w:val="00FA1654"/>
    <w:rsid w:val="00FA1903"/>
    <w:rsid w:val="00FA6934"/>
    <w:rsid w:val="00FB289C"/>
    <w:rsid w:val="00FB3B13"/>
    <w:rsid w:val="00FB3D24"/>
    <w:rsid w:val="00FB4ABF"/>
    <w:rsid w:val="00FB5B84"/>
    <w:rsid w:val="00FC1D3B"/>
    <w:rsid w:val="00FC3076"/>
    <w:rsid w:val="00FD0398"/>
    <w:rsid w:val="00FD0901"/>
    <w:rsid w:val="00FD0ADD"/>
    <w:rsid w:val="00FD1C6D"/>
    <w:rsid w:val="00FD7EF9"/>
    <w:rsid w:val="00FE08E0"/>
    <w:rsid w:val="00FE4FC6"/>
    <w:rsid w:val="00FE53B5"/>
    <w:rsid w:val="00FF0B09"/>
    <w:rsid w:val="00FF3E84"/>
    <w:rsid w:val="00FF4DD0"/>
    <w:rsid w:val="00FF5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46B58"/>
  <w15:chartTrackingRefBased/>
  <w15:docId w15:val="{8D61EC1D-EEE4-4DA7-AC68-8DBA616F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D9"/>
  </w:style>
  <w:style w:type="paragraph" w:styleId="Heading1">
    <w:name w:val="heading 1"/>
    <w:basedOn w:val="Normal"/>
    <w:next w:val="Normal"/>
    <w:link w:val="Heading1Char"/>
    <w:uiPriority w:val="9"/>
    <w:qFormat/>
    <w:rsid w:val="00F43D7B"/>
    <w:pPr>
      <w:keepNext/>
      <w:keepLines/>
      <w:spacing w:before="240" w:after="240"/>
      <w:outlineLvl w:val="0"/>
    </w:pPr>
    <w:rPr>
      <w:rFonts w:asciiTheme="majorBidi" w:eastAsiaTheme="majorEastAsia" w:hAnsiTheme="majorBidi" w:cstheme="majorBidi"/>
      <w:b/>
      <w:bCs/>
      <w:noProof/>
      <w:sz w:val="24"/>
      <w:szCs w:val="24"/>
    </w:rPr>
  </w:style>
  <w:style w:type="paragraph" w:styleId="Heading3">
    <w:name w:val="heading 3"/>
    <w:basedOn w:val="Normal"/>
    <w:next w:val="Normal"/>
    <w:link w:val="Heading3Char"/>
    <w:uiPriority w:val="9"/>
    <w:semiHidden/>
    <w:unhideWhenUsed/>
    <w:qFormat/>
    <w:rsid w:val="00C220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29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8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Medium Grid 1 - Accent 21,Body of text+1,Body of text+2,Body of text+3,List Paragraph11"/>
    <w:basedOn w:val="Normal"/>
    <w:link w:val="ListParagraphChar"/>
    <w:qFormat/>
    <w:rsid w:val="00CC4F35"/>
    <w:pPr>
      <w:numPr>
        <w:numId w:val="1"/>
      </w:numPr>
      <w:contextualSpacing/>
    </w:pPr>
  </w:style>
  <w:style w:type="paragraph" w:styleId="NormalWeb">
    <w:name w:val="Normal (Web)"/>
    <w:basedOn w:val="Normal"/>
    <w:uiPriority w:val="99"/>
    <w:unhideWhenUsed/>
    <w:rsid w:val="004F011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aliases w:val="Char,Footnote Text Char Char Char Char Char,Footnote Text Char Char Char Char,Footnote Text Char Char Char Char Char Char Char Char Char,Footnote Text Char Char Char"/>
    <w:basedOn w:val="Normal"/>
    <w:link w:val="FootnoteTextChar"/>
    <w:uiPriority w:val="99"/>
    <w:unhideWhenUsed/>
    <w:rsid w:val="00AA684D"/>
    <w:pPr>
      <w:spacing w:after="0" w:line="240" w:lineRule="auto"/>
    </w:pPr>
    <w:rPr>
      <w:sz w:val="20"/>
      <w:szCs w:val="20"/>
    </w:rPr>
  </w:style>
  <w:style w:type="character" w:customStyle="1" w:styleId="FootnoteTextChar">
    <w:name w:val="Footnote Text Char"/>
    <w:aliases w:val="Char Char,Footnote Text Char Char Char Char Char Char,Footnote Text Char Char Char Char Char1,Footnote Text Char Char Char Char Char Char Char Char Char Char,Footnote Text Char Char Char Char1"/>
    <w:basedOn w:val="DefaultParagraphFont"/>
    <w:link w:val="FootnoteText"/>
    <w:uiPriority w:val="99"/>
    <w:rsid w:val="00AA684D"/>
    <w:rPr>
      <w:sz w:val="20"/>
      <w:szCs w:val="20"/>
    </w:rPr>
  </w:style>
  <w:style w:type="character" w:styleId="FootnoteReference">
    <w:name w:val="footnote reference"/>
    <w:basedOn w:val="DefaultParagraphFont"/>
    <w:uiPriority w:val="99"/>
    <w:semiHidden/>
    <w:unhideWhenUsed/>
    <w:rsid w:val="00AA684D"/>
    <w:rPr>
      <w:vertAlign w:val="superscript"/>
    </w:rPr>
  </w:style>
  <w:style w:type="character" w:customStyle="1" w:styleId="markedcontent">
    <w:name w:val="markedcontent"/>
    <w:basedOn w:val="DefaultParagraphFont"/>
    <w:rsid w:val="00455C1B"/>
  </w:style>
  <w:style w:type="character" w:customStyle="1" w:styleId="Heading1Char">
    <w:name w:val="Heading 1 Char"/>
    <w:basedOn w:val="DefaultParagraphFont"/>
    <w:link w:val="Heading1"/>
    <w:uiPriority w:val="9"/>
    <w:rsid w:val="00F43D7B"/>
    <w:rPr>
      <w:rFonts w:asciiTheme="majorBidi" w:eastAsiaTheme="majorEastAsia" w:hAnsiTheme="majorBidi" w:cstheme="majorBidi"/>
      <w:b/>
      <w:bCs/>
      <w:noProof/>
      <w:sz w:val="24"/>
      <w:szCs w:val="24"/>
    </w:rPr>
  </w:style>
  <w:style w:type="table" w:styleId="TableGrid">
    <w:name w:val="Table Grid"/>
    <w:basedOn w:val="TableNormal"/>
    <w:uiPriority w:val="39"/>
    <w:rsid w:val="00F8680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qFormat/>
    <w:locked/>
    <w:rsid w:val="00F86803"/>
  </w:style>
  <w:style w:type="paragraph" w:styleId="Header">
    <w:name w:val="header"/>
    <w:basedOn w:val="Normal"/>
    <w:link w:val="HeaderChar"/>
    <w:uiPriority w:val="99"/>
    <w:unhideWhenUsed/>
    <w:rsid w:val="00F43D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3D7B"/>
  </w:style>
  <w:style w:type="paragraph" w:styleId="Footer">
    <w:name w:val="footer"/>
    <w:basedOn w:val="Normal"/>
    <w:link w:val="FooterChar"/>
    <w:uiPriority w:val="99"/>
    <w:unhideWhenUsed/>
    <w:rsid w:val="00F43D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3D7B"/>
  </w:style>
  <w:style w:type="paragraph" w:styleId="TOCHeading">
    <w:name w:val="TOC Heading"/>
    <w:basedOn w:val="Heading1"/>
    <w:next w:val="Normal"/>
    <w:uiPriority w:val="39"/>
    <w:unhideWhenUsed/>
    <w:qFormat/>
    <w:rsid w:val="005E1DD4"/>
    <w:pPr>
      <w:spacing w:after="0"/>
      <w:outlineLvl w:val="9"/>
    </w:pPr>
    <w:rPr>
      <w:rFonts w:asciiTheme="majorHAnsi" w:hAnsiTheme="majorHAnsi"/>
      <w:b w:val="0"/>
      <w:bCs w:val="0"/>
      <w:noProof w:val="0"/>
      <w:color w:val="2F5496" w:themeColor="accent1" w:themeShade="BF"/>
      <w:sz w:val="32"/>
      <w:szCs w:val="32"/>
      <w:lang w:eastAsia="id-ID"/>
    </w:rPr>
  </w:style>
  <w:style w:type="paragraph" w:styleId="TOC1">
    <w:name w:val="toc 1"/>
    <w:basedOn w:val="Normal"/>
    <w:next w:val="Normal"/>
    <w:autoRedefine/>
    <w:uiPriority w:val="39"/>
    <w:unhideWhenUsed/>
    <w:rsid w:val="005E1DD4"/>
    <w:pPr>
      <w:spacing w:after="100"/>
    </w:pPr>
  </w:style>
  <w:style w:type="character" w:styleId="Hyperlink">
    <w:name w:val="Hyperlink"/>
    <w:basedOn w:val="DefaultParagraphFont"/>
    <w:uiPriority w:val="99"/>
    <w:unhideWhenUsed/>
    <w:rsid w:val="005E1DD4"/>
    <w:rPr>
      <w:color w:val="0563C1" w:themeColor="hyperlink"/>
      <w:u w:val="single"/>
    </w:rPr>
  </w:style>
  <w:style w:type="character" w:customStyle="1" w:styleId="Heading3Char">
    <w:name w:val="Heading 3 Char"/>
    <w:basedOn w:val="DefaultParagraphFont"/>
    <w:link w:val="Heading3"/>
    <w:uiPriority w:val="9"/>
    <w:semiHidden/>
    <w:rsid w:val="00C2206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50284C"/>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DB2969"/>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B87ADF"/>
    <w:rPr>
      <w:color w:val="666666"/>
    </w:rPr>
  </w:style>
  <w:style w:type="character" w:customStyle="1" w:styleId="UnresolvedMention">
    <w:name w:val="Unresolved Mention"/>
    <w:basedOn w:val="DefaultParagraphFont"/>
    <w:uiPriority w:val="99"/>
    <w:semiHidden/>
    <w:unhideWhenUsed/>
    <w:rsid w:val="001A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16519">
      <w:bodyDiv w:val="1"/>
      <w:marLeft w:val="0"/>
      <w:marRight w:val="0"/>
      <w:marTop w:val="0"/>
      <w:marBottom w:val="0"/>
      <w:divBdr>
        <w:top w:val="none" w:sz="0" w:space="0" w:color="auto"/>
        <w:left w:val="none" w:sz="0" w:space="0" w:color="auto"/>
        <w:bottom w:val="none" w:sz="0" w:space="0" w:color="auto"/>
        <w:right w:val="none" w:sz="0" w:space="0" w:color="auto"/>
      </w:divBdr>
      <w:divsChild>
        <w:div w:id="126701906">
          <w:marLeft w:val="0"/>
          <w:marRight w:val="0"/>
          <w:marTop w:val="0"/>
          <w:marBottom w:val="0"/>
          <w:divBdr>
            <w:top w:val="none" w:sz="0" w:space="0" w:color="auto"/>
            <w:left w:val="none" w:sz="0" w:space="0" w:color="auto"/>
            <w:bottom w:val="none" w:sz="0" w:space="0" w:color="auto"/>
            <w:right w:val="none" w:sz="0" w:space="0" w:color="auto"/>
          </w:divBdr>
        </w:div>
        <w:div w:id="536551650">
          <w:marLeft w:val="0"/>
          <w:marRight w:val="0"/>
          <w:marTop w:val="0"/>
          <w:marBottom w:val="0"/>
          <w:divBdr>
            <w:top w:val="none" w:sz="0" w:space="0" w:color="auto"/>
            <w:left w:val="none" w:sz="0" w:space="0" w:color="auto"/>
            <w:bottom w:val="none" w:sz="0" w:space="0" w:color="auto"/>
            <w:right w:val="none" w:sz="0" w:space="0" w:color="auto"/>
          </w:divBdr>
        </w:div>
        <w:div w:id="732242196">
          <w:marLeft w:val="0"/>
          <w:marRight w:val="0"/>
          <w:marTop w:val="0"/>
          <w:marBottom w:val="0"/>
          <w:divBdr>
            <w:top w:val="none" w:sz="0" w:space="0" w:color="auto"/>
            <w:left w:val="none" w:sz="0" w:space="0" w:color="auto"/>
            <w:bottom w:val="none" w:sz="0" w:space="0" w:color="auto"/>
            <w:right w:val="none" w:sz="0" w:space="0" w:color="auto"/>
          </w:divBdr>
        </w:div>
        <w:div w:id="1450735350">
          <w:marLeft w:val="0"/>
          <w:marRight w:val="0"/>
          <w:marTop w:val="0"/>
          <w:marBottom w:val="0"/>
          <w:divBdr>
            <w:top w:val="none" w:sz="0" w:space="0" w:color="auto"/>
            <w:left w:val="none" w:sz="0" w:space="0" w:color="auto"/>
            <w:bottom w:val="none" w:sz="0" w:space="0" w:color="auto"/>
            <w:right w:val="none" w:sz="0" w:space="0" w:color="auto"/>
          </w:divBdr>
        </w:div>
        <w:div w:id="1539583934">
          <w:marLeft w:val="0"/>
          <w:marRight w:val="0"/>
          <w:marTop w:val="0"/>
          <w:marBottom w:val="0"/>
          <w:divBdr>
            <w:top w:val="none" w:sz="0" w:space="0" w:color="auto"/>
            <w:left w:val="none" w:sz="0" w:space="0" w:color="auto"/>
            <w:bottom w:val="none" w:sz="0" w:space="0" w:color="auto"/>
            <w:right w:val="none" w:sz="0" w:space="0" w:color="auto"/>
          </w:divBdr>
        </w:div>
      </w:divsChild>
    </w:div>
    <w:div w:id="361250569">
      <w:bodyDiv w:val="1"/>
      <w:marLeft w:val="0"/>
      <w:marRight w:val="0"/>
      <w:marTop w:val="0"/>
      <w:marBottom w:val="0"/>
      <w:divBdr>
        <w:top w:val="none" w:sz="0" w:space="0" w:color="auto"/>
        <w:left w:val="none" w:sz="0" w:space="0" w:color="auto"/>
        <w:bottom w:val="none" w:sz="0" w:space="0" w:color="auto"/>
        <w:right w:val="none" w:sz="0" w:space="0" w:color="auto"/>
      </w:divBdr>
    </w:div>
    <w:div w:id="498427052">
      <w:bodyDiv w:val="1"/>
      <w:marLeft w:val="0"/>
      <w:marRight w:val="0"/>
      <w:marTop w:val="0"/>
      <w:marBottom w:val="0"/>
      <w:divBdr>
        <w:top w:val="none" w:sz="0" w:space="0" w:color="auto"/>
        <w:left w:val="none" w:sz="0" w:space="0" w:color="auto"/>
        <w:bottom w:val="none" w:sz="0" w:space="0" w:color="auto"/>
        <w:right w:val="none" w:sz="0" w:space="0" w:color="auto"/>
      </w:divBdr>
    </w:div>
    <w:div w:id="563761158">
      <w:bodyDiv w:val="1"/>
      <w:marLeft w:val="0"/>
      <w:marRight w:val="0"/>
      <w:marTop w:val="0"/>
      <w:marBottom w:val="0"/>
      <w:divBdr>
        <w:top w:val="none" w:sz="0" w:space="0" w:color="auto"/>
        <w:left w:val="none" w:sz="0" w:space="0" w:color="auto"/>
        <w:bottom w:val="none" w:sz="0" w:space="0" w:color="auto"/>
        <w:right w:val="none" w:sz="0" w:space="0" w:color="auto"/>
      </w:divBdr>
    </w:div>
    <w:div w:id="907568084">
      <w:bodyDiv w:val="1"/>
      <w:marLeft w:val="0"/>
      <w:marRight w:val="0"/>
      <w:marTop w:val="0"/>
      <w:marBottom w:val="0"/>
      <w:divBdr>
        <w:top w:val="none" w:sz="0" w:space="0" w:color="auto"/>
        <w:left w:val="none" w:sz="0" w:space="0" w:color="auto"/>
        <w:bottom w:val="none" w:sz="0" w:space="0" w:color="auto"/>
        <w:right w:val="none" w:sz="0" w:space="0" w:color="auto"/>
      </w:divBdr>
    </w:div>
    <w:div w:id="908660151">
      <w:bodyDiv w:val="1"/>
      <w:marLeft w:val="0"/>
      <w:marRight w:val="0"/>
      <w:marTop w:val="0"/>
      <w:marBottom w:val="0"/>
      <w:divBdr>
        <w:top w:val="none" w:sz="0" w:space="0" w:color="auto"/>
        <w:left w:val="none" w:sz="0" w:space="0" w:color="auto"/>
        <w:bottom w:val="none" w:sz="0" w:space="0" w:color="auto"/>
        <w:right w:val="none" w:sz="0" w:space="0" w:color="auto"/>
      </w:divBdr>
    </w:div>
    <w:div w:id="911618369">
      <w:bodyDiv w:val="1"/>
      <w:marLeft w:val="0"/>
      <w:marRight w:val="0"/>
      <w:marTop w:val="0"/>
      <w:marBottom w:val="0"/>
      <w:divBdr>
        <w:top w:val="none" w:sz="0" w:space="0" w:color="auto"/>
        <w:left w:val="none" w:sz="0" w:space="0" w:color="auto"/>
        <w:bottom w:val="none" w:sz="0" w:space="0" w:color="auto"/>
        <w:right w:val="none" w:sz="0" w:space="0" w:color="auto"/>
      </w:divBdr>
    </w:div>
    <w:div w:id="1099062370">
      <w:bodyDiv w:val="1"/>
      <w:marLeft w:val="0"/>
      <w:marRight w:val="0"/>
      <w:marTop w:val="0"/>
      <w:marBottom w:val="0"/>
      <w:divBdr>
        <w:top w:val="none" w:sz="0" w:space="0" w:color="auto"/>
        <w:left w:val="none" w:sz="0" w:space="0" w:color="auto"/>
        <w:bottom w:val="none" w:sz="0" w:space="0" w:color="auto"/>
        <w:right w:val="none" w:sz="0" w:space="0" w:color="auto"/>
      </w:divBdr>
    </w:div>
    <w:div w:id="1198808662">
      <w:bodyDiv w:val="1"/>
      <w:marLeft w:val="0"/>
      <w:marRight w:val="0"/>
      <w:marTop w:val="0"/>
      <w:marBottom w:val="0"/>
      <w:divBdr>
        <w:top w:val="none" w:sz="0" w:space="0" w:color="auto"/>
        <w:left w:val="none" w:sz="0" w:space="0" w:color="auto"/>
        <w:bottom w:val="none" w:sz="0" w:space="0" w:color="auto"/>
        <w:right w:val="none" w:sz="0" w:space="0" w:color="auto"/>
      </w:divBdr>
    </w:div>
    <w:div w:id="1315068333">
      <w:bodyDiv w:val="1"/>
      <w:marLeft w:val="0"/>
      <w:marRight w:val="0"/>
      <w:marTop w:val="0"/>
      <w:marBottom w:val="0"/>
      <w:divBdr>
        <w:top w:val="none" w:sz="0" w:space="0" w:color="auto"/>
        <w:left w:val="none" w:sz="0" w:space="0" w:color="auto"/>
        <w:bottom w:val="none" w:sz="0" w:space="0" w:color="auto"/>
        <w:right w:val="none" w:sz="0" w:space="0" w:color="auto"/>
      </w:divBdr>
      <w:divsChild>
        <w:div w:id="779910745">
          <w:marLeft w:val="0"/>
          <w:marRight w:val="0"/>
          <w:marTop w:val="0"/>
          <w:marBottom w:val="0"/>
          <w:divBdr>
            <w:top w:val="none" w:sz="0" w:space="0" w:color="auto"/>
            <w:left w:val="none" w:sz="0" w:space="0" w:color="auto"/>
            <w:bottom w:val="none" w:sz="0" w:space="0" w:color="auto"/>
            <w:right w:val="none" w:sz="0" w:space="0" w:color="auto"/>
          </w:divBdr>
        </w:div>
        <w:div w:id="1328095186">
          <w:marLeft w:val="0"/>
          <w:marRight w:val="0"/>
          <w:marTop w:val="0"/>
          <w:marBottom w:val="0"/>
          <w:divBdr>
            <w:top w:val="none" w:sz="0" w:space="0" w:color="auto"/>
            <w:left w:val="none" w:sz="0" w:space="0" w:color="auto"/>
            <w:bottom w:val="none" w:sz="0" w:space="0" w:color="auto"/>
            <w:right w:val="none" w:sz="0" w:space="0" w:color="auto"/>
          </w:divBdr>
        </w:div>
        <w:div w:id="1337877837">
          <w:marLeft w:val="0"/>
          <w:marRight w:val="0"/>
          <w:marTop w:val="0"/>
          <w:marBottom w:val="0"/>
          <w:divBdr>
            <w:top w:val="none" w:sz="0" w:space="0" w:color="auto"/>
            <w:left w:val="none" w:sz="0" w:space="0" w:color="auto"/>
            <w:bottom w:val="none" w:sz="0" w:space="0" w:color="auto"/>
            <w:right w:val="none" w:sz="0" w:space="0" w:color="auto"/>
          </w:divBdr>
        </w:div>
      </w:divsChild>
    </w:div>
    <w:div w:id="1720981495">
      <w:bodyDiv w:val="1"/>
      <w:marLeft w:val="0"/>
      <w:marRight w:val="0"/>
      <w:marTop w:val="0"/>
      <w:marBottom w:val="0"/>
      <w:divBdr>
        <w:top w:val="none" w:sz="0" w:space="0" w:color="auto"/>
        <w:left w:val="none" w:sz="0" w:space="0" w:color="auto"/>
        <w:bottom w:val="none" w:sz="0" w:space="0" w:color="auto"/>
        <w:right w:val="none" w:sz="0" w:space="0" w:color="auto"/>
      </w:divBdr>
    </w:div>
    <w:div w:id="1750540015">
      <w:bodyDiv w:val="1"/>
      <w:marLeft w:val="0"/>
      <w:marRight w:val="0"/>
      <w:marTop w:val="0"/>
      <w:marBottom w:val="0"/>
      <w:divBdr>
        <w:top w:val="none" w:sz="0" w:space="0" w:color="auto"/>
        <w:left w:val="none" w:sz="0" w:space="0" w:color="auto"/>
        <w:bottom w:val="none" w:sz="0" w:space="0" w:color="auto"/>
        <w:right w:val="none" w:sz="0" w:space="0" w:color="auto"/>
      </w:divBdr>
      <w:divsChild>
        <w:div w:id="1409615111">
          <w:marLeft w:val="547"/>
          <w:marRight w:val="0"/>
          <w:marTop w:val="0"/>
          <w:marBottom w:val="0"/>
          <w:divBdr>
            <w:top w:val="none" w:sz="0" w:space="0" w:color="auto"/>
            <w:left w:val="none" w:sz="0" w:space="0" w:color="auto"/>
            <w:bottom w:val="none" w:sz="0" w:space="0" w:color="auto"/>
            <w:right w:val="none" w:sz="0" w:space="0" w:color="auto"/>
          </w:divBdr>
        </w:div>
      </w:divsChild>
    </w:div>
    <w:div w:id="1787849620">
      <w:bodyDiv w:val="1"/>
      <w:marLeft w:val="0"/>
      <w:marRight w:val="0"/>
      <w:marTop w:val="0"/>
      <w:marBottom w:val="0"/>
      <w:divBdr>
        <w:top w:val="none" w:sz="0" w:space="0" w:color="auto"/>
        <w:left w:val="none" w:sz="0" w:space="0" w:color="auto"/>
        <w:bottom w:val="none" w:sz="0" w:space="0" w:color="auto"/>
        <w:right w:val="none" w:sz="0" w:space="0" w:color="auto"/>
      </w:divBdr>
      <w:divsChild>
        <w:div w:id="1962609971">
          <w:marLeft w:val="0"/>
          <w:marRight w:val="0"/>
          <w:marTop w:val="0"/>
          <w:marBottom w:val="0"/>
          <w:divBdr>
            <w:top w:val="none" w:sz="0" w:space="0" w:color="auto"/>
            <w:left w:val="none" w:sz="0" w:space="0" w:color="auto"/>
            <w:bottom w:val="none" w:sz="0" w:space="0" w:color="auto"/>
            <w:right w:val="none" w:sz="0" w:space="0" w:color="auto"/>
          </w:divBdr>
        </w:div>
        <w:div w:id="2054305455">
          <w:marLeft w:val="0"/>
          <w:marRight w:val="0"/>
          <w:marTop w:val="0"/>
          <w:marBottom w:val="0"/>
          <w:divBdr>
            <w:top w:val="none" w:sz="0" w:space="0" w:color="auto"/>
            <w:left w:val="none" w:sz="0" w:space="0" w:color="auto"/>
            <w:bottom w:val="none" w:sz="0" w:space="0" w:color="auto"/>
            <w:right w:val="none" w:sz="0" w:space="0" w:color="auto"/>
          </w:divBdr>
        </w:div>
      </w:divsChild>
    </w:div>
    <w:div w:id="1987661802">
      <w:bodyDiv w:val="1"/>
      <w:marLeft w:val="0"/>
      <w:marRight w:val="0"/>
      <w:marTop w:val="0"/>
      <w:marBottom w:val="0"/>
      <w:divBdr>
        <w:top w:val="none" w:sz="0" w:space="0" w:color="auto"/>
        <w:left w:val="none" w:sz="0" w:space="0" w:color="auto"/>
        <w:bottom w:val="none" w:sz="0" w:space="0" w:color="auto"/>
        <w:right w:val="none" w:sz="0" w:space="0" w:color="auto"/>
      </w:divBdr>
    </w:div>
    <w:div w:id="21016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ufarab@mail.unnes.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d.a.azam@aliraqia.edu.i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hmadmiftahuddin_82@mail.unnes.ac.id" TargetMode="External"/><Relationship Id="rId4" Type="http://schemas.openxmlformats.org/officeDocument/2006/relationships/settings" Target="settings.xml"/><Relationship Id="rId9" Type="http://schemas.openxmlformats.org/officeDocument/2006/relationships/hyperlink" Target="mailto:mudrofinnn@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57CAD-75E7-458A-AB55-EA28ED39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12091</Words>
  <Characters>68922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Alsina</dc:creator>
  <cp:keywords/>
  <dc:description/>
  <cp:lastModifiedBy>Microsoft account</cp:lastModifiedBy>
  <cp:revision>12</cp:revision>
  <cp:lastPrinted>2024-03-02T05:23:00Z</cp:lastPrinted>
  <dcterms:created xsi:type="dcterms:W3CDTF">2025-12-07T00:39:00Z</dcterms:created>
  <dcterms:modified xsi:type="dcterms:W3CDTF">2025-12-08T06:56:00Z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http://www.zotero.org/styles/chicago-fullnote-bibliography</vt:lpwstr>
  </property>
  <property fmtid="{D5CDD505-2E9C-101B-9397-08002B2CF9AE}" pid="5" name="Mendeley Recent Style Name 1_1">
    <vt:lpwstr>Chicago Manual of Style 17th edition (full note)</vt:lpwstr>
  </property>
  <property fmtid="{D5CDD505-2E9C-101B-9397-08002B2CF9AE}" pid="6" name="Mendeley Recent Style Id 2_1">
    <vt:lpwstr>http://csl.mendeley.com/styles/531131671/chicago-fullnote-bibliography-et-al</vt:lpwstr>
  </property>
  <property fmtid="{D5CDD505-2E9C-101B-9397-08002B2CF9AE}" pid="7" name="Mendeley Recent Style Name 2_1">
    <vt:lpwstr>Chicago Manual of Style 17th edition (full note) - Mudrofin -</vt:lpwstr>
  </property>
  <property fmtid="{D5CDD505-2E9C-101B-9397-08002B2CF9AE}" pid="8" name="Mendeley Recent Style Id 3_1">
    <vt:lpwstr>https://csl.mendeley.com/styles/531131671/chicago-fullnote-bibliography</vt:lpwstr>
  </property>
  <property fmtid="{D5CDD505-2E9C-101B-9397-08002B2CF9AE}" pid="9" name="Mendeley Recent Style Name 3_1">
    <vt:lpwstr>Chicago Manual of Style 17th edition (full note) Mudrofin et al</vt:lpwstr>
  </property>
  <property fmtid="{D5CDD505-2E9C-101B-9397-08002B2CF9AE}" pid="10" name="Mendeley Recent Style Id 4_1">
    <vt:lpwstr>https://csl.mendeley.com/styles/531131671/elsevier-vancouver</vt:lpwstr>
  </property>
  <property fmtid="{D5CDD505-2E9C-101B-9397-08002B2CF9AE}" pid="11" name="Mendeley Recent Style Name 4_1">
    <vt:lpwstr>Elsevier - Vancouver - Mudrofin -</vt:lpwstr>
  </property>
  <property fmtid="{D5CDD505-2E9C-101B-9397-08002B2CF9AE}" pid="12" name="Mendeley Recent Style Id 5_1">
    <vt:lpwstr>http://www.zotero.org/styles/springer-humanities-brackets</vt:lpwstr>
  </property>
  <property fmtid="{D5CDD505-2E9C-101B-9397-08002B2CF9AE}" pid="13" name="Mendeley Recent Style Name 5_1">
    <vt:lpwstr>Springer - Humanities (numeric, brackets)</vt:lpwstr>
  </property>
  <property fmtid="{D5CDD505-2E9C-101B-9397-08002B2CF9AE}" pid="14" name="Mendeley Recent Style Id 6_1">
    <vt:lpwstr>http://csl.mendeley.com/styles/531131671/springer-lecture-notes-in-computer-science</vt:lpwstr>
  </property>
  <property fmtid="{D5CDD505-2E9C-101B-9397-08002B2CF9AE}" pid="15" name="Mendeley Recent Style Name 6_1">
    <vt:lpwstr>Springer - Lecture Notes in Computer Science Baru</vt:lpwstr>
  </property>
  <property fmtid="{D5CDD505-2E9C-101B-9397-08002B2CF9AE}" pid="16" name="Mendeley Recent Style Id 7_1">
    <vt:lpwstr>http://www.zotero.org/styles/turabian-fullnote-bibliography-no-ibid</vt:lpwstr>
  </property>
  <property fmtid="{D5CDD505-2E9C-101B-9397-08002B2CF9AE}" pid="17" name="Mendeley Recent Style Name 7_1">
    <vt:lpwstr>Turabian 8th edition (full note, no ibid)</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http://csl.mendeley.com/styles/531131671/vancouver</vt:lpwstr>
  </property>
  <property fmtid="{D5CDD505-2E9C-101B-9397-08002B2CF9AE}" pid="21" name="Mendeley Recent Style Name 9_1">
    <vt:lpwstr>Vancouver - Mudrofin -</vt:lpwstr>
  </property>
  <property fmtid="{D5CDD505-2E9C-101B-9397-08002B2CF9AE}" pid="22" name="Mendeley Document_1">
    <vt:lpwstr>True</vt:lpwstr>
  </property>
  <property fmtid="{D5CDD505-2E9C-101B-9397-08002B2CF9AE}" pid="23" name="Mendeley Unique User Id_1">
    <vt:lpwstr>498c5700-1265-3449-a682-f4c070483e24</vt:lpwstr>
  </property>
  <property fmtid="{D5CDD505-2E9C-101B-9397-08002B2CF9AE}" pid="24" name="Mendeley Citation Style_1">
    <vt:lpwstr>http://www.zotero.org/styles/apa</vt:lpwstr>
  </property>
</Properties>
</file>