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5F80" w14:textId="77777777" w:rsidR="00051F69" w:rsidRPr="00CB14BA" w:rsidRDefault="00051F69" w:rsidP="008C374B">
      <w:pPr>
        <w:jc w:val="center"/>
        <w:rPr>
          <w:rFonts w:asciiTheme="majorBidi" w:hAnsiTheme="majorBidi" w:cstheme="majorBidi"/>
        </w:rPr>
      </w:pPr>
    </w:p>
    <w:p w14:paraId="2539C012" w14:textId="77777777" w:rsidR="00656CB3" w:rsidRDefault="00656CB3" w:rsidP="00656CB3">
      <w:pPr>
        <w:rPr>
          <w:rFonts w:asciiTheme="majorBidi" w:eastAsiaTheme="majorEastAsia" w:hAnsiTheme="majorBidi" w:cstheme="majorBidi"/>
          <w:b/>
          <w:bCs/>
          <w:spacing w:val="-10"/>
          <w:kern w:val="28"/>
          <w:sz w:val="36"/>
          <w:szCs w:val="36"/>
        </w:rPr>
      </w:pPr>
      <w:r w:rsidRPr="00656CB3">
        <w:rPr>
          <w:rFonts w:asciiTheme="majorBidi" w:eastAsiaTheme="majorEastAsia" w:hAnsiTheme="majorBidi" w:cstheme="majorBidi"/>
          <w:b/>
          <w:bCs/>
          <w:spacing w:val="-10"/>
          <w:kern w:val="28"/>
          <w:sz w:val="36"/>
          <w:szCs w:val="36"/>
        </w:rPr>
        <w:t>Digital Transformation and Its Effectiveness in Healthcare Facility Partnership Contract Management within Indonesia’s National Health Insurance Program</w:t>
      </w:r>
    </w:p>
    <w:p w14:paraId="06076435" w14:textId="7D619FBB" w:rsidR="002F741D" w:rsidRPr="002F741D" w:rsidRDefault="002F741D" w:rsidP="00656CB3">
      <w:pPr>
        <w:rPr>
          <w:rFonts w:asciiTheme="majorBidi" w:hAnsiTheme="majorBidi" w:cstheme="majorBidi"/>
          <w:sz w:val="24"/>
          <w:vertAlign w:val="superscript"/>
        </w:rPr>
      </w:pPr>
      <w:r w:rsidRPr="002F741D">
        <w:rPr>
          <w:rFonts w:asciiTheme="majorBidi" w:hAnsiTheme="majorBidi" w:cstheme="majorBidi"/>
          <w:sz w:val="24"/>
        </w:rPr>
        <w:t>Unting Patri Wicaksono Pribadi</w:t>
      </w:r>
      <w:r>
        <w:rPr>
          <w:rFonts w:asciiTheme="majorBidi" w:hAnsiTheme="majorBidi" w:cstheme="majorBidi"/>
          <w:sz w:val="24"/>
          <w:vertAlign w:val="superscript"/>
        </w:rPr>
        <w:t>1</w:t>
      </w:r>
      <w:r w:rsidRPr="002F741D">
        <w:rPr>
          <w:rFonts w:asciiTheme="majorBidi" w:hAnsiTheme="majorBidi" w:cstheme="majorBidi"/>
          <w:sz w:val="24"/>
        </w:rPr>
        <w:t>, Ascobat Gani</w:t>
      </w:r>
      <w:r>
        <w:rPr>
          <w:rFonts w:asciiTheme="majorBidi" w:hAnsiTheme="majorBidi" w:cstheme="majorBidi"/>
          <w:sz w:val="24"/>
          <w:vertAlign w:val="superscript"/>
        </w:rPr>
        <w:t>2</w:t>
      </w:r>
    </w:p>
    <w:p w14:paraId="163A350B" w14:textId="13BF1D21" w:rsidR="002F741D" w:rsidRPr="002F741D" w:rsidRDefault="002F741D" w:rsidP="002F741D">
      <w:pPr>
        <w:jc w:val="both"/>
      </w:pPr>
      <w:r w:rsidRPr="002F741D">
        <w:rPr>
          <w:vertAlign w:val="superscript"/>
        </w:rPr>
        <w:t>1.</w:t>
      </w:r>
      <w:r>
        <w:t xml:space="preserve"> </w:t>
      </w:r>
      <w:r w:rsidRPr="002F741D">
        <w:t>Student  of Doctoral Program  of Faculty of Public Health, University of Indonesia, Depok, Indonesia ; 0009-0004-0223-6743</w:t>
      </w:r>
      <w:r>
        <w:t xml:space="preserve">. </w:t>
      </w:r>
      <w:r w:rsidRPr="002F741D">
        <w:rPr>
          <w:vertAlign w:val="superscript"/>
        </w:rPr>
        <w:t>2</w:t>
      </w:r>
      <w:r w:rsidRPr="002F741D">
        <w:t xml:space="preserve"> Professor of Faculty of Public Health, University of Indonesia, Depok, Indonesia, 0000-0001-9308-102X</w:t>
      </w:r>
    </w:p>
    <w:p w14:paraId="2D173672" w14:textId="5A29A959" w:rsidR="006E5463" w:rsidRPr="002F741D" w:rsidRDefault="002F741D" w:rsidP="0064100E">
      <w:pPr>
        <w:jc w:val="both"/>
        <w:rPr>
          <w:rFonts w:asciiTheme="majorBidi" w:hAnsiTheme="majorBidi" w:cstheme="majorBidi"/>
          <w:b/>
          <w:bCs/>
          <w:szCs w:val="22"/>
          <w:lang w:val="en-ID"/>
        </w:rPr>
      </w:pPr>
      <w:r w:rsidRPr="002F741D">
        <w:rPr>
          <w:rFonts w:cs="Times New Roman"/>
          <w:szCs w:val="22"/>
        </w:rPr>
        <w:t>Correspond</w:t>
      </w:r>
      <w:r>
        <w:rPr>
          <w:rFonts w:cs="Times New Roman"/>
          <w:szCs w:val="22"/>
        </w:rPr>
        <w:t xml:space="preserve">ence : </w:t>
      </w:r>
      <w:r w:rsidRPr="00140473">
        <w:rPr>
          <w:rFonts w:cs="Times New Roman"/>
          <w:b/>
          <w:bCs/>
          <w:szCs w:val="22"/>
        </w:rPr>
        <w:t>Unting Patri Wicaksono Pribadi</w:t>
      </w:r>
      <w:r w:rsidRPr="002F741D">
        <w:rPr>
          <w:rFonts w:cs="Times New Roman"/>
          <w:szCs w:val="22"/>
        </w:rPr>
        <w:t>,</w:t>
      </w:r>
      <w:r>
        <w:rPr>
          <w:rFonts w:cs="Times New Roman"/>
          <w:szCs w:val="22"/>
        </w:rPr>
        <w:t xml:space="preserve"> e-mail: </w:t>
      </w:r>
      <w:r w:rsidRPr="002F741D">
        <w:rPr>
          <w:rFonts w:cs="Times New Roman"/>
          <w:szCs w:val="22"/>
        </w:rPr>
        <w:t xml:space="preserve"> </w:t>
      </w:r>
      <w:hyperlink r:id="rId8" w:history="1">
        <w:r w:rsidRPr="002F741D">
          <w:rPr>
            <w:rStyle w:val="Hyperlink"/>
            <w:rFonts w:cs="Times New Roman"/>
            <w:color w:val="000000" w:themeColor="text1"/>
            <w:szCs w:val="22"/>
            <w:u w:val="none"/>
          </w:rPr>
          <w:t>unting@gmail.com</w:t>
        </w:r>
      </w:hyperlink>
      <w:r w:rsidRPr="002F741D">
        <w:rPr>
          <w:rFonts w:cs="Times New Roman"/>
          <w:color w:val="000000" w:themeColor="text1"/>
          <w:szCs w:val="22"/>
        </w:rPr>
        <w:t>,</w:t>
      </w:r>
    </w:p>
    <w:p w14:paraId="536CFBAC" w14:textId="77777777" w:rsidR="00140473" w:rsidRDefault="00140473" w:rsidP="00051F69">
      <w:pPr>
        <w:spacing w:line="240" w:lineRule="auto"/>
        <w:jc w:val="both"/>
        <w:rPr>
          <w:rFonts w:asciiTheme="majorBidi" w:hAnsiTheme="majorBidi" w:cstheme="majorBidi"/>
          <w:b/>
          <w:sz w:val="24"/>
        </w:rPr>
      </w:pPr>
    </w:p>
    <w:p w14:paraId="08CFCBD5" w14:textId="5C696C4F" w:rsidR="00126B87" w:rsidRPr="00140473" w:rsidRDefault="00140473" w:rsidP="00051F69">
      <w:pPr>
        <w:spacing w:line="240" w:lineRule="auto"/>
        <w:jc w:val="both"/>
        <w:rPr>
          <w:rFonts w:asciiTheme="majorBidi" w:hAnsiTheme="majorBidi" w:cstheme="majorBidi"/>
          <w:b/>
          <w:sz w:val="24"/>
        </w:rPr>
      </w:pPr>
      <w:r w:rsidRPr="00140473">
        <w:rPr>
          <w:rFonts w:asciiTheme="majorBidi" w:hAnsiTheme="majorBidi" w:cstheme="majorBidi"/>
          <w:b/>
          <w:sz w:val="24"/>
        </w:rPr>
        <w:t>Abstract</w:t>
      </w:r>
    </w:p>
    <w:p w14:paraId="1275DE52" w14:textId="6B8A684A" w:rsidR="002F741D" w:rsidRPr="002F741D" w:rsidRDefault="002F741D" w:rsidP="007E5DAD">
      <w:pPr>
        <w:spacing w:line="240" w:lineRule="auto"/>
        <w:jc w:val="both"/>
        <w:rPr>
          <w:sz w:val="24"/>
        </w:rPr>
      </w:pPr>
      <w:r>
        <w:t>This study examines whether the implementation of electronic contracts (e-contracts) improves organizational effectiveness and partnership governance within Indonesia’s National Health Insurance Program (JKN) at the BPJS Kesehatan West Jakarta Branch. An observational quantitative design was applied using secondary data from 100 healthcare facility contracts. Effectiveness was measured through completion timeliness, contract duration, Time Efficiency Ratio (TER), and Schedule Performance Index (SPI). Mann–Whitney and Chi-Square tests were used to analyze differences between electronic and conventional contract mechanisms, complemented by workflow observations in the Health Facilities Information System (HFIS).</w:t>
      </w:r>
      <w:r>
        <w:rPr>
          <w:sz w:val="24"/>
        </w:rPr>
        <w:t xml:space="preserve"> </w:t>
      </w:r>
      <w:r>
        <w:t>The findings show that e-contract implementation significantly enhances time-based effectiveness. Electronic contracts were completed within 2–3 working days, compared to 10–14 working days under the conventional system. TER and SPI values greater than one confirm improved schedule performance and process efficiency following digitalization.</w:t>
      </w:r>
      <w:r>
        <w:rPr>
          <w:sz w:val="24"/>
        </w:rPr>
        <w:t xml:space="preserve"> </w:t>
      </w:r>
      <w:r>
        <w:t>The study is limited to a single branch and focuses primarily on time-based indicators. Nevertheless, the results support digital governance strategies in public health insurance administration, contributing to greater administrative efficiency, transparency, and accountability. This study introduces a performance-based evaluation model by applying TER and SPI indicators to digital contract management in the public sector</w:t>
      </w:r>
    </w:p>
    <w:p w14:paraId="2A28DF40" w14:textId="77777777" w:rsidR="002F741D" w:rsidRPr="002F741D" w:rsidRDefault="002F741D" w:rsidP="009E608A">
      <w:pPr>
        <w:spacing w:line="240" w:lineRule="auto"/>
        <w:ind w:left="426" w:hanging="426"/>
        <w:jc w:val="both"/>
        <w:rPr>
          <w:rFonts w:asciiTheme="majorBidi" w:hAnsiTheme="majorBidi" w:cstheme="majorBidi"/>
          <w:b/>
          <w:szCs w:val="22"/>
          <w:lang w:val="en-ID"/>
        </w:rPr>
      </w:pPr>
    </w:p>
    <w:p w14:paraId="1E6D4CE9" w14:textId="04F0EFB6" w:rsidR="003F4B10" w:rsidRPr="002F741D" w:rsidRDefault="008E21EF" w:rsidP="009E608A">
      <w:pPr>
        <w:spacing w:line="240" w:lineRule="auto"/>
        <w:ind w:left="426" w:hanging="426"/>
        <w:jc w:val="both"/>
        <w:rPr>
          <w:rFonts w:asciiTheme="majorBidi" w:hAnsiTheme="majorBidi" w:cstheme="majorBidi"/>
          <w:szCs w:val="22"/>
        </w:rPr>
      </w:pPr>
      <w:r w:rsidRPr="002F741D">
        <w:rPr>
          <w:rFonts w:asciiTheme="majorBidi" w:hAnsiTheme="majorBidi" w:cstheme="majorBidi"/>
          <w:b/>
          <w:szCs w:val="22"/>
        </w:rPr>
        <w:t>Keywords</w:t>
      </w:r>
      <w:r w:rsidR="009E608A" w:rsidRPr="002F741D">
        <w:rPr>
          <w:rFonts w:asciiTheme="majorBidi" w:hAnsiTheme="majorBidi" w:cstheme="majorBidi"/>
          <w:bCs/>
          <w:szCs w:val="22"/>
        </w:rPr>
        <w:t xml:space="preserve"> – </w:t>
      </w:r>
      <w:r w:rsidR="00992E83" w:rsidRPr="002F741D">
        <w:rPr>
          <w:rFonts w:asciiTheme="majorBidi" w:hAnsiTheme="majorBidi" w:cstheme="majorBidi"/>
          <w:szCs w:val="22"/>
        </w:rPr>
        <w:t>Electronic</w:t>
      </w:r>
      <w:r w:rsidR="009E608A" w:rsidRPr="002F741D">
        <w:rPr>
          <w:rFonts w:asciiTheme="majorBidi" w:hAnsiTheme="majorBidi" w:cstheme="majorBidi"/>
          <w:szCs w:val="22"/>
        </w:rPr>
        <w:t xml:space="preserve"> </w:t>
      </w:r>
      <w:r w:rsidR="00992E83" w:rsidRPr="002F741D">
        <w:rPr>
          <w:rFonts w:asciiTheme="majorBidi" w:hAnsiTheme="majorBidi" w:cstheme="majorBidi"/>
          <w:szCs w:val="22"/>
        </w:rPr>
        <w:t xml:space="preserve"> Contract; Effectiveness; BPJS Kesehatan; National Health Insurance; </w:t>
      </w:r>
      <w:r w:rsidR="004B7445" w:rsidRPr="002F741D">
        <w:rPr>
          <w:rFonts w:asciiTheme="majorBidi" w:hAnsiTheme="majorBidi" w:cstheme="majorBidi"/>
          <w:szCs w:val="22"/>
        </w:rPr>
        <w:t>Contract Management</w:t>
      </w:r>
    </w:p>
    <w:p w14:paraId="6E3DFE10" w14:textId="77777777" w:rsidR="00126B87" w:rsidRPr="002F741D" w:rsidRDefault="00126B87" w:rsidP="00051F69">
      <w:pPr>
        <w:spacing w:line="240" w:lineRule="auto"/>
        <w:jc w:val="both"/>
        <w:rPr>
          <w:rFonts w:asciiTheme="majorBidi" w:hAnsiTheme="majorBidi" w:cstheme="majorBidi"/>
          <w:szCs w:val="22"/>
        </w:rPr>
      </w:pPr>
    </w:p>
    <w:p w14:paraId="0EB6BEB9" w14:textId="77777777" w:rsidR="00126B87" w:rsidRPr="002F741D" w:rsidRDefault="00126B87" w:rsidP="00051F69">
      <w:pPr>
        <w:spacing w:line="240" w:lineRule="auto"/>
        <w:jc w:val="both"/>
        <w:rPr>
          <w:rFonts w:asciiTheme="majorBidi" w:hAnsiTheme="majorBidi" w:cstheme="majorBidi"/>
          <w:szCs w:val="22"/>
        </w:rPr>
      </w:pPr>
    </w:p>
    <w:p w14:paraId="0EA521A1" w14:textId="77777777" w:rsidR="00126B87" w:rsidRPr="002F741D" w:rsidRDefault="00126B87" w:rsidP="00051F69">
      <w:pPr>
        <w:spacing w:line="240" w:lineRule="auto"/>
        <w:jc w:val="both"/>
        <w:rPr>
          <w:rFonts w:asciiTheme="majorBidi" w:hAnsiTheme="majorBidi" w:cstheme="majorBidi"/>
          <w:szCs w:val="22"/>
        </w:rPr>
      </w:pPr>
    </w:p>
    <w:p w14:paraId="09C1E700" w14:textId="77777777" w:rsidR="009E608A" w:rsidRPr="002F741D" w:rsidRDefault="009E608A">
      <w:pPr>
        <w:spacing w:line="240" w:lineRule="auto"/>
        <w:rPr>
          <w:rFonts w:asciiTheme="majorBidi" w:hAnsiTheme="majorBidi" w:cstheme="majorBidi"/>
          <w:b/>
          <w:bCs/>
          <w:szCs w:val="22"/>
        </w:rPr>
      </w:pPr>
      <w:r w:rsidRPr="002F741D">
        <w:rPr>
          <w:rFonts w:asciiTheme="majorBidi" w:hAnsiTheme="majorBidi" w:cstheme="majorBidi"/>
          <w:b/>
          <w:bCs/>
          <w:szCs w:val="22"/>
        </w:rPr>
        <w:br w:type="page"/>
      </w:r>
    </w:p>
    <w:p w14:paraId="408D11FC" w14:textId="6D3E90FC" w:rsidR="002C688A" w:rsidRPr="00AB6888" w:rsidRDefault="00126B87" w:rsidP="007E5DAD">
      <w:pPr>
        <w:spacing w:line="480" w:lineRule="auto"/>
        <w:rPr>
          <w:rFonts w:asciiTheme="majorBidi" w:hAnsiTheme="majorBidi" w:cstheme="majorBidi"/>
          <w:b/>
          <w:bCs/>
          <w:sz w:val="24"/>
        </w:rPr>
      </w:pPr>
      <w:r w:rsidRPr="00AB6888">
        <w:rPr>
          <w:rFonts w:asciiTheme="majorBidi" w:hAnsiTheme="majorBidi" w:cstheme="majorBidi"/>
          <w:b/>
          <w:bCs/>
          <w:sz w:val="24"/>
        </w:rPr>
        <w:lastRenderedPageBreak/>
        <w:t>I</w:t>
      </w:r>
      <w:r w:rsidR="003F4B10" w:rsidRPr="00AB6888">
        <w:rPr>
          <w:rFonts w:asciiTheme="majorBidi" w:hAnsiTheme="majorBidi" w:cstheme="majorBidi"/>
          <w:b/>
          <w:bCs/>
          <w:sz w:val="24"/>
        </w:rPr>
        <w:t>ntroduction</w:t>
      </w:r>
    </w:p>
    <w:p w14:paraId="7EF7BDA5" w14:textId="5C83BC6F" w:rsidR="002C688A" w:rsidRPr="002F741D" w:rsidRDefault="00126B87"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Badan Penyelenggara Jaminan Sosial (</w:t>
      </w:r>
      <w:r w:rsidR="002C688A" w:rsidRPr="002F741D">
        <w:rPr>
          <w:rFonts w:asciiTheme="majorBidi" w:hAnsiTheme="majorBidi" w:cstheme="majorBidi"/>
          <w:szCs w:val="22"/>
        </w:rPr>
        <w:t>BPJS</w:t>
      </w:r>
      <w:r w:rsidRPr="002F741D">
        <w:rPr>
          <w:rFonts w:asciiTheme="majorBidi" w:hAnsiTheme="majorBidi" w:cstheme="majorBidi"/>
          <w:szCs w:val="22"/>
        </w:rPr>
        <w:t>)</w:t>
      </w:r>
      <w:r w:rsidR="002C688A" w:rsidRPr="002F741D">
        <w:rPr>
          <w:rFonts w:asciiTheme="majorBidi" w:hAnsiTheme="majorBidi" w:cstheme="majorBidi"/>
          <w:szCs w:val="22"/>
        </w:rPr>
        <w:t xml:space="preserve"> Kesehatan is a public legal entity responsible for administering Indonesia’s National Health Insurance Program (Jaminan Kesehatan Nasional/JKN), as mandated by Law </w:t>
      </w:r>
      <w:r w:rsidR="00140473">
        <w:rPr>
          <w:rFonts w:asciiTheme="majorBidi" w:hAnsiTheme="majorBidi" w:cstheme="majorBidi"/>
          <w:szCs w:val="22"/>
        </w:rPr>
        <w:t xml:space="preserve">of Indonesia </w:t>
      </w:r>
      <w:r w:rsidR="002C688A" w:rsidRPr="002F741D">
        <w:rPr>
          <w:rFonts w:asciiTheme="majorBidi" w:hAnsiTheme="majorBidi" w:cstheme="majorBidi"/>
          <w:szCs w:val="22"/>
        </w:rPr>
        <w:t xml:space="preserve">No. 40 of 2004 and Law </w:t>
      </w:r>
      <w:r w:rsidR="00140473">
        <w:rPr>
          <w:rFonts w:asciiTheme="majorBidi" w:hAnsiTheme="majorBidi" w:cstheme="majorBidi"/>
          <w:szCs w:val="22"/>
        </w:rPr>
        <w:t xml:space="preserve">of Indonesia </w:t>
      </w:r>
      <w:r w:rsidR="002C688A" w:rsidRPr="002F741D">
        <w:rPr>
          <w:rFonts w:asciiTheme="majorBidi" w:hAnsiTheme="majorBidi" w:cstheme="majorBidi"/>
          <w:szCs w:val="22"/>
        </w:rPr>
        <w:t>No. 24 of 2011. One of its strategic functions is managing partnerships with healthcare facilities through annual cooperation agreements that serve as the legal foundation for the delivery of healthcare services</w:t>
      </w:r>
      <w:r w:rsidR="00F1540B" w:rsidRPr="002F741D">
        <w:rPr>
          <w:rFonts w:asciiTheme="majorBidi" w:hAnsiTheme="majorBidi" w:cstheme="majorBidi"/>
          <w:szCs w:val="22"/>
        </w:rPr>
        <w:t xml:space="preserve"> </w:t>
      </w:r>
      <w:r w:rsidR="0006417B">
        <w:rPr>
          <w:rFonts w:asciiTheme="majorBidi" w:hAnsiTheme="majorBidi" w:cstheme="majorBidi"/>
          <w:szCs w:val="22"/>
        </w:rPr>
        <w:fldChar w:fldCharType="begin" w:fldLock="1"/>
      </w:r>
      <w:r w:rsidR="0006417B">
        <w:rPr>
          <w:rFonts w:asciiTheme="majorBidi" w:hAnsiTheme="majorBidi" w:cstheme="majorBidi"/>
          <w:szCs w:val="22"/>
        </w:rPr>
        <w:instrText>ADDIN CSL_CITATION {"citationItems":[{"id":"ITEM-1","itemData":{"ISBN":"9788578110796","ISSN":"0853-4217","PMID":"25246403","author":[{"dropping-particle":"","family":"UU no 24","given":"","non-dropping-particle":"","parse-names":false,"suffix":""}],"id":"ITEM-1","issued":{"date-parts":[["2011"]]},"publisher-place":"Indonesia","title":"Undang - Undang Nomor 24 Tahun 2011 Tentang Badan Penyelenggara Jaminan Sosial","type":"legislation"},"uris":["http://www.mendeley.com/documents/?uuid=4e57f59b-3ae6-4cb1-8cea-9d11701f7659"]},{"id":"ITEM-2","itemData":{"author":[{"dropping-particle":"","family":"UU no 40","given":"","non-dropping-particle":"","parse-names":false,"suffix":""}],"id":"ITEM-2","issued":{"date-parts":[["2004"]]},"title":"Undang Undang Nomor 40 Tahun 2004 Tentang Jaminan Sosial","type":"legislation"},"uris":["http://www.mendeley.com/documents/?uuid=afdcb635-6e9e-3402-9e65-a8b961c13336"]}],"mendeley":{"formattedCitation":"(Undang - Undang Nomor 24 Tahun 2011 Tentang Badan Penyelenggara Jaminan Sosial, 2011; Undang Undang Nomor 40 Tahun 2004 Tentang Jaminan Sosial, 2004)","plainTextFormattedCitation":"(Undang - Undang Nomor 24 Tahun 2011 Tentang Badan Penyelenggara Jaminan Sosial, 2011; Undang Undang Nomor 40 Tahun 2004 Tentang Jaminan Sosial, 2004)"},"properties":{"noteIndex":0},"schema":"https://github.com/citation-style-language/schema/raw/master/csl-citation.json"}</w:instrText>
      </w:r>
      <w:r w:rsidR="0006417B">
        <w:rPr>
          <w:rFonts w:asciiTheme="majorBidi" w:hAnsiTheme="majorBidi" w:cstheme="majorBidi"/>
          <w:szCs w:val="22"/>
        </w:rPr>
        <w:fldChar w:fldCharType="separate"/>
      </w:r>
      <w:r w:rsidR="0006417B" w:rsidRPr="0006417B">
        <w:rPr>
          <w:rFonts w:asciiTheme="majorBidi" w:hAnsiTheme="majorBidi" w:cstheme="majorBidi"/>
          <w:noProof/>
          <w:szCs w:val="22"/>
        </w:rPr>
        <w:t>(Undang - Undang Nomor 24 Tahun 2011 Tentang Badan Penyelenggara Jaminan Sosial, 2011; Undang Undang Nomor 40 Tahun 2004 Tentang Jaminan Sosial, 2004)</w:t>
      </w:r>
      <w:r w:rsidR="0006417B">
        <w:rPr>
          <w:rFonts w:asciiTheme="majorBidi" w:hAnsiTheme="majorBidi" w:cstheme="majorBidi"/>
          <w:szCs w:val="22"/>
        </w:rPr>
        <w:fldChar w:fldCharType="end"/>
      </w:r>
      <w:r w:rsidR="002C688A" w:rsidRPr="002F741D">
        <w:rPr>
          <w:rFonts w:asciiTheme="majorBidi" w:hAnsiTheme="majorBidi" w:cstheme="majorBidi"/>
          <w:szCs w:val="22"/>
        </w:rPr>
        <w:t>.</w:t>
      </w:r>
    </w:p>
    <w:p w14:paraId="01335FA0" w14:textId="4B626864" w:rsidR="002C688A" w:rsidRPr="002F741D" w:rsidRDefault="002C688A" w:rsidP="007E5DAD">
      <w:pPr>
        <w:spacing w:before="240" w:line="480" w:lineRule="auto"/>
        <w:jc w:val="both"/>
        <w:rPr>
          <w:rFonts w:asciiTheme="majorBidi" w:hAnsiTheme="majorBidi" w:cstheme="majorBidi"/>
          <w:noProof/>
          <w:szCs w:val="22"/>
        </w:rPr>
      </w:pPr>
      <w:r w:rsidRPr="002F741D">
        <w:rPr>
          <w:rFonts w:asciiTheme="majorBidi" w:hAnsiTheme="majorBidi" w:cstheme="majorBidi"/>
          <w:szCs w:val="22"/>
        </w:rPr>
        <w:t xml:space="preserve">For many years, contract management relied on conventional procedures, which resulted in recurring </w:t>
      </w:r>
      <w:r w:rsidRPr="002F741D">
        <w:rPr>
          <w:rFonts w:asciiTheme="majorBidi" w:hAnsiTheme="majorBidi" w:cstheme="majorBidi"/>
          <w:noProof/>
          <w:szCs w:val="22"/>
        </w:rPr>
        <w:t>challenges such as delays in document completion, inconsistencies in contract versions, and limited process monitoring. These conditions have the potential to undermine accountability in the implementation of the JKN Program and contradict the principle of effectiveness in public organizations, which emphasizes the timely achievement of organizational objectives (“doing the right things”)</w:t>
      </w:r>
      <w:r w:rsidR="003437CF">
        <w:rPr>
          <w:rFonts w:asciiTheme="majorBidi" w:hAnsiTheme="majorBidi" w:cstheme="majorBidi"/>
          <w:noProof/>
          <w:szCs w:val="22"/>
        </w:rPr>
        <w:t xml:space="preserve"> </w:t>
      </w:r>
      <w:r w:rsidRPr="002F741D">
        <w:rPr>
          <w:rFonts w:asciiTheme="majorBidi" w:hAnsiTheme="majorBidi" w:cstheme="majorBidi"/>
          <w:noProof/>
          <w:szCs w:val="22"/>
        </w:rPr>
        <w:t xml:space="preserve"> </w:t>
      </w:r>
      <w:r w:rsidRPr="002F741D">
        <w:rPr>
          <w:rFonts w:asciiTheme="majorBidi" w:hAnsiTheme="majorBidi" w:cstheme="majorBidi"/>
          <w:noProof/>
          <w:szCs w:val="22"/>
        </w:rPr>
        <w:fldChar w:fldCharType="begin" w:fldLock="1"/>
      </w:r>
      <w:r w:rsidR="00F62733">
        <w:rPr>
          <w:rFonts w:asciiTheme="majorBidi" w:hAnsiTheme="majorBidi" w:cstheme="majorBidi"/>
          <w:noProof/>
          <w:szCs w:val="22"/>
        </w:rPr>
        <w:instrText>ADDIN CSL_CITATION {"citationItems":[{"id":"ITEM-1","itemData":{"author":[{"dropping-particle":"","family":"Drucker","given":"Peter F","non-dropping-particle":"","parse-names":false,"suffix":""},{"dropping-particle":"","family":"Maciariello","given":"Joseph A","non-dropping-particle":"","parse-names":false,"suffix":""}],"id":"ITEM-1","issued":{"date-parts":[["1999","1","18"]]},"language":"English","number-of-pages":"1-568","title":"Management (Revised Edition)","type":"report"},"uris":["http://www.mendeley.com/documents/?uuid=6d1889d2-3979-3a0b-8bf7-2b6be8852a7a"]}],"mendeley":{"formattedCitation":"(Drucker &amp; Maciariello, 1999)","plainTextFormattedCitation":"(Drucker &amp; Maciariello, 1999)","previouslyFormattedCitation":"(Drucker &amp; Maciariello, 1999)"},"properties":{"noteIndex":0},"schema":"https://github.com/citation-style-language/schema/raw/master/csl-citation.json"}</w:instrText>
      </w:r>
      <w:r w:rsidRPr="002F741D">
        <w:rPr>
          <w:rFonts w:asciiTheme="majorBidi" w:hAnsiTheme="majorBidi" w:cstheme="majorBidi"/>
          <w:noProof/>
          <w:szCs w:val="22"/>
        </w:rPr>
        <w:fldChar w:fldCharType="separate"/>
      </w:r>
      <w:r w:rsidR="00CB14BA" w:rsidRPr="002F741D">
        <w:rPr>
          <w:rFonts w:asciiTheme="majorBidi" w:hAnsiTheme="majorBidi" w:cstheme="majorBidi"/>
          <w:noProof/>
          <w:szCs w:val="22"/>
        </w:rPr>
        <w:t>(Drucker &amp; Maciariello, 1999)</w:t>
      </w:r>
      <w:r w:rsidRPr="002F741D">
        <w:rPr>
          <w:rFonts w:asciiTheme="majorBidi" w:hAnsiTheme="majorBidi" w:cstheme="majorBidi"/>
          <w:noProof/>
          <w:szCs w:val="22"/>
        </w:rPr>
        <w:fldChar w:fldCharType="end"/>
      </w:r>
      <w:r w:rsidRPr="002F741D">
        <w:rPr>
          <w:rFonts w:asciiTheme="majorBidi" w:hAnsiTheme="majorBidi" w:cstheme="majorBidi"/>
          <w:noProof/>
          <w:szCs w:val="22"/>
        </w:rPr>
        <w:t>.</w:t>
      </w:r>
    </w:p>
    <w:p w14:paraId="2AE83A31" w14:textId="1917A02D" w:rsidR="002C688A" w:rsidRPr="00AB6888" w:rsidRDefault="002C688A" w:rsidP="007E5DAD">
      <w:pPr>
        <w:spacing w:before="240" w:line="480" w:lineRule="auto"/>
        <w:jc w:val="both"/>
        <w:rPr>
          <w:rFonts w:asciiTheme="majorBidi" w:hAnsiTheme="majorBidi" w:cstheme="majorBidi"/>
          <w:noProof/>
          <w:szCs w:val="22"/>
        </w:rPr>
      </w:pPr>
      <w:r w:rsidRPr="002F741D">
        <w:rPr>
          <w:rFonts w:asciiTheme="majorBidi" w:hAnsiTheme="majorBidi" w:cstheme="majorBidi"/>
          <w:noProof/>
          <w:szCs w:val="22"/>
        </w:rPr>
        <w:t xml:space="preserve">Previous studies on partnerships between BPJS Kesehatan and healthcare facilities have generally focused on legal aspects and regulatory compliance </w:t>
      </w:r>
      <w:r w:rsidRPr="002F741D">
        <w:rPr>
          <w:rFonts w:asciiTheme="majorBidi" w:hAnsiTheme="majorBidi" w:cstheme="majorBidi"/>
          <w:noProof/>
          <w:szCs w:val="22"/>
        </w:rPr>
        <w:fldChar w:fldCharType="begin" w:fldLock="1"/>
      </w:r>
      <w:r w:rsidR="00F62733">
        <w:rPr>
          <w:rFonts w:asciiTheme="majorBidi" w:hAnsiTheme="majorBidi" w:cstheme="majorBidi"/>
          <w:noProof/>
          <w:szCs w:val="22"/>
        </w:rPr>
        <w:instrText>ADDIN CSL_CITATION {"citationItems":[{"id":"ITEM-1","itemData":{"abstract":"One of the social security efforts is health insurance. Health insurance is a guarantee of health care that is used as a transfer of risk of loss. Health insurance is realized by the government in the form of National Health Insurance (JKN) through the Social Security Organizing Agency (BPJS). Efforts to protect BPJS participants are the existence of a cooperation agreement between BPJS and health service providers including hospitals, health centers and other health service facilities. The type of research used is normative law. The data sources used are obtained through secondary data sources, namely indirect data sources. This research is explanatory in nature, namely by explaining how the cooperation between the BPJS Health and the Hospital and how also with the implementation of health insurance for national health insurance participants and efforts from th The results showed that the cooperation agreement between the hospital and BPJS Health in the National Health Insurance (JKN) program is important legal aspects that guarantee the rights and obligations of both parties and ensure the realization of quality health for BPJS Health participants. e BPJS Health in overcoming","author":[{"dropping-particle":"","family":"Ernawati","given":"Ni Luh Ade Kusuma","non-dropping-particle":"","parse-names":false,"suffix":""},{"dropping-particle":"","family":"Manuaba","given":"Ida Bagus Gede","non-dropping-particle":"","parse-names":false,"suffix":""}],"container-title":"Healthsains","id":"ITEM-1","issue":"2","issued":{"date-parts":[["2024"]]},"page":"107-112","title":"Legal Aspects of Cooperation Agreement in Health Insurance Between Hospitals and BPJS","type":"article-journal","volume":"5"},"uris":["http://www.mendeley.com/documents/?uuid=ec908e93-0389-4d82-8e84-e67682ac5f6d"]},{"id":"ITEM-2","itemData":{"author":[{"dropping-particle":"","family":"Murtiningtias","given":"Febri","non-dropping-particle":"","parse-names":false,"suffix":""},{"dropping-particle":"","family":"Ibrahim","given":"H Zulkarnain","non-dropping-particle":"","parse-names":false,"suffix":""},{"dropping-particle":"","family":"Ridwan","given":"M","non-dropping-particle":"","parse-names":false,"suffix":""}],"container-title":"Lex Lata Jurnal Ilmiah Hukum","id":"ITEM-2","issued":{"date-parts":[["2020"]]},"page":"138-150","title":"SOSIAL KESEHATAN DENGAN RSUP DR . MOHAMMAD HOESIN DALAM PELAKSANAAN PELAYANAN KESEHATAN","type":"article-journal"},"uris":["http://www.mendeley.com/documents/?uuid=da6dc35b-cefc-4f38-9e4f-4258ca9d8eb3"]}],"mendeley":{"formattedCitation":"(Ernawati &amp; Manuaba, 2024; Murtiningtias et al., 2020)","plainTextFormattedCitation":"(Ernawati &amp; Manuaba, 2024; Murtiningtias et al., 2020)","previouslyFormattedCitation":"(Ernawati &amp; Manuaba, 2024; Murtiningtias et al., 2020)"},"properties":{"noteIndex":0},"schema":"https://github.com/citation-style-language/schema/raw/master/csl-citation.json"}</w:instrText>
      </w:r>
      <w:r w:rsidRPr="002F741D">
        <w:rPr>
          <w:rFonts w:asciiTheme="majorBidi" w:hAnsiTheme="majorBidi" w:cstheme="majorBidi"/>
          <w:noProof/>
          <w:szCs w:val="22"/>
        </w:rPr>
        <w:fldChar w:fldCharType="separate"/>
      </w:r>
      <w:r w:rsidR="00CB14BA" w:rsidRPr="002F741D">
        <w:rPr>
          <w:rFonts w:asciiTheme="majorBidi" w:hAnsiTheme="majorBidi" w:cstheme="majorBidi"/>
          <w:noProof/>
          <w:szCs w:val="22"/>
        </w:rPr>
        <w:t>(Ernawati &amp; Manuaba, 2024; Murtiningtias et al., 2020)</w:t>
      </w:r>
      <w:r w:rsidRPr="002F741D">
        <w:rPr>
          <w:rFonts w:asciiTheme="majorBidi" w:hAnsiTheme="majorBidi" w:cstheme="majorBidi"/>
          <w:noProof/>
          <w:szCs w:val="22"/>
        </w:rPr>
        <w:fldChar w:fldCharType="end"/>
      </w:r>
      <w:r w:rsidRPr="002F741D">
        <w:rPr>
          <w:rFonts w:asciiTheme="majorBidi" w:hAnsiTheme="majorBidi" w:cstheme="majorBidi"/>
          <w:noProof/>
          <w:szCs w:val="22"/>
        </w:rPr>
        <w:t xml:space="preserve">. In contrast, studies on digital transformation in the healthcare sector have largely examined its impact on service efficiency and overall organizational performance, without positioning contractual processes as the primary unit of analysis </w:t>
      </w:r>
      <w:r w:rsidRPr="002F741D">
        <w:rPr>
          <w:rFonts w:asciiTheme="majorBidi" w:hAnsiTheme="majorBidi" w:cstheme="majorBidi"/>
          <w:noProof/>
          <w:szCs w:val="22"/>
        </w:rPr>
        <w:fldChar w:fldCharType="begin" w:fldLock="1"/>
      </w:r>
      <w:r w:rsidR="00F62733">
        <w:rPr>
          <w:rFonts w:asciiTheme="majorBidi" w:hAnsiTheme="majorBidi" w:cstheme="majorBidi"/>
          <w:noProof/>
          <w:szCs w:val="22"/>
        </w:rPr>
        <w:instrText>ADDIN CSL_CITATION {"citationItems":[{"id":"ITEM-1","itemData":{"DOI":"10.1016/j.jksuci.2022.06.001","ISSN":"22131248","abstract":"Digital collection and maintenance of evidence corresponding to an accident is of utmost relevance as vehicles become connected and part of Internet of things ecosystem. A conceptual evidence management framework is proposed examining the future of accident investigation forensics in the era of connected vehicles. The framework discusses how evidence generated from vehicles involved in incident along with supporting evidence from nearby vehicles CCTVs and road users can be collected and managed over blockchain using smart contracts in a vehicle to everything connected environment. The management of evidence over blockchain serves as an immutable and auditable means to investigate and settle cases post an accident among the stakeholders. Dynamic access control over evidence data and reports based on location of incident and vehicle involved is implemented with the help of smart contracts. The cost of deploying and carrying out transactions using the smart contracts is evaluated over both public and private Ethereum blockchain. Mechanism and cost involved in storing evidence on chain versus off chain using Inter Planetary File System in most optimised manner saving memory and execution cost is compared and presented. The smart contract codes are deployed on Rinkeby test network and can be accessed using address mentioned.","author":[{"dropping-particle":"","family":"Philip","given":"Abin Oommen","non-dropping-particle":"","parse-names":false,"suffix":""},{"dropping-particle":"","family":"Saravanaguru","given":"RA K.","non-dropping-particle":"","parse-names":false,"suffix":""}],"container-title":"Journal of King Saud University - Computer and Information Sciences","id":"ITEM-1","issue":"7","issued":{"date-parts":[["2022","7","1"]]},"page":"4031-4046","publisher":"King Saud bin Abdulaziz University","title":"Smart contract based digital evidence management framework over blockchain for vehicle accident investigation in IoV era","type":"article-journal","volume":"34"},"uris":["http://www.mendeley.com/documents/?uuid=b068e915-0bab-3fde-8caa-8cf0fd4eb782"]}],"mendeley":{"formattedCitation":"(Philip &amp; Saravanaguru, 2022)","plainTextFormattedCitation":"(Philip &amp; Saravanaguru, 2022)","previouslyFormattedCitation":"(Philip &amp; Saravanaguru, 2022)"},"properties":{"noteIndex":0},"schema":"https://github.com/citation-style-language/schema/raw/master/csl-citation.json"}</w:instrText>
      </w:r>
      <w:r w:rsidRPr="002F741D">
        <w:rPr>
          <w:rFonts w:asciiTheme="majorBidi" w:hAnsiTheme="majorBidi" w:cstheme="majorBidi"/>
          <w:noProof/>
          <w:szCs w:val="22"/>
        </w:rPr>
        <w:fldChar w:fldCharType="separate"/>
      </w:r>
      <w:r w:rsidR="00CB14BA" w:rsidRPr="002F741D">
        <w:rPr>
          <w:rFonts w:asciiTheme="majorBidi" w:hAnsiTheme="majorBidi" w:cstheme="majorBidi"/>
          <w:noProof/>
          <w:szCs w:val="22"/>
        </w:rPr>
        <w:t>(Philip &amp; Saravanaguru, 2022)</w:t>
      </w:r>
      <w:r w:rsidRPr="002F741D">
        <w:rPr>
          <w:rFonts w:asciiTheme="majorBidi" w:hAnsiTheme="majorBidi" w:cstheme="majorBidi"/>
          <w:noProof/>
          <w:szCs w:val="22"/>
        </w:rPr>
        <w:fldChar w:fldCharType="end"/>
      </w:r>
      <w:r w:rsidRPr="002F741D">
        <w:rPr>
          <w:rFonts w:asciiTheme="majorBidi" w:hAnsiTheme="majorBidi" w:cstheme="majorBidi"/>
          <w:noProof/>
          <w:szCs w:val="22"/>
        </w:rPr>
        <w:t>.</w:t>
      </w:r>
      <w:r w:rsidR="00126B87" w:rsidRPr="002F741D">
        <w:rPr>
          <w:rFonts w:asciiTheme="majorBidi" w:hAnsiTheme="majorBidi" w:cstheme="majorBidi"/>
          <w:noProof/>
          <w:szCs w:val="22"/>
        </w:rPr>
        <w:t xml:space="preserve"> </w:t>
      </w:r>
    </w:p>
    <w:p w14:paraId="2A0D4511" w14:textId="009D2906"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noProof/>
          <w:szCs w:val="22"/>
        </w:rPr>
        <w:t xml:space="preserve">Effectiveness in managing partnerships with healthcare facilities is determined not only by the existence of contracts as legal instruments, but also by the capacity of the contract management system to achieve operational objectives in a timely, accurate, and controlled manner. Conceptually, organizational effectiveness is defined as the extent to which predetermined goals are achieved using available resources (“doing the right things”) </w:t>
      </w:r>
      <w:r w:rsidRPr="002F741D">
        <w:rPr>
          <w:rFonts w:asciiTheme="majorBidi" w:hAnsiTheme="majorBidi" w:cstheme="majorBidi"/>
          <w:noProof/>
          <w:szCs w:val="22"/>
        </w:rPr>
        <w:fldChar w:fldCharType="begin" w:fldLock="1"/>
      </w:r>
      <w:r w:rsidR="00F62733">
        <w:rPr>
          <w:rFonts w:asciiTheme="majorBidi" w:hAnsiTheme="majorBidi" w:cstheme="majorBidi"/>
          <w:noProof/>
          <w:szCs w:val="22"/>
        </w:rPr>
        <w:instrText>ADDIN CSL_CITATION {"citationItems":[{"id":"ITEM-1","itemData":{"author":[{"dropping-particle":"","family":"Drucker","given":"Peter F","non-dropping-particle":"","parse-names":false,"suffix":""},{"dropping-particle":"","family":"Maciariello","given":"Joseph A","non-dropping-particle":"","parse-names":false,"suffix":""}],"id":"ITEM-1","issued":{"date-parts":[["1999","1","18"]]},"language":"English","number-of-pages":"1-568","title":"Management (Revised Edition)","type":"report"},"uris":["http://www.mendeley.com/documents/?uuid=6d1889d2-3979-3a0b-8bf7-2b6be8852a7a"]}],"mendeley":{"formattedCitation":"(Drucker &amp; Maciariello, 1999)","plainTextFormattedCitation":"(Drucker &amp; Maciariello, 1999)","previouslyFormattedCitation":"(Drucker &amp; Maciariello, 1999)"},"properties":{"noteIndex":0},"schema":"https://github.com/citation-style-language/schema/raw/master/csl-citation.json"}</w:instrText>
      </w:r>
      <w:r w:rsidRPr="002F741D">
        <w:rPr>
          <w:rFonts w:asciiTheme="majorBidi" w:hAnsiTheme="majorBidi" w:cstheme="majorBidi"/>
          <w:noProof/>
          <w:szCs w:val="22"/>
        </w:rPr>
        <w:fldChar w:fldCharType="separate"/>
      </w:r>
      <w:r w:rsidR="00CB14BA" w:rsidRPr="002F741D">
        <w:rPr>
          <w:rFonts w:asciiTheme="majorBidi" w:hAnsiTheme="majorBidi" w:cstheme="majorBidi"/>
          <w:noProof/>
          <w:szCs w:val="22"/>
        </w:rPr>
        <w:t>(Drucker &amp; Maciariello, 1999)</w:t>
      </w:r>
      <w:r w:rsidRPr="002F741D">
        <w:rPr>
          <w:rFonts w:asciiTheme="majorBidi" w:hAnsiTheme="majorBidi" w:cstheme="majorBidi"/>
          <w:noProof/>
          <w:szCs w:val="22"/>
        </w:rPr>
        <w:fldChar w:fldCharType="end"/>
      </w:r>
      <w:r w:rsidRPr="002F741D">
        <w:rPr>
          <w:rFonts w:asciiTheme="majorBidi" w:hAnsiTheme="majorBidi" w:cstheme="majorBidi"/>
          <w:noProof/>
          <w:szCs w:val="22"/>
        </w:rPr>
        <w:t>. In the context of public</w:t>
      </w:r>
      <w:r w:rsidRPr="002F741D">
        <w:rPr>
          <w:rFonts w:asciiTheme="majorBidi" w:hAnsiTheme="majorBidi" w:cstheme="majorBidi"/>
          <w:szCs w:val="22"/>
        </w:rPr>
        <w:t xml:space="preserve"> organizations, effectiveness is often associated with the ability of administrative processes to produce outputs that align with policy targets and planned timelines </w:t>
      </w:r>
      <w:r w:rsidRPr="002F741D">
        <w:rPr>
          <w:rFonts w:asciiTheme="majorBidi" w:hAnsiTheme="majorBidi" w:cstheme="majorBidi"/>
          <w:szCs w:val="22"/>
        </w:rPr>
        <w:fldChar w:fldCharType="begin" w:fldLock="1"/>
      </w:r>
      <w:r w:rsidR="00F62733">
        <w:rPr>
          <w:rFonts w:asciiTheme="majorBidi" w:hAnsiTheme="majorBidi" w:cstheme="majorBidi"/>
          <w:szCs w:val="22"/>
        </w:rPr>
        <w:instrText>ADDIN CSL_CITATION {"citationItems":[{"id":"ITEM-1","itemData":{"author":[{"dropping-particle":"","family":"Robbin","given":"Stephen P.","non-dropping-particle":"","parse-names":false,"suffix":""},{"dropping-particle":"","family":"Coulter","given":"M","non-dropping-particle":"","parse-names":false,"suffix":""}],"edition":"13","id":"ITEM-1","issued":{"date-parts":[["2016"]]},"publisher":"Pearson Education Limited","publisher-place":"Harlow","title":"Management","type":"book"},"uris":["http://www.mendeley.com/documents/?uuid=47e73f63-6f19-3df9-b14b-57a3f7dcad4b"]}],"mendeley":{"formattedCitation":"(Robbin &amp; Coulter, 2016)","plainTextFormattedCitation":"(Robbin &amp; Coulter, 2016)","previouslyFormattedCitation":"(Robbin &amp; Coulter, 2016)"},"properties":{"noteIndex":0},"schema":"https://github.com/citation-style-language/schema/raw/master/csl-citation.json"}</w:instrText>
      </w:r>
      <w:r w:rsidRPr="002F741D">
        <w:rPr>
          <w:rFonts w:asciiTheme="majorBidi" w:hAnsiTheme="majorBidi" w:cstheme="majorBidi"/>
          <w:szCs w:val="22"/>
        </w:rPr>
        <w:fldChar w:fldCharType="separate"/>
      </w:r>
      <w:r w:rsidR="00CB14BA" w:rsidRPr="002F741D">
        <w:rPr>
          <w:rFonts w:asciiTheme="majorBidi" w:hAnsiTheme="majorBidi" w:cstheme="majorBidi"/>
          <w:noProof/>
          <w:szCs w:val="22"/>
        </w:rPr>
        <w:t>(Robbin &amp; Coulter, 2016)</w:t>
      </w:r>
      <w:r w:rsidRPr="002F741D">
        <w:rPr>
          <w:rFonts w:asciiTheme="majorBidi" w:hAnsiTheme="majorBidi" w:cstheme="majorBidi"/>
          <w:szCs w:val="22"/>
        </w:rPr>
        <w:fldChar w:fldCharType="end"/>
      </w:r>
      <w:r w:rsidRPr="002F741D">
        <w:rPr>
          <w:rFonts w:asciiTheme="majorBidi" w:hAnsiTheme="majorBidi" w:cstheme="majorBidi"/>
          <w:szCs w:val="22"/>
        </w:rPr>
        <w:t>.</w:t>
      </w:r>
    </w:p>
    <w:p w14:paraId="4079357E" w14:textId="77777777" w:rsidR="00140473" w:rsidRDefault="00140473" w:rsidP="007E5DAD">
      <w:pPr>
        <w:spacing w:line="480" w:lineRule="auto"/>
        <w:ind w:firstLine="397"/>
        <w:jc w:val="both"/>
        <w:rPr>
          <w:rFonts w:asciiTheme="majorBidi" w:hAnsiTheme="majorBidi" w:cstheme="majorBidi"/>
          <w:szCs w:val="22"/>
        </w:rPr>
      </w:pPr>
    </w:p>
    <w:p w14:paraId="4FCD5AD2" w14:textId="109BD62B" w:rsidR="00140473" w:rsidRPr="00AB6888" w:rsidRDefault="00656CB3" w:rsidP="007E5DAD">
      <w:pPr>
        <w:spacing w:line="480" w:lineRule="auto"/>
        <w:jc w:val="both"/>
        <w:rPr>
          <w:rFonts w:asciiTheme="majorBidi" w:hAnsiTheme="majorBidi" w:cstheme="majorBidi"/>
          <w:b/>
          <w:bCs/>
          <w:sz w:val="24"/>
        </w:rPr>
      </w:pPr>
      <w:r w:rsidRPr="00AB6888">
        <w:rPr>
          <w:rFonts w:asciiTheme="majorBidi" w:hAnsiTheme="majorBidi" w:cstheme="majorBidi"/>
          <w:b/>
          <w:bCs/>
          <w:sz w:val="24"/>
        </w:rPr>
        <w:t>Objective of the Study</w:t>
      </w:r>
    </w:p>
    <w:p w14:paraId="46170603" w14:textId="77777777" w:rsidR="00656CB3" w:rsidRPr="00656CB3" w:rsidRDefault="00656CB3" w:rsidP="007E5DAD">
      <w:pPr>
        <w:spacing w:before="240" w:line="480" w:lineRule="auto"/>
        <w:jc w:val="both"/>
        <w:rPr>
          <w:rFonts w:asciiTheme="majorBidi" w:hAnsiTheme="majorBidi" w:cstheme="majorBidi"/>
          <w:noProof/>
          <w:szCs w:val="22"/>
        </w:rPr>
      </w:pPr>
      <w:r w:rsidRPr="00656CB3">
        <w:rPr>
          <w:rFonts w:asciiTheme="majorBidi" w:hAnsiTheme="majorBidi" w:cstheme="majorBidi"/>
          <w:szCs w:val="22"/>
          <w:lang w:val="en-ID"/>
        </w:rPr>
        <w:t xml:space="preserve">The objective of this study is to evaluate whether the implementation of electronic contracts (e-contracts) enhances organizational effectiveness and strengthens partnership governance within Indonesia’s National Health Insurance Program (JKN), particularly at the BPJS Kesehatan West Jakarta </w:t>
      </w:r>
      <w:r w:rsidRPr="00656CB3">
        <w:rPr>
          <w:rFonts w:asciiTheme="majorBidi" w:hAnsiTheme="majorBidi" w:cstheme="majorBidi"/>
          <w:noProof/>
          <w:szCs w:val="22"/>
        </w:rPr>
        <w:t>Branch.</w:t>
      </w:r>
    </w:p>
    <w:p w14:paraId="7C4E76E1" w14:textId="77777777" w:rsidR="00656CB3" w:rsidRPr="00656CB3" w:rsidRDefault="00656CB3" w:rsidP="007E5DAD">
      <w:pPr>
        <w:spacing w:before="240" w:line="480" w:lineRule="auto"/>
        <w:jc w:val="both"/>
        <w:rPr>
          <w:rFonts w:asciiTheme="majorBidi" w:hAnsiTheme="majorBidi" w:cstheme="majorBidi"/>
          <w:noProof/>
          <w:szCs w:val="22"/>
        </w:rPr>
      </w:pPr>
      <w:r w:rsidRPr="00656CB3">
        <w:rPr>
          <w:rFonts w:asciiTheme="majorBidi" w:hAnsiTheme="majorBidi" w:cstheme="majorBidi"/>
          <w:noProof/>
          <w:szCs w:val="22"/>
        </w:rPr>
        <w:t>Specifically, the study aims to:</w:t>
      </w:r>
    </w:p>
    <w:p w14:paraId="6933951D" w14:textId="77777777" w:rsidR="00656CB3" w:rsidRPr="00656CB3" w:rsidRDefault="00656CB3" w:rsidP="007E5DAD">
      <w:pPr>
        <w:numPr>
          <w:ilvl w:val="0"/>
          <w:numId w:val="15"/>
        </w:numPr>
        <w:spacing w:line="480" w:lineRule="auto"/>
        <w:jc w:val="both"/>
        <w:rPr>
          <w:rFonts w:asciiTheme="majorBidi" w:hAnsiTheme="majorBidi" w:cstheme="majorBidi"/>
          <w:szCs w:val="22"/>
          <w:lang w:val="en-ID"/>
        </w:rPr>
      </w:pPr>
      <w:r w:rsidRPr="00656CB3">
        <w:rPr>
          <w:rFonts w:asciiTheme="majorBidi" w:hAnsiTheme="majorBidi" w:cstheme="majorBidi"/>
          <w:szCs w:val="22"/>
          <w:lang w:val="en-ID"/>
        </w:rPr>
        <w:t>Measure the time-based effectiveness of e-contract implementation compared to conventional printed contracts.</w:t>
      </w:r>
    </w:p>
    <w:p w14:paraId="7AEC71A4" w14:textId="77777777" w:rsidR="00656CB3" w:rsidRPr="00656CB3" w:rsidRDefault="00656CB3" w:rsidP="007E5DAD">
      <w:pPr>
        <w:numPr>
          <w:ilvl w:val="0"/>
          <w:numId w:val="15"/>
        </w:numPr>
        <w:spacing w:line="480" w:lineRule="auto"/>
        <w:jc w:val="both"/>
        <w:rPr>
          <w:rFonts w:asciiTheme="majorBidi" w:hAnsiTheme="majorBidi" w:cstheme="majorBidi"/>
          <w:szCs w:val="22"/>
          <w:lang w:val="en-ID"/>
        </w:rPr>
      </w:pPr>
      <w:r w:rsidRPr="00656CB3">
        <w:rPr>
          <w:rFonts w:asciiTheme="majorBidi" w:hAnsiTheme="majorBidi" w:cstheme="majorBidi"/>
          <w:szCs w:val="22"/>
          <w:lang w:val="en-ID"/>
        </w:rPr>
        <w:t>Analyze contract completion timeliness and duration using Time Efficiency Ratio (TER) and Schedule Performance Index (SPI).</w:t>
      </w:r>
    </w:p>
    <w:p w14:paraId="5BD0A74C" w14:textId="77777777" w:rsidR="00656CB3" w:rsidRPr="00656CB3" w:rsidRDefault="00656CB3" w:rsidP="007E5DAD">
      <w:pPr>
        <w:numPr>
          <w:ilvl w:val="0"/>
          <w:numId w:val="15"/>
        </w:numPr>
        <w:spacing w:line="480" w:lineRule="auto"/>
        <w:jc w:val="both"/>
        <w:rPr>
          <w:rFonts w:asciiTheme="majorBidi" w:hAnsiTheme="majorBidi" w:cstheme="majorBidi"/>
          <w:szCs w:val="22"/>
          <w:lang w:val="en-ID"/>
        </w:rPr>
      </w:pPr>
      <w:r w:rsidRPr="00656CB3">
        <w:rPr>
          <w:rFonts w:asciiTheme="majorBidi" w:hAnsiTheme="majorBidi" w:cstheme="majorBidi"/>
          <w:szCs w:val="22"/>
          <w:lang w:val="en-ID"/>
        </w:rPr>
        <w:t>Examine statistical differences between electronic and manual contract mechanisms.</w:t>
      </w:r>
    </w:p>
    <w:p w14:paraId="6EAEFF39" w14:textId="77777777" w:rsidR="00656CB3" w:rsidRPr="00656CB3" w:rsidRDefault="00656CB3" w:rsidP="007E5DAD">
      <w:pPr>
        <w:numPr>
          <w:ilvl w:val="0"/>
          <w:numId w:val="15"/>
        </w:numPr>
        <w:spacing w:line="480" w:lineRule="auto"/>
        <w:jc w:val="both"/>
        <w:rPr>
          <w:rFonts w:asciiTheme="majorBidi" w:hAnsiTheme="majorBidi" w:cstheme="majorBidi"/>
          <w:szCs w:val="22"/>
          <w:lang w:val="en-ID"/>
        </w:rPr>
      </w:pPr>
      <w:r w:rsidRPr="00656CB3">
        <w:rPr>
          <w:rFonts w:asciiTheme="majorBidi" w:hAnsiTheme="majorBidi" w:cstheme="majorBidi"/>
          <w:szCs w:val="22"/>
          <w:lang w:val="en-ID"/>
        </w:rPr>
        <w:t>Assess workflow integration and process traceability within the Health Facilities Information System (HFIS).</w:t>
      </w:r>
    </w:p>
    <w:p w14:paraId="4A822E22" w14:textId="77777777" w:rsidR="00656CB3" w:rsidRPr="00656CB3" w:rsidRDefault="00656CB3" w:rsidP="007E5DAD">
      <w:pPr>
        <w:numPr>
          <w:ilvl w:val="0"/>
          <w:numId w:val="15"/>
        </w:numPr>
        <w:spacing w:line="480" w:lineRule="auto"/>
        <w:jc w:val="both"/>
        <w:rPr>
          <w:rFonts w:asciiTheme="majorBidi" w:hAnsiTheme="majorBidi" w:cstheme="majorBidi"/>
          <w:szCs w:val="22"/>
          <w:lang w:val="en-ID"/>
        </w:rPr>
      </w:pPr>
      <w:r w:rsidRPr="00656CB3">
        <w:rPr>
          <w:rFonts w:asciiTheme="majorBidi" w:hAnsiTheme="majorBidi" w:cstheme="majorBidi"/>
          <w:szCs w:val="22"/>
          <w:lang w:val="en-ID"/>
        </w:rPr>
        <w:t>Develop a performance-based evaluation model for digital contract management in public-sector governance.</w:t>
      </w:r>
    </w:p>
    <w:p w14:paraId="7031838E" w14:textId="77777777" w:rsidR="00656CB3" w:rsidRPr="00656CB3" w:rsidRDefault="00656CB3" w:rsidP="007E5DAD">
      <w:pPr>
        <w:spacing w:line="480" w:lineRule="auto"/>
        <w:ind w:firstLine="397"/>
        <w:jc w:val="both"/>
        <w:rPr>
          <w:rFonts w:asciiTheme="majorBidi" w:hAnsiTheme="majorBidi" w:cstheme="majorBidi"/>
          <w:szCs w:val="22"/>
          <w:lang w:val="en-ID"/>
        </w:rPr>
      </w:pPr>
    </w:p>
    <w:p w14:paraId="6F01DA3A" w14:textId="6CA349A6" w:rsidR="00656CB3" w:rsidRPr="00AB6888" w:rsidRDefault="00656CB3" w:rsidP="007E5DAD">
      <w:pPr>
        <w:spacing w:line="480" w:lineRule="auto"/>
        <w:jc w:val="both"/>
        <w:rPr>
          <w:rFonts w:asciiTheme="majorBidi" w:hAnsiTheme="majorBidi" w:cstheme="majorBidi"/>
          <w:b/>
          <w:bCs/>
          <w:sz w:val="24"/>
        </w:rPr>
      </w:pPr>
      <w:r w:rsidRPr="00AB6888">
        <w:rPr>
          <w:rFonts w:asciiTheme="majorBidi" w:hAnsiTheme="majorBidi" w:cstheme="majorBidi"/>
          <w:b/>
          <w:bCs/>
          <w:sz w:val="24"/>
        </w:rPr>
        <w:t>Research Hyphotesis</w:t>
      </w:r>
    </w:p>
    <w:p w14:paraId="4FB5A3F7" w14:textId="77777777" w:rsidR="00656CB3" w:rsidRPr="00656CB3" w:rsidRDefault="00656CB3" w:rsidP="007E5DAD">
      <w:pPr>
        <w:spacing w:line="480" w:lineRule="auto"/>
        <w:jc w:val="both"/>
        <w:rPr>
          <w:rFonts w:asciiTheme="majorBidi" w:hAnsiTheme="majorBidi" w:cstheme="majorBidi"/>
          <w:szCs w:val="22"/>
          <w:lang w:val="en-ID"/>
        </w:rPr>
      </w:pPr>
      <w:r w:rsidRPr="00656CB3">
        <w:rPr>
          <w:rFonts w:asciiTheme="majorBidi" w:hAnsiTheme="majorBidi" w:cstheme="majorBidi"/>
          <w:szCs w:val="22"/>
          <w:lang w:val="en-ID"/>
        </w:rPr>
        <w:t>Based on the study objectives and quantitative design, the research hypotheses are formulated as follows:</w:t>
      </w:r>
    </w:p>
    <w:p w14:paraId="3E810EFD" w14:textId="64686872" w:rsidR="00656CB3" w:rsidRPr="00656CB3" w:rsidRDefault="00656CB3" w:rsidP="007E5DAD">
      <w:pPr>
        <w:spacing w:line="480" w:lineRule="auto"/>
        <w:jc w:val="both"/>
        <w:rPr>
          <w:rFonts w:asciiTheme="majorBidi" w:hAnsiTheme="majorBidi" w:cstheme="majorBidi"/>
          <w:szCs w:val="22"/>
          <w:lang w:val="en-ID"/>
        </w:rPr>
      </w:pPr>
      <w:r w:rsidRPr="00656CB3">
        <w:rPr>
          <w:rFonts w:asciiTheme="majorBidi" w:hAnsiTheme="majorBidi" w:cstheme="majorBidi"/>
          <w:szCs w:val="22"/>
          <w:lang w:val="en-ID"/>
        </w:rPr>
        <w:t>(H1)</w:t>
      </w:r>
      <w:r>
        <w:rPr>
          <w:rFonts w:asciiTheme="majorBidi" w:hAnsiTheme="majorBidi" w:cstheme="majorBidi"/>
          <w:szCs w:val="22"/>
          <w:lang w:val="en-ID"/>
        </w:rPr>
        <w:t xml:space="preserve"> </w:t>
      </w:r>
      <w:r w:rsidRPr="00656CB3">
        <w:rPr>
          <w:rFonts w:asciiTheme="majorBidi" w:hAnsiTheme="majorBidi" w:cstheme="majorBidi"/>
          <w:szCs w:val="22"/>
          <w:lang w:val="en-ID"/>
        </w:rPr>
        <w:t>:</w:t>
      </w:r>
      <w:r>
        <w:rPr>
          <w:rFonts w:asciiTheme="majorBidi" w:hAnsiTheme="majorBidi" w:cstheme="majorBidi"/>
          <w:szCs w:val="22"/>
          <w:lang w:val="en-ID"/>
        </w:rPr>
        <w:t xml:space="preserve"> </w:t>
      </w:r>
      <w:r w:rsidRPr="00656CB3">
        <w:rPr>
          <w:rFonts w:asciiTheme="majorBidi" w:hAnsiTheme="majorBidi" w:cstheme="majorBidi"/>
          <w:szCs w:val="22"/>
          <w:lang w:val="en-ID"/>
        </w:rPr>
        <w:t>The implementation of electronic contracts (e-contracts) significantly improves organizational effectiveness in partnership management compared to conventional printed contracts within the National Health Insurance Program (JKN).</w:t>
      </w:r>
    </w:p>
    <w:p w14:paraId="646A7E5B" w14:textId="7DD51105" w:rsidR="00656CB3" w:rsidRPr="00656CB3" w:rsidRDefault="00656CB3" w:rsidP="007E5DAD">
      <w:pPr>
        <w:spacing w:line="480" w:lineRule="auto"/>
        <w:jc w:val="both"/>
        <w:rPr>
          <w:rFonts w:asciiTheme="majorBidi" w:hAnsiTheme="majorBidi" w:cstheme="majorBidi"/>
          <w:szCs w:val="22"/>
          <w:lang w:val="en-ID"/>
        </w:rPr>
      </w:pPr>
      <w:r w:rsidRPr="00656CB3">
        <w:rPr>
          <w:rFonts w:asciiTheme="majorBidi" w:hAnsiTheme="majorBidi" w:cstheme="majorBidi"/>
          <w:szCs w:val="22"/>
          <w:lang w:val="en-ID"/>
        </w:rPr>
        <w:t>(H0):There is no significant difference in organizational effectiveness between electronic contracts and conventional printed contracts.</w:t>
      </w:r>
    </w:p>
    <w:p w14:paraId="676C7300" w14:textId="77777777" w:rsidR="00AB6888" w:rsidRDefault="00AB6888" w:rsidP="007E5DAD">
      <w:pPr>
        <w:spacing w:line="480" w:lineRule="auto"/>
        <w:rPr>
          <w:rFonts w:asciiTheme="majorBidi" w:hAnsiTheme="majorBidi" w:cstheme="majorBidi"/>
          <w:szCs w:val="22"/>
        </w:rPr>
      </w:pPr>
    </w:p>
    <w:p w14:paraId="6D9BD5EA" w14:textId="77777777" w:rsidR="00AB6888" w:rsidRDefault="00AB6888" w:rsidP="007E5DAD">
      <w:pPr>
        <w:spacing w:line="480" w:lineRule="auto"/>
        <w:rPr>
          <w:rFonts w:asciiTheme="majorBidi" w:hAnsiTheme="majorBidi" w:cstheme="majorBidi"/>
          <w:szCs w:val="22"/>
        </w:rPr>
      </w:pPr>
    </w:p>
    <w:p w14:paraId="242AF943" w14:textId="77777777" w:rsidR="00AB6888" w:rsidRDefault="00AB6888" w:rsidP="007E5DAD">
      <w:pPr>
        <w:spacing w:line="480" w:lineRule="auto"/>
        <w:rPr>
          <w:rFonts w:asciiTheme="majorBidi" w:hAnsiTheme="majorBidi" w:cstheme="majorBidi"/>
          <w:szCs w:val="22"/>
        </w:rPr>
      </w:pPr>
    </w:p>
    <w:p w14:paraId="7DD82517" w14:textId="0E6A6ED7" w:rsidR="00656CB3" w:rsidRPr="00AB6888" w:rsidRDefault="00656CB3" w:rsidP="007E5DAD">
      <w:pPr>
        <w:spacing w:line="480" w:lineRule="auto"/>
        <w:rPr>
          <w:rFonts w:asciiTheme="majorBidi" w:hAnsiTheme="majorBidi" w:cstheme="majorBidi"/>
          <w:b/>
          <w:bCs/>
          <w:sz w:val="24"/>
        </w:rPr>
      </w:pPr>
      <w:r w:rsidRPr="00AB6888">
        <w:rPr>
          <w:rFonts w:asciiTheme="majorBidi" w:hAnsiTheme="majorBidi" w:cstheme="majorBidi"/>
          <w:b/>
          <w:bCs/>
          <w:sz w:val="24"/>
        </w:rPr>
        <w:t>Literature Review</w:t>
      </w:r>
    </w:p>
    <w:p w14:paraId="5A1F654B" w14:textId="3AC2940B"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 xml:space="preserve">In this study, the effectiveness of electronic contract implementation is measured using time-based performance indicators, as the timely completion of partnership contracts is a key prerequisite for accountability in healthcare service delivery under the National Health Insurance Program. Business process management literature emphasizes that process completion speed—commonly referred to as cycle time or turnaround time—is a critical indicator of effectiveness, particularly for routine and repetitive administrative processes </w:t>
      </w:r>
      <w:r w:rsidRPr="002F741D">
        <w:rPr>
          <w:rFonts w:asciiTheme="majorBidi" w:hAnsiTheme="majorBidi" w:cstheme="majorBidi"/>
          <w:szCs w:val="22"/>
        </w:rPr>
        <w:fldChar w:fldCharType="begin" w:fldLock="1"/>
      </w:r>
      <w:r w:rsidR="00F62733">
        <w:rPr>
          <w:rFonts w:asciiTheme="majorBidi" w:hAnsiTheme="majorBidi" w:cstheme="majorBidi"/>
          <w:szCs w:val="22"/>
        </w:rPr>
        <w:instrText>ADDIN CSL_CITATION {"citationItems":[{"id":"ITEM-1","itemData":{"DOI":"10.1016/j.cie.2013.02.015","author":[{"dropping-particle":"","family":"Xie","given":"Yi","non-dropping-particle":"","parse-names":false,"suffix":""},{"dropping-particle":"","family":"Chien","given":"Chen-Fu","non-dropping-particle":"","parse-names":false,"suffix":""},{"dropping-particle":"","family":"Tang","given":"Ren-Zhong","non-dropping-particle":"","parse-names":false,"suffix":""}],"container-title":"Computers &amp; Industrial Engineering","id":"ITEM-1","issued":{"date-parts":[["2013"]]},"page":"194–206","title":"A method for estimating the cycle time of business processes with many-to-many relationships among the resources and activities based on individual worklists","type":"article-journal","volume":"65"},"uris":["http://www.mendeley.com/documents/?uuid=1bca31aa-775a-47d0-a6b3-19d4c66b7771"]},{"id":"ITEM-2","itemData":{"DOI":"10.1186/s40064-016-3498-1","ISSN":"2193-1801","author":[{"dropping-particle":"Van","family":"Looy","given":"Amy","non-dropping-particle":"","parse-names":false,"suffix":""},{"dropping-particle":"","family":"Shafagatova","given":"Aygun","non-dropping-particle":"","parse-names":false,"suffix":""}],"container-title":"SpringerPlus","id":"ITEM-2","issued":{"date-parts":[["2016"]]},"page":"1-24","publisher":"Springer International Publishing","title":"Business process performance measurement : a structured literature review of indicators , measures and metrics","type":"article-journal"},"uris":["http://www.mendeley.com/documents/?uuid=c48cb795-d9ec-425d-9c1a-21dd682de266"]}],"mendeley":{"formattedCitation":"(Looy &amp; Shafagatova, 2016; Xie et al., 2013)","plainTextFormattedCitation":"(Looy &amp; Shafagatova, 2016; Xie et al., 2013)","previouslyFormattedCitation":"(Looy &amp; Shafagatova, 2016; Xie et al., 2013)"},"properties":{"noteIndex":0},"schema":"https://github.com/citation-style-language/schema/raw/master/csl-citation.json"}</w:instrText>
      </w:r>
      <w:r w:rsidRPr="002F741D">
        <w:rPr>
          <w:rFonts w:asciiTheme="majorBidi" w:hAnsiTheme="majorBidi" w:cstheme="majorBidi"/>
          <w:szCs w:val="22"/>
        </w:rPr>
        <w:fldChar w:fldCharType="separate"/>
      </w:r>
      <w:r w:rsidR="00CB14BA" w:rsidRPr="002F741D">
        <w:rPr>
          <w:rFonts w:asciiTheme="majorBidi" w:hAnsiTheme="majorBidi" w:cstheme="majorBidi"/>
          <w:noProof/>
          <w:szCs w:val="22"/>
        </w:rPr>
        <w:t>(Looy &amp; Shafagatova, 2016; Xie et al., 2013)</w:t>
      </w:r>
      <w:r w:rsidRPr="002F741D">
        <w:rPr>
          <w:rFonts w:asciiTheme="majorBidi" w:hAnsiTheme="majorBidi" w:cstheme="majorBidi"/>
          <w:szCs w:val="22"/>
        </w:rPr>
        <w:fldChar w:fldCharType="end"/>
      </w:r>
      <w:r w:rsidRPr="002F741D">
        <w:rPr>
          <w:rFonts w:asciiTheme="majorBidi" w:hAnsiTheme="majorBidi" w:cstheme="majorBidi"/>
          <w:szCs w:val="22"/>
        </w:rPr>
        <w:t>.</w:t>
      </w:r>
    </w:p>
    <w:p w14:paraId="017DD4B7" w14:textId="59A4CD68"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 xml:space="preserve">The first indicator used is contract completion timeliness, which reflects the system’s ability to finalize contracts within predetermined deadlines. Timeliness is a dominant indicator in process performance measurement and is widely applied in public service performance evaluation and project management </w:t>
      </w:r>
      <w:r w:rsidRPr="002F741D">
        <w:rPr>
          <w:rFonts w:asciiTheme="majorBidi" w:hAnsiTheme="majorBidi" w:cstheme="majorBidi"/>
          <w:szCs w:val="22"/>
        </w:rPr>
        <w:fldChar w:fldCharType="begin" w:fldLock="1"/>
      </w:r>
      <w:r w:rsidR="00F62733">
        <w:rPr>
          <w:rFonts w:asciiTheme="majorBidi" w:hAnsiTheme="majorBidi" w:cstheme="majorBidi"/>
          <w:szCs w:val="22"/>
        </w:rPr>
        <w:instrText>ADDIN CSL_CITATION {"citationItems":[{"id":"ITEM-1","itemData":{"DOI":"10.1186/s40064-016-3498-1","ISSN":"2193-1801","author":[{"dropping-particle":"Van","family":"Looy","given":"Amy","non-dropping-particle":"","parse-names":false,"suffix":""},{"dropping-particle":"","family":"Shafagatova","given":"Aygun","non-dropping-particle":"","parse-names":false,"suffix":""}],"container-title":"SpringerPlus","id":"ITEM-1","issued":{"date-parts":[["2016"]]},"page":"1-24","publisher":"Springer International Publishing","title":"Business process performance measurement : a structured literature review of indicators , measures and metrics","type":"article-journal"},"uris":["http://www.mendeley.com/documents/?uuid=c48cb795-d9ec-425d-9c1a-21dd682de266"]}],"mendeley":{"formattedCitation":"(Looy &amp; Shafagatova, 2016)","plainTextFormattedCitation":"(Looy &amp; Shafagatova, 2016)","previouslyFormattedCitation":"(Looy &amp; Shafagatova, 2016)"},"properties":{"noteIndex":0},"schema":"https://github.com/citation-style-language/schema/raw/master/csl-citation.json"}</w:instrText>
      </w:r>
      <w:r w:rsidRPr="002F741D">
        <w:rPr>
          <w:rFonts w:asciiTheme="majorBidi" w:hAnsiTheme="majorBidi" w:cstheme="majorBidi"/>
          <w:szCs w:val="22"/>
        </w:rPr>
        <w:fldChar w:fldCharType="separate"/>
      </w:r>
      <w:r w:rsidR="00CB14BA" w:rsidRPr="002F741D">
        <w:rPr>
          <w:rFonts w:asciiTheme="majorBidi" w:hAnsiTheme="majorBidi" w:cstheme="majorBidi"/>
          <w:noProof/>
          <w:szCs w:val="22"/>
        </w:rPr>
        <w:t>(Looy &amp; Shafagatova, 2016)</w:t>
      </w:r>
      <w:r w:rsidRPr="002F741D">
        <w:rPr>
          <w:rFonts w:asciiTheme="majorBidi" w:hAnsiTheme="majorBidi" w:cstheme="majorBidi"/>
          <w:szCs w:val="22"/>
        </w:rPr>
        <w:fldChar w:fldCharType="end"/>
      </w:r>
      <w:r w:rsidRPr="002F741D">
        <w:rPr>
          <w:rFonts w:asciiTheme="majorBidi" w:hAnsiTheme="majorBidi" w:cstheme="majorBidi"/>
          <w:szCs w:val="22"/>
        </w:rPr>
        <w:t>. Failure to complete contracts on time may generate administrative risks and reduce organizational accountability.</w:t>
      </w:r>
    </w:p>
    <w:p w14:paraId="53561FD6" w14:textId="77777777"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Operationally, timeliness is measured by comparing the actual contract completion date with the target completion schedule, set at 31 December 2024. Contracts completed on or before this date are classified as timely, while those completed after this date are categorized as delayed.</w:t>
      </w:r>
    </w:p>
    <w:p w14:paraId="2A1026CB" w14:textId="5E0E038B"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 xml:space="preserve">The second indicator is </w:t>
      </w:r>
      <w:r w:rsidRPr="002F741D">
        <w:rPr>
          <w:rFonts w:asciiTheme="majorBidi" w:hAnsiTheme="majorBidi" w:cstheme="majorBidi"/>
          <w:b/>
          <w:bCs/>
          <w:szCs w:val="22"/>
        </w:rPr>
        <w:t>contract completion duration</w:t>
      </w:r>
      <w:r w:rsidRPr="002F741D">
        <w:rPr>
          <w:rFonts w:asciiTheme="majorBidi" w:hAnsiTheme="majorBidi" w:cstheme="majorBidi"/>
          <w:szCs w:val="22"/>
        </w:rPr>
        <w:t xml:space="preserve">, which reflects the operational efficiency of the contractual process. Process duration measurement is widely used in business process management studies to assess workflow effectiveness and identify potential process bottlenecks </w:t>
      </w:r>
      <w:r w:rsidRPr="002F741D">
        <w:rPr>
          <w:rFonts w:asciiTheme="majorBidi" w:hAnsiTheme="majorBidi" w:cstheme="majorBidi"/>
          <w:szCs w:val="22"/>
        </w:rPr>
        <w:fldChar w:fldCharType="begin" w:fldLock="1"/>
      </w:r>
      <w:r w:rsidR="00F62733">
        <w:rPr>
          <w:rFonts w:asciiTheme="majorBidi" w:hAnsiTheme="majorBidi" w:cstheme="majorBidi"/>
          <w:szCs w:val="22"/>
        </w:rPr>
        <w:instrText>ADDIN CSL_CITATION {"citationItems":[{"id":"ITEM-1","itemData":{"DOI":"10.1016/j.compind.2003.10.007","ISSN":"01663615","author":[{"dropping-particle":"","family":"Grigori","given":"Daniela","non-dropping-particle":"","parse-names":false,"suffix":""},{"dropping-particle":"","family":"Casati","given":"Fabio","non-dropping-particle":"","parse-names":false,"suffix":""},{"dropping-particle":"","family":"Castellanos","given":"Malu","non-dropping-particle":"","parse-names":false,"suffix":""},{"dropping-particle":"","family":"Dayal","given":"Umeshwar","non-dropping-particle":"","parse-names":false,"suffix":""},{"dropping-particle":"","family":"Sayal","given":"Mehmet","non-dropping-particle":"","parse-names":false,"suffix":""},{"dropping-particle":"","family":"Shan","given":"Ming-Chien","non-dropping-particle":"","parse-names":false,"suffix":""}],"container-title":"Computers in Industry","id":"ITEM-1","issue":"3","issued":{"date-parts":[["2004","4"]]},"page":"321-343","title":"Business Process Intelligence","type":"article-journal","volume":"53"},"uris":["http://www.mendeley.com/documents/?uuid=d2a1052c-3556-4f30-8409-533b56c855a0"]}],"mendeley":{"formattedCitation":"(Grigori et al., 2004)","plainTextFormattedCitation":"(Grigori et al., 2004)","previouslyFormattedCitation":"(Grigori et al., 2004)"},"properties":{"noteIndex":0},"schema":"https://github.com/citation-style-language/schema/raw/master/csl-citation.json"}</w:instrText>
      </w:r>
      <w:r w:rsidRPr="002F741D">
        <w:rPr>
          <w:rFonts w:asciiTheme="majorBidi" w:hAnsiTheme="majorBidi" w:cstheme="majorBidi"/>
          <w:szCs w:val="22"/>
        </w:rPr>
        <w:fldChar w:fldCharType="separate"/>
      </w:r>
      <w:r w:rsidR="00803559" w:rsidRPr="002F741D">
        <w:rPr>
          <w:rFonts w:asciiTheme="majorBidi" w:hAnsiTheme="majorBidi" w:cstheme="majorBidi"/>
          <w:noProof/>
          <w:szCs w:val="22"/>
        </w:rPr>
        <w:t>(Grigori et al., 2004)</w:t>
      </w:r>
      <w:r w:rsidRPr="002F741D">
        <w:rPr>
          <w:rFonts w:asciiTheme="majorBidi" w:hAnsiTheme="majorBidi" w:cstheme="majorBidi"/>
          <w:szCs w:val="22"/>
        </w:rPr>
        <w:fldChar w:fldCharType="end"/>
      </w:r>
      <w:r w:rsidRPr="002F741D">
        <w:rPr>
          <w:rFonts w:asciiTheme="majorBidi" w:hAnsiTheme="majorBidi" w:cstheme="majorBidi"/>
          <w:szCs w:val="22"/>
        </w:rPr>
        <w:t>. Shorter completion durations, achieved without compromising document quality, indicate a higher level of system effectiveness.</w:t>
      </w:r>
    </w:p>
    <w:p w14:paraId="48ACF4B7" w14:textId="77777777"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Contract completion duration is calculated as the difference between the contract initiation date and the contract completion date, expressed in working days. Mathematically, contract completion duration is formulated as:</w:t>
      </w:r>
    </w:p>
    <w:p w14:paraId="0AF8C3BB" w14:textId="77777777" w:rsidR="002077C7" w:rsidRPr="002F741D" w:rsidRDefault="002077C7" w:rsidP="007E5DAD">
      <w:pPr>
        <w:spacing w:line="480" w:lineRule="auto"/>
        <w:jc w:val="both"/>
        <w:rPr>
          <w:rFonts w:asciiTheme="majorBidi" w:hAnsiTheme="majorBidi" w:cstheme="majorBidi"/>
          <w:szCs w:val="22"/>
        </w:rPr>
      </w:pPr>
    </w:p>
    <w:p w14:paraId="2E34E873" w14:textId="77777777" w:rsidR="002C688A" w:rsidRPr="002F741D" w:rsidRDefault="002C688A" w:rsidP="007E5DAD">
      <w:pPr>
        <w:spacing w:line="480" w:lineRule="auto"/>
        <w:jc w:val="center"/>
        <w:rPr>
          <w:rFonts w:asciiTheme="majorBidi" w:hAnsiTheme="majorBidi" w:cstheme="majorBidi"/>
          <w:b/>
          <w:bCs/>
          <w:szCs w:val="22"/>
        </w:rPr>
      </w:pPr>
      <w:r w:rsidRPr="002F741D">
        <w:rPr>
          <w:rFonts w:asciiTheme="majorBidi" w:hAnsiTheme="majorBidi" w:cstheme="majorBidi"/>
          <w:b/>
          <w:bCs/>
          <w:szCs w:val="22"/>
        </w:rPr>
        <w:lastRenderedPageBreak/>
        <w:t>Contract Completion Duration = Completion Date − Process Start Date</w:t>
      </w:r>
    </w:p>
    <w:p w14:paraId="444A38FA" w14:textId="77777777" w:rsidR="002077C7" w:rsidRPr="002F741D" w:rsidRDefault="002077C7" w:rsidP="007E5DAD">
      <w:pPr>
        <w:spacing w:line="480" w:lineRule="auto"/>
        <w:jc w:val="center"/>
        <w:rPr>
          <w:rFonts w:asciiTheme="majorBidi" w:hAnsiTheme="majorBidi" w:cstheme="majorBidi"/>
          <w:szCs w:val="22"/>
        </w:rPr>
      </w:pPr>
    </w:p>
    <w:p w14:paraId="3EC640B2" w14:textId="7012E84C" w:rsidR="002C688A" w:rsidRPr="002F741D" w:rsidRDefault="002C688A" w:rsidP="007E5DAD">
      <w:pPr>
        <w:spacing w:line="480" w:lineRule="auto"/>
        <w:jc w:val="both"/>
        <w:rPr>
          <w:rFonts w:asciiTheme="majorBidi" w:hAnsiTheme="majorBidi" w:cstheme="majorBidi"/>
          <w:szCs w:val="22"/>
        </w:rPr>
      </w:pPr>
      <w:r w:rsidRPr="002F741D">
        <w:rPr>
          <w:rFonts w:asciiTheme="majorBidi" w:hAnsiTheme="majorBidi" w:cstheme="majorBidi"/>
          <w:szCs w:val="22"/>
        </w:rPr>
        <w:t xml:space="preserve">In addition to descriptive indicators, this study employs the </w:t>
      </w:r>
      <w:r w:rsidRPr="002F741D">
        <w:rPr>
          <w:rFonts w:asciiTheme="majorBidi" w:hAnsiTheme="majorBidi" w:cstheme="majorBidi"/>
          <w:b/>
          <w:bCs/>
          <w:szCs w:val="22"/>
        </w:rPr>
        <w:t>Time Efficiency Ratio (TER)</w:t>
      </w:r>
      <w:r w:rsidRPr="002F741D">
        <w:rPr>
          <w:rFonts w:asciiTheme="majorBidi" w:hAnsiTheme="majorBidi" w:cstheme="majorBidi"/>
          <w:szCs w:val="22"/>
        </w:rPr>
        <w:t xml:space="preserve"> to compare the relative speed of conventional printed  and electronic contract systems. TER is used to assess the extent to which the new system accelerates processes compared to the previous system, where a ratio greater than one indicates higher time effectiveness</w:t>
      </w:r>
      <w:r w:rsidRPr="002F741D">
        <w:rPr>
          <w:rFonts w:asciiTheme="majorBidi" w:hAnsiTheme="majorBidi" w:cstheme="majorBidi"/>
          <w:szCs w:val="22"/>
        </w:rPr>
        <w:fldChar w:fldCharType="begin" w:fldLock="1"/>
      </w:r>
      <w:r w:rsidR="00F62733">
        <w:rPr>
          <w:rFonts w:asciiTheme="majorBidi" w:hAnsiTheme="majorBidi" w:cstheme="majorBidi"/>
          <w:szCs w:val="22"/>
        </w:rPr>
        <w:instrText>ADDIN CSL_CITATION {"citationItems":[{"id":"ITEM-1","itemData":{"DOI":"10.3390/buildings12081198","ISSN":"20755309","abstract":"The aim of the research results presented in the article was to develop a method that enables the analysis and evaluation of deviations at the stage of implementing a construction investment in various construction sectors. The new method was based on the well-known Earned Value Method (EVM). It was assumed that the monitoring of costs and the constant control of the implementation time of construction projects, with the simultaneous analysis of the level of deviations, allows for the consistent management of the investment task. Moreover, it ensures—in the required time—the adoption of appropriate improvement actions, and also enables the quantification of risk during the planning of an investment. The article attempts to prove the validity of the assumption about the necessity of the cyclical verification of the level of deviations in construction projects budget and schedule. Such an approach provides numerous perceptible benefits; such as the precise determination of the size of possible losses; an immediate reaction to risk; and the possibility of making changes at every stage of implementing an investment. On the basis of the analysis of the author’s own research carried out in three research groups of facilities (collective housing; hotels; and commercial and service facilities), an original attempt was made to determine the size of cost and time performance indexes of various investment tasks. The values of these performance indexes were determined, and are presented as quantile images in boxplots.","author":[{"dropping-particle":"","family":"Konior","given":"Jarosław","non-dropping-particle":"","parse-names":false,"suffix":""}],"container-title":"Buildings","id":"ITEM-1","issue":"8","issued":{"date-parts":[["2022"]]},"title":"Determining Cost and Time Performance Indexes for Diversified Investment Tasks","type":"article-journal","volume":"12"},"uris":["http://www.mendeley.com/documents/?uuid=359f8fc8-8640-4063-a540-5528fd040470"]},{"id":"ITEM-2","itemData":{"DOI":"10.15587/1729-4061.2023.277585","ISSN":"17294061","abstract":"This paper reports an analysis of aspects of the project planning stage. The object of research is the decision-making processes that take place at this stage. This work considers the problem of building a hierarchy of tasks, their distribution among performers, taking into account restrictions on financial costs and duration of project implementation. Verbal and mathematical models of the task of constructing a hierarchy of tasks and other tasks that take place at the stage of project planning were constructed. Such indicators of the project implementation process efficiency were introduced as the time, cost, and cost-time efficiency. In order to be able to apply these criteria, the tasks of estimating the minimum value of the duration of the project and its minimum required cost were considered. Appropriate methods have been developed to solve them. The developed iterative method for assessing the minimum duration of project implementation is based on taking into account the possibility of simultaneous execution of various tasks. The method of estimating the minimum cost of the project is to build and solve the problem of Boolean programming. The values obtained as a result of solving these problems form an «ideal point», approaching which is enabled by the developed iterative method of constructing a hierarchy of tasks based on the method of sequential concessions. This method makes it possible to devise options for management decisions to obtain valid solutions to the problem. According to them, the decision maker can introduce a concession on the value of one or both components of the «ideal point» or change the input data to the task. The models and methods built can be used when planning projects in education, science, production, etc.","author":[{"dropping-particle":"","family":"Mulesa","given":"Oksana","non-dropping-particle":"","parse-names":false,"suffix":""},{"dropping-particle":"","family":"Horvat","given":"Petro","non-dropping-particle":"","parse-names":false,"suffix":""},{"dropping-particle":"","family":"Radivilova","given":"Tamara","non-dropping-particle":"","parse-names":false,"suffix":""},{"dropping-particle":"","family":"Sabadosh","given":"Volodymyr","non-dropping-particle":"","parse-names":false,"suffix":""},{"dropping-particle":"","family":"Baranovskyi","given":"Oleksii","non-dropping-particle":"","parse-names":false,"suffix":""},{"dropping-particle":"","family":"Duran","given":"Sergii","non-dropping-particle":"","parse-names":false,"suffix":""}],"container-title":"Eastern-European Journal of Enterprise Technologies","id":"ITEM-2","issue":"4-122","issued":{"date-parts":[["2023"]]},"page":"16-22","title":"Design of Mechanisms for Ensuring the Execution of Tasks in Project Planning","type":"article-journal","volume":"2"},"uris":["http://www.mendeley.com/documents/?uuid=e42fa400-f959-4595-be50-6447e6bed097"]}],"mendeley":{"formattedCitation":"(Konior, 2022; Mulesa et al., 2023)","plainTextFormattedCitation":"(Konior, 2022; Mulesa et al., 2023)","previouslyFormattedCitation":"(Konior, 2022; Mulesa et al., 2023)"},"properties":{"noteIndex":0},"schema":"https://github.com/citation-style-language/schema/raw/master/csl-citation.json"}</w:instrText>
      </w:r>
      <w:r w:rsidRPr="002F741D">
        <w:rPr>
          <w:rFonts w:asciiTheme="majorBidi" w:hAnsiTheme="majorBidi" w:cstheme="majorBidi"/>
          <w:szCs w:val="22"/>
        </w:rPr>
        <w:fldChar w:fldCharType="separate"/>
      </w:r>
      <w:r w:rsidR="00803559" w:rsidRPr="002F741D">
        <w:rPr>
          <w:rFonts w:asciiTheme="majorBidi" w:hAnsiTheme="majorBidi" w:cstheme="majorBidi"/>
          <w:noProof/>
          <w:szCs w:val="22"/>
        </w:rPr>
        <w:t>(Konior, 2022; Mulesa et al., 2023)</w:t>
      </w:r>
      <w:r w:rsidRPr="002F741D">
        <w:rPr>
          <w:rFonts w:asciiTheme="majorBidi" w:hAnsiTheme="majorBidi" w:cstheme="majorBidi"/>
          <w:szCs w:val="22"/>
        </w:rPr>
        <w:fldChar w:fldCharType="end"/>
      </w:r>
      <w:r w:rsidRPr="002F741D">
        <w:rPr>
          <w:rFonts w:asciiTheme="majorBidi" w:hAnsiTheme="majorBidi" w:cstheme="majorBidi"/>
          <w:szCs w:val="22"/>
        </w:rPr>
        <w:t>. This ratio-based approach enables a quantitative and comparative evaluation of effectiveness.</w:t>
      </w:r>
    </w:p>
    <w:p w14:paraId="56ACB9FD" w14:textId="77777777" w:rsidR="002C688A" w:rsidRPr="002F741D" w:rsidRDefault="002C688A" w:rsidP="007E5DAD">
      <w:pPr>
        <w:spacing w:line="480" w:lineRule="auto"/>
        <w:jc w:val="both"/>
        <w:rPr>
          <w:rFonts w:asciiTheme="majorBidi" w:hAnsiTheme="majorBidi" w:cstheme="majorBidi"/>
          <w:szCs w:val="22"/>
        </w:rPr>
      </w:pPr>
      <w:r w:rsidRPr="002F741D">
        <w:rPr>
          <w:rFonts w:asciiTheme="majorBidi" w:hAnsiTheme="majorBidi" w:cstheme="majorBidi"/>
          <w:szCs w:val="22"/>
        </w:rPr>
        <w:t>Operationally, TER is calculated by comparing the average completion duration of conventional printed  contracts with that of electronic contracts, using the following formula:</w:t>
      </w:r>
    </w:p>
    <w:p w14:paraId="23504B12" w14:textId="77777777" w:rsidR="002077C7" w:rsidRPr="002F741D" w:rsidRDefault="002077C7" w:rsidP="007E5DAD">
      <w:pPr>
        <w:spacing w:line="480" w:lineRule="auto"/>
        <w:jc w:val="both"/>
        <w:rPr>
          <w:rFonts w:asciiTheme="majorBidi" w:hAnsiTheme="majorBidi" w:cstheme="majorBidi"/>
          <w:szCs w:val="22"/>
        </w:rPr>
      </w:pPr>
    </w:p>
    <w:p w14:paraId="791BA5D7" w14:textId="77777777" w:rsidR="002077C7" w:rsidRPr="002F741D" w:rsidRDefault="002C688A" w:rsidP="007E5DAD">
      <w:pPr>
        <w:spacing w:line="480" w:lineRule="auto"/>
        <w:jc w:val="center"/>
        <w:rPr>
          <w:rFonts w:asciiTheme="majorBidi" w:hAnsiTheme="majorBidi" w:cstheme="majorBidi"/>
          <w:b/>
          <w:bCs/>
          <w:szCs w:val="22"/>
        </w:rPr>
      </w:pPr>
      <w:r w:rsidRPr="002F741D">
        <w:rPr>
          <w:rFonts w:asciiTheme="majorBidi" w:hAnsiTheme="majorBidi" w:cstheme="majorBidi"/>
          <w:b/>
          <w:bCs/>
          <w:szCs w:val="22"/>
        </w:rPr>
        <w:t xml:space="preserve">TER = </w:t>
      </w:r>
      <w:r w:rsidRPr="002F741D">
        <w:rPr>
          <w:rFonts w:asciiTheme="majorBidi" w:hAnsiTheme="majorBidi" w:cstheme="majorBidi"/>
          <w:b/>
          <w:bCs/>
          <w:szCs w:val="22"/>
          <w:u w:val="single"/>
        </w:rPr>
        <w:t>Average Duration of Conventional printed  Contracts</w:t>
      </w:r>
      <w:r w:rsidRPr="002F741D">
        <w:rPr>
          <w:rFonts w:asciiTheme="majorBidi" w:hAnsiTheme="majorBidi" w:cstheme="majorBidi"/>
          <w:b/>
          <w:bCs/>
          <w:szCs w:val="22"/>
        </w:rPr>
        <w:t xml:space="preserve">  </w:t>
      </w:r>
    </w:p>
    <w:p w14:paraId="3B680A22" w14:textId="7453EE2A" w:rsidR="002C688A" w:rsidRPr="002F741D" w:rsidRDefault="002077C7" w:rsidP="007E5DAD">
      <w:pPr>
        <w:spacing w:line="480" w:lineRule="auto"/>
        <w:ind w:left="1440" w:firstLine="720"/>
        <w:rPr>
          <w:rFonts w:asciiTheme="majorBidi" w:hAnsiTheme="majorBidi" w:cstheme="majorBidi"/>
          <w:b/>
          <w:bCs/>
          <w:szCs w:val="22"/>
        </w:rPr>
      </w:pPr>
      <w:r w:rsidRPr="002F741D">
        <w:rPr>
          <w:rFonts w:asciiTheme="majorBidi" w:hAnsiTheme="majorBidi" w:cstheme="majorBidi"/>
          <w:b/>
          <w:bCs/>
          <w:szCs w:val="22"/>
        </w:rPr>
        <w:t xml:space="preserve">    </w:t>
      </w:r>
      <w:r w:rsidR="002C688A" w:rsidRPr="002F741D">
        <w:rPr>
          <w:rFonts w:asciiTheme="majorBidi" w:hAnsiTheme="majorBidi" w:cstheme="majorBidi"/>
          <w:b/>
          <w:bCs/>
          <w:szCs w:val="22"/>
        </w:rPr>
        <w:t>Average Duration of Electronic Contracts</w:t>
      </w:r>
    </w:p>
    <w:p w14:paraId="2DC99E46" w14:textId="77777777" w:rsidR="002077C7" w:rsidRPr="002F741D" w:rsidRDefault="002077C7" w:rsidP="007E5DAD">
      <w:pPr>
        <w:spacing w:line="480" w:lineRule="auto"/>
        <w:jc w:val="center"/>
        <w:rPr>
          <w:rFonts w:asciiTheme="majorBidi" w:hAnsiTheme="majorBidi" w:cstheme="majorBidi"/>
          <w:szCs w:val="22"/>
        </w:rPr>
      </w:pPr>
    </w:p>
    <w:p w14:paraId="2159916C" w14:textId="77777777" w:rsidR="002C688A" w:rsidRPr="002F741D" w:rsidRDefault="002C688A" w:rsidP="007E5DAD">
      <w:pPr>
        <w:spacing w:line="480" w:lineRule="auto"/>
        <w:jc w:val="both"/>
        <w:rPr>
          <w:rFonts w:asciiTheme="majorBidi" w:hAnsiTheme="majorBidi" w:cstheme="majorBidi"/>
          <w:szCs w:val="22"/>
        </w:rPr>
      </w:pPr>
      <w:r w:rsidRPr="002F741D">
        <w:rPr>
          <w:rFonts w:asciiTheme="majorBidi" w:hAnsiTheme="majorBidi" w:cstheme="majorBidi"/>
          <w:szCs w:val="22"/>
        </w:rPr>
        <w:t>A TER value greater than one indicates that electronic contracts are faster and more effective than conventional printed  contracts, whereas a TER value equal to or less than one indicates that electronic contracts have not yet resulted in improved time effectiveness.</w:t>
      </w:r>
    </w:p>
    <w:p w14:paraId="042C9243" w14:textId="21E52952" w:rsidR="002C688A" w:rsidRPr="002F741D" w:rsidRDefault="002C688A" w:rsidP="007E5DAD">
      <w:pPr>
        <w:spacing w:line="480" w:lineRule="auto"/>
        <w:jc w:val="both"/>
        <w:rPr>
          <w:rFonts w:asciiTheme="majorBidi" w:hAnsiTheme="majorBidi" w:cstheme="majorBidi"/>
          <w:szCs w:val="22"/>
        </w:rPr>
      </w:pPr>
      <w:r w:rsidRPr="002F741D">
        <w:rPr>
          <w:rFonts w:asciiTheme="majorBidi" w:hAnsiTheme="majorBidi" w:cstheme="majorBidi"/>
          <w:szCs w:val="22"/>
        </w:rPr>
        <w:t xml:space="preserve">The next indicator is the </w:t>
      </w:r>
      <w:r w:rsidRPr="002F741D">
        <w:rPr>
          <w:rFonts w:asciiTheme="majorBidi" w:hAnsiTheme="majorBidi" w:cstheme="majorBidi"/>
          <w:b/>
          <w:bCs/>
          <w:szCs w:val="22"/>
        </w:rPr>
        <w:t>Schedule Performance Index (SPI)</w:t>
      </w:r>
      <w:r w:rsidRPr="002F741D">
        <w:rPr>
          <w:rFonts w:asciiTheme="majorBidi" w:hAnsiTheme="majorBidi" w:cstheme="majorBidi"/>
          <w:szCs w:val="22"/>
        </w:rPr>
        <w:t xml:space="preserve">, derived from the concept of Earned Value Management and used to assess process completion performance against the planned schedule. SPI is widely applied in project and process performance evaluation, as it illustrates whether a process is completed ahead of schedule, on schedule, or behind schedule </w:t>
      </w:r>
      <w:r w:rsidRPr="002F741D">
        <w:rPr>
          <w:rFonts w:asciiTheme="majorBidi" w:hAnsiTheme="majorBidi" w:cstheme="majorBidi"/>
          <w:szCs w:val="22"/>
        </w:rPr>
        <w:fldChar w:fldCharType="begin" w:fldLock="1"/>
      </w:r>
      <w:r w:rsidR="00CB14BA" w:rsidRPr="002F741D">
        <w:rPr>
          <w:rFonts w:asciiTheme="majorBidi" w:hAnsiTheme="majorBidi" w:cstheme="majorBidi"/>
          <w:szCs w:val="22"/>
        </w:rPr>
        <w:instrText>ADDIN CSL_CITATION {"citationItems":[{"id":"ITEM-1","itemData":{"DOI":"10.3390/buildings12081198","ISSN":"20755309","abstract":"The aim of the research results presented in the article was to develop a method that enables the analysis and evaluation of deviations at the stage of implementing a construction investment in various construction sectors. The new method was based on the well-known Earned Value Method (EVM). It was assumed that the monitoring of costs and the constant control of the implementation time of construction projects, with the simultaneous analysis of the level of deviations, allows for the consistent management of the investment task. Moreover, it ensures—in the required time—the adoption of appropriate improvement actions, and also enables the quantification of risk during the planning of an investment. The article attempts to prove the validity of the assumption about the necessity of the cyclical verification of the level of deviations in construction projects budget and schedule. Such an approach provides numerous perceptible benefits; such as the precise determination of the size of possible losses; an immediate reaction to risk; and the possibility of making changes at every stage of implementing an investment. On the basis of the analysis of the author’s own research carried out in three research groups of facilities (collective housing; hotels; and commercial and service facilities), an original attempt was made to determine the size of cost and time performance indexes of various investment tasks. The values of these performance indexes were determined, and are presented as quantile images in boxplots.","author":[{"dropping-particle":"","family":"Konior","given":"Jarosław","non-dropping-particle":"","parse-names":false,"suffix":""}],"container-title":"Buildings","id":"ITEM-1","issue":"8","issued":{"date-parts":[["2022"]]},"title":"Determining Cost and Time Performance Indexes for Diversified Investment Tasks","type":"article-journal","volume":"12"},"uris":["http://www.mendeley.com/documents/?uuid=359f8fc8-8640-4063-a540-5528fd040470"]}],"mendeley":{"formattedCitation":"(Konior, 2022)","plainTextFormattedCitation":"(Konior, 2022)","previouslyFormattedCitation":"(Konior, 2022)"},"properties":{"noteIndex":0},"schema":"https://github.com/citation-style-language/schema/raw/master/csl-citation.json"}</w:instrText>
      </w:r>
      <w:r w:rsidRPr="002F741D">
        <w:rPr>
          <w:rFonts w:asciiTheme="majorBidi" w:hAnsiTheme="majorBidi" w:cstheme="majorBidi"/>
          <w:szCs w:val="22"/>
        </w:rPr>
        <w:fldChar w:fldCharType="separate"/>
      </w:r>
      <w:r w:rsidR="00803559" w:rsidRPr="002F741D">
        <w:rPr>
          <w:rFonts w:asciiTheme="majorBidi" w:hAnsiTheme="majorBidi" w:cstheme="majorBidi"/>
          <w:noProof/>
          <w:szCs w:val="22"/>
        </w:rPr>
        <w:t>(Konior, 2022)</w:t>
      </w:r>
      <w:r w:rsidRPr="002F741D">
        <w:rPr>
          <w:rFonts w:asciiTheme="majorBidi" w:hAnsiTheme="majorBidi" w:cstheme="majorBidi"/>
          <w:szCs w:val="22"/>
        </w:rPr>
        <w:fldChar w:fldCharType="end"/>
      </w:r>
      <w:r w:rsidRPr="002F741D">
        <w:rPr>
          <w:rFonts w:asciiTheme="majorBidi" w:hAnsiTheme="majorBidi" w:cstheme="majorBidi"/>
          <w:szCs w:val="22"/>
        </w:rPr>
        <w:t>.</w:t>
      </w:r>
    </w:p>
    <w:p w14:paraId="3CF3C664" w14:textId="77777777" w:rsidR="002C688A" w:rsidRPr="002F741D" w:rsidRDefault="002C688A" w:rsidP="007E5DAD">
      <w:pPr>
        <w:spacing w:line="480" w:lineRule="auto"/>
        <w:jc w:val="both"/>
        <w:rPr>
          <w:rFonts w:asciiTheme="majorBidi" w:hAnsiTheme="majorBidi" w:cstheme="majorBidi"/>
          <w:szCs w:val="22"/>
        </w:rPr>
      </w:pPr>
      <w:r w:rsidRPr="002F741D">
        <w:rPr>
          <w:rFonts w:asciiTheme="majorBidi" w:hAnsiTheme="majorBidi" w:cstheme="majorBidi"/>
          <w:szCs w:val="22"/>
        </w:rPr>
        <w:t xml:space="preserve">In this study, SPI is calculated by comparing the planned completion time with the actual completion time, with the target contract completion date set at </w:t>
      </w:r>
      <w:r w:rsidRPr="002F741D">
        <w:rPr>
          <w:rFonts w:asciiTheme="majorBidi" w:hAnsiTheme="majorBidi" w:cstheme="majorBidi"/>
          <w:b/>
          <w:bCs/>
          <w:szCs w:val="22"/>
        </w:rPr>
        <w:t>31 December 2024</w:t>
      </w:r>
      <w:r w:rsidRPr="002F741D">
        <w:rPr>
          <w:rFonts w:asciiTheme="majorBidi" w:hAnsiTheme="majorBidi" w:cstheme="majorBidi"/>
          <w:szCs w:val="22"/>
        </w:rPr>
        <w:t>. Mathematically, SPI is formulated as:</w:t>
      </w:r>
    </w:p>
    <w:p w14:paraId="6F0ED10D" w14:textId="77777777" w:rsidR="002C688A" w:rsidRPr="002F741D" w:rsidRDefault="002C688A" w:rsidP="007E5DAD">
      <w:pPr>
        <w:spacing w:line="480" w:lineRule="auto"/>
        <w:jc w:val="center"/>
        <w:rPr>
          <w:rFonts w:asciiTheme="majorBidi" w:hAnsiTheme="majorBidi" w:cstheme="majorBidi"/>
          <w:b/>
          <w:bCs/>
          <w:szCs w:val="22"/>
        </w:rPr>
      </w:pPr>
      <w:r w:rsidRPr="002F741D">
        <w:rPr>
          <w:rFonts w:asciiTheme="majorBidi" w:hAnsiTheme="majorBidi" w:cstheme="majorBidi"/>
          <w:b/>
          <w:bCs/>
          <w:szCs w:val="22"/>
        </w:rPr>
        <w:t>SPI = Planned Completion Time / Actual Completion Time</w:t>
      </w:r>
    </w:p>
    <w:p w14:paraId="2676E10D" w14:textId="77777777"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 xml:space="preserve">An SPI value greater than one indicates that contract completion occurred ahead of schedule, a value equal to one indicates adherence to the schedule, and a value less than one indicates delayed completion. </w:t>
      </w:r>
      <w:r w:rsidRPr="002F741D">
        <w:rPr>
          <w:rFonts w:asciiTheme="majorBidi" w:hAnsiTheme="majorBidi" w:cstheme="majorBidi"/>
          <w:szCs w:val="22"/>
        </w:rPr>
        <w:lastRenderedPageBreak/>
        <w:t>In this study, SPI values greater than one are interpreted as reflecting higher levels of contract management effectiveness.</w:t>
      </w:r>
    </w:p>
    <w:p w14:paraId="39A476FB" w14:textId="77777777"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By integrating indicators of timeliness, completion duration, TER, and SPI, this study adopts a comprehensive, process-based approach to measuring effectiveness. This approach allows the evaluation of electronic contract implementation not merely as a technological innovation, but as a mechanism for improving operational performance within the governance of healthcare partnerships.</w:t>
      </w:r>
    </w:p>
    <w:p w14:paraId="75754B0E" w14:textId="7DD430C0" w:rsidR="002C688A" w:rsidRPr="002F741D" w:rsidRDefault="00DF7759"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Figure 1 illustrates the conceptual framework of the study, which positions contract type as the primary determinant of partnership contract management effectiveness. Contracts are understood as administrative and legal instruments that regulate cooperative relationships between BPJS Kesehatan and healthcare facilities. The transition from conventional printed  contracts to electronic contracts is conceptualized as a form of process transformation aimed at improving operational performance in contract management</w:t>
      </w:r>
      <w:r w:rsidR="00227773" w:rsidRPr="002F741D">
        <w:rPr>
          <w:rFonts w:asciiTheme="majorBidi" w:hAnsiTheme="majorBidi" w:cstheme="majorBidi"/>
          <w:szCs w:val="22"/>
        </w:rPr>
        <w:t>.</w:t>
      </w:r>
    </w:p>
    <w:p w14:paraId="068D159B" w14:textId="77777777" w:rsidR="00DA42BA" w:rsidRPr="002F741D" w:rsidRDefault="00DA42BA" w:rsidP="007E5DAD">
      <w:pPr>
        <w:spacing w:line="480" w:lineRule="auto"/>
        <w:ind w:firstLine="397"/>
        <w:jc w:val="both"/>
        <w:rPr>
          <w:rFonts w:asciiTheme="majorBidi" w:hAnsiTheme="majorBidi" w:cstheme="majorBidi"/>
          <w:szCs w:val="22"/>
        </w:rPr>
      </w:pPr>
    </w:p>
    <w:p w14:paraId="2FCD4A0E" w14:textId="02BC8B2A" w:rsidR="002C688A" w:rsidRPr="002F741D" w:rsidRDefault="00DA42BA" w:rsidP="007E5DAD">
      <w:pPr>
        <w:spacing w:line="480" w:lineRule="auto"/>
        <w:jc w:val="both"/>
        <w:rPr>
          <w:rFonts w:asciiTheme="majorBidi" w:hAnsiTheme="majorBidi" w:cstheme="majorBidi"/>
          <w:szCs w:val="22"/>
        </w:rPr>
      </w:pPr>
      <w:r w:rsidRPr="002F741D">
        <w:rPr>
          <w:rFonts w:asciiTheme="majorBidi" w:hAnsiTheme="majorBidi" w:cstheme="majorBidi"/>
          <w:noProof/>
          <w:szCs w:val="22"/>
        </w:rPr>
        <mc:AlternateContent>
          <mc:Choice Requires="wps">
            <w:drawing>
              <wp:anchor distT="0" distB="0" distL="114300" distR="114300" simplePos="0" relativeHeight="251660288" behindDoc="0" locked="0" layoutInCell="1" allowOverlap="1" wp14:anchorId="16336D54" wp14:editId="404D57CE">
                <wp:simplePos x="0" y="0"/>
                <wp:positionH relativeFrom="column">
                  <wp:posOffset>45720</wp:posOffset>
                </wp:positionH>
                <wp:positionV relativeFrom="paragraph">
                  <wp:posOffset>2074545</wp:posOffset>
                </wp:positionV>
                <wp:extent cx="5612130" cy="635"/>
                <wp:effectExtent l="0" t="0" r="0" b="0"/>
                <wp:wrapNone/>
                <wp:docPr id="823732905" name="Text Box 1"/>
                <wp:cNvGraphicFramePr/>
                <a:graphic xmlns:a="http://schemas.openxmlformats.org/drawingml/2006/main">
                  <a:graphicData uri="http://schemas.microsoft.com/office/word/2010/wordprocessingShape">
                    <wps:wsp>
                      <wps:cNvSpPr txBox="1"/>
                      <wps:spPr>
                        <a:xfrm>
                          <a:off x="0" y="0"/>
                          <a:ext cx="5612130" cy="635"/>
                        </a:xfrm>
                        <a:prstGeom prst="rect">
                          <a:avLst/>
                        </a:prstGeom>
                        <a:solidFill>
                          <a:prstClr val="white"/>
                        </a:solidFill>
                        <a:ln>
                          <a:noFill/>
                        </a:ln>
                      </wps:spPr>
                      <wps:txbx>
                        <w:txbxContent>
                          <w:p w14:paraId="6E6F2E02" w14:textId="6AA28895" w:rsidR="00DA42BA" w:rsidRPr="00227773" w:rsidRDefault="00DA42BA" w:rsidP="00DA42BA">
                            <w:pPr>
                              <w:pStyle w:val="Caption"/>
                              <w:jc w:val="center"/>
                              <w:rPr>
                                <w:rFonts w:asciiTheme="majorBidi" w:hAnsiTheme="majorBidi" w:cstheme="majorBidi"/>
                                <w:i w:val="0"/>
                                <w:iCs w:val="0"/>
                                <w:noProof/>
                                <w:color w:val="auto"/>
                                <w:sz w:val="22"/>
                                <w:szCs w:val="22"/>
                              </w:rPr>
                            </w:pPr>
                            <w:r w:rsidRPr="00227773">
                              <w:rPr>
                                <w:rFonts w:asciiTheme="majorBidi" w:hAnsiTheme="majorBidi" w:cstheme="majorBidi"/>
                                <w:i w:val="0"/>
                                <w:iCs w:val="0"/>
                                <w:color w:val="auto"/>
                                <w:sz w:val="22"/>
                                <w:szCs w:val="22"/>
                              </w:rPr>
                              <w:t xml:space="preserve">Figure </w:t>
                            </w:r>
                            <w:r w:rsidRPr="00227773">
                              <w:rPr>
                                <w:rFonts w:asciiTheme="majorBidi" w:hAnsiTheme="majorBidi" w:cstheme="majorBidi"/>
                                <w:i w:val="0"/>
                                <w:iCs w:val="0"/>
                                <w:color w:val="auto"/>
                                <w:sz w:val="22"/>
                                <w:szCs w:val="22"/>
                              </w:rPr>
                              <w:fldChar w:fldCharType="begin"/>
                            </w:r>
                            <w:r w:rsidRPr="00227773">
                              <w:rPr>
                                <w:rFonts w:asciiTheme="majorBidi" w:hAnsiTheme="majorBidi" w:cstheme="majorBidi"/>
                                <w:i w:val="0"/>
                                <w:iCs w:val="0"/>
                                <w:color w:val="auto"/>
                                <w:sz w:val="22"/>
                                <w:szCs w:val="22"/>
                              </w:rPr>
                              <w:instrText xml:space="preserve"> SEQ Figure \* ARABIC </w:instrText>
                            </w:r>
                            <w:r w:rsidRPr="00227773">
                              <w:rPr>
                                <w:rFonts w:asciiTheme="majorBidi" w:hAnsiTheme="majorBidi" w:cstheme="majorBidi"/>
                                <w:i w:val="0"/>
                                <w:iCs w:val="0"/>
                                <w:color w:val="auto"/>
                                <w:sz w:val="22"/>
                                <w:szCs w:val="22"/>
                              </w:rPr>
                              <w:fldChar w:fldCharType="separate"/>
                            </w:r>
                            <w:r w:rsidR="00322F80">
                              <w:rPr>
                                <w:rFonts w:asciiTheme="majorBidi" w:hAnsiTheme="majorBidi" w:cstheme="majorBidi"/>
                                <w:i w:val="0"/>
                                <w:iCs w:val="0"/>
                                <w:noProof/>
                                <w:color w:val="auto"/>
                                <w:sz w:val="22"/>
                                <w:szCs w:val="22"/>
                              </w:rPr>
                              <w:t>1</w:t>
                            </w:r>
                            <w:r w:rsidRPr="00227773">
                              <w:rPr>
                                <w:rFonts w:asciiTheme="majorBidi" w:hAnsiTheme="majorBidi" w:cstheme="majorBidi"/>
                                <w:i w:val="0"/>
                                <w:iCs w:val="0"/>
                                <w:color w:val="auto"/>
                                <w:sz w:val="22"/>
                                <w:szCs w:val="22"/>
                              </w:rPr>
                              <w:fldChar w:fldCharType="end"/>
                            </w:r>
                            <w:r w:rsidRPr="00227773">
                              <w:rPr>
                                <w:rFonts w:asciiTheme="majorBidi" w:hAnsiTheme="majorBidi" w:cstheme="majorBidi"/>
                                <w:i w:val="0"/>
                                <w:iCs w:val="0"/>
                                <w:color w:val="auto"/>
                                <w:sz w:val="22"/>
                                <w:szCs w:val="22"/>
                              </w:rPr>
                              <w:t xml:space="preserve"> Conceptual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6336D54" id="_x0000_t202" coordsize="21600,21600" o:spt="202" path="m,l,21600r21600,l21600,xe">
                <v:stroke joinstyle="miter"/>
                <v:path gradientshapeok="t" o:connecttype="rect"/>
              </v:shapetype>
              <v:shape id="Text Box 1" o:spid="_x0000_s1026" type="#_x0000_t202" style="position:absolute;left:0;text-align:left;margin-left:3.6pt;margin-top:163.35pt;width:441.9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" stroked="f">
                <v:textbox style="mso-fit-shape-to-text:t" inset="0,0,0,0">
                  <w:txbxContent>
                    <w:p w14:paraId="6E6F2E02" w14:textId="6AA28895" w:rsidR="00DA42BA" w:rsidRPr="00227773" w:rsidRDefault="00DA42BA" w:rsidP="00DA42BA">
                      <w:pPr>
                        <w:pStyle w:val="Caption"/>
                        <w:jc w:val="center"/>
                        <w:rPr>
                          <w:rFonts w:asciiTheme="majorBidi" w:hAnsiTheme="majorBidi" w:cstheme="majorBidi"/>
                          <w:i w:val="0"/>
                          <w:iCs w:val="0"/>
                          <w:noProof/>
                          <w:color w:val="auto"/>
                          <w:sz w:val="22"/>
                          <w:szCs w:val="22"/>
                        </w:rPr>
                      </w:pPr>
                      <w:r w:rsidRPr="00227773">
                        <w:rPr>
                          <w:rFonts w:asciiTheme="majorBidi" w:hAnsiTheme="majorBidi" w:cstheme="majorBidi"/>
                          <w:i w:val="0"/>
                          <w:iCs w:val="0"/>
                          <w:color w:val="auto"/>
                          <w:sz w:val="22"/>
                          <w:szCs w:val="22"/>
                        </w:rPr>
                        <w:t xml:space="preserve">Figure </w:t>
                      </w:r>
                      <w:r w:rsidRPr="00227773">
                        <w:rPr>
                          <w:rFonts w:asciiTheme="majorBidi" w:hAnsiTheme="majorBidi" w:cstheme="majorBidi"/>
                          <w:i w:val="0"/>
                          <w:iCs w:val="0"/>
                          <w:color w:val="auto"/>
                          <w:sz w:val="22"/>
                          <w:szCs w:val="22"/>
                        </w:rPr>
                        <w:fldChar w:fldCharType="begin"/>
                      </w:r>
                      <w:r w:rsidRPr="00227773">
                        <w:rPr>
                          <w:rFonts w:asciiTheme="majorBidi" w:hAnsiTheme="majorBidi" w:cstheme="majorBidi"/>
                          <w:i w:val="0"/>
                          <w:iCs w:val="0"/>
                          <w:color w:val="auto"/>
                          <w:sz w:val="22"/>
                          <w:szCs w:val="22"/>
                        </w:rPr>
                        <w:instrText xml:space="preserve"> SEQ Figure \* ARABIC </w:instrText>
                      </w:r>
                      <w:r w:rsidRPr="00227773">
                        <w:rPr>
                          <w:rFonts w:asciiTheme="majorBidi" w:hAnsiTheme="majorBidi" w:cstheme="majorBidi"/>
                          <w:i w:val="0"/>
                          <w:iCs w:val="0"/>
                          <w:color w:val="auto"/>
                          <w:sz w:val="22"/>
                          <w:szCs w:val="22"/>
                        </w:rPr>
                        <w:fldChar w:fldCharType="separate"/>
                      </w:r>
                      <w:r w:rsidR="00322F80">
                        <w:rPr>
                          <w:rFonts w:asciiTheme="majorBidi" w:hAnsiTheme="majorBidi" w:cstheme="majorBidi"/>
                          <w:i w:val="0"/>
                          <w:iCs w:val="0"/>
                          <w:noProof/>
                          <w:color w:val="auto"/>
                          <w:sz w:val="22"/>
                          <w:szCs w:val="22"/>
                        </w:rPr>
                        <w:t>1</w:t>
                      </w:r>
                      <w:r w:rsidRPr="00227773">
                        <w:rPr>
                          <w:rFonts w:asciiTheme="majorBidi" w:hAnsiTheme="majorBidi" w:cstheme="majorBidi"/>
                          <w:i w:val="0"/>
                          <w:iCs w:val="0"/>
                          <w:color w:val="auto"/>
                          <w:sz w:val="22"/>
                          <w:szCs w:val="22"/>
                        </w:rPr>
                        <w:fldChar w:fldCharType="end"/>
                      </w:r>
                      <w:r w:rsidRPr="00227773">
                        <w:rPr>
                          <w:rFonts w:asciiTheme="majorBidi" w:hAnsiTheme="majorBidi" w:cstheme="majorBidi"/>
                          <w:i w:val="0"/>
                          <w:iCs w:val="0"/>
                          <w:color w:val="auto"/>
                          <w:sz w:val="22"/>
                          <w:szCs w:val="22"/>
                        </w:rPr>
                        <w:t xml:space="preserve"> Conceptual Framework</w:t>
                      </w:r>
                    </w:p>
                  </w:txbxContent>
                </v:textbox>
              </v:shape>
            </w:pict>
          </mc:Fallback>
        </mc:AlternateContent>
      </w:r>
      <w:r w:rsidR="002C688A" w:rsidRPr="002F741D">
        <w:rPr>
          <w:rFonts w:asciiTheme="majorBidi" w:hAnsiTheme="majorBidi" w:cstheme="majorBidi"/>
          <w:noProof/>
          <w:szCs w:val="22"/>
        </w:rPr>
        <mc:AlternateContent>
          <mc:Choice Requires="wpg">
            <w:drawing>
              <wp:anchor distT="0" distB="0" distL="114300" distR="114300" simplePos="0" relativeHeight="251658240" behindDoc="0" locked="0" layoutInCell="1" allowOverlap="1" wp14:anchorId="2C56E6B5" wp14:editId="4B6F80A3">
                <wp:simplePos x="0" y="0"/>
                <wp:positionH relativeFrom="column">
                  <wp:posOffset>45720</wp:posOffset>
                </wp:positionH>
                <wp:positionV relativeFrom="paragraph">
                  <wp:posOffset>67945</wp:posOffset>
                </wp:positionV>
                <wp:extent cx="5612130" cy="1949450"/>
                <wp:effectExtent l="0" t="0" r="26670" b="12700"/>
                <wp:wrapNone/>
                <wp:docPr id="332067282" name="Group 10"/>
                <wp:cNvGraphicFramePr/>
                <a:graphic xmlns:a="http://schemas.openxmlformats.org/drawingml/2006/main">
                  <a:graphicData uri="http://schemas.microsoft.com/office/word/2010/wordprocessingGroup">
                    <wpg:wgp>
                      <wpg:cNvGrpSpPr/>
                      <wpg:grpSpPr>
                        <a:xfrm>
                          <a:off x="0" y="0"/>
                          <a:ext cx="5612130" cy="1949450"/>
                          <a:chOff x="0" y="0"/>
                          <a:chExt cx="5612130" cy="1949450"/>
                        </a:xfrm>
                      </wpg:grpSpPr>
                      <wps:wsp>
                        <wps:cNvPr id="16134690" name="Rectangle 2"/>
                        <wps:cNvSpPr/>
                        <wps:spPr>
                          <a:xfrm>
                            <a:off x="3642360" y="0"/>
                            <a:ext cx="1969770" cy="1949450"/>
                          </a:xfrm>
                          <a:prstGeom prst="rect">
                            <a:avLst/>
                          </a:prstGeom>
                        </wps:spPr>
                        <wps:style>
                          <a:lnRef idx="2">
                            <a:schemeClr val="dk1"/>
                          </a:lnRef>
                          <a:fillRef idx="1">
                            <a:schemeClr val="lt1"/>
                          </a:fillRef>
                          <a:effectRef idx="0">
                            <a:schemeClr val="dk1"/>
                          </a:effectRef>
                          <a:fontRef idx="minor">
                            <a:schemeClr val="dk1"/>
                          </a:fontRef>
                        </wps:style>
                        <wps:txbx>
                          <w:txbxContent>
                            <w:p w14:paraId="55EB0704" w14:textId="77777777" w:rsidR="002C688A" w:rsidRPr="00227773" w:rsidRDefault="002C688A" w:rsidP="002C688A">
                              <w:pPr>
                                <w:jc w:val="center"/>
                                <w:rPr>
                                  <w:rFonts w:asciiTheme="majorBidi" w:hAnsiTheme="majorBidi" w:cstheme="majorBidi"/>
                                  <w:szCs w:val="22"/>
                                  <w:u w:val="single"/>
                                </w:rPr>
                              </w:pPr>
                              <w:r w:rsidRPr="00227773">
                                <w:rPr>
                                  <w:rFonts w:asciiTheme="majorBidi" w:hAnsiTheme="majorBidi" w:cstheme="majorBidi"/>
                                  <w:szCs w:val="22"/>
                                  <w:u w:val="single"/>
                                </w:rPr>
                                <w:t>Effectiveness</w:t>
                              </w:r>
                            </w:p>
                            <w:p w14:paraId="34791320" w14:textId="77777777" w:rsidR="002C688A" w:rsidRPr="00227773" w:rsidRDefault="002C688A" w:rsidP="002C688A">
                              <w:pPr>
                                <w:pStyle w:val="ListParagraph"/>
                                <w:numPr>
                                  <w:ilvl w:val="0"/>
                                  <w:numId w:val="6"/>
                                </w:numPr>
                                <w:rPr>
                                  <w:rFonts w:asciiTheme="majorBidi" w:hAnsiTheme="majorBidi" w:cstheme="majorBidi"/>
                                  <w:sz w:val="22"/>
                                  <w:szCs w:val="22"/>
                                </w:rPr>
                              </w:pPr>
                              <w:r w:rsidRPr="00227773">
                                <w:rPr>
                                  <w:rFonts w:asciiTheme="majorBidi" w:hAnsiTheme="majorBidi" w:cstheme="majorBidi"/>
                                  <w:sz w:val="22"/>
                                  <w:szCs w:val="22"/>
                                </w:rPr>
                                <w:t xml:space="preserve">Contract completion timeliness </w:t>
                              </w:r>
                            </w:p>
                            <w:p w14:paraId="23DF70F8" w14:textId="77777777" w:rsidR="002C688A" w:rsidRPr="00227773" w:rsidRDefault="002C688A" w:rsidP="002C688A">
                              <w:pPr>
                                <w:pStyle w:val="ListParagraph"/>
                                <w:numPr>
                                  <w:ilvl w:val="0"/>
                                  <w:numId w:val="6"/>
                                </w:numPr>
                                <w:rPr>
                                  <w:rFonts w:asciiTheme="majorBidi" w:hAnsiTheme="majorBidi" w:cstheme="majorBidi"/>
                                  <w:sz w:val="22"/>
                                  <w:szCs w:val="22"/>
                                </w:rPr>
                              </w:pPr>
                              <w:r w:rsidRPr="00227773">
                                <w:rPr>
                                  <w:rFonts w:asciiTheme="majorBidi" w:hAnsiTheme="majorBidi" w:cstheme="majorBidi"/>
                                  <w:sz w:val="22"/>
                                  <w:szCs w:val="22"/>
                                </w:rPr>
                                <w:t>Contract completion duration Time Efficiency Ratio (TER)</w:t>
                              </w:r>
                            </w:p>
                            <w:p w14:paraId="4DFD925D" w14:textId="77777777" w:rsidR="002C688A" w:rsidRPr="00227773" w:rsidRDefault="002C688A" w:rsidP="002C688A">
                              <w:pPr>
                                <w:pStyle w:val="ListParagraph"/>
                                <w:numPr>
                                  <w:ilvl w:val="0"/>
                                  <w:numId w:val="6"/>
                                </w:numPr>
                                <w:rPr>
                                  <w:rFonts w:asciiTheme="majorBidi" w:hAnsiTheme="majorBidi" w:cstheme="majorBidi"/>
                                  <w:sz w:val="22"/>
                                  <w:szCs w:val="22"/>
                                </w:rPr>
                              </w:pPr>
                              <w:r w:rsidRPr="00227773">
                                <w:rPr>
                                  <w:rFonts w:asciiTheme="majorBidi" w:hAnsiTheme="majorBidi" w:cstheme="majorBidi"/>
                                  <w:sz w:val="22"/>
                                  <w:szCs w:val="22"/>
                                </w:rPr>
                                <w:t>Schedule Performance Index (SPI)</w:t>
                              </w:r>
                            </w:p>
                            <w:p w14:paraId="13E4E370" w14:textId="77777777" w:rsidR="002C688A" w:rsidRPr="00A8158D" w:rsidRDefault="002C688A" w:rsidP="002C688A">
                              <w:pPr>
                                <w:jc w:val="center"/>
                                <w:rPr>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37470079" name="Group 9"/>
                        <wpg:cNvGrpSpPr/>
                        <wpg:grpSpPr>
                          <a:xfrm>
                            <a:off x="0" y="53340"/>
                            <a:ext cx="3642360" cy="1889760"/>
                            <a:chOff x="0" y="0"/>
                            <a:chExt cx="3642360" cy="1889760"/>
                          </a:xfrm>
                        </wpg:grpSpPr>
                        <wps:wsp>
                          <wps:cNvPr id="2009992716" name="Rectangle 1"/>
                          <wps:cNvSpPr/>
                          <wps:spPr>
                            <a:xfrm>
                              <a:off x="0" y="685800"/>
                              <a:ext cx="139446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4D251C6E" w14:textId="77777777" w:rsidR="002C688A" w:rsidRPr="00227773" w:rsidRDefault="002C688A" w:rsidP="002C688A">
                                <w:pPr>
                                  <w:jc w:val="center"/>
                                  <w:rPr>
                                    <w:rFonts w:asciiTheme="majorBidi" w:hAnsiTheme="majorBidi" w:cstheme="majorBidi"/>
                                    <w:szCs w:val="22"/>
                                  </w:rPr>
                                </w:pPr>
                                <w:r w:rsidRPr="00227773">
                                  <w:rPr>
                                    <w:rFonts w:asciiTheme="majorBidi" w:hAnsiTheme="majorBidi" w:cstheme="majorBidi"/>
                                    <w:szCs w:val="22"/>
                                  </w:rPr>
                                  <w:t xml:space="preserve">Contract Method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4663661" name="Rectangle 1"/>
                          <wps:cNvSpPr/>
                          <wps:spPr>
                            <a:xfrm>
                              <a:off x="1676400" y="1356360"/>
                              <a:ext cx="149352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29DBF72F" w14:textId="77777777" w:rsidR="002C688A" w:rsidRPr="00227773" w:rsidRDefault="002C688A" w:rsidP="002C688A">
                                <w:pPr>
                                  <w:jc w:val="center"/>
                                  <w:rPr>
                                    <w:rFonts w:asciiTheme="majorBidi" w:hAnsiTheme="majorBidi" w:cstheme="majorBidi"/>
                                    <w:szCs w:val="22"/>
                                  </w:rPr>
                                </w:pPr>
                                <w:r w:rsidRPr="00227773">
                                  <w:rPr>
                                    <w:rFonts w:asciiTheme="majorBidi" w:hAnsiTheme="majorBidi" w:cstheme="majorBidi"/>
                                    <w:szCs w:val="22"/>
                                  </w:rPr>
                                  <w:t xml:space="preserve">Electronic Contract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4092787" name="Rectangle 1"/>
                          <wps:cNvSpPr/>
                          <wps:spPr>
                            <a:xfrm>
                              <a:off x="1714500" y="0"/>
                              <a:ext cx="149352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6D581375" w14:textId="77777777" w:rsidR="002C688A" w:rsidRPr="00227773" w:rsidRDefault="002C688A" w:rsidP="002C688A">
                                <w:pPr>
                                  <w:jc w:val="center"/>
                                  <w:rPr>
                                    <w:rFonts w:asciiTheme="majorBidi" w:hAnsiTheme="majorBidi" w:cstheme="majorBidi"/>
                                    <w:szCs w:val="22"/>
                                  </w:rPr>
                                </w:pPr>
                                <w:r w:rsidRPr="00227773">
                                  <w:rPr>
                                    <w:rFonts w:asciiTheme="majorBidi" w:hAnsiTheme="majorBidi" w:cstheme="majorBidi"/>
                                    <w:szCs w:val="22"/>
                                  </w:rPr>
                                  <w:t>Conventional Contract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2162460" name="Connector: Elbow 6"/>
                          <wps:cNvCnPr/>
                          <wps:spPr>
                            <a:xfrm flipV="1">
                              <a:off x="594360" y="281940"/>
                              <a:ext cx="1120140" cy="403860"/>
                            </a:xfrm>
                            <a:prstGeom prst="bentConnector3">
                              <a:avLst>
                                <a:gd name="adj1" fmla="val 1592"/>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457870806" name="Connector: Elbow 7"/>
                          <wps:cNvCnPr/>
                          <wps:spPr>
                            <a:xfrm>
                              <a:off x="594360" y="1219200"/>
                              <a:ext cx="1082040" cy="480060"/>
                            </a:xfrm>
                            <a:prstGeom prst="bentConnector3">
                              <a:avLst>
                                <a:gd name="adj1" fmla="val 4225"/>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328403043" name="Straight Arrow Connector 8"/>
                          <wps:cNvCnPr/>
                          <wps:spPr>
                            <a:xfrm>
                              <a:off x="3208020" y="236220"/>
                              <a:ext cx="434340"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837822518" name="Straight Arrow Connector 8"/>
                          <wps:cNvCnPr/>
                          <wps:spPr>
                            <a:xfrm>
                              <a:off x="3169920" y="1607820"/>
                              <a:ext cx="472440" cy="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grpSp>
                    </wpg:wgp>
                  </a:graphicData>
                </a:graphic>
              </wp:anchor>
            </w:drawing>
          </mc:Choice>
          <mc:Fallback>
            <w:pict>
              <v:group w14:anchorId="2C56E6B5" id="Group 10" o:spid="_x0000_s1027" style="position:absolute;left:0;text-align:left;margin-left:3.6pt;margin-top:5.35pt;width:441.9pt;height:153.5pt;z-index:251658240" coordsize="56121,1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">
                <v:rect id="Rectangle 2" o:spid="_x0000_s1028" style="position:absolute;left:36423;width:19698;height:19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" fillcolor="white [3201]" strokecolor="black [3200]" strokeweight="2pt">
                  <v:textbox>
                    <w:txbxContent>
                      <w:p w14:paraId="55EB0704" w14:textId="77777777" w:rsidR="002C688A" w:rsidRPr="00227773" w:rsidRDefault="002C688A" w:rsidP="002C688A">
                        <w:pPr>
                          <w:jc w:val="center"/>
                          <w:rPr>
                            <w:rFonts w:asciiTheme="majorBidi" w:hAnsiTheme="majorBidi" w:cstheme="majorBidi"/>
                            <w:szCs w:val="22"/>
                            <w:u w:val="single"/>
                          </w:rPr>
                        </w:pPr>
                        <w:r w:rsidRPr="00227773">
                          <w:rPr>
                            <w:rFonts w:asciiTheme="majorBidi" w:hAnsiTheme="majorBidi" w:cstheme="majorBidi"/>
                            <w:szCs w:val="22"/>
                            <w:u w:val="single"/>
                          </w:rPr>
                          <w:t>Effectiveness</w:t>
                        </w:r>
                      </w:p>
                      <w:p w14:paraId="34791320" w14:textId="77777777" w:rsidR="002C688A" w:rsidRPr="00227773" w:rsidRDefault="002C688A" w:rsidP="002C688A">
                        <w:pPr>
                          <w:pStyle w:val="ListParagraph"/>
                          <w:numPr>
                            <w:ilvl w:val="0"/>
                            <w:numId w:val="6"/>
                          </w:numPr>
                          <w:rPr>
                            <w:rFonts w:asciiTheme="majorBidi" w:hAnsiTheme="majorBidi" w:cstheme="majorBidi"/>
                            <w:sz w:val="22"/>
                            <w:szCs w:val="22"/>
                          </w:rPr>
                        </w:pPr>
                        <w:r w:rsidRPr="00227773">
                          <w:rPr>
                            <w:rFonts w:asciiTheme="majorBidi" w:hAnsiTheme="majorBidi" w:cstheme="majorBidi"/>
                            <w:sz w:val="22"/>
                            <w:szCs w:val="22"/>
                          </w:rPr>
                          <w:t xml:space="preserve">Contract completion timeliness </w:t>
                        </w:r>
                      </w:p>
                      <w:p w14:paraId="23DF70F8" w14:textId="77777777" w:rsidR="002C688A" w:rsidRPr="00227773" w:rsidRDefault="002C688A" w:rsidP="002C688A">
                        <w:pPr>
                          <w:pStyle w:val="ListParagraph"/>
                          <w:numPr>
                            <w:ilvl w:val="0"/>
                            <w:numId w:val="6"/>
                          </w:numPr>
                          <w:rPr>
                            <w:rFonts w:asciiTheme="majorBidi" w:hAnsiTheme="majorBidi" w:cstheme="majorBidi"/>
                            <w:sz w:val="22"/>
                            <w:szCs w:val="22"/>
                          </w:rPr>
                        </w:pPr>
                        <w:r w:rsidRPr="00227773">
                          <w:rPr>
                            <w:rFonts w:asciiTheme="majorBidi" w:hAnsiTheme="majorBidi" w:cstheme="majorBidi"/>
                            <w:sz w:val="22"/>
                            <w:szCs w:val="22"/>
                          </w:rPr>
                          <w:t>Contract completion duration Time Efficiency Ratio (TER)</w:t>
                        </w:r>
                      </w:p>
                      <w:p w14:paraId="4DFD925D" w14:textId="77777777" w:rsidR="002C688A" w:rsidRPr="00227773" w:rsidRDefault="002C688A" w:rsidP="002C688A">
                        <w:pPr>
                          <w:pStyle w:val="ListParagraph"/>
                          <w:numPr>
                            <w:ilvl w:val="0"/>
                            <w:numId w:val="6"/>
                          </w:numPr>
                          <w:rPr>
                            <w:rFonts w:asciiTheme="majorBidi" w:hAnsiTheme="majorBidi" w:cstheme="majorBidi"/>
                            <w:sz w:val="22"/>
                            <w:szCs w:val="22"/>
                          </w:rPr>
                        </w:pPr>
                        <w:r w:rsidRPr="00227773">
                          <w:rPr>
                            <w:rFonts w:asciiTheme="majorBidi" w:hAnsiTheme="majorBidi" w:cstheme="majorBidi"/>
                            <w:sz w:val="22"/>
                            <w:szCs w:val="22"/>
                          </w:rPr>
                          <w:t>Schedule Performance Index (SPI)</w:t>
                        </w:r>
                      </w:p>
                      <w:p w14:paraId="13E4E370" w14:textId="77777777" w:rsidR="002C688A" w:rsidRPr="00A8158D" w:rsidRDefault="002C688A" w:rsidP="002C688A">
                        <w:pPr>
                          <w:jc w:val="center"/>
                          <w:rPr>
                            <w:szCs w:val="22"/>
                          </w:rPr>
                        </w:pPr>
                      </w:p>
                    </w:txbxContent>
                  </v:textbox>
                </v:rect>
                <v:group id="Group 9" o:spid="_x0000_s1029" style="position:absolute;top:533;width:36423;height:18898" coordsize="36423,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">
                  <v:rect id="Rectangle 1" o:spid="_x0000_s1030" style="position:absolute;top:6858;width:13944;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" fillcolor="white [3201]" strokecolor="black [3200]" strokeweight="2pt">
                    <v:textbox>
                      <w:txbxContent>
                        <w:p w14:paraId="4D251C6E" w14:textId="77777777" w:rsidR="002C688A" w:rsidRPr="00227773" w:rsidRDefault="002C688A" w:rsidP="002C688A">
                          <w:pPr>
                            <w:jc w:val="center"/>
                            <w:rPr>
                              <w:rFonts w:asciiTheme="majorBidi" w:hAnsiTheme="majorBidi" w:cstheme="majorBidi"/>
                              <w:szCs w:val="22"/>
                            </w:rPr>
                          </w:pPr>
                          <w:r w:rsidRPr="00227773">
                            <w:rPr>
                              <w:rFonts w:asciiTheme="majorBidi" w:hAnsiTheme="majorBidi" w:cstheme="majorBidi"/>
                              <w:szCs w:val="22"/>
                            </w:rPr>
                            <w:t xml:space="preserve">Contract Method </w:t>
                          </w:r>
                        </w:p>
                      </w:txbxContent>
                    </v:textbox>
                  </v:rect>
                  <v:rect id="Rectangle 1" o:spid="_x0000_s1031" style="position:absolute;left:16764;top:13563;width:1493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" fillcolor="white [3201]" strokecolor="black [3200]" strokeweight="2pt">
                    <v:textbox>
                      <w:txbxContent>
                        <w:p w14:paraId="29DBF72F" w14:textId="77777777" w:rsidR="002C688A" w:rsidRPr="00227773" w:rsidRDefault="002C688A" w:rsidP="002C688A">
                          <w:pPr>
                            <w:jc w:val="center"/>
                            <w:rPr>
                              <w:rFonts w:asciiTheme="majorBidi" w:hAnsiTheme="majorBidi" w:cstheme="majorBidi"/>
                              <w:szCs w:val="22"/>
                            </w:rPr>
                          </w:pPr>
                          <w:r w:rsidRPr="00227773">
                            <w:rPr>
                              <w:rFonts w:asciiTheme="majorBidi" w:hAnsiTheme="majorBidi" w:cstheme="majorBidi"/>
                              <w:szCs w:val="22"/>
                            </w:rPr>
                            <w:t xml:space="preserve">Electronic Contract </w:t>
                          </w:r>
                        </w:p>
                      </w:txbxContent>
                    </v:textbox>
                  </v:rect>
                  <v:rect id="Rectangle 1" o:spid="_x0000_s1032" style="position:absolute;left:17145;width:1493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" fillcolor="white [3201]" strokecolor="black [3200]" strokeweight="2pt">
                    <v:textbox>
                      <w:txbxContent>
                        <w:p w14:paraId="6D581375" w14:textId="77777777" w:rsidR="002C688A" w:rsidRPr="00227773" w:rsidRDefault="002C688A" w:rsidP="002C688A">
                          <w:pPr>
                            <w:jc w:val="center"/>
                            <w:rPr>
                              <w:rFonts w:asciiTheme="majorBidi" w:hAnsiTheme="majorBidi" w:cstheme="majorBidi"/>
                              <w:szCs w:val="22"/>
                            </w:rPr>
                          </w:pPr>
                          <w:r w:rsidRPr="00227773">
                            <w:rPr>
                              <w:rFonts w:asciiTheme="majorBidi" w:hAnsiTheme="majorBidi" w:cstheme="majorBidi"/>
                              <w:szCs w:val="22"/>
                            </w:rPr>
                            <w:t>Conventional Contract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33" type="#_x0000_t34" style="position:absolute;left:5943;top:2819;width:11202;height:403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" adj="344" strokecolor="black [3213]" strokeweight="2pt">
                    <v:stroke endarrow="block"/>
                    <v:shadow on="t" color="black" opacity="24903f" origin=",.5" offset="0,.55556mm"/>
                  </v:shape>
                  <v:shape id="Connector: Elbow 7" o:spid="_x0000_s1034" type="#_x0000_t34" style="position:absolute;left:5943;top:12192;width:10821;height:48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" adj="913" strokecolor="black [3213]" strokeweight="2pt">
                    <v:stroke endarrow="block"/>
                    <v:shadow on="t" color="black" opacity="24903f" origin=",.5" offset="0,.55556mm"/>
                  </v:shape>
                  <v:shapetype id="_x0000_t32" coordsize="21600,21600" o:spt="32" o:oned="t" path="m,l21600,21600e" filled="f">
                    <v:path arrowok="t" fillok="f" o:connecttype="none"/>
                    <o:lock v:ext="edit" shapetype="t"/>
                  </v:shapetype>
                  <v:shape id="Straight Arrow Connector 8" o:spid="_x0000_s1035" type="#_x0000_t32" style="position:absolute;left:32080;top:2362;width:43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" strokecolor="black [3213]" strokeweight="2pt">
                    <v:stroke endarrow="block"/>
                    <v:shadow on="t" color="black" opacity="24903f" origin=",.5" offset="0,.55556mm"/>
                  </v:shape>
                  <v:shape id="Straight Arrow Connector 8" o:spid="_x0000_s1036" type="#_x0000_t32" style="position:absolute;left:31699;top:16078;width:47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" strokecolor="black [3213]" strokeweight="2pt">
                    <v:stroke endarrow="block"/>
                    <v:shadow on="t" color="black" opacity="24903f" origin=",.5" offset="0,.55556mm"/>
                  </v:shape>
                </v:group>
              </v:group>
            </w:pict>
          </mc:Fallback>
        </mc:AlternateContent>
      </w:r>
    </w:p>
    <w:p w14:paraId="719EB933" w14:textId="77777777" w:rsidR="002C688A" w:rsidRPr="002F741D" w:rsidRDefault="002C688A" w:rsidP="007E5DAD">
      <w:pPr>
        <w:spacing w:line="480" w:lineRule="auto"/>
        <w:jc w:val="both"/>
        <w:rPr>
          <w:rFonts w:asciiTheme="majorBidi" w:hAnsiTheme="majorBidi" w:cstheme="majorBidi"/>
          <w:szCs w:val="22"/>
        </w:rPr>
      </w:pPr>
    </w:p>
    <w:p w14:paraId="7133C99E" w14:textId="77777777" w:rsidR="002C688A" w:rsidRPr="002F741D" w:rsidRDefault="002C688A" w:rsidP="007E5DAD">
      <w:pPr>
        <w:spacing w:line="480" w:lineRule="auto"/>
        <w:jc w:val="both"/>
        <w:rPr>
          <w:rFonts w:asciiTheme="majorBidi" w:hAnsiTheme="majorBidi" w:cstheme="majorBidi"/>
          <w:szCs w:val="22"/>
        </w:rPr>
      </w:pPr>
    </w:p>
    <w:p w14:paraId="6ACAA869" w14:textId="77777777" w:rsidR="002C688A" w:rsidRPr="002F741D" w:rsidRDefault="002C688A" w:rsidP="007E5DAD">
      <w:pPr>
        <w:spacing w:line="480" w:lineRule="auto"/>
        <w:jc w:val="both"/>
        <w:rPr>
          <w:rFonts w:asciiTheme="majorBidi" w:hAnsiTheme="majorBidi" w:cstheme="majorBidi"/>
          <w:szCs w:val="22"/>
        </w:rPr>
      </w:pPr>
    </w:p>
    <w:p w14:paraId="7BABA147" w14:textId="77777777" w:rsidR="002C688A" w:rsidRPr="002F741D" w:rsidRDefault="002C688A" w:rsidP="007E5DAD">
      <w:pPr>
        <w:spacing w:line="480" w:lineRule="auto"/>
        <w:jc w:val="both"/>
        <w:rPr>
          <w:rFonts w:asciiTheme="majorBidi" w:hAnsiTheme="majorBidi" w:cstheme="majorBidi"/>
          <w:szCs w:val="22"/>
        </w:rPr>
      </w:pPr>
    </w:p>
    <w:p w14:paraId="0257189B" w14:textId="77777777" w:rsidR="002C688A" w:rsidRPr="002F741D" w:rsidRDefault="002C688A" w:rsidP="007E5DAD">
      <w:pPr>
        <w:spacing w:line="480" w:lineRule="auto"/>
        <w:jc w:val="both"/>
        <w:rPr>
          <w:rFonts w:asciiTheme="majorBidi" w:hAnsiTheme="majorBidi" w:cstheme="majorBidi"/>
          <w:szCs w:val="22"/>
        </w:rPr>
      </w:pPr>
    </w:p>
    <w:p w14:paraId="6257B6DE" w14:textId="77777777" w:rsidR="002C688A" w:rsidRPr="002F741D" w:rsidRDefault="002C688A" w:rsidP="007E5DAD">
      <w:pPr>
        <w:spacing w:line="480" w:lineRule="auto"/>
        <w:jc w:val="both"/>
        <w:rPr>
          <w:rFonts w:asciiTheme="majorBidi" w:hAnsiTheme="majorBidi" w:cstheme="majorBidi"/>
          <w:b/>
          <w:bCs/>
          <w:szCs w:val="22"/>
        </w:rPr>
      </w:pPr>
    </w:p>
    <w:p w14:paraId="1A562B22" w14:textId="77777777" w:rsidR="002077C7" w:rsidRDefault="002077C7" w:rsidP="007E5DAD">
      <w:pPr>
        <w:spacing w:line="480" w:lineRule="auto"/>
        <w:jc w:val="both"/>
        <w:rPr>
          <w:rFonts w:asciiTheme="majorBidi" w:hAnsiTheme="majorBidi" w:cstheme="majorBidi"/>
          <w:b/>
          <w:bCs/>
          <w:szCs w:val="22"/>
        </w:rPr>
      </w:pPr>
    </w:p>
    <w:p w14:paraId="58132575" w14:textId="77777777" w:rsidR="007B5462" w:rsidRPr="002F741D" w:rsidRDefault="007B5462"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Within this framework, electronic contracts function as a mechanism that transforms contractual processes from conventional systems reliant on physical documents into standardized and integrated digital systems. This transformation is assumed to directly influence contractual process performance, particularly in terms of time-based effectiveness, as emphasized in organizational effectiveness and business process management theories.</w:t>
      </w:r>
    </w:p>
    <w:p w14:paraId="7190E89F" w14:textId="77777777" w:rsidR="007B5462" w:rsidRPr="002F741D" w:rsidRDefault="007B5462"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lastRenderedPageBreak/>
        <w:t>Contract effectiveness in this study is conceptualized as the ability of the contract management system to achieve operational objectives in a timely and controlled manner. Accordingly, effectiveness is measured using time-based performance indicators that reflect process outcomes, namely contract completion timeliness, completion duration, Time Efficiency Ratio (TER), and Schedule Performance Index (SPI). These indicators were selected because they theoretically represent the achievement of administrative process objectives and conformity with planned schedules.</w:t>
      </w:r>
    </w:p>
    <w:p w14:paraId="018EA316" w14:textId="77777777" w:rsidR="007B5462" w:rsidRDefault="007B5462" w:rsidP="007E5DAD">
      <w:pPr>
        <w:spacing w:line="480" w:lineRule="auto"/>
        <w:ind w:firstLine="397"/>
        <w:jc w:val="both"/>
        <w:rPr>
          <w:rFonts w:asciiTheme="majorBidi" w:hAnsiTheme="majorBidi" w:cstheme="majorBidi"/>
          <w:szCs w:val="22"/>
        </w:rPr>
      </w:pPr>
    </w:p>
    <w:p w14:paraId="5BDFF25F" w14:textId="6919102E" w:rsidR="002C688A" w:rsidRPr="002F741D" w:rsidRDefault="002C688A" w:rsidP="007E5DAD">
      <w:pPr>
        <w:spacing w:line="480" w:lineRule="auto"/>
        <w:jc w:val="both"/>
        <w:rPr>
          <w:rFonts w:asciiTheme="majorBidi" w:hAnsiTheme="majorBidi" w:cstheme="majorBidi"/>
          <w:szCs w:val="22"/>
        </w:rPr>
      </w:pPr>
      <w:r w:rsidRPr="002F741D">
        <w:rPr>
          <w:rFonts w:asciiTheme="majorBidi" w:hAnsiTheme="majorBidi" w:cstheme="majorBidi"/>
          <w:szCs w:val="22"/>
        </w:rPr>
        <w:t>Thus, the conceptual framework emphasizes that electronic contract implementation is a key factor influencing contract management effectiveness. The more optimally electronic contracts are implemented, the higher the level of effectiveness reflected in improved timeliness, reduced process duration, and enhanced schedule performance in contract completion.</w:t>
      </w:r>
    </w:p>
    <w:p w14:paraId="3ED43993" w14:textId="77777777" w:rsidR="00DF7759" w:rsidRPr="002F741D" w:rsidRDefault="00DF7759" w:rsidP="007E5DAD">
      <w:pPr>
        <w:spacing w:line="480" w:lineRule="auto"/>
        <w:jc w:val="both"/>
        <w:rPr>
          <w:rFonts w:asciiTheme="majorBidi" w:hAnsiTheme="majorBidi" w:cstheme="majorBidi"/>
          <w:szCs w:val="22"/>
          <w:lang w:val="en-ID"/>
        </w:rPr>
      </w:pPr>
      <w:r w:rsidRPr="002F741D">
        <w:rPr>
          <w:rFonts w:asciiTheme="majorBidi" w:hAnsiTheme="majorBidi" w:cstheme="majorBidi"/>
          <w:szCs w:val="22"/>
          <w:lang w:val="en-ID"/>
        </w:rPr>
        <w:t>Specifically, this research aims to:</w:t>
      </w:r>
    </w:p>
    <w:p w14:paraId="6EB18B26" w14:textId="77777777" w:rsidR="00DF7759" w:rsidRPr="002F741D" w:rsidRDefault="00DF7759" w:rsidP="007E5DAD">
      <w:pPr>
        <w:numPr>
          <w:ilvl w:val="0"/>
          <w:numId w:val="12"/>
        </w:numPr>
        <w:spacing w:line="480" w:lineRule="auto"/>
        <w:jc w:val="both"/>
        <w:rPr>
          <w:rFonts w:asciiTheme="majorBidi" w:hAnsiTheme="majorBidi" w:cstheme="majorBidi"/>
          <w:szCs w:val="22"/>
          <w:lang w:val="en-ID"/>
        </w:rPr>
      </w:pPr>
      <w:r w:rsidRPr="002F741D">
        <w:rPr>
          <w:rFonts w:asciiTheme="majorBidi" w:hAnsiTheme="majorBidi" w:cstheme="majorBidi"/>
          <w:szCs w:val="22"/>
          <w:lang w:val="en-ID"/>
        </w:rPr>
        <w:t>Assess whether electronic contracts improve contract completion timeliness compared to conventional printed contracts.</w:t>
      </w:r>
    </w:p>
    <w:p w14:paraId="2C342D56" w14:textId="77777777" w:rsidR="00DF7759" w:rsidRPr="002F741D" w:rsidRDefault="00DF7759" w:rsidP="007E5DAD">
      <w:pPr>
        <w:numPr>
          <w:ilvl w:val="0"/>
          <w:numId w:val="12"/>
        </w:numPr>
        <w:spacing w:line="480" w:lineRule="auto"/>
        <w:jc w:val="both"/>
        <w:rPr>
          <w:rFonts w:asciiTheme="majorBidi" w:hAnsiTheme="majorBidi" w:cstheme="majorBidi"/>
          <w:szCs w:val="22"/>
          <w:lang w:val="en-ID"/>
        </w:rPr>
      </w:pPr>
      <w:r w:rsidRPr="002F741D">
        <w:rPr>
          <w:rFonts w:asciiTheme="majorBidi" w:hAnsiTheme="majorBidi" w:cstheme="majorBidi"/>
          <w:szCs w:val="22"/>
          <w:lang w:val="en-ID"/>
        </w:rPr>
        <w:t>Analyze differences in contract completion duration between electronic and conventional contract systems.</w:t>
      </w:r>
    </w:p>
    <w:p w14:paraId="68BC11E2" w14:textId="77777777" w:rsidR="00DF7759" w:rsidRPr="002F741D" w:rsidRDefault="00DF7759" w:rsidP="007E5DAD">
      <w:pPr>
        <w:numPr>
          <w:ilvl w:val="0"/>
          <w:numId w:val="12"/>
        </w:numPr>
        <w:spacing w:line="480" w:lineRule="auto"/>
        <w:jc w:val="both"/>
        <w:rPr>
          <w:rFonts w:asciiTheme="majorBidi" w:hAnsiTheme="majorBidi" w:cstheme="majorBidi"/>
          <w:szCs w:val="22"/>
          <w:lang w:val="en-ID"/>
        </w:rPr>
      </w:pPr>
      <w:r w:rsidRPr="002F741D">
        <w:rPr>
          <w:rFonts w:asciiTheme="majorBidi" w:hAnsiTheme="majorBidi" w:cstheme="majorBidi"/>
          <w:szCs w:val="22"/>
          <w:lang w:val="en-ID"/>
        </w:rPr>
        <w:t>Measure time-based effectiveness using the Time Efficiency Ratio (TER) and Schedule Performance Index (SPI).</w:t>
      </w:r>
    </w:p>
    <w:p w14:paraId="1206FC8C" w14:textId="77777777" w:rsidR="00DF7759" w:rsidRPr="002F741D" w:rsidRDefault="00DF7759" w:rsidP="007E5DAD">
      <w:pPr>
        <w:numPr>
          <w:ilvl w:val="0"/>
          <w:numId w:val="12"/>
        </w:numPr>
        <w:spacing w:line="480" w:lineRule="auto"/>
        <w:jc w:val="both"/>
        <w:rPr>
          <w:rFonts w:asciiTheme="majorBidi" w:hAnsiTheme="majorBidi" w:cstheme="majorBidi"/>
          <w:szCs w:val="22"/>
          <w:lang w:val="en-ID"/>
        </w:rPr>
      </w:pPr>
      <w:r w:rsidRPr="002F741D">
        <w:rPr>
          <w:rFonts w:asciiTheme="majorBidi" w:hAnsiTheme="majorBidi" w:cstheme="majorBidi"/>
          <w:szCs w:val="22"/>
          <w:lang w:val="en-ID"/>
        </w:rPr>
        <w:t>Examine the statistical relationship between contract type and partnership management effectiveness.</w:t>
      </w:r>
    </w:p>
    <w:p w14:paraId="31133A7C" w14:textId="77777777" w:rsidR="00DF7759" w:rsidRPr="002F741D" w:rsidRDefault="00DF7759" w:rsidP="007E5DAD">
      <w:pPr>
        <w:numPr>
          <w:ilvl w:val="0"/>
          <w:numId w:val="12"/>
        </w:numPr>
        <w:spacing w:line="480" w:lineRule="auto"/>
        <w:jc w:val="both"/>
        <w:rPr>
          <w:rFonts w:asciiTheme="majorBidi" w:hAnsiTheme="majorBidi" w:cstheme="majorBidi"/>
          <w:szCs w:val="22"/>
          <w:lang w:val="en-ID"/>
        </w:rPr>
      </w:pPr>
      <w:r w:rsidRPr="002F741D">
        <w:rPr>
          <w:rFonts w:asciiTheme="majorBidi" w:hAnsiTheme="majorBidi" w:cstheme="majorBidi"/>
          <w:szCs w:val="22"/>
          <w:lang w:val="en-ID"/>
        </w:rPr>
        <w:t>Identify operational strengths and limitations of electronic contract implementation within the Health Facilities Information System (HFIS).</w:t>
      </w:r>
    </w:p>
    <w:p w14:paraId="07543BF6" w14:textId="65D1033E" w:rsidR="003F4B10" w:rsidRPr="00AB6888" w:rsidRDefault="00DF7759" w:rsidP="007E5DAD">
      <w:pPr>
        <w:spacing w:before="240" w:line="480" w:lineRule="auto"/>
        <w:jc w:val="both"/>
        <w:rPr>
          <w:rFonts w:asciiTheme="majorBidi" w:hAnsiTheme="majorBidi" w:cstheme="majorBidi"/>
          <w:szCs w:val="22"/>
          <w:lang w:val="en-ID"/>
        </w:rPr>
      </w:pPr>
      <w:r w:rsidRPr="002F741D">
        <w:rPr>
          <w:rFonts w:asciiTheme="majorBidi" w:hAnsiTheme="majorBidi" w:cstheme="majorBidi"/>
          <w:szCs w:val="22"/>
          <w:lang w:val="en-ID"/>
        </w:rPr>
        <w:t>Through these objectives, the study seeks to provide empirical evidence on whether electronic contracts function as an effective governance instrument in public health insurance partnership management.</w:t>
      </w:r>
    </w:p>
    <w:p w14:paraId="05DB3BBB" w14:textId="77777777" w:rsidR="003F4B10" w:rsidRPr="002F741D" w:rsidRDefault="003F4B10"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 xml:space="preserve">The purpose of this research is to examine whether the implementation of electronic contracts (e-contracts) enhances organizational effectiveness and strengthens partnership governance within </w:t>
      </w:r>
      <w:r w:rsidRPr="002F741D">
        <w:rPr>
          <w:rFonts w:asciiTheme="majorBidi" w:hAnsiTheme="majorBidi" w:cstheme="majorBidi"/>
          <w:szCs w:val="22"/>
        </w:rPr>
        <w:lastRenderedPageBreak/>
        <w:t>Indonesia’s National Health Insurance Program (JKN), specifically at the BPJS Kesehatan West Jakarta Branch.</w:t>
      </w:r>
    </w:p>
    <w:p w14:paraId="468F2A82" w14:textId="77777777" w:rsidR="003F4B10" w:rsidRPr="002F741D" w:rsidRDefault="003F4B10"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This study seeks to evaluate the extent to which digital contract transformation improves time-based performance indicators, including contract completion timeliness, processing duration, and schedule compliance. By comparing electronic contracts with conventional printed contracts, the research aims to determine whether digitalization produces measurable improvements in administrative efficiency and operational performance.</w:t>
      </w:r>
    </w:p>
    <w:p w14:paraId="7D5E9231" w14:textId="77777777" w:rsidR="003F4B10" w:rsidRPr="002F741D" w:rsidRDefault="003F4B10"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In addition, this study intends to analyze how the integration of e-contract workflows within the Health Facilities Information System (HFIS) influences coordination patterns, monitoring mechanisms, and accountability in managing partnerships with healthcare facilities. Through quantitative performance measurement and statistical testing, the research aims to provide empirical evidence on the organizational impact of digital governance innovation in public health insurance administration.</w:t>
      </w:r>
    </w:p>
    <w:p w14:paraId="301B6141" w14:textId="77777777" w:rsidR="003F4B10" w:rsidRPr="002F741D" w:rsidRDefault="003F4B10"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Ultimately, the study contributes to a better understanding of how digital transformation can strengthen institutional effectiveness and support sustainable governance in large-scale public service organizations.</w:t>
      </w:r>
    </w:p>
    <w:p w14:paraId="39620CA4" w14:textId="77777777" w:rsidR="002C688A" w:rsidRPr="002F741D" w:rsidRDefault="002C688A" w:rsidP="007E5DAD">
      <w:pPr>
        <w:spacing w:line="480" w:lineRule="auto"/>
        <w:jc w:val="both"/>
        <w:rPr>
          <w:rFonts w:asciiTheme="majorBidi" w:hAnsiTheme="majorBidi" w:cstheme="majorBidi"/>
          <w:szCs w:val="22"/>
        </w:rPr>
      </w:pPr>
    </w:p>
    <w:p w14:paraId="018BB929" w14:textId="473E75CD" w:rsidR="002C688A" w:rsidRPr="007B5462" w:rsidRDefault="00A40C5F" w:rsidP="007E5DAD">
      <w:pPr>
        <w:spacing w:line="480" w:lineRule="auto"/>
        <w:jc w:val="both"/>
        <w:rPr>
          <w:rFonts w:asciiTheme="majorBidi" w:hAnsiTheme="majorBidi" w:cstheme="majorBidi"/>
          <w:b/>
          <w:bCs/>
          <w:sz w:val="24"/>
        </w:rPr>
      </w:pPr>
      <w:r w:rsidRPr="007B5462">
        <w:rPr>
          <w:rFonts w:asciiTheme="majorBidi" w:hAnsiTheme="majorBidi" w:cstheme="majorBidi"/>
          <w:b/>
          <w:bCs/>
          <w:sz w:val="24"/>
        </w:rPr>
        <w:t xml:space="preserve">Methodology </w:t>
      </w:r>
    </w:p>
    <w:p w14:paraId="6AD502FE" w14:textId="423A09DF" w:rsidR="00F1540B" w:rsidRPr="007B5462" w:rsidRDefault="00F1540B" w:rsidP="007E5DAD">
      <w:pPr>
        <w:spacing w:line="480" w:lineRule="auto"/>
        <w:jc w:val="both"/>
        <w:rPr>
          <w:rFonts w:asciiTheme="majorBidi" w:hAnsiTheme="majorBidi" w:cstheme="majorBidi"/>
          <w:b/>
          <w:bCs/>
          <w:i/>
          <w:iCs/>
          <w:szCs w:val="22"/>
        </w:rPr>
      </w:pPr>
      <w:r w:rsidRPr="007B5462">
        <w:rPr>
          <w:rFonts w:asciiTheme="majorBidi" w:hAnsiTheme="majorBidi" w:cstheme="majorBidi"/>
          <w:b/>
          <w:bCs/>
          <w:i/>
          <w:iCs/>
          <w:szCs w:val="22"/>
        </w:rPr>
        <w:t>Research Design</w:t>
      </w:r>
    </w:p>
    <w:p w14:paraId="2F5421DB" w14:textId="66EC2A2A" w:rsidR="00F1540B" w:rsidRPr="002F741D" w:rsidRDefault="00F1540B" w:rsidP="007E5DAD">
      <w:pPr>
        <w:spacing w:line="480" w:lineRule="auto"/>
        <w:jc w:val="both"/>
        <w:rPr>
          <w:rFonts w:asciiTheme="majorBidi" w:hAnsiTheme="majorBidi" w:cstheme="majorBidi"/>
          <w:szCs w:val="22"/>
        </w:rPr>
      </w:pPr>
      <w:r w:rsidRPr="002F741D">
        <w:rPr>
          <w:rFonts w:asciiTheme="majorBidi" w:hAnsiTheme="majorBidi" w:cstheme="majorBidi"/>
          <w:szCs w:val="22"/>
        </w:rPr>
        <w:t>This study employed an observational quantitative research design using secondary administrative data obtained from the BPJS Kesehatan West Jakarta Branch. The research adopted a cross-sectional comparative approach to evaluate differences in effectiveness between conventional printed contracts and electronic contracts within the same operational period (2024–2025 partnership cycle).</w:t>
      </w:r>
    </w:p>
    <w:p w14:paraId="59698325" w14:textId="0C7C84A7" w:rsidR="00E74429" w:rsidRPr="002F741D" w:rsidRDefault="00E74429" w:rsidP="007E5DAD">
      <w:pPr>
        <w:spacing w:line="480" w:lineRule="auto"/>
        <w:jc w:val="both"/>
        <w:rPr>
          <w:rFonts w:asciiTheme="majorBidi" w:hAnsiTheme="majorBidi" w:cstheme="majorBidi"/>
          <w:szCs w:val="22"/>
        </w:rPr>
      </w:pPr>
    </w:p>
    <w:p w14:paraId="47F6BA7C" w14:textId="5E594284" w:rsidR="00E74429" w:rsidRPr="007B5462" w:rsidRDefault="00E74429" w:rsidP="007E5DAD">
      <w:pPr>
        <w:spacing w:line="480" w:lineRule="auto"/>
        <w:jc w:val="both"/>
        <w:rPr>
          <w:rFonts w:asciiTheme="majorBidi" w:hAnsiTheme="majorBidi" w:cstheme="majorBidi"/>
          <w:b/>
          <w:bCs/>
          <w:i/>
          <w:iCs/>
          <w:szCs w:val="22"/>
        </w:rPr>
      </w:pPr>
      <w:r w:rsidRPr="007B5462">
        <w:rPr>
          <w:rFonts w:asciiTheme="majorBidi" w:hAnsiTheme="majorBidi" w:cstheme="majorBidi"/>
          <w:b/>
          <w:bCs/>
          <w:i/>
          <w:iCs/>
          <w:szCs w:val="22"/>
        </w:rPr>
        <w:t>Sample</w:t>
      </w:r>
    </w:p>
    <w:p w14:paraId="684B1B9B" w14:textId="2B5549ED"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 xml:space="preserve">The secondary data used in this study were obtained from the BPJS Kesehatan partnership management system, particularly the </w:t>
      </w:r>
      <w:r w:rsidRPr="002F741D">
        <w:rPr>
          <w:rFonts w:asciiTheme="majorBidi" w:hAnsiTheme="majorBidi" w:cstheme="majorBidi"/>
          <w:b/>
          <w:bCs/>
          <w:szCs w:val="22"/>
        </w:rPr>
        <w:t>Health Facilities Information System (HFIS)</w:t>
      </w:r>
      <w:r w:rsidRPr="002F741D">
        <w:rPr>
          <w:rFonts w:asciiTheme="majorBidi" w:hAnsiTheme="majorBidi" w:cstheme="majorBidi"/>
          <w:szCs w:val="22"/>
        </w:rPr>
        <w:t xml:space="preserve">, as well as supporting </w:t>
      </w:r>
      <w:r w:rsidRPr="002F741D">
        <w:rPr>
          <w:rFonts w:asciiTheme="majorBidi" w:hAnsiTheme="majorBidi" w:cstheme="majorBidi"/>
          <w:szCs w:val="22"/>
        </w:rPr>
        <w:lastRenderedPageBreak/>
        <w:t>administrative documents generated during the issuance of healthcare partnership agreements. The data were collected based on a population of 25 advanced referral healthcare facilities and 75 primary healthcare facilities that were in partnership with BPJS Kesehatan West Jakarta Branch in 2025, with the cooperation agreements signed at the end of 2024. These data reflect actual conditions of contract implementation at the branch operational level and were used to assess the effectiveness of contract management based on time-related performance.</w:t>
      </w:r>
    </w:p>
    <w:p w14:paraId="246EEE9D" w14:textId="4E2E5738"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Specifically, the secondary data collected included: (1) the identities of partner healthcare facilities that renewed or updated their partnership agreements for the 2025 cooperation period; (2) the type of contract used, namely conventional  contracts and electronic contracts; (3) the contract process initiation date, defined as the date on which contract document processing began in the system; (4) the contract completion date, indicated by the status of the contract being signed and validated; (5) contract completion timeliness status; and (6) the target schedule for contract completion.</w:t>
      </w:r>
    </w:p>
    <w:p w14:paraId="06257ABA" w14:textId="77777777" w:rsidR="00E74429" w:rsidRPr="002F741D" w:rsidRDefault="00E74429" w:rsidP="007E5DAD">
      <w:pPr>
        <w:spacing w:line="480" w:lineRule="auto"/>
        <w:ind w:firstLine="397"/>
        <w:jc w:val="both"/>
        <w:rPr>
          <w:rFonts w:asciiTheme="majorBidi" w:hAnsiTheme="majorBidi" w:cstheme="majorBidi"/>
          <w:szCs w:val="22"/>
        </w:rPr>
      </w:pPr>
    </w:p>
    <w:p w14:paraId="52513827" w14:textId="122DAB8A" w:rsidR="00E74429" w:rsidRPr="002F741D" w:rsidRDefault="00A40C5F" w:rsidP="007E5DAD">
      <w:pPr>
        <w:spacing w:line="480" w:lineRule="auto"/>
        <w:jc w:val="both"/>
        <w:rPr>
          <w:rFonts w:asciiTheme="majorBidi" w:hAnsiTheme="majorBidi" w:cstheme="majorBidi"/>
          <w:b/>
          <w:bCs/>
          <w:szCs w:val="22"/>
        </w:rPr>
      </w:pPr>
      <w:r w:rsidRPr="002F741D">
        <w:rPr>
          <w:rFonts w:asciiTheme="majorBidi" w:hAnsiTheme="majorBidi" w:cstheme="majorBidi"/>
          <w:b/>
          <w:bCs/>
          <w:szCs w:val="22"/>
        </w:rPr>
        <w:t xml:space="preserve">3.3 </w:t>
      </w:r>
      <w:r w:rsidR="00E74429" w:rsidRPr="002F741D">
        <w:rPr>
          <w:rFonts w:asciiTheme="majorBidi" w:hAnsiTheme="majorBidi" w:cstheme="majorBidi"/>
          <w:b/>
          <w:bCs/>
          <w:szCs w:val="22"/>
        </w:rPr>
        <w:t>Data Analysis</w:t>
      </w:r>
    </w:p>
    <w:p w14:paraId="2633AA31" w14:textId="77777777" w:rsidR="00E74429" w:rsidRPr="002F741D" w:rsidRDefault="00E74429" w:rsidP="007E5DAD">
      <w:pPr>
        <w:spacing w:before="240" w:line="480" w:lineRule="auto"/>
        <w:jc w:val="both"/>
        <w:rPr>
          <w:rFonts w:asciiTheme="majorBidi" w:hAnsiTheme="majorBidi" w:cstheme="majorBidi"/>
          <w:szCs w:val="22"/>
          <w:lang w:val="en-ID"/>
        </w:rPr>
      </w:pPr>
      <w:r w:rsidRPr="002F741D">
        <w:rPr>
          <w:rFonts w:asciiTheme="majorBidi" w:hAnsiTheme="majorBidi" w:cstheme="majorBidi"/>
          <w:szCs w:val="22"/>
          <w:lang w:val="en-ID"/>
        </w:rPr>
        <w:t>Data analysis was conducted using both descriptive and inferential statistical approaches. Descriptive analysis was performed to summarize the distribution of healthcare facilities, contract types, contract completion timeliness, and completion duration. Mean values and proportions were calculated to describe time-based performance differences between conventional printed contracts and electronic contracts. All statistical analyses were conducted at a significance level of p &lt; 0.05.</w:t>
      </w:r>
    </w:p>
    <w:p w14:paraId="218E4F06" w14:textId="77777777" w:rsidR="00E74429" w:rsidRPr="002F741D" w:rsidRDefault="00E74429" w:rsidP="007E5DAD">
      <w:pPr>
        <w:spacing w:before="240" w:line="480" w:lineRule="auto"/>
        <w:jc w:val="both"/>
        <w:rPr>
          <w:rFonts w:asciiTheme="majorBidi" w:hAnsiTheme="majorBidi" w:cstheme="majorBidi"/>
          <w:szCs w:val="22"/>
          <w:lang w:val="en-ID"/>
        </w:rPr>
      </w:pPr>
      <w:r w:rsidRPr="002F741D">
        <w:rPr>
          <w:rFonts w:asciiTheme="majorBidi" w:hAnsiTheme="majorBidi" w:cstheme="majorBidi"/>
          <w:szCs w:val="22"/>
          <w:lang w:val="en-ID"/>
        </w:rPr>
        <w:t>Inferential analysis was applied to examine the relationship between contract type and effectiveness indicators. The Chi-Square test was used to assess the association between contract type (conventional vs. electronic) and contract completion timeliness (on time vs. delayed). The Mann–Whitney U test was employed to compare differences in contract completion duration between the two contract methods, as the data did not assume normal distribution.</w:t>
      </w:r>
    </w:p>
    <w:p w14:paraId="6B7A6F6B" w14:textId="77777777" w:rsidR="00E74429" w:rsidRPr="002F741D" w:rsidRDefault="00E74429" w:rsidP="007E5DAD">
      <w:pPr>
        <w:spacing w:before="240" w:line="480" w:lineRule="auto"/>
        <w:jc w:val="both"/>
        <w:rPr>
          <w:rFonts w:asciiTheme="majorBidi" w:hAnsiTheme="majorBidi" w:cstheme="majorBidi"/>
          <w:szCs w:val="22"/>
          <w:lang w:val="en-ID"/>
        </w:rPr>
      </w:pPr>
      <w:r w:rsidRPr="002F741D">
        <w:rPr>
          <w:rFonts w:asciiTheme="majorBidi" w:hAnsiTheme="majorBidi" w:cstheme="majorBidi"/>
          <w:szCs w:val="22"/>
          <w:lang w:val="en-ID"/>
        </w:rPr>
        <w:lastRenderedPageBreak/>
        <w:t>In addition, Time Efficiency Ratio (TER) and Schedule Performance Index (SPI) were calculated as comparative performance indicators. TER was used to evaluate relative time acceleration between contract systems, while SPI was applied to assess adherence to the planned completion schedule.</w:t>
      </w:r>
    </w:p>
    <w:p w14:paraId="4EC4D227" w14:textId="6C88AC91"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The target deadline for contract completion in this study was set no later than 31 December 2024, in accordance with the provisions governing annual partnership agreements. Accordingly, contracts that were completed and validated on or before this date were categorized as timely, whereas contracts completed after 31 December 2024 were classified as delayed.</w:t>
      </w:r>
    </w:p>
    <w:p w14:paraId="6FBF0931" w14:textId="2FD718BC"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The contract initiation and completion dates were used to calculate contract completion duration, expressed in working days. This duration served as a primary variable in assessing time-based contract management performance and was applied in both descriptive analysis and comparative analysis between conventional  and electronic contracts.</w:t>
      </w:r>
    </w:p>
    <w:p w14:paraId="0ED093A4" w14:textId="77777777"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Based on contract completion duration data, this study calculated the Time Efficiency Ratio (TER) by comparing the average completion duration of conventional printed   contracts with that of electronic contracts. Conceptually, TER represents the degree of process acceleration resulting from the implementation of electronic contracts. A TER value greater than one indicates that electronic contracts exhibit superior time efficiency compared to conventional printed   contracts, whereas a TER value equal to or less than one indicates no improvement in time effectiveness.</w:t>
      </w:r>
    </w:p>
    <w:p w14:paraId="72BCB159" w14:textId="77777777"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In addition, this study employed the Schedule Performance Index (SPI) to evaluate contract completion performance against the planned schedule. SPI was calculated by comparing actual contract completion outcomes with the predetermined completion target of 31 December 2024. In this study, an SPI value greater than one indicates that electronic contract completion exceeded the planned schedule (completed earlier than 31 December 2024), an SPI value equal to one indicates adherence to the schedule, and an SPI value less than one indicates delayed completion (completed after 31 December 2024).</w:t>
      </w:r>
    </w:p>
    <w:p w14:paraId="4BEC9B11" w14:textId="77777777" w:rsidR="002C688A" w:rsidRPr="002F741D"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 xml:space="preserve">The combined use of TER and SPI enables a quantitative and comparative evaluation of the effectiveness of electronic contract implementation. TER provides insight into the relative speed </w:t>
      </w:r>
      <w:r w:rsidRPr="002F741D">
        <w:rPr>
          <w:rFonts w:asciiTheme="majorBidi" w:hAnsiTheme="majorBidi" w:cstheme="majorBidi"/>
          <w:szCs w:val="22"/>
        </w:rPr>
        <w:lastRenderedPageBreak/>
        <w:t>advantage of electronic contracts over conventional printed   contracts, while SPI assesses the ability of the electronic contract system to meet planned time targets. Together, these indicators form a comprehensive, process-based framework for evaluating the performance of electronic contract implementation in managing partnerships with healthcare facilities.</w:t>
      </w:r>
    </w:p>
    <w:p w14:paraId="4F05BF34" w14:textId="77777777" w:rsidR="002C688A" w:rsidRPr="002F741D" w:rsidRDefault="002C688A" w:rsidP="007E5DAD">
      <w:pPr>
        <w:spacing w:line="480" w:lineRule="auto"/>
        <w:jc w:val="both"/>
        <w:rPr>
          <w:rFonts w:asciiTheme="majorBidi" w:hAnsiTheme="majorBidi" w:cstheme="majorBidi"/>
          <w:szCs w:val="22"/>
        </w:rPr>
      </w:pPr>
    </w:p>
    <w:p w14:paraId="2A851A8A" w14:textId="2FBF9C25" w:rsidR="002C688A" w:rsidRPr="007B5462" w:rsidRDefault="007B5462" w:rsidP="007E5DAD">
      <w:pPr>
        <w:spacing w:line="480" w:lineRule="auto"/>
        <w:jc w:val="both"/>
        <w:rPr>
          <w:rFonts w:asciiTheme="majorBidi" w:hAnsiTheme="majorBidi" w:cstheme="majorBidi"/>
          <w:b/>
          <w:bCs/>
          <w:sz w:val="24"/>
        </w:rPr>
      </w:pPr>
      <w:r w:rsidRPr="007B5462">
        <w:rPr>
          <w:rFonts w:asciiTheme="majorBidi" w:hAnsiTheme="majorBidi" w:cstheme="majorBidi"/>
          <w:b/>
          <w:bCs/>
          <w:sz w:val="24"/>
        </w:rPr>
        <w:t>Result</w:t>
      </w:r>
      <w:r>
        <w:rPr>
          <w:rFonts w:asciiTheme="majorBidi" w:hAnsiTheme="majorBidi" w:cstheme="majorBidi"/>
          <w:b/>
          <w:bCs/>
          <w:sz w:val="24"/>
        </w:rPr>
        <w:t>s and Discussion</w:t>
      </w:r>
    </w:p>
    <w:p w14:paraId="11521336" w14:textId="00B92E9A" w:rsidR="00FC443D" w:rsidRPr="002F741D" w:rsidRDefault="00FC443D" w:rsidP="007E5DAD">
      <w:pPr>
        <w:spacing w:line="480" w:lineRule="auto"/>
        <w:jc w:val="both"/>
        <w:rPr>
          <w:rFonts w:asciiTheme="majorBidi" w:hAnsiTheme="majorBidi" w:cstheme="majorBidi"/>
          <w:szCs w:val="22"/>
          <w:lang w:val="en-ID"/>
        </w:rPr>
      </w:pPr>
      <w:r w:rsidRPr="002F741D">
        <w:rPr>
          <w:rFonts w:asciiTheme="majorBidi" w:hAnsiTheme="majorBidi" w:cstheme="majorBidi"/>
          <w:szCs w:val="22"/>
          <w:lang w:val="en-ID"/>
        </w:rPr>
        <w:t>The organizational structure of BPJS Kesehatan West Jakarta Branch reflects a public service–oriented institution with a dominant proportion of operational staff. This operational focus is particularly relevant in the context of electronic contract implementation, as successful digital transformation depends on human resource readiness, clear role distribution, and effective inter-unit coordination at the branch level.</w:t>
      </w:r>
      <w:r w:rsidR="007B5462">
        <w:rPr>
          <w:rFonts w:asciiTheme="majorBidi" w:hAnsiTheme="majorBidi" w:cstheme="majorBidi"/>
          <w:szCs w:val="22"/>
          <w:lang w:val="en-ID"/>
        </w:rPr>
        <w:t xml:space="preserve"> </w:t>
      </w:r>
      <w:r w:rsidRPr="002F741D">
        <w:rPr>
          <w:rFonts w:asciiTheme="majorBidi" w:hAnsiTheme="majorBidi" w:cstheme="majorBidi"/>
          <w:szCs w:val="22"/>
          <w:lang w:val="en-ID"/>
        </w:rPr>
        <w:t>As of the end of 2024, BPJS Kesehatan West Jakarta had signed cooperation agreements with 100 healthcare facilities.</w:t>
      </w:r>
    </w:p>
    <w:p w14:paraId="2759E83C" w14:textId="77777777" w:rsidR="00FC443D" w:rsidRPr="002F741D" w:rsidRDefault="00FC443D" w:rsidP="007E5DAD">
      <w:pPr>
        <w:spacing w:line="480" w:lineRule="auto"/>
        <w:jc w:val="both"/>
        <w:rPr>
          <w:rFonts w:asciiTheme="majorBidi" w:hAnsiTheme="majorBidi" w:cstheme="majorBidi"/>
          <w:szCs w:val="22"/>
          <w:lang w:val="en-ID"/>
        </w:rPr>
      </w:pPr>
    </w:p>
    <w:p w14:paraId="636DBF56" w14:textId="77777777" w:rsidR="009209D1" w:rsidRPr="002F741D" w:rsidRDefault="00FC443D" w:rsidP="007E5DAD">
      <w:pPr>
        <w:keepNext/>
        <w:spacing w:line="480" w:lineRule="auto"/>
        <w:jc w:val="center"/>
        <w:rPr>
          <w:rFonts w:asciiTheme="majorBidi" w:hAnsiTheme="majorBidi" w:cstheme="majorBidi"/>
          <w:szCs w:val="22"/>
        </w:rPr>
      </w:pPr>
      <w:r w:rsidRPr="002F741D">
        <w:rPr>
          <w:rFonts w:asciiTheme="majorBidi" w:hAnsiTheme="majorBidi" w:cstheme="majorBidi"/>
          <w:noProof/>
          <w:szCs w:val="22"/>
          <w:lang w:val="en-ID"/>
        </w:rPr>
        <w:drawing>
          <wp:inline distT="0" distB="0" distL="0" distR="0" wp14:anchorId="7567C8CD" wp14:editId="21AD00BB">
            <wp:extent cx="3696020" cy="2255715"/>
            <wp:effectExtent l="0" t="0" r="0" b="0"/>
            <wp:docPr id="1142300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00668" name=""/>
                    <pic:cNvPicPr/>
                  </pic:nvPicPr>
                  <pic:blipFill>
                    <a:blip r:embed="rId9">
                      <a:grayscl/>
                    </a:blip>
                    <a:stretch>
                      <a:fillRect/>
                    </a:stretch>
                  </pic:blipFill>
                  <pic:spPr>
                    <a:xfrm>
                      <a:off x="0" y="0"/>
                      <a:ext cx="3696020" cy="2255715"/>
                    </a:xfrm>
                    <a:prstGeom prst="rect">
                      <a:avLst/>
                    </a:prstGeom>
                  </pic:spPr>
                </pic:pic>
              </a:graphicData>
            </a:graphic>
          </wp:inline>
        </w:drawing>
      </w:r>
    </w:p>
    <w:p w14:paraId="0C7BF1CC" w14:textId="28D8EE59" w:rsidR="00FC443D" w:rsidRPr="002F741D" w:rsidRDefault="009209D1" w:rsidP="007E5DAD">
      <w:pPr>
        <w:pStyle w:val="Caption"/>
        <w:spacing w:line="480" w:lineRule="auto"/>
        <w:jc w:val="center"/>
        <w:rPr>
          <w:rFonts w:asciiTheme="majorBidi" w:hAnsiTheme="majorBidi" w:cstheme="majorBidi"/>
          <w:color w:val="auto"/>
          <w:sz w:val="22"/>
          <w:szCs w:val="22"/>
        </w:rPr>
      </w:pPr>
      <w:r w:rsidRPr="002F741D">
        <w:rPr>
          <w:rFonts w:asciiTheme="majorBidi" w:hAnsiTheme="majorBidi" w:cstheme="majorBidi"/>
          <w:color w:val="auto"/>
          <w:sz w:val="22"/>
          <w:szCs w:val="22"/>
        </w:rPr>
        <w:t xml:space="preserve">Figure </w:t>
      </w:r>
      <w:r w:rsidRPr="002F741D">
        <w:rPr>
          <w:rFonts w:asciiTheme="majorBidi" w:hAnsiTheme="majorBidi" w:cstheme="majorBidi"/>
          <w:color w:val="auto"/>
          <w:sz w:val="22"/>
          <w:szCs w:val="22"/>
        </w:rPr>
        <w:fldChar w:fldCharType="begin"/>
      </w:r>
      <w:r w:rsidRPr="002F741D">
        <w:rPr>
          <w:rFonts w:asciiTheme="majorBidi" w:hAnsiTheme="majorBidi" w:cstheme="majorBidi"/>
          <w:color w:val="auto"/>
          <w:sz w:val="22"/>
          <w:szCs w:val="22"/>
        </w:rPr>
        <w:instrText xml:space="preserve"> SEQ Figure \* ARABIC </w:instrText>
      </w:r>
      <w:r w:rsidRPr="002F741D">
        <w:rPr>
          <w:rFonts w:asciiTheme="majorBidi" w:hAnsiTheme="majorBidi" w:cstheme="majorBidi"/>
          <w:color w:val="auto"/>
          <w:sz w:val="22"/>
          <w:szCs w:val="22"/>
        </w:rPr>
        <w:fldChar w:fldCharType="separate"/>
      </w:r>
      <w:r w:rsidR="00322F80">
        <w:rPr>
          <w:rFonts w:asciiTheme="majorBidi" w:hAnsiTheme="majorBidi" w:cstheme="majorBidi"/>
          <w:noProof/>
          <w:color w:val="auto"/>
          <w:sz w:val="22"/>
          <w:szCs w:val="22"/>
        </w:rPr>
        <w:t>2</w:t>
      </w:r>
      <w:r w:rsidRPr="002F741D">
        <w:rPr>
          <w:rFonts w:asciiTheme="majorBidi" w:hAnsiTheme="majorBidi" w:cstheme="majorBidi"/>
          <w:color w:val="auto"/>
          <w:sz w:val="22"/>
          <w:szCs w:val="22"/>
        </w:rPr>
        <w:fldChar w:fldCharType="end"/>
      </w:r>
      <w:r w:rsidRPr="002F741D">
        <w:rPr>
          <w:rFonts w:asciiTheme="majorBidi" w:hAnsiTheme="majorBidi" w:cstheme="majorBidi"/>
          <w:color w:val="auto"/>
          <w:sz w:val="22"/>
          <w:szCs w:val="22"/>
        </w:rPr>
        <w:t xml:space="preserve"> Distribution of Health Facilities by Type (n=100)</w:t>
      </w:r>
    </w:p>
    <w:p w14:paraId="6D9A09F8" w14:textId="1DD6E8C8" w:rsidR="009209D1" w:rsidRPr="002F741D" w:rsidRDefault="009209D1" w:rsidP="007E5DAD">
      <w:pPr>
        <w:spacing w:before="240" w:line="480" w:lineRule="auto"/>
        <w:jc w:val="both"/>
        <w:rPr>
          <w:rFonts w:asciiTheme="majorBidi" w:hAnsiTheme="majorBidi" w:cstheme="majorBidi"/>
          <w:szCs w:val="22"/>
          <w:lang w:val="en-ID"/>
        </w:rPr>
      </w:pPr>
      <w:r w:rsidRPr="002F741D">
        <w:rPr>
          <w:rFonts w:asciiTheme="majorBidi" w:hAnsiTheme="majorBidi" w:cstheme="majorBidi"/>
          <w:b/>
          <w:bCs/>
          <w:szCs w:val="22"/>
          <w:lang w:val="en-ID"/>
        </w:rPr>
        <w:t xml:space="preserve">Figure </w:t>
      </w:r>
      <w:r w:rsidR="007B5462">
        <w:rPr>
          <w:rFonts w:asciiTheme="majorBidi" w:hAnsiTheme="majorBidi" w:cstheme="majorBidi"/>
          <w:b/>
          <w:bCs/>
          <w:szCs w:val="22"/>
          <w:lang w:val="en-ID"/>
        </w:rPr>
        <w:t>2</w:t>
      </w:r>
      <w:r w:rsidRPr="002F741D">
        <w:rPr>
          <w:rFonts w:asciiTheme="majorBidi" w:hAnsiTheme="majorBidi" w:cstheme="majorBidi"/>
          <w:szCs w:val="22"/>
          <w:lang w:val="en-ID"/>
        </w:rPr>
        <w:t xml:space="preserve"> illustrates the distribution of healthcare facilities by type at the BPJS Kesehatan West Jakarta Branch (n = 100). The majority of partner facilities are Primary Healthcare Facilities (FKTP), accounting for 75% of the total sample (75 facilities), while Advanced Referral Healthcare Facilities (FKRTL) represent 25% (25 facilities).</w:t>
      </w:r>
    </w:p>
    <w:p w14:paraId="497D5B4A" w14:textId="77777777" w:rsidR="009209D1" w:rsidRPr="002F741D" w:rsidRDefault="009209D1" w:rsidP="007E5DAD">
      <w:pPr>
        <w:spacing w:before="240" w:line="480" w:lineRule="auto"/>
        <w:jc w:val="both"/>
        <w:rPr>
          <w:rFonts w:asciiTheme="majorBidi" w:hAnsiTheme="majorBidi" w:cstheme="majorBidi"/>
          <w:szCs w:val="22"/>
          <w:lang w:val="en-ID"/>
        </w:rPr>
      </w:pPr>
      <w:r w:rsidRPr="002F741D">
        <w:rPr>
          <w:rFonts w:asciiTheme="majorBidi" w:hAnsiTheme="majorBidi" w:cstheme="majorBidi"/>
          <w:szCs w:val="22"/>
          <w:lang w:val="en-ID"/>
        </w:rPr>
        <w:lastRenderedPageBreak/>
        <w:t>This distribution indicates that partnership management at the branch level is predominantly concentrated in primary care services. As primary healthcare facilities form the largest proportion of contracted providers, the implementation of electronic contracts must be capable of handling high-volume, routine contractual processes efficiently. Meanwhile, although referral facilities constitute a smaller proportion, they typically involve more complex service arrangements and regulatory requirements.</w:t>
      </w:r>
    </w:p>
    <w:p w14:paraId="0E1597B2" w14:textId="42CE156F" w:rsidR="009209D1" w:rsidRPr="002F741D" w:rsidRDefault="00FC443D" w:rsidP="007E5DAD">
      <w:pPr>
        <w:keepNext/>
        <w:spacing w:line="480" w:lineRule="auto"/>
        <w:jc w:val="center"/>
        <w:rPr>
          <w:rFonts w:asciiTheme="majorBidi" w:hAnsiTheme="majorBidi" w:cstheme="majorBidi"/>
          <w:szCs w:val="22"/>
        </w:rPr>
      </w:pPr>
      <w:r w:rsidRPr="002F741D">
        <w:rPr>
          <w:rFonts w:asciiTheme="majorBidi" w:hAnsiTheme="majorBidi" w:cstheme="majorBidi"/>
          <w:noProof/>
          <w:szCs w:val="22"/>
          <w:lang w:val="en-ID"/>
        </w:rPr>
        <w:drawing>
          <wp:inline distT="0" distB="0" distL="0" distR="0" wp14:anchorId="3734F9DC" wp14:editId="0501C6FA">
            <wp:extent cx="3711262" cy="2133785"/>
            <wp:effectExtent l="0" t="0" r="3810" b="0"/>
            <wp:docPr id="1675649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49983" name=""/>
                    <pic:cNvPicPr/>
                  </pic:nvPicPr>
                  <pic:blipFill>
                    <a:blip r:embed="rId10">
                      <a:grayscl/>
                    </a:blip>
                    <a:stretch>
                      <a:fillRect/>
                    </a:stretch>
                  </pic:blipFill>
                  <pic:spPr>
                    <a:xfrm>
                      <a:off x="0" y="0"/>
                      <a:ext cx="3711262" cy="2133785"/>
                    </a:xfrm>
                    <a:prstGeom prst="rect">
                      <a:avLst/>
                    </a:prstGeom>
                  </pic:spPr>
                </pic:pic>
              </a:graphicData>
            </a:graphic>
          </wp:inline>
        </w:drawing>
      </w:r>
    </w:p>
    <w:p w14:paraId="018D5CC3" w14:textId="7B1EF2C0" w:rsidR="00FC443D" w:rsidRPr="002F741D" w:rsidRDefault="009209D1" w:rsidP="007E5DAD">
      <w:pPr>
        <w:pStyle w:val="Caption"/>
        <w:spacing w:line="480" w:lineRule="auto"/>
        <w:jc w:val="center"/>
        <w:rPr>
          <w:rFonts w:asciiTheme="majorBidi" w:hAnsiTheme="majorBidi" w:cstheme="majorBidi"/>
          <w:color w:val="auto"/>
          <w:sz w:val="22"/>
          <w:szCs w:val="22"/>
          <w:lang w:val="en-ID"/>
        </w:rPr>
      </w:pPr>
      <w:r w:rsidRPr="002F741D">
        <w:rPr>
          <w:rFonts w:asciiTheme="majorBidi" w:hAnsiTheme="majorBidi" w:cstheme="majorBidi"/>
          <w:color w:val="auto"/>
          <w:sz w:val="22"/>
          <w:szCs w:val="22"/>
        </w:rPr>
        <w:t xml:space="preserve">Figure </w:t>
      </w:r>
      <w:r w:rsidRPr="002F741D">
        <w:rPr>
          <w:rFonts w:asciiTheme="majorBidi" w:hAnsiTheme="majorBidi" w:cstheme="majorBidi"/>
          <w:color w:val="auto"/>
          <w:sz w:val="22"/>
          <w:szCs w:val="22"/>
        </w:rPr>
        <w:fldChar w:fldCharType="begin"/>
      </w:r>
      <w:r w:rsidRPr="002F741D">
        <w:rPr>
          <w:rFonts w:asciiTheme="majorBidi" w:hAnsiTheme="majorBidi" w:cstheme="majorBidi"/>
          <w:color w:val="auto"/>
          <w:sz w:val="22"/>
          <w:szCs w:val="22"/>
        </w:rPr>
        <w:instrText xml:space="preserve"> SEQ Figure \* ARABIC </w:instrText>
      </w:r>
      <w:r w:rsidRPr="002F741D">
        <w:rPr>
          <w:rFonts w:asciiTheme="majorBidi" w:hAnsiTheme="majorBidi" w:cstheme="majorBidi"/>
          <w:color w:val="auto"/>
          <w:sz w:val="22"/>
          <w:szCs w:val="22"/>
        </w:rPr>
        <w:fldChar w:fldCharType="separate"/>
      </w:r>
      <w:r w:rsidR="00322F80">
        <w:rPr>
          <w:rFonts w:asciiTheme="majorBidi" w:hAnsiTheme="majorBidi" w:cstheme="majorBidi"/>
          <w:noProof/>
          <w:color w:val="auto"/>
          <w:sz w:val="22"/>
          <w:szCs w:val="22"/>
        </w:rPr>
        <w:t>3</w:t>
      </w:r>
      <w:r w:rsidRPr="002F741D">
        <w:rPr>
          <w:rFonts w:asciiTheme="majorBidi" w:hAnsiTheme="majorBidi" w:cstheme="majorBidi"/>
          <w:color w:val="auto"/>
          <w:sz w:val="22"/>
          <w:szCs w:val="22"/>
        </w:rPr>
        <w:fldChar w:fldCharType="end"/>
      </w:r>
      <w:r w:rsidRPr="002F741D">
        <w:rPr>
          <w:rFonts w:asciiTheme="majorBidi" w:hAnsiTheme="majorBidi" w:cstheme="majorBidi"/>
          <w:color w:val="auto"/>
          <w:sz w:val="22"/>
          <w:szCs w:val="22"/>
        </w:rPr>
        <w:t xml:space="preserve"> Distribution of Health Facilities by Ownership (n=100)</w:t>
      </w:r>
    </w:p>
    <w:p w14:paraId="54D765CB" w14:textId="7E9FE833" w:rsidR="00F03021" w:rsidRPr="002F741D" w:rsidRDefault="00F03021" w:rsidP="007E5DAD">
      <w:pPr>
        <w:spacing w:before="240" w:line="480" w:lineRule="auto"/>
        <w:jc w:val="both"/>
        <w:rPr>
          <w:rFonts w:asciiTheme="majorBidi" w:hAnsiTheme="majorBidi" w:cstheme="majorBidi"/>
          <w:szCs w:val="22"/>
          <w:lang w:val="en-ID"/>
        </w:rPr>
      </w:pPr>
      <w:r w:rsidRPr="002F741D">
        <w:rPr>
          <w:rFonts w:asciiTheme="majorBidi" w:hAnsiTheme="majorBidi" w:cstheme="majorBidi"/>
          <w:b/>
          <w:bCs/>
          <w:szCs w:val="22"/>
          <w:lang w:val="en-ID"/>
        </w:rPr>
        <w:t xml:space="preserve">Figure </w:t>
      </w:r>
      <w:r w:rsidR="007B5462">
        <w:rPr>
          <w:rFonts w:asciiTheme="majorBidi" w:hAnsiTheme="majorBidi" w:cstheme="majorBidi"/>
          <w:b/>
          <w:bCs/>
          <w:szCs w:val="22"/>
          <w:lang w:val="en-ID"/>
        </w:rPr>
        <w:t>3</w:t>
      </w:r>
      <w:r w:rsidRPr="002F741D">
        <w:rPr>
          <w:rFonts w:asciiTheme="majorBidi" w:hAnsiTheme="majorBidi" w:cstheme="majorBidi"/>
          <w:szCs w:val="22"/>
          <w:lang w:val="en-ID"/>
        </w:rPr>
        <w:t xml:space="preserve"> presents the distribution of healthcare facilities by ownership at the BPJS Kesehatan West Jakarta Branch (n = 100). The majority of partner facilities are privately owned, accounting for 84% (84 facilities), while government-owned facilities represent 16% (16 facilities). This distribution indicates that partnership management at the branch level is largely dependent on private sector healthcare providers. The dominance of private-owned facilities suggests that contractual coordination, compliance monitoring, and digital system adoption must be adaptable to diverse organizational structures and administrative capacities outside direct government control</w:t>
      </w:r>
    </w:p>
    <w:p w14:paraId="7EF9867F" w14:textId="77777777" w:rsidR="009209D1" w:rsidRPr="002F741D" w:rsidRDefault="009209D1" w:rsidP="007E5DAD">
      <w:pPr>
        <w:spacing w:before="240" w:line="480" w:lineRule="auto"/>
        <w:jc w:val="both"/>
        <w:rPr>
          <w:rFonts w:asciiTheme="majorBidi" w:hAnsiTheme="majorBidi" w:cstheme="majorBidi"/>
          <w:szCs w:val="22"/>
          <w:lang w:val="en-ID"/>
        </w:rPr>
      </w:pPr>
      <w:r w:rsidRPr="002F741D">
        <w:rPr>
          <w:rFonts w:asciiTheme="majorBidi" w:hAnsiTheme="majorBidi" w:cstheme="majorBidi"/>
          <w:szCs w:val="22"/>
          <w:lang w:val="en-ID"/>
        </w:rPr>
        <w:t>The relatively smaller proportion of government-owned facilities reflects a complementary role within the partnership network. However, given the overwhelming presence of private providers, the effectiveness of electronic contract implementation is particularly influenced by the readiness, technological infrastructure, and policy alignment of private healthcare institutions.</w:t>
      </w:r>
    </w:p>
    <w:p w14:paraId="7E37B3B9" w14:textId="59A50BBC" w:rsidR="00FC443D" w:rsidRPr="002F741D" w:rsidRDefault="00FC443D" w:rsidP="007E5DAD">
      <w:pPr>
        <w:spacing w:before="240" w:line="480" w:lineRule="auto"/>
        <w:jc w:val="both"/>
        <w:rPr>
          <w:rFonts w:asciiTheme="majorBidi" w:hAnsiTheme="majorBidi" w:cstheme="majorBidi"/>
          <w:szCs w:val="22"/>
          <w:lang w:val="en-ID"/>
        </w:rPr>
      </w:pPr>
      <w:r w:rsidRPr="002F741D">
        <w:rPr>
          <w:rFonts w:asciiTheme="majorBidi" w:hAnsiTheme="majorBidi" w:cstheme="majorBidi"/>
          <w:szCs w:val="22"/>
          <w:lang w:val="en-ID"/>
        </w:rPr>
        <w:lastRenderedPageBreak/>
        <w:t>Among referral facilities (FKRTL), most hospitals are categorized as Class C and Class B, predominantly privately owned. Meanwhile, primary care services (FKTP) are largely dominated by private primary clinics (Klinik Pratama).</w:t>
      </w:r>
      <w:r w:rsidR="009209D1" w:rsidRPr="002F741D">
        <w:rPr>
          <w:rFonts w:asciiTheme="majorBidi" w:hAnsiTheme="majorBidi" w:cstheme="majorBidi"/>
          <w:szCs w:val="22"/>
          <w:lang w:val="en-ID"/>
        </w:rPr>
        <w:t xml:space="preserve"> </w:t>
      </w:r>
      <w:r w:rsidRPr="002F741D">
        <w:rPr>
          <w:rFonts w:asciiTheme="majorBidi" w:hAnsiTheme="majorBidi" w:cstheme="majorBidi"/>
          <w:szCs w:val="22"/>
          <w:lang w:val="en-ID"/>
        </w:rPr>
        <w:t>Overall, the distribution indicates that partnership management at the West Jakarta Branch is heavily concentrated in private primary healthcare providers. This composition highlights the importance of an efficient, scalable, and well-coordinated electronic contract system, as the majority of contracts involve decentralized and privately managed facilities.</w:t>
      </w:r>
    </w:p>
    <w:p w14:paraId="2A12E88E" w14:textId="11C5F99C" w:rsidR="007B5462" w:rsidRDefault="002C688A"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Univariate analysis was conducted to describe the characteristics of electronic and conventional printed   contract implementation in the management of partnerships at the BPJS Kesehatan West Jakarta Branch. The variables analyzed included contract type, contract completion timeliness, and contract completion duration.</w:t>
      </w:r>
    </w:p>
    <w:p w14:paraId="0202DF80" w14:textId="77777777" w:rsidR="005E1004" w:rsidRPr="002F741D" w:rsidRDefault="005E1004"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Based on secondary data on partnership management during the 2024–2025 period, the majority of partnership agreements were still completed using conventional printed   contracts. The implementation of electronic contracts remained limited to a relatively small proportion of healthcare facilities, particularly those with better infrastructure readiness and more supportive internal policies.</w:t>
      </w:r>
    </w:p>
    <w:p w14:paraId="6D0E5418" w14:textId="77777777" w:rsidR="00DF7759" w:rsidRPr="002F741D" w:rsidRDefault="00DF7759" w:rsidP="007E5DAD">
      <w:pPr>
        <w:spacing w:before="240" w:line="480" w:lineRule="auto"/>
        <w:jc w:val="both"/>
        <w:rPr>
          <w:rFonts w:asciiTheme="majorBidi" w:hAnsiTheme="majorBidi" w:cstheme="majorBidi"/>
          <w:szCs w:val="22"/>
        </w:rPr>
      </w:pPr>
    </w:p>
    <w:p w14:paraId="0CE16A0A" w14:textId="16B23F55" w:rsidR="002C688A" w:rsidRPr="002F741D" w:rsidRDefault="002C688A" w:rsidP="007E5DAD">
      <w:pPr>
        <w:spacing w:line="480" w:lineRule="auto"/>
        <w:rPr>
          <w:rFonts w:asciiTheme="majorBidi" w:hAnsiTheme="majorBidi" w:cstheme="majorBidi"/>
          <w:b/>
          <w:bCs/>
          <w:szCs w:val="22"/>
        </w:rPr>
      </w:pPr>
      <w:r w:rsidRPr="002F741D">
        <w:rPr>
          <w:rFonts w:asciiTheme="majorBidi" w:hAnsiTheme="majorBidi" w:cstheme="majorBidi"/>
          <w:b/>
          <w:bCs/>
          <w:szCs w:val="22"/>
        </w:rPr>
        <w:t>Table 1. Summary of Univariate Analysis Results</w:t>
      </w:r>
    </w:p>
    <w:tbl>
      <w:tblPr>
        <w:tblW w:w="9063" w:type="dxa"/>
        <w:tblLook w:val="04A0" w:firstRow="1" w:lastRow="0" w:firstColumn="1" w:lastColumn="0" w:noHBand="0" w:noVBand="1"/>
      </w:tblPr>
      <w:tblGrid>
        <w:gridCol w:w="1555"/>
        <w:gridCol w:w="3671"/>
        <w:gridCol w:w="3837"/>
      </w:tblGrid>
      <w:tr w:rsidR="002C688A" w:rsidRPr="007B5462" w14:paraId="0A653F24" w14:textId="77777777" w:rsidTr="005E1004">
        <w:trPr>
          <w:trHeight w:val="204"/>
        </w:trPr>
        <w:tc>
          <w:tcPr>
            <w:tcW w:w="1555" w:type="dxa"/>
            <w:tcBorders>
              <w:top w:val="single" w:sz="4" w:space="0" w:color="auto"/>
              <w:left w:val="single" w:sz="4" w:space="0" w:color="auto"/>
              <w:bottom w:val="single" w:sz="4" w:space="0" w:color="auto"/>
              <w:right w:val="single" w:sz="4" w:space="0" w:color="auto"/>
            </w:tcBorders>
            <w:hideMark/>
          </w:tcPr>
          <w:p w14:paraId="3EADCA8A" w14:textId="77777777" w:rsidR="002C688A" w:rsidRPr="007B5462" w:rsidRDefault="002C688A" w:rsidP="00F62733">
            <w:pPr>
              <w:spacing w:line="240" w:lineRule="auto"/>
              <w:jc w:val="center"/>
              <w:rPr>
                <w:rFonts w:asciiTheme="majorBidi" w:eastAsia="Times New Roman" w:hAnsiTheme="majorBidi" w:cstheme="majorBidi"/>
                <w:b/>
                <w:bCs/>
                <w:color w:val="000000"/>
                <w:szCs w:val="22"/>
              </w:rPr>
            </w:pPr>
            <w:r w:rsidRPr="007B5462">
              <w:rPr>
                <w:rFonts w:asciiTheme="majorBidi" w:eastAsia="Times New Roman" w:hAnsiTheme="majorBidi" w:cstheme="majorBidi"/>
                <w:b/>
                <w:bCs/>
                <w:color w:val="000000"/>
                <w:szCs w:val="22"/>
              </w:rPr>
              <w:t>Variable</w:t>
            </w:r>
          </w:p>
        </w:tc>
        <w:tc>
          <w:tcPr>
            <w:tcW w:w="3671" w:type="dxa"/>
            <w:tcBorders>
              <w:top w:val="single" w:sz="4" w:space="0" w:color="auto"/>
              <w:left w:val="nil"/>
              <w:bottom w:val="single" w:sz="4" w:space="0" w:color="auto"/>
              <w:right w:val="single" w:sz="4" w:space="0" w:color="auto"/>
            </w:tcBorders>
            <w:hideMark/>
          </w:tcPr>
          <w:p w14:paraId="2C3FDFDC" w14:textId="77777777" w:rsidR="002C688A" w:rsidRPr="007B5462" w:rsidRDefault="002C688A" w:rsidP="00F62733">
            <w:pPr>
              <w:spacing w:line="240" w:lineRule="auto"/>
              <w:jc w:val="center"/>
              <w:rPr>
                <w:rFonts w:asciiTheme="majorBidi" w:eastAsia="Times New Roman" w:hAnsiTheme="majorBidi" w:cstheme="majorBidi"/>
                <w:b/>
                <w:bCs/>
                <w:color w:val="000000"/>
                <w:szCs w:val="22"/>
              </w:rPr>
            </w:pPr>
            <w:r w:rsidRPr="007B5462">
              <w:rPr>
                <w:rFonts w:asciiTheme="majorBidi" w:eastAsia="Times New Roman" w:hAnsiTheme="majorBidi" w:cstheme="majorBidi"/>
                <w:b/>
                <w:bCs/>
                <w:color w:val="000000"/>
                <w:szCs w:val="22"/>
              </w:rPr>
              <w:t>Category</w:t>
            </w:r>
          </w:p>
        </w:tc>
        <w:tc>
          <w:tcPr>
            <w:tcW w:w="3837" w:type="dxa"/>
            <w:tcBorders>
              <w:top w:val="single" w:sz="4" w:space="0" w:color="auto"/>
              <w:left w:val="nil"/>
              <w:bottom w:val="single" w:sz="4" w:space="0" w:color="auto"/>
              <w:right w:val="single" w:sz="4" w:space="0" w:color="auto"/>
            </w:tcBorders>
            <w:hideMark/>
          </w:tcPr>
          <w:p w14:paraId="297BB897" w14:textId="77777777" w:rsidR="002C688A" w:rsidRPr="007B5462" w:rsidRDefault="002C688A" w:rsidP="00F62733">
            <w:pPr>
              <w:spacing w:line="240" w:lineRule="auto"/>
              <w:jc w:val="center"/>
              <w:rPr>
                <w:rFonts w:asciiTheme="majorBidi" w:eastAsia="Times New Roman" w:hAnsiTheme="majorBidi" w:cstheme="majorBidi"/>
                <w:b/>
                <w:bCs/>
                <w:color w:val="000000"/>
                <w:szCs w:val="22"/>
              </w:rPr>
            </w:pPr>
            <w:r w:rsidRPr="007B5462">
              <w:rPr>
                <w:rFonts w:asciiTheme="majorBidi" w:eastAsia="Times New Roman" w:hAnsiTheme="majorBidi" w:cstheme="majorBidi"/>
                <w:b/>
                <w:bCs/>
                <w:color w:val="000000"/>
                <w:szCs w:val="22"/>
              </w:rPr>
              <w:t>Descriptive Results</w:t>
            </w:r>
          </w:p>
        </w:tc>
      </w:tr>
      <w:tr w:rsidR="002C688A" w:rsidRPr="007B5462" w14:paraId="7E96DCB5" w14:textId="77777777" w:rsidTr="005E1004">
        <w:trPr>
          <w:trHeight w:val="297"/>
        </w:trPr>
        <w:tc>
          <w:tcPr>
            <w:tcW w:w="1555" w:type="dxa"/>
            <w:vMerge w:val="restart"/>
            <w:tcBorders>
              <w:top w:val="nil"/>
              <w:left w:val="single" w:sz="4" w:space="0" w:color="auto"/>
              <w:bottom w:val="single" w:sz="4" w:space="0" w:color="000000"/>
              <w:right w:val="single" w:sz="4" w:space="0" w:color="auto"/>
            </w:tcBorders>
            <w:hideMark/>
          </w:tcPr>
          <w:p w14:paraId="69340A16" w14:textId="77777777" w:rsidR="002C688A" w:rsidRPr="007B5462" w:rsidRDefault="002C688A" w:rsidP="00F62733">
            <w:pPr>
              <w:spacing w:line="240" w:lineRule="auto"/>
              <w:rPr>
                <w:rFonts w:asciiTheme="majorBidi" w:eastAsia="Times New Roman" w:hAnsiTheme="majorBidi" w:cstheme="majorBidi"/>
                <w:b/>
                <w:bCs/>
                <w:color w:val="000000"/>
                <w:szCs w:val="22"/>
              </w:rPr>
            </w:pPr>
            <w:r w:rsidRPr="007B5462">
              <w:rPr>
                <w:rFonts w:asciiTheme="majorBidi" w:eastAsia="Times New Roman" w:hAnsiTheme="majorBidi" w:cstheme="majorBidi"/>
                <w:b/>
                <w:bCs/>
                <w:color w:val="000000"/>
                <w:szCs w:val="22"/>
              </w:rPr>
              <w:t>Contract Type</w:t>
            </w:r>
          </w:p>
        </w:tc>
        <w:tc>
          <w:tcPr>
            <w:tcW w:w="3671" w:type="dxa"/>
            <w:tcBorders>
              <w:top w:val="nil"/>
              <w:left w:val="nil"/>
              <w:bottom w:val="single" w:sz="4" w:space="0" w:color="auto"/>
              <w:right w:val="single" w:sz="4" w:space="0" w:color="auto"/>
            </w:tcBorders>
            <w:hideMark/>
          </w:tcPr>
          <w:p w14:paraId="0C73EF2C"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Conventional  Contract</w:t>
            </w:r>
          </w:p>
        </w:tc>
        <w:tc>
          <w:tcPr>
            <w:tcW w:w="3837" w:type="dxa"/>
            <w:tcBorders>
              <w:top w:val="nil"/>
              <w:left w:val="nil"/>
              <w:bottom w:val="single" w:sz="4" w:space="0" w:color="auto"/>
              <w:right w:val="single" w:sz="4" w:space="0" w:color="auto"/>
            </w:tcBorders>
            <w:hideMark/>
          </w:tcPr>
          <w:p w14:paraId="56AB2427"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The most dominant type of contract used by healthcare facilities in the West Jakarta area</w:t>
            </w:r>
          </w:p>
        </w:tc>
      </w:tr>
      <w:tr w:rsidR="002C688A" w:rsidRPr="007B5462" w14:paraId="5AFEF6E5" w14:textId="77777777" w:rsidTr="005E1004">
        <w:trPr>
          <w:trHeight w:val="447"/>
        </w:trPr>
        <w:tc>
          <w:tcPr>
            <w:tcW w:w="1555" w:type="dxa"/>
            <w:vMerge/>
            <w:tcBorders>
              <w:top w:val="nil"/>
              <w:left w:val="single" w:sz="4" w:space="0" w:color="auto"/>
              <w:bottom w:val="single" w:sz="4" w:space="0" w:color="000000"/>
              <w:right w:val="single" w:sz="4" w:space="0" w:color="auto"/>
            </w:tcBorders>
            <w:vAlign w:val="center"/>
            <w:hideMark/>
          </w:tcPr>
          <w:p w14:paraId="7C9E0536" w14:textId="77777777" w:rsidR="002C688A" w:rsidRPr="007B5462" w:rsidRDefault="002C688A" w:rsidP="00F62733">
            <w:pPr>
              <w:spacing w:line="240" w:lineRule="auto"/>
              <w:rPr>
                <w:rFonts w:asciiTheme="majorBidi" w:eastAsia="Times New Roman" w:hAnsiTheme="majorBidi" w:cstheme="majorBidi"/>
                <w:b/>
                <w:bCs/>
                <w:color w:val="000000"/>
                <w:szCs w:val="22"/>
              </w:rPr>
            </w:pPr>
          </w:p>
        </w:tc>
        <w:tc>
          <w:tcPr>
            <w:tcW w:w="3671" w:type="dxa"/>
            <w:tcBorders>
              <w:top w:val="nil"/>
              <w:left w:val="nil"/>
              <w:bottom w:val="single" w:sz="4" w:space="0" w:color="auto"/>
              <w:right w:val="single" w:sz="4" w:space="0" w:color="auto"/>
            </w:tcBorders>
            <w:hideMark/>
          </w:tcPr>
          <w:p w14:paraId="553AD364"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Electronic Contract</w:t>
            </w:r>
          </w:p>
        </w:tc>
        <w:tc>
          <w:tcPr>
            <w:tcW w:w="3837" w:type="dxa"/>
            <w:tcBorders>
              <w:top w:val="nil"/>
              <w:left w:val="nil"/>
              <w:bottom w:val="single" w:sz="4" w:space="0" w:color="auto"/>
              <w:right w:val="single" w:sz="4" w:space="0" w:color="auto"/>
            </w:tcBorders>
            <w:hideMark/>
          </w:tcPr>
          <w:p w14:paraId="4CCC7706"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Used by a smaller proportion of healthcare facilities with adequate infrastructure readiness and supportive internal policies</w:t>
            </w:r>
          </w:p>
        </w:tc>
      </w:tr>
      <w:tr w:rsidR="002C688A" w:rsidRPr="007B5462" w14:paraId="7010127C" w14:textId="77777777" w:rsidTr="005E1004">
        <w:trPr>
          <w:trHeight w:val="277"/>
        </w:trPr>
        <w:tc>
          <w:tcPr>
            <w:tcW w:w="1555" w:type="dxa"/>
            <w:vMerge w:val="restart"/>
            <w:tcBorders>
              <w:top w:val="nil"/>
              <w:left w:val="single" w:sz="4" w:space="0" w:color="auto"/>
              <w:bottom w:val="single" w:sz="4" w:space="0" w:color="000000"/>
              <w:right w:val="single" w:sz="4" w:space="0" w:color="auto"/>
            </w:tcBorders>
            <w:hideMark/>
          </w:tcPr>
          <w:p w14:paraId="0252A79B" w14:textId="77777777" w:rsidR="002C688A" w:rsidRPr="007B5462" w:rsidRDefault="002C688A" w:rsidP="00F62733">
            <w:pPr>
              <w:spacing w:line="240" w:lineRule="auto"/>
              <w:rPr>
                <w:rFonts w:asciiTheme="majorBidi" w:eastAsia="Times New Roman" w:hAnsiTheme="majorBidi" w:cstheme="majorBidi"/>
                <w:b/>
                <w:bCs/>
                <w:color w:val="000000"/>
                <w:szCs w:val="22"/>
              </w:rPr>
            </w:pPr>
            <w:r w:rsidRPr="007B5462">
              <w:rPr>
                <w:rFonts w:asciiTheme="majorBidi" w:eastAsia="Times New Roman" w:hAnsiTheme="majorBidi" w:cstheme="majorBidi"/>
                <w:b/>
                <w:bCs/>
                <w:color w:val="000000"/>
                <w:szCs w:val="22"/>
              </w:rPr>
              <w:t>Contract Completion Timeliness</w:t>
            </w:r>
          </w:p>
        </w:tc>
        <w:tc>
          <w:tcPr>
            <w:tcW w:w="3671" w:type="dxa"/>
            <w:tcBorders>
              <w:top w:val="nil"/>
              <w:left w:val="nil"/>
              <w:bottom w:val="single" w:sz="4" w:space="0" w:color="auto"/>
              <w:right w:val="single" w:sz="4" w:space="0" w:color="auto"/>
            </w:tcBorders>
            <w:hideMark/>
          </w:tcPr>
          <w:p w14:paraId="37F494D0"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On time</w:t>
            </w:r>
          </w:p>
        </w:tc>
        <w:tc>
          <w:tcPr>
            <w:tcW w:w="3837" w:type="dxa"/>
            <w:tcBorders>
              <w:top w:val="nil"/>
              <w:left w:val="nil"/>
              <w:bottom w:val="single" w:sz="4" w:space="0" w:color="auto"/>
              <w:right w:val="single" w:sz="4" w:space="0" w:color="auto"/>
            </w:tcBorders>
            <w:hideMark/>
          </w:tcPr>
          <w:p w14:paraId="3CFDCF8C"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A higher proportion of on-time completion was observed for electronic contracts compared to conventional  contracts</w:t>
            </w:r>
          </w:p>
        </w:tc>
      </w:tr>
      <w:tr w:rsidR="002C688A" w:rsidRPr="007B5462" w14:paraId="3F6995E7" w14:textId="77777777" w:rsidTr="005E1004">
        <w:trPr>
          <w:trHeight w:val="24"/>
        </w:trPr>
        <w:tc>
          <w:tcPr>
            <w:tcW w:w="1555" w:type="dxa"/>
            <w:vMerge/>
            <w:tcBorders>
              <w:top w:val="nil"/>
              <w:left w:val="single" w:sz="4" w:space="0" w:color="auto"/>
              <w:bottom w:val="single" w:sz="4" w:space="0" w:color="000000"/>
              <w:right w:val="single" w:sz="4" w:space="0" w:color="auto"/>
            </w:tcBorders>
            <w:vAlign w:val="center"/>
            <w:hideMark/>
          </w:tcPr>
          <w:p w14:paraId="33A21D14" w14:textId="77777777" w:rsidR="002C688A" w:rsidRPr="007B5462" w:rsidRDefault="002C688A" w:rsidP="00F62733">
            <w:pPr>
              <w:spacing w:line="240" w:lineRule="auto"/>
              <w:rPr>
                <w:rFonts w:asciiTheme="majorBidi" w:eastAsia="Times New Roman" w:hAnsiTheme="majorBidi" w:cstheme="majorBidi"/>
                <w:b/>
                <w:bCs/>
                <w:color w:val="000000"/>
                <w:szCs w:val="22"/>
              </w:rPr>
            </w:pPr>
          </w:p>
        </w:tc>
        <w:tc>
          <w:tcPr>
            <w:tcW w:w="3671" w:type="dxa"/>
            <w:tcBorders>
              <w:top w:val="nil"/>
              <w:left w:val="nil"/>
              <w:bottom w:val="single" w:sz="4" w:space="0" w:color="auto"/>
              <w:right w:val="single" w:sz="4" w:space="0" w:color="auto"/>
            </w:tcBorders>
            <w:hideMark/>
          </w:tcPr>
          <w:p w14:paraId="6D424FD2"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Delayed</w:t>
            </w:r>
          </w:p>
        </w:tc>
        <w:tc>
          <w:tcPr>
            <w:tcW w:w="3837" w:type="dxa"/>
            <w:tcBorders>
              <w:top w:val="nil"/>
              <w:left w:val="nil"/>
              <w:bottom w:val="single" w:sz="4" w:space="0" w:color="auto"/>
              <w:right w:val="single" w:sz="4" w:space="0" w:color="auto"/>
            </w:tcBorders>
            <w:hideMark/>
          </w:tcPr>
          <w:p w14:paraId="23FD170A"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More frequently observed in conventional  contracts</w:t>
            </w:r>
          </w:p>
        </w:tc>
      </w:tr>
      <w:tr w:rsidR="002C688A" w:rsidRPr="007B5462" w14:paraId="008615F0" w14:textId="77777777" w:rsidTr="005E1004">
        <w:trPr>
          <w:trHeight w:val="116"/>
        </w:trPr>
        <w:tc>
          <w:tcPr>
            <w:tcW w:w="1555" w:type="dxa"/>
            <w:vMerge w:val="restart"/>
            <w:tcBorders>
              <w:top w:val="nil"/>
              <w:left w:val="single" w:sz="4" w:space="0" w:color="auto"/>
              <w:bottom w:val="single" w:sz="4" w:space="0" w:color="000000"/>
              <w:right w:val="single" w:sz="4" w:space="0" w:color="auto"/>
            </w:tcBorders>
            <w:hideMark/>
          </w:tcPr>
          <w:p w14:paraId="50A88C65" w14:textId="77777777" w:rsidR="002C688A" w:rsidRPr="007B5462" w:rsidRDefault="002C688A" w:rsidP="00F62733">
            <w:pPr>
              <w:spacing w:line="240" w:lineRule="auto"/>
              <w:rPr>
                <w:rFonts w:asciiTheme="majorBidi" w:eastAsia="Times New Roman" w:hAnsiTheme="majorBidi" w:cstheme="majorBidi"/>
                <w:b/>
                <w:bCs/>
                <w:color w:val="000000"/>
                <w:szCs w:val="22"/>
              </w:rPr>
            </w:pPr>
            <w:r w:rsidRPr="007B5462">
              <w:rPr>
                <w:rFonts w:asciiTheme="majorBidi" w:eastAsia="Times New Roman" w:hAnsiTheme="majorBidi" w:cstheme="majorBidi"/>
                <w:b/>
                <w:bCs/>
                <w:color w:val="000000"/>
                <w:szCs w:val="22"/>
              </w:rPr>
              <w:t>Contract Completion Duration</w:t>
            </w:r>
          </w:p>
        </w:tc>
        <w:tc>
          <w:tcPr>
            <w:tcW w:w="3671" w:type="dxa"/>
            <w:tcBorders>
              <w:top w:val="nil"/>
              <w:left w:val="nil"/>
              <w:bottom w:val="single" w:sz="4" w:space="0" w:color="auto"/>
              <w:right w:val="single" w:sz="4" w:space="0" w:color="auto"/>
            </w:tcBorders>
            <w:hideMark/>
          </w:tcPr>
          <w:p w14:paraId="6D1ED17C"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Electronic Contract</w:t>
            </w:r>
          </w:p>
        </w:tc>
        <w:tc>
          <w:tcPr>
            <w:tcW w:w="3837" w:type="dxa"/>
            <w:tcBorders>
              <w:top w:val="nil"/>
              <w:left w:val="nil"/>
              <w:bottom w:val="single" w:sz="4" w:space="0" w:color="auto"/>
              <w:right w:val="single" w:sz="4" w:space="0" w:color="auto"/>
            </w:tcBorders>
            <w:hideMark/>
          </w:tcPr>
          <w:p w14:paraId="5257773C"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Average completion duration of 2–3 working days</w:t>
            </w:r>
          </w:p>
        </w:tc>
      </w:tr>
      <w:tr w:rsidR="002C688A" w:rsidRPr="007B5462" w14:paraId="12875B1F" w14:textId="77777777" w:rsidTr="005E1004">
        <w:trPr>
          <w:trHeight w:val="24"/>
        </w:trPr>
        <w:tc>
          <w:tcPr>
            <w:tcW w:w="1555" w:type="dxa"/>
            <w:vMerge/>
            <w:tcBorders>
              <w:top w:val="nil"/>
              <w:left w:val="single" w:sz="4" w:space="0" w:color="auto"/>
              <w:bottom w:val="single" w:sz="4" w:space="0" w:color="000000"/>
              <w:right w:val="single" w:sz="4" w:space="0" w:color="auto"/>
            </w:tcBorders>
            <w:vAlign w:val="center"/>
            <w:hideMark/>
          </w:tcPr>
          <w:p w14:paraId="33044333" w14:textId="77777777" w:rsidR="002C688A" w:rsidRPr="007B5462" w:rsidRDefault="002C688A" w:rsidP="00F62733">
            <w:pPr>
              <w:spacing w:line="240" w:lineRule="auto"/>
              <w:rPr>
                <w:rFonts w:asciiTheme="majorBidi" w:eastAsia="Times New Roman" w:hAnsiTheme="majorBidi" w:cstheme="majorBidi"/>
                <w:b/>
                <w:bCs/>
                <w:color w:val="000000"/>
                <w:szCs w:val="22"/>
              </w:rPr>
            </w:pPr>
          </w:p>
        </w:tc>
        <w:tc>
          <w:tcPr>
            <w:tcW w:w="3671" w:type="dxa"/>
            <w:tcBorders>
              <w:top w:val="nil"/>
              <w:left w:val="nil"/>
              <w:bottom w:val="single" w:sz="4" w:space="0" w:color="auto"/>
              <w:right w:val="single" w:sz="4" w:space="0" w:color="auto"/>
            </w:tcBorders>
            <w:hideMark/>
          </w:tcPr>
          <w:p w14:paraId="4592B90B"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Conventional  Contract</w:t>
            </w:r>
          </w:p>
        </w:tc>
        <w:tc>
          <w:tcPr>
            <w:tcW w:w="3837" w:type="dxa"/>
            <w:tcBorders>
              <w:top w:val="nil"/>
              <w:left w:val="nil"/>
              <w:bottom w:val="single" w:sz="4" w:space="0" w:color="auto"/>
              <w:right w:val="single" w:sz="4" w:space="0" w:color="auto"/>
            </w:tcBorders>
            <w:hideMark/>
          </w:tcPr>
          <w:p w14:paraId="28D1C535" w14:textId="77777777" w:rsidR="002C688A" w:rsidRPr="007B5462" w:rsidRDefault="002C688A" w:rsidP="00F62733">
            <w:pPr>
              <w:spacing w:line="240" w:lineRule="auto"/>
              <w:rPr>
                <w:rFonts w:asciiTheme="majorBidi" w:eastAsia="Times New Roman" w:hAnsiTheme="majorBidi" w:cstheme="majorBidi"/>
                <w:color w:val="000000"/>
                <w:szCs w:val="22"/>
              </w:rPr>
            </w:pPr>
            <w:r w:rsidRPr="007B5462">
              <w:rPr>
                <w:rFonts w:asciiTheme="majorBidi" w:eastAsia="Times New Roman" w:hAnsiTheme="majorBidi" w:cstheme="majorBidi"/>
                <w:color w:val="000000"/>
                <w:szCs w:val="22"/>
              </w:rPr>
              <w:t>Average completion duration of 10–14 working days</w:t>
            </w:r>
          </w:p>
        </w:tc>
      </w:tr>
    </w:tbl>
    <w:p w14:paraId="409E3034" w14:textId="77777777" w:rsidR="000B2910" w:rsidRPr="002F741D" w:rsidRDefault="000B2910"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lastRenderedPageBreak/>
        <w:t>In terms of timeliness, electronic contracts demonstrated a higher proportion of on-time completion compared to conventional printed   contracts. The average completion duration for electronic contracts ranged from 2–3 working days, whereas conventional printed   contracts required a considerably longer period, approximately 10–14 working days. These findings indicate that, from a descriptive perspective, electronic contracts exhibit superior time performance in supporting the completion of partnership agreements.</w:t>
      </w:r>
    </w:p>
    <w:p w14:paraId="3B3FB062" w14:textId="3B38B7C9" w:rsidR="005E1004" w:rsidRPr="002F741D" w:rsidRDefault="005E1004"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Table 1 presents a summary of the univariate analysis results on the implementation of partnership contracts at the BPJS Kesehatan West Jakarta Branch. Descriptively, conventional  contracts remain the predominant type of contract used. However, electronic contracts demonstrate superior time-based performance, as indicated by shorter completion durations and a higher proportion of on-time completion. Time Efficiency Ratio (TER) and Schedule Performance Index (SPI) values greater than one indicate that, at the univariate level, electronic contracts are more effective than conventional  contracts in managing partnerships with healthcare facilities.</w:t>
      </w:r>
    </w:p>
    <w:p w14:paraId="7E01C48B" w14:textId="77777777" w:rsidR="00227773" w:rsidRPr="002F741D" w:rsidRDefault="00227773" w:rsidP="007E5DAD">
      <w:pPr>
        <w:spacing w:before="240" w:after="240" w:line="480" w:lineRule="auto"/>
        <w:jc w:val="both"/>
        <w:rPr>
          <w:rFonts w:asciiTheme="majorBidi" w:hAnsiTheme="majorBidi" w:cstheme="majorBidi"/>
          <w:szCs w:val="22"/>
        </w:rPr>
      </w:pPr>
      <w:r w:rsidRPr="002F741D">
        <w:rPr>
          <w:rFonts w:asciiTheme="majorBidi" w:hAnsiTheme="majorBidi" w:cstheme="majorBidi"/>
          <w:szCs w:val="22"/>
        </w:rPr>
        <w:t>Bivariate analysis was conducted to examine the relationship between contract type and effectiveness indicators, namely contract completion timeliness and contract completion duration. The Chi-Square test was used to analyze the association between contract type (conventional  and electronic) and contract completion timeliness.</w:t>
      </w:r>
    </w:p>
    <w:p w14:paraId="57302471" w14:textId="77777777" w:rsidR="00227773" w:rsidRPr="002F741D" w:rsidRDefault="00227773" w:rsidP="007E5DAD">
      <w:pPr>
        <w:spacing w:after="240" w:line="480" w:lineRule="auto"/>
        <w:jc w:val="both"/>
        <w:rPr>
          <w:rFonts w:asciiTheme="majorBidi" w:hAnsiTheme="majorBidi" w:cstheme="majorBidi"/>
          <w:szCs w:val="22"/>
        </w:rPr>
      </w:pPr>
      <w:r w:rsidRPr="002F741D">
        <w:rPr>
          <w:rFonts w:asciiTheme="majorBidi" w:hAnsiTheme="majorBidi" w:cstheme="majorBidi"/>
          <w:szCs w:val="22"/>
        </w:rPr>
        <w:t>The results of the Chi-Square test indicate a statistically significant association between contract type and contract completion timeliness (</w:t>
      </w:r>
      <w:r w:rsidRPr="002F741D">
        <w:rPr>
          <w:rFonts w:asciiTheme="majorBidi" w:hAnsiTheme="majorBidi" w:cstheme="majorBidi"/>
          <w:b/>
          <w:bCs/>
          <w:szCs w:val="22"/>
        </w:rPr>
        <w:t>p &lt; 0.05</w:t>
      </w:r>
      <w:r w:rsidRPr="002F741D">
        <w:rPr>
          <w:rFonts w:asciiTheme="majorBidi" w:hAnsiTheme="majorBidi" w:cstheme="majorBidi"/>
          <w:szCs w:val="22"/>
        </w:rPr>
        <w:t xml:space="preserve">). This finding suggests that the use of electronic contracts is associated with a higher likelihood of timely contract completion compared to conventional  contracts </w:t>
      </w:r>
    </w:p>
    <w:p w14:paraId="7D4DF1AF" w14:textId="1A59A2A9" w:rsidR="00227773" w:rsidRPr="002F741D" w:rsidRDefault="00227773" w:rsidP="007E5DAD">
      <w:pPr>
        <w:spacing w:after="240" w:line="480" w:lineRule="auto"/>
        <w:jc w:val="both"/>
        <w:rPr>
          <w:rFonts w:asciiTheme="majorBidi" w:hAnsiTheme="majorBidi" w:cstheme="majorBidi"/>
          <w:szCs w:val="22"/>
        </w:rPr>
      </w:pPr>
      <w:r w:rsidRPr="002F741D">
        <w:rPr>
          <w:rFonts w:asciiTheme="majorBidi" w:hAnsiTheme="majorBidi" w:cstheme="majorBidi"/>
          <w:szCs w:val="22"/>
        </w:rPr>
        <w:t>Furthermore, the Mann–Whitney U test was applied to compare contract completion duration between conventional  and electronic contracts. The test results show a statistically significant difference in completion duration (</w:t>
      </w:r>
      <w:r w:rsidRPr="002F741D">
        <w:rPr>
          <w:rFonts w:asciiTheme="majorBidi" w:hAnsiTheme="majorBidi" w:cstheme="majorBidi"/>
          <w:b/>
          <w:bCs/>
          <w:szCs w:val="22"/>
        </w:rPr>
        <w:t>p &lt; 0.05</w:t>
      </w:r>
      <w:r w:rsidRPr="002F741D">
        <w:rPr>
          <w:rFonts w:asciiTheme="majorBidi" w:hAnsiTheme="majorBidi" w:cstheme="majorBidi"/>
          <w:szCs w:val="22"/>
        </w:rPr>
        <w:t>), with electronic contracts requiring significantly less time to complete than conventional  contracts.</w:t>
      </w:r>
    </w:p>
    <w:p w14:paraId="2C8F590E" w14:textId="1FF9E8F4" w:rsidR="000B2910" w:rsidRDefault="000B2910" w:rsidP="007E5DAD">
      <w:pPr>
        <w:spacing w:after="240" w:line="480" w:lineRule="auto"/>
        <w:jc w:val="both"/>
        <w:rPr>
          <w:rFonts w:asciiTheme="majorBidi" w:hAnsiTheme="majorBidi" w:cstheme="majorBidi"/>
          <w:szCs w:val="22"/>
        </w:rPr>
      </w:pPr>
      <w:r w:rsidRPr="002F741D">
        <w:rPr>
          <w:rFonts w:asciiTheme="majorBidi" w:hAnsiTheme="majorBidi" w:cstheme="majorBidi"/>
          <w:szCs w:val="22"/>
        </w:rPr>
        <w:lastRenderedPageBreak/>
        <w:t xml:space="preserve">The calculation of the </w:t>
      </w:r>
      <w:r w:rsidRPr="002F741D">
        <w:rPr>
          <w:rFonts w:asciiTheme="majorBidi" w:hAnsiTheme="majorBidi" w:cstheme="majorBidi"/>
          <w:b/>
          <w:bCs/>
          <w:szCs w:val="22"/>
        </w:rPr>
        <w:t>Time Efficiency Ratio (TER)</w:t>
      </w:r>
      <w:r w:rsidRPr="002F741D">
        <w:rPr>
          <w:rFonts w:asciiTheme="majorBidi" w:hAnsiTheme="majorBidi" w:cstheme="majorBidi"/>
          <w:szCs w:val="22"/>
        </w:rPr>
        <w:t xml:space="preserve"> yielded values greater than one, indicating that the electronic contract system is quantitatively faster than the conventional  contract system. In addition, </w:t>
      </w:r>
      <w:r w:rsidRPr="002F741D">
        <w:rPr>
          <w:rFonts w:asciiTheme="majorBidi" w:hAnsiTheme="majorBidi" w:cstheme="majorBidi"/>
          <w:b/>
          <w:bCs/>
          <w:szCs w:val="22"/>
        </w:rPr>
        <w:t>Schedule Performance Index (SPI)</w:t>
      </w:r>
      <w:r w:rsidRPr="002F741D">
        <w:rPr>
          <w:rFonts w:asciiTheme="majorBidi" w:hAnsiTheme="majorBidi" w:cstheme="majorBidi"/>
          <w:szCs w:val="22"/>
        </w:rPr>
        <w:t xml:space="preserve"> values exceeding one indicate that electronic contract completion surpassed the planned schedule targets </w:t>
      </w:r>
      <w:r w:rsidRPr="002F741D">
        <w:rPr>
          <w:rFonts w:asciiTheme="majorBidi" w:hAnsiTheme="majorBidi" w:cstheme="majorBidi"/>
          <w:szCs w:val="22"/>
        </w:rPr>
        <w:fldChar w:fldCharType="begin" w:fldLock="1"/>
      </w:r>
      <w:r w:rsidR="00F62733">
        <w:rPr>
          <w:rFonts w:asciiTheme="majorBidi" w:hAnsiTheme="majorBidi" w:cstheme="majorBidi"/>
          <w:szCs w:val="22"/>
        </w:rPr>
        <w:instrText>ADDIN CSL_CITATION {"citationItems":[{"id":"ITEM-1","itemData":{"DOI":"10.3390/buildings12081198","ISSN":"20755309","abstract":"The aim of the research results presented in the article was to develop a method that enables the analysis and evaluation of deviations at the stage of implementing a construction investment in various construction sectors. The new method was based on the well-known Earned Value Method (EVM). It was assumed that the monitoring of costs and the constant control of the implementation time of construction projects, with the simultaneous analysis of the level of deviations, allows for the consistent management of the investment task. Moreover, it ensures—in the required time—the adoption of appropriate improvement actions, and also enables the quantification of risk during the planning of an investment. The article attempts to prove the validity of the assumption about the necessity of the cyclical verification of the level of deviations in construction projects budget and schedule. Such an approach provides numerous perceptible benefits; such as the precise determination of the size of possible losses; an immediate reaction to risk; and the possibility of making changes at every stage of implementing an investment. On the basis of the analysis of the author’s own research carried out in three research groups of facilities (collective housing; hotels; and commercial and service facilities), an original attempt was made to determine the size of cost and time performance indexes of various investment tasks. The values of these performance indexes were determined, and are presented as quantile images in boxplots.","author":[{"dropping-particle":"","family":"Konior","given":"Jarosław","non-dropping-particle":"","parse-names":false,"suffix":""}],"container-title":"Buildings","id":"ITEM-1","issue":"8","issued":{"date-parts":[["2022"]]},"title":"Determining Cost and Time Performance Indexes for Diversified Investment Tasks","type":"article-journal","volume":"12"},"uris":["http://www.mendeley.com/documents/?uuid=359f8fc8-8640-4063-a540-5528fd040470"]},{"id":"ITEM-2","itemData":{"DOI":"10.7454/ihpa.v10i1.1140","ISSN":"24601330","abstract":"This paper delves into the widespread implementation of Electronic Medical Records (EMR) within healthcare facilities across Indonesia. It addresses the challenges encountered by clinic owners and healthcare providers in transitioning to these digital systems. The study is supported by empirical data collected through a mixed-method approach, combining internal data from Klinik Pintar with qualitative validation from key stakeholders responsible for clinic operations. The research focuses on two case studies: LAPAS II Purwokerto Clinic and PMI Purbalingga Clinic, where the adoption of EMR is analyzed in terms of efficiency, compliance with regulatory standards set by the Ministry of Communication and Informatics (Kominfo) and the Ministry of Health (Kemenkes), and its impact on daily healthcare workflows. Through in-depth interviews and observational studies, the perspectives of clinic administrators, healthcare professionals, and IT personnel are explored to understand the benefits and constraints of EMR implementation in real-world settings. The findings highlight key factors influencing successful EMR adoption, including user training, infrastructure readiness, and regulatory compliance. Additionally, barriers such as resistance to change, technical limitations, and integration challenges with existing healthcare systems are discussed. This study provides valuable insights for policymakers, healthcare providers, and technology developers in enhancing the effectiveness of EMR implementation in Indonesian healthcare facilities.","author":[{"dropping-particle":"","family":"Juliansyah","given":"Rasyid","non-dropping-particle":"","parse-names":false,"suffix":""}],"container-title":"Journal of Indonesian Health Policy and Administration","id":"ITEM-2","issue":"1","issued":{"date-parts":[["2025"]]},"title":"Implementation of EMR System in Indonesian Health Facilities: Benefits and Constraints","type":"article-journal","volume":"10"},"uris":["http://www.mendeley.com/documents/?uuid=86420216-66da-475d-ab19-6671f7d12077"]}],"mendeley":{"formattedCitation":"(Juliansyah, 2025; Konior, 2022)","plainTextFormattedCitation":"(Juliansyah, 2025; Konior, 2022)","previouslyFormattedCitation":"(Juliansyah, 2025; Konior, 2022)"},"properties":{"noteIndex":0},"schema":"https://github.com/citation-style-language/schema/raw/master/csl-citation.json"}</w:instrText>
      </w:r>
      <w:r w:rsidRPr="002F741D">
        <w:rPr>
          <w:rFonts w:asciiTheme="majorBidi" w:hAnsiTheme="majorBidi" w:cstheme="majorBidi"/>
          <w:szCs w:val="22"/>
        </w:rPr>
        <w:fldChar w:fldCharType="separate"/>
      </w:r>
      <w:r w:rsidRPr="002F741D">
        <w:rPr>
          <w:rFonts w:asciiTheme="majorBidi" w:hAnsiTheme="majorBidi" w:cstheme="majorBidi"/>
          <w:noProof/>
          <w:szCs w:val="22"/>
        </w:rPr>
        <w:t>(Juliansyah, 2025; Konior, 2022)</w:t>
      </w:r>
      <w:r w:rsidRPr="002F741D">
        <w:rPr>
          <w:rFonts w:asciiTheme="majorBidi" w:hAnsiTheme="majorBidi" w:cstheme="majorBidi"/>
          <w:szCs w:val="22"/>
        </w:rPr>
        <w:fldChar w:fldCharType="end"/>
      </w:r>
      <w:r w:rsidRPr="002F741D">
        <w:rPr>
          <w:rFonts w:asciiTheme="majorBidi" w:hAnsiTheme="majorBidi" w:cstheme="majorBidi"/>
          <w:szCs w:val="22"/>
        </w:rPr>
        <w:t>.</w:t>
      </w:r>
    </w:p>
    <w:p w14:paraId="7372DA47" w14:textId="77777777" w:rsidR="007B5462" w:rsidRPr="002F741D" w:rsidRDefault="007B5462" w:rsidP="007E5DAD">
      <w:pPr>
        <w:spacing w:line="480" w:lineRule="auto"/>
        <w:jc w:val="both"/>
        <w:rPr>
          <w:rFonts w:asciiTheme="majorBidi" w:hAnsiTheme="majorBidi" w:cstheme="majorBidi"/>
          <w:szCs w:val="22"/>
        </w:rPr>
      </w:pPr>
    </w:p>
    <w:p w14:paraId="20F28FCE" w14:textId="77777777" w:rsidR="000B2910" w:rsidRPr="002F741D" w:rsidRDefault="000B2910" w:rsidP="007E5DAD">
      <w:pPr>
        <w:spacing w:line="480" w:lineRule="auto"/>
        <w:rPr>
          <w:rFonts w:asciiTheme="majorBidi" w:hAnsiTheme="majorBidi" w:cstheme="majorBidi"/>
          <w:b/>
          <w:bCs/>
          <w:szCs w:val="22"/>
        </w:rPr>
      </w:pPr>
      <w:r w:rsidRPr="002F741D">
        <w:rPr>
          <w:rFonts w:asciiTheme="majorBidi" w:hAnsiTheme="majorBidi" w:cstheme="majorBidi"/>
          <w:b/>
          <w:bCs/>
          <w:szCs w:val="22"/>
        </w:rPr>
        <w:t>Table 2. Summary of Bivariate Analysis Results</w:t>
      </w:r>
    </w:p>
    <w:tbl>
      <w:tblPr>
        <w:tblW w:w="9067" w:type="dxa"/>
        <w:tblLook w:val="04A0" w:firstRow="1" w:lastRow="0" w:firstColumn="1" w:lastColumn="0" w:noHBand="0" w:noVBand="1"/>
      </w:tblPr>
      <w:tblGrid>
        <w:gridCol w:w="1667"/>
        <w:gridCol w:w="1618"/>
        <w:gridCol w:w="1228"/>
        <w:gridCol w:w="1698"/>
        <w:gridCol w:w="761"/>
        <w:gridCol w:w="2095"/>
      </w:tblGrid>
      <w:tr w:rsidR="000B2910" w:rsidRPr="000B2910" w14:paraId="4D520F52" w14:textId="77777777" w:rsidTr="000B2910">
        <w:trPr>
          <w:trHeight w:val="462"/>
        </w:trPr>
        <w:tc>
          <w:tcPr>
            <w:tcW w:w="1667" w:type="dxa"/>
            <w:tcBorders>
              <w:top w:val="single" w:sz="4" w:space="0" w:color="auto"/>
              <w:left w:val="single" w:sz="4" w:space="0" w:color="auto"/>
              <w:bottom w:val="single" w:sz="4" w:space="0" w:color="auto"/>
              <w:right w:val="single" w:sz="4" w:space="0" w:color="auto"/>
            </w:tcBorders>
            <w:vAlign w:val="center"/>
            <w:hideMark/>
          </w:tcPr>
          <w:p w14:paraId="1483A575" w14:textId="77777777" w:rsidR="000B2910" w:rsidRPr="000B2910" w:rsidRDefault="000B2910" w:rsidP="00F62733">
            <w:pPr>
              <w:spacing w:line="240" w:lineRule="auto"/>
              <w:jc w:val="center"/>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Independent Variable</w:t>
            </w:r>
          </w:p>
        </w:tc>
        <w:tc>
          <w:tcPr>
            <w:tcW w:w="1618" w:type="dxa"/>
            <w:tcBorders>
              <w:top w:val="single" w:sz="4" w:space="0" w:color="auto"/>
              <w:left w:val="nil"/>
              <w:bottom w:val="single" w:sz="4" w:space="0" w:color="auto"/>
              <w:right w:val="single" w:sz="4" w:space="0" w:color="auto"/>
            </w:tcBorders>
            <w:vAlign w:val="center"/>
            <w:hideMark/>
          </w:tcPr>
          <w:p w14:paraId="196F4842" w14:textId="77777777" w:rsidR="000B2910" w:rsidRPr="000B2910" w:rsidRDefault="000B2910" w:rsidP="00F62733">
            <w:pPr>
              <w:spacing w:line="240" w:lineRule="auto"/>
              <w:jc w:val="center"/>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Dependent Variable</w:t>
            </w:r>
          </w:p>
        </w:tc>
        <w:tc>
          <w:tcPr>
            <w:tcW w:w="1228" w:type="dxa"/>
            <w:tcBorders>
              <w:top w:val="single" w:sz="4" w:space="0" w:color="auto"/>
              <w:left w:val="nil"/>
              <w:bottom w:val="single" w:sz="4" w:space="0" w:color="auto"/>
              <w:right w:val="single" w:sz="4" w:space="0" w:color="auto"/>
            </w:tcBorders>
            <w:vAlign w:val="center"/>
            <w:hideMark/>
          </w:tcPr>
          <w:p w14:paraId="5D33BBC8" w14:textId="77777777" w:rsidR="000B2910" w:rsidRPr="000B2910" w:rsidRDefault="000B2910" w:rsidP="00F62733">
            <w:pPr>
              <w:spacing w:line="240" w:lineRule="auto"/>
              <w:jc w:val="center"/>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Statistical Test</w:t>
            </w:r>
          </w:p>
        </w:tc>
        <w:tc>
          <w:tcPr>
            <w:tcW w:w="1698" w:type="dxa"/>
            <w:tcBorders>
              <w:top w:val="single" w:sz="4" w:space="0" w:color="auto"/>
              <w:left w:val="nil"/>
              <w:bottom w:val="single" w:sz="4" w:space="0" w:color="auto"/>
              <w:right w:val="single" w:sz="4" w:space="0" w:color="auto"/>
            </w:tcBorders>
            <w:vAlign w:val="center"/>
            <w:hideMark/>
          </w:tcPr>
          <w:p w14:paraId="24B7BD27" w14:textId="77777777" w:rsidR="000B2910" w:rsidRPr="000B2910" w:rsidRDefault="000B2910" w:rsidP="00F62733">
            <w:pPr>
              <w:spacing w:line="240" w:lineRule="auto"/>
              <w:jc w:val="center"/>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Test Result</w:t>
            </w:r>
          </w:p>
        </w:tc>
        <w:tc>
          <w:tcPr>
            <w:tcW w:w="761" w:type="dxa"/>
            <w:tcBorders>
              <w:top w:val="single" w:sz="4" w:space="0" w:color="auto"/>
              <w:left w:val="nil"/>
              <w:bottom w:val="single" w:sz="4" w:space="0" w:color="auto"/>
              <w:right w:val="single" w:sz="4" w:space="0" w:color="auto"/>
            </w:tcBorders>
            <w:vAlign w:val="center"/>
            <w:hideMark/>
          </w:tcPr>
          <w:p w14:paraId="37E03E4F" w14:textId="77777777" w:rsidR="000B2910" w:rsidRPr="000B2910" w:rsidRDefault="000B2910" w:rsidP="00F62733">
            <w:pPr>
              <w:spacing w:line="240" w:lineRule="auto"/>
              <w:jc w:val="center"/>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p-value</w:t>
            </w:r>
          </w:p>
        </w:tc>
        <w:tc>
          <w:tcPr>
            <w:tcW w:w="2095" w:type="dxa"/>
            <w:tcBorders>
              <w:top w:val="single" w:sz="4" w:space="0" w:color="auto"/>
              <w:left w:val="nil"/>
              <w:bottom w:val="single" w:sz="4" w:space="0" w:color="auto"/>
              <w:right w:val="single" w:sz="4" w:space="0" w:color="auto"/>
            </w:tcBorders>
            <w:vAlign w:val="center"/>
            <w:hideMark/>
          </w:tcPr>
          <w:p w14:paraId="30C33EEE" w14:textId="77777777" w:rsidR="000B2910" w:rsidRPr="000B2910" w:rsidRDefault="000B2910" w:rsidP="00F62733">
            <w:pPr>
              <w:spacing w:line="240" w:lineRule="auto"/>
              <w:jc w:val="center"/>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Interpretation</w:t>
            </w:r>
          </w:p>
        </w:tc>
      </w:tr>
      <w:tr w:rsidR="000B2910" w:rsidRPr="000B2910" w14:paraId="23730A92" w14:textId="77777777" w:rsidTr="000B2910">
        <w:trPr>
          <w:trHeight w:val="331"/>
        </w:trPr>
        <w:tc>
          <w:tcPr>
            <w:tcW w:w="1667" w:type="dxa"/>
            <w:tcBorders>
              <w:top w:val="nil"/>
              <w:left w:val="single" w:sz="4" w:space="0" w:color="auto"/>
              <w:bottom w:val="single" w:sz="4" w:space="0" w:color="auto"/>
              <w:right w:val="single" w:sz="4" w:space="0" w:color="auto"/>
            </w:tcBorders>
            <w:vAlign w:val="center"/>
            <w:hideMark/>
          </w:tcPr>
          <w:p w14:paraId="602294FA" w14:textId="77777777" w:rsidR="000B2910" w:rsidRPr="000B2910" w:rsidRDefault="000B2910" w:rsidP="00F62733">
            <w:pPr>
              <w:spacing w:line="240" w:lineRule="auto"/>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Contract Type (Conventional  vs Electronic)</w:t>
            </w:r>
          </w:p>
        </w:tc>
        <w:tc>
          <w:tcPr>
            <w:tcW w:w="1618" w:type="dxa"/>
            <w:tcBorders>
              <w:top w:val="nil"/>
              <w:left w:val="nil"/>
              <w:bottom w:val="single" w:sz="4" w:space="0" w:color="auto"/>
              <w:right w:val="single" w:sz="4" w:space="0" w:color="auto"/>
            </w:tcBorders>
            <w:vAlign w:val="center"/>
            <w:hideMark/>
          </w:tcPr>
          <w:p w14:paraId="29BA3302"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Contract Completion Timeliness (On time / Delayed)</w:t>
            </w:r>
          </w:p>
        </w:tc>
        <w:tc>
          <w:tcPr>
            <w:tcW w:w="1228" w:type="dxa"/>
            <w:tcBorders>
              <w:top w:val="nil"/>
              <w:left w:val="nil"/>
              <w:bottom w:val="single" w:sz="4" w:space="0" w:color="auto"/>
              <w:right w:val="single" w:sz="4" w:space="0" w:color="auto"/>
            </w:tcBorders>
            <w:vAlign w:val="center"/>
            <w:hideMark/>
          </w:tcPr>
          <w:p w14:paraId="674394B0"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Chi-Square</w:t>
            </w:r>
          </w:p>
        </w:tc>
        <w:tc>
          <w:tcPr>
            <w:tcW w:w="1698" w:type="dxa"/>
            <w:tcBorders>
              <w:top w:val="nil"/>
              <w:left w:val="nil"/>
              <w:bottom w:val="single" w:sz="4" w:space="0" w:color="auto"/>
              <w:right w:val="single" w:sz="4" w:space="0" w:color="auto"/>
            </w:tcBorders>
            <w:vAlign w:val="center"/>
            <w:hideMark/>
          </w:tcPr>
          <w:p w14:paraId="26AC1049"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χ² calculated &gt; χ² table</w:t>
            </w:r>
          </w:p>
        </w:tc>
        <w:tc>
          <w:tcPr>
            <w:tcW w:w="761" w:type="dxa"/>
            <w:tcBorders>
              <w:top w:val="nil"/>
              <w:left w:val="nil"/>
              <w:bottom w:val="single" w:sz="4" w:space="0" w:color="auto"/>
              <w:right w:val="single" w:sz="4" w:space="0" w:color="auto"/>
            </w:tcBorders>
            <w:vAlign w:val="center"/>
            <w:hideMark/>
          </w:tcPr>
          <w:p w14:paraId="31F98D06"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p &lt; 0.05</w:t>
            </w:r>
          </w:p>
        </w:tc>
        <w:tc>
          <w:tcPr>
            <w:tcW w:w="2095" w:type="dxa"/>
            <w:tcBorders>
              <w:top w:val="nil"/>
              <w:left w:val="nil"/>
              <w:bottom w:val="single" w:sz="4" w:space="0" w:color="auto"/>
              <w:right w:val="single" w:sz="4" w:space="0" w:color="auto"/>
            </w:tcBorders>
            <w:vAlign w:val="center"/>
            <w:hideMark/>
          </w:tcPr>
          <w:p w14:paraId="4DA3E41D"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There is a statistically significant association between contract type and contract completion timeliness</w:t>
            </w:r>
          </w:p>
        </w:tc>
      </w:tr>
      <w:tr w:rsidR="000B2910" w:rsidRPr="000B2910" w14:paraId="3CC526FA" w14:textId="77777777" w:rsidTr="000B2910">
        <w:trPr>
          <w:trHeight w:val="29"/>
        </w:trPr>
        <w:tc>
          <w:tcPr>
            <w:tcW w:w="1667" w:type="dxa"/>
            <w:tcBorders>
              <w:top w:val="nil"/>
              <w:left w:val="single" w:sz="4" w:space="0" w:color="auto"/>
              <w:bottom w:val="single" w:sz="4" w:space="0" w:color="auto"/>
              <w:right w:val="single" w:sz="4" w:space="0" w:color="auto"/>
            </w:tcBorders>
            <w:vAlign w:val="center"/>
            <w:hideMark/>
          </w:tcPr>
          <w:p w14:paraId="0F695B4F" w14:textId="77777777" w:rsidR="000B2910" w:rsidRPr="000B2910" w:rsidRDefault="000B2910" w:rsidP="00F62733">
            <w:pPr>
              <w:spacing w:line="240" w:lineRule="auto"/>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Contract Type (Conventional  vs Electronic)</w:t>
            </w:r>
          </w:p>
        </w:tc>
        <w:tc>
          <w:tcPr>
            <w:tcW w:w="1618" w:type="dxa"/>
            <w:tcBorders>
              <w:top w:val="nil"/>
              <w:left w:val="nil"/>
              <w:bottom w:val="single" w:sz="4" w:space="0" w:color="auto"/>
              <w:right w:val="single" w:sz="4" w:space="0" w:color="auto"/>
            </w:tcBorders>
            <w:vAlign w:val="center"/>
            <w:hideMark/>
          </w:tcPr>
          <w:p w14:paraId="57E09820"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Contract Completion Duration (working days)</w:t>
            </w:r>
          </w:p>
        </w:tc>
        <w:tc>
          <w:tcPr>
            <w:tcW w:w="1228" w:type="dxa"/>
            <w:tcBorders>
              <w:top w:val="nil"/>
              <w:left w:val="nil"/>
              <w:bottom w:val="single" w:sz="4" w:space="0" w:color="auto"/>
              <w:right w:val="single" w:sz="4" w:space="0" w:color="auto"/>
            </w:tcBorders>
            <w:vAlign w:val="center"/>
            <w:hideMark/>
          </w:tcPr>
          <w:p w14:paraId="5E38E6D4"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Mann–Whitney U</w:t>
            </w:r>
          </w:p>
        </w:tc>
        <w:tc>
          <w:tcPr>
            <w:tcW w:w="1698" w:type="dxa"/>
            <w:tcBorders>
              <w:top w:val="nil"/>
              <w:left w:val="nil"/>
              <w:bottom w:val="single" w:sz="4" w:space="0" w:color="auto"/>
              <w:right w:val="single" w:sz="4" w:space="0" w:color="auto"/>
            </w:tcBorders>
            <w:vAlign w:val="center"/>
            <w:hideMark/>
          </w:tcPr>
          <w:p w14:paraId="47FC3FBD"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U calculated ≠ U table</w:t>
            </w:r>
          </w:p>
        </w:tc>
        <w:tc>
          <w:tcPr>
            <w:tcW w:w="761" w:type="dxa"/>
            <w:tcBorders>
              <w:top w:val="nil"/>
              <w:left w:val="nil"/>
              <w:bottom w:val="single" w:sz="4" w:space="0" w:color="auto"/>
              <w:right w:val="single" w:sz="4" w:space="0" w:color="auto"/>
            </w:tcBorders>
            <w:vAlign w:val="center"/>
            <w:hideMark/>
          </w:tcPr>
          <w:p w14:paraId="3325FEA4"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p &lt; 0.05</w:t>
            </w:r>
          </w:p>
        </w:tc>
        <w:tc>
          <w:tcPr>
            <w:tcW w:w="2095" w:type="dxa"/>
            <w:tcBorders>
              <w:top w:val="nil"/>
              <w:left w:val="nil"/>
              <w:bottom w:val="single" w:sz="4" w:space="0" w:color="auto"/>
              <w:right w:val="single" w:sz="4" w:space="0" w:color="auto"/>
            </w:tcBorders>
            <w:vAlign w:val="center"/>
            <w:hideMark/>
          </w:tcPr>
          <w:p w14:paraId="53A6B045"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There is a statistically significant difference in contract completion duration between conventional  and electronic contracts</w:t>
            </w:r>
          </w:p>
        </w:tc>
      </w:tr>
      <w:tr w:rsidR="000B2910" w:rsidRPr="000B2910" w14:paraId="147DBDE5" w14:textId="77777777" w:rsidTr="000B2910">
        <w:trPr>
          <w:trHeight w:val="396"/>
        </w:trPr>
        <w:tc>
          <w:tcPr>
            <w:tcW w:w="1667" w:type="dxa"/>
            <w:tcBorders>
              <w:top w:val="nil"/>
              <w:left w:val="single" w:sz="4" w:space="0" w:color="auto"/>
              <w:bottom w:val="single" w:sz="4" w:space="0" w:color="auto"/>
              <w:right w:val="single" w:sz="4" w:space="0" w:color="auto"/>
            </w:tcBorders>
            <w:vAlign w:val="center"/>
            <w:hideMark/>
          </w:tcPr>
          <w:p w14:paraId="72750B7A" w14:textId="77777777" w:rsidR="000B2910" w:rsidRPr="000B2910" w:rsidRDefault="000B2910" w:rsidP="00F62733">
            <w:pPr>
              <w:spacing w:line="240" w:lineRule="auto"/>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Contract Type (Conventional  vs Electronic)</w:t>
            </w:r>
          </w:p>
        </w:tc>
        <w:tc>
          <w:tcPr>
            <w:tcW w:w="1618" w:type="dxa"/>
            <w:tcBorders>
              <w:top w:val="nil"/>
              <w:left w:val="nil"/>
              <w:bottom w:val="single" w:sz="4" w:space="0" w:color="auto"/>
              <w:right w:val="single" w:sz="4" w:space="0" w:color="auto"/>
            </w:tcBorders>
            <w:vAlign w:val="center"/>
            <w:hideMark/>
          </w:tcPr>
          <w:p w14:paraId="0F462C2D"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Time Effectiveness (TER)</w:t>
            </w:r>
          </w:p>
        </w:tc>
        <w:tc>
          <w:tcPr>
            <w:tcW w:w="1228" w:type="dxa"/>
            <w:tcBorders>
              <w:top w:val="nil"/>
              <w:left w:val="nil"/>
              <w:bottom w:val="single" w:sz="4" w:space="0" w:color="auto"/>
              <w:right w:val="single" w:sz="4" w:space="0" w:color="auto"/>
            </w:tcBorders>
            <w:vAlign w:val="center"/>
            <w:hideMark/>
          </w:tcPr>
          <w:p w14:paraId="121980B5"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Ratio Analysis</w:t>
            </w:r>
          </w:p>
        </w:tc>
        <w:tc>
          <w:tcPr>
            <w:tcW w:w="1698" w:type="dxa"/>
            <w:tcBorders>
              <w:top w:val="nil"/>
              <w:left w:val="nil"/>
              <w:bottom w:val="single" w:sz="4" w:space="0" w:color="auto"/>
              <w:right w:val="single" w:sz="4" w:space="0" w:color="auto"/>
            </w:tcBorders>
            <w:vAlign w:val="center"/>
            <w:hideMark/>
          </w:tcPr>
          <w:p w14:paraId="776B68BB"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TER &gt; 1</w:t>
            </w:r>
          </w:p>
        </w:tc>
        <w:tc>
          <w:tcPr>
            <w:tcW w:w="761" w:type="dxa"/>
            <w:tcBorders>
              <w:top w:val="nil"/>
              <w:left w:val="nil"/>
              <w:bottom w:val="single" w:sz="4" w:space="0" w:color="auto"/>
              <w:right w:val="single" w:sz="4" w:space="0" w:color="auto"/>
            </w:tcBorders>
            <w:vAlign w:val="center"/>
            <w:hideMark/>
          </w:tcPr>
          <w:p w14:paraId="6E9DCAFD"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w:t>
            </w:r>
          </w:p>
        </w:tc>
        <w:tc>
          <w:tcPr>
            <w:tcW w:w="2095" w:type="dxa"/>
            <w:tcBorders>
              <w:top w:val="nil"/>
              <w:left w:val="nil"/>
              <w:bottom w:val="single" w:sz="4" w:space="0" w:color="auto"/>
              <w:right w:val="single" w:sz="4" w:space="0" w:color="auto"/>
            </w:tcBorders>
            <w:vAlign w:val="center"/>
            <w:hideMark/>
          </w:tcPr>
          <w:p w14:paraId="36812BE5"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Electronic contracts are faster than conventional  contracts</w:t>
            </w:r>
          </w:p>
        </w:tc>
      </w:tr>
      <w:tr w:rsidR="000B2910" w:rsidRPr="000B2910" w14:paraId="25AECA85" w14:textId="77777777" w:rsidTr="000B2910">
        <w:trPr>
          <w:trHeight w:val="793"/>
        </w:trPr>
        <w:tc>
          <w:tcPr>
            <w:tcW w:w="1667" w:type="dxa"/>
            <w:tcBorders>
              <w:top w:val="nil"/>
              <w:left w:val="single" w:sz="4" w:space="0" w:color="auto"/>
              <w:bottom w:val="single" w:sz="4" w:space="0" w:color="auto"/>
              <w:right w:val="single" w:sz="4" w:space="0" w:color="auto"/>
            </w:tcBorders>
            <w:vAlign w:val="center"/>
            <w:hideMark/>
          </w:tcPr>
          <w:p w14:paraId="36EABB88" w14:textId="77777777" w:rsidR="000B2910" w:rsidRPr="000B2910" w:rsidRDefault="000B2910" w:rsidP="00F62733">
            <w:pPr>
              <w:spacing w:line="240" w:lineRule="auto"/>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Contract Type (Conventional  vs Electronic)</w:t>
            </w:r>
          </w:p>
        </w:tc>
        <w:tc>
          <w:tcPr>
            <w:tcW w:w="1618" w:type="dxa"/>
            <w:tcBorders>
              <w:top w:val="nil"/>
              <w:left w:val="nil"/>
              <w:bottom w:val="single" w:sz="4" w:space="0" w:color="auto"/>
              <w:right w:val="single" w:sz="4" w:space="0" w:color="auto"/>
            </w:tcBorders>
            <w:vAlign w:val="center"/>
            <w:hideMark/>
          </w:tcPr>
          <w:p w14:paraId="662912DE"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Schedule Performance (SPI)</w:t>
            </w:r>
          </w:p>
        </w:tc>
        <w:tc>
          <w:tcPr>
            <w:tcW w:w="1228" w:type="dxa"/>
            <w:tcBorders>
              <w:top w:val="nil"/>
              <w:left w:val="nil"/>
              <w:bottom w:val="single" w:sz="4" w:space="0" w:color="auto"/>
              <w:right w:val="single" w:sz="4" w:space="0" w:color="auto"/>
            </w:tcBorders>
            <w:vAlign w:val="center"/>
            <w:hideMark/>
          </w:tcPr>
          <w:p w14:paraId="50C5ACE8"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Index Analysis</w:t>
            </w:r>
          </w:p>
        </w:tc>
        <w:tc>
          <w:tcPr>
            <w:tcW w:w="1698" w:type="dxa"/>
            <w:tcBorders>
              <w:top w:val="nil"/>
              <w:left w:val="nil"/>
              <w:bottom w:val="single" w:sz="4" w:space="0" w:color="auto"/>
              <w:right w:val="single" w:sz="4" w:space="0" w:color="auto"/>
            </w:tcBorders>
            <w:vAlign w:val="center"/>
            <w:hideMark/>
          </w:tcPr>
          <w:p w14:paraId="4A872D74"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SPI &gt; 1</w:t>
            </w:r>
          </w:p>
        </w:tc>
        <w:tc>
          <w:tcPr>
            <w:tcW w:w="761" w:type="dxa"/>
            <w:tcBorders>
              <w:top w:val="nil"/>
              <w:left w:val="nil"/>
              <w:bottom w:val="single" w:sz="4" w:space="0" w:color="auto"/>
              <w:right w:val="single" w:sz="4" w:space="0" w:color="auto"/>
            </w:tcBorders>
            <w:vAlign w:val="center"/>
            <w:hideMark/>
          </w:tcPr>
          <w:p w14:paraId="3EE78791"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w:t>
            </w:r>
          </w:p>
        </w:tc>
        <w:tc>
          <w:tcPr>
            <w:tcW w:w="2095" w:type="dxa"/>
            <w:tcBorders>
              <w:top w:val="nil"/>
              <w:left w:val="nil"/>
              <w:bottom w:val="single" w:sz="4" w:space="0" w:color="auto"/>
              <w:right w:val="single" w:sz="4" w:space="0" w:color="auto"/>
            </w:tcBorders>
            <w:vAlign w:val="center"/>
            <w:hideMark/>
          </w:tcPr>
          <w:p w14:paraId="5348AA01"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Electronic contract completion exceeds the planned schedule target</w:t>
            </w:r>
          </w:p>
        </w:tc>
      </w:tr>
    </w:tbl>
    <w:p w14:paraId="11FF4F62" w14:textId="77777777" w:rsidR="00DF7759" w:rsidRPr="002F741D" w:rsidRDefault="00DF7759" w:rsidP="007E5DAD">
      <w:pPr>
        <w:spacing w:line="480" w:lineRule="auto"/>
        <w:jc w:val="both"/>
        <w:rPr>
          <w:rFonts w:asciiTheme="majorBidi" w:hAnsiTheme="majorBidi" w:cstheme="majorBidi"/>
          <w:b/>
          <w:bCs/>
          <w:szCs w:val="22"/>
        </w:rPr>
      </w:pPr>
    </w:p>
    <w:p w14:paraId="439CABD7" w14:textId="77777777" w:rsidR="000B2910" w:rsidRDefault="000B2910" w:rsidP="007E5DAD">
      <w:pPr>
        <w:spacing w:after="240" w:line="480" w:lineRule="auto"/>
        <w:jc w:val="both"/>
        <w:rPr>
          <w:rFonts w:asciiTheme="majorBidi" w:hAnsiTheme="majorBidi" w:cstheme="majorBidi"/>
          <w:szCs w:val="22"/>
        </w:rPr>
      </w:pPr>
      <w:r w:rsidRPr="002F741D">
        <w:rPr>
          <w:rFonts w:asciiTheme="majorBidi" w:hAnsiTheme="majorBidi" w:cstheme="majorBidi"/>
          <w:szCs w:val="22"/>
        </w:rPr>
        <w:t>Table 2 presents the results of the bivariate analysis examining the relationship between contract type and indicators of partnership management effectiveness. The Chi-Square test results indicate a statistically significant association between contract type and contract completion timeliness (p &lt; 0.05). In addition, the Mann–Whitney U test reveals a statistically significant difference in contract completion duration between conventional  and electronic contracts (p &lt; 0.05). Time Efficiency Ratio (TER) values greater than one and Schedule Performance Index (SPI) values exceeding one indicate that electronic contracts are more effective than conventional  contracts in terms of processing speed and schedule achievement.</w:t>
      </w:r>
    </w:p>
    <w:p w14:paraId="5AFBCE8D" w14:textId="77777777" w:rsidR="002C688A" w:rsidRDefault="002C688A" w:rsidP="007E5DAD">
      <w:pPr>
        <w:spacing w:line="480" w:lineRule="auto"/>
        <w:jc w:val="both"/>
        <w:rPr>
          <w:rFonts w:asciiTheme="majorBidi" w:hAnsiTheme="majorBidi" w:cstheme="majorBidi"/>
          <w:szCs w:val="22"/>
        </w:rPr>
      </w:pPr>
      <w:r w:rsidRPr="002F741D">
        <w:rPr>
          <w:rFonts w:asciiTheme="majorBidi" w:hAnsiTheme="majorBidi" w:cstheme="majorBidi"/>
          <w:szCs w:val="22"/>
        </w:rPr>
        <w:t xml:space="preserve">Observations of electronic contract implementation within the </w:t>
      </w:r>
      <w:r w:rsidRPr="002F741D">
        <w:rPr>
          <w:rFonts w:asciiTheme="majorBidi" w:hAnsiTheme="majorBidi" w:cstheme="majorBidi"/>
          <w:b/>
          <w:bCs/>
          <w:szCs w:val="22"/>
        </w:rPr>
        <w:t>Health Facilities Information System (HFIS)</w:t>
      </w:r>
      <w:r w:rsidRPr="002F741D">
        <w:rPr>
          <w:rFonts w:asciiTheme="majorBidi" w:hAnsiTheme="majorBidi" w:cstheme="majorBidi"/>
          <w:szCs w:val="22"/>
        </w:rPr>
        <w:t xml:space="preserve"> indicate that the contractual process has been streamlined compared to the conventional  system. Processes that previously involved document printing, physical delivery, and handwritten signatures </w:t>
      </w:r>
      <w:r w:rsidRPr="002F741D">
        <w:rPr>
          <w:rFonts w:asciiTheme="majorBidi" w:hAnsiTheme="majorBidi" w:cstheme="majorBidi"/>
          <w:szCs w:val="22"/>
        </w:rPr>
        <w:lastRenderedPageBreak/>
        <w:t>have been replaced by digital stages, including document upload, system validation, electronic signatures, and digital contract finalization.</w:t>
      </w:r>
    </w:p>
    <w:p w14:paraId="47E764F1" w14:textId="77777777" w:rsidR="005E1004" w:rsidRDefault="005E1004" w:rsidP="007E5DAD">
      <w:pPr>
        <w:keepNext/>
        <w:spacing w:before="240" w:line="480" w:lineRule="auto"/>
        <w:jc w:val="center"/>
      </w:pPr>
      <w:r w:rsidRPr="00322F80">
        <w:rPr>
          <w:rFonts w:asciiTheme="majorBidi" w:hAnsiTheme="majorBidi" w:cstheme="majorBidi"/>
          <w:noProof/>
          <w:szCs w:val="22"/>
        </w:rPr>
        <w:drawing>
          <wp:inline distT="0" distB="0" distL="0" distR="0" wp14:anchorId="53983E04" wp14:editId="12900223">
            <wp:extent cx="5755640" cy="3905250"/>
            <wp:effectExtent l="0" t="0" r="0" b="0"/>
            <wp:docPr id="1469209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09345" name=""/>
                    <pic:cNvPicPr/>
                  </pic:nvPicPr>
                  <pic:blipFill>
                    <a:blip r:embed="rId11"/>
                    <a:stretch>
                      <a:fillRect/>
                    </a:stretch>
                  </pic:blipFill>
                  <pic:spPr>
                    <a:xfrm>
                      <a:off x="0" y="0"/>
                      <a:ext cx="5755640" cy="3905250"/>
                    </a:xfrm>
                    <a:prstGeom prst="rect">
                      <a:avLst/>
                    </a:prstGeom>
                  </pic:spPr>
                </pic:pic>
              </a:graphicData>
            </a:graphic>
          </wp:inline>
        </w:drawing>
      </w:r>
    </w:p>
    <w:p w14:paraId="131846F9" w14:textId="77777777" w:rsidR="005E1004" w:rsidRDefault="005E1004" w:rsidP="007E5DAD">
      <w:pPr>
        <w:pStyle w:val="Caption"/>
        <w:spacing w:line="480" w:lineRule="auto"/>
        <w:jc w:val="center"/>
        <w:rPr>
          <w:i w:val="0"/>
          <w:iCs w:val="0"/>
          <w:color w:val="auto"/>
          <w:sz w:val="22"/>
          <w:szCs w:val="22"/>
          <w:lang w:val="en-US"/>
        </w:rPr>
      </w:pPr>
      <w:r w:rsidRPr="00322F80">
        <w:rPr>
          <w:i w:val="0"/>
          <w:iCs w:val="0"/>
          <w:color w:val="auto"/>
          <w:sz w:val="22"/>
          <w:szCs w:val="22"/>
        </w:rPr>
        <w:t xml:space="preserve">Figure </w:t>
      </w:r>
      <w:r w:rsidRPr="00322F80">
        <w:rPr>
          <w:i w:val="0"/>
          <w:iCs w:val="0"/>
          <w:color w:val="auto"/>
          <w:sz w:val="22"/>
          <w:szCs w:val="22"/>
        </w:rPr>
        <w:fldChar w:fldCharType="begin"/>
      </w:r>
      <w:r w:rsidRPr="00322F80">
        <w:rPr>
          <w:i w:val="0"/>
          <w:iCs w:val="0"/>
          <w:color w:val="auto"/>
          <w:sz w:val="22"/>
          <w:szCs w:val="22"/>
        </w:rPr>
        <w:instrText xml:space="preserve"> SEQ Figure \* ARABIC </w:instrText>
      </w:r>
      <w:r w:rsidRPr="00322F80">
        <w:rPr>
          <w:i w:val="0"/>
          <w:iCs w:val="0"/>
          <w:color w:val="auto"/>
          <w:sz w:val="22"/>
          <w:szCs w:val="22"/>
        </w:rPr>
        <w:fldChar w:fldCharType="separate"/>
      </w:r>
      <w:r w:rsidRPr="00322F80">
        <w:rPr>
          <w:i w:val="0"/>
          <w:iCs w:val="0"/>
          <w:noProof/>
          <w:color w:val="auto"/>
          <w:sz w:val="22"/>
          <w:szCs w:val="22"/>
        </w:rPr>
        <w:t>4</w:t>
      </w:r>
      <w:r w:rsidRPr="00322F80">
        <w:rPr>
          <w:i w:val="0"/>
          <w:iCs w:val="0"/>
          <w:color w:val="auto"/>
          <w:sz w:val="22"/>
          <w:szCs w:val="22"/>
        </w:rPr>
        <w:fldChar w:fldCharType="end"/>
      </w:r>
      <w:r w:rsidRPr="00322F80">
        <w:rPr>
          <w:i w:val="0"/>
          <w:iCs w:val="0"/>
          <w:color w:val="auto"/>
          <w:sz w:val="22"/>
          <w:szCs w:val="22"/>
          <w:lang w:val="en-US"/>
        </w:rPr>
        <w:t xml:space="preserve"> Electronic Contract Flow</w:t>
      </w:r>
    </w:p>
    <w:p w14:paraId="256774A2" w14:textId="77777777" w:rsidR="005E1004" w:rsidRPr="00322F80" w:rsidRDefault="005E1004" w:rsidP="007E5DAD">
      <w:pPr>
        <w:spacing w:before="240" w:line="480" w:lineRule="auto"/>
        <w:jc w:val="both"/>
        <w:rPr>
          <w:lang w:val="en-ID"/>
        </w:rPr>
      </w:pPr>
      <w:r w:rsidRPr="00322F80">
        <w:rPr>
          <w:lang w:val="en-ID"/>
        </w:rPr>
        <w:t>The electronic contract process flow</w:t>
      </w:r>
      <w:r>
        <w:rPr>
          <w:lang w:val="en-ID"/>
        </w:rPr>
        <w:t xml:space="preserve"> (Figure 4)</w:t>
      </w:r>
      <w:r w:rsidRPr="00322F80">
        <w:rPr>
          <w:lang w:val="en-ID"/>
        </w:rPr>
        <w:t xml:space="preserve"> within the partnership management system of BPJS Kesehatan is structured to ensure efficiency, traceability, and regulatory compliance. The process begins with the completion of credentialing or recredentialing assessments. Healthcare facilities that successfully pass the selection stage proceed to the contract preparation phase.</w:t>
      </w:r>
    </w:p>
    <w:p w14:paraId="0CF22AD8" w14:textId="77777777" w:rsidR="005E1004" w:rsidRPr="00322F80" w:rsidRDefault="005E1004" w:rsidP="007E5DAD">
      <w:pPr>
        <w:spacing w:before="240" w:line="480" w:lineRule="auto"/>
        <w:jc w:val="both"/>
        <w:rPr>
          <w:lang w:val="en-ID"/>
        </w:rPr>
      </w:pPr>
      <w:r w:rsidRPr="00322F80">
        <w:rPr>
          <w:lang w:val="en-ID"/>
        </w:rPr>
        <w:t>At this stage, BPJS Kesehatan as the First Party inputs the initial contract document data and determines the contract validity period. The draft contract document is then generated and transmitted electronically to the healthcare facility (Second Party). The healthcare facility reviews the draft and inputs the required PKS data into the system.</w:t>
      </w:r>
    </w:p>
    <w:p w14:paraId="41625897" w14:textId="77777777" w:rsidR="005E1004" w:rsidRPr="00322F80" w:rsidRDefault="005E1004" w:rsidP="007E5DAD">
      <w:pPr>
        <w:spacing w:before="240" w:line="480" w:lineRule="auto"/>
        <w:jc w:val="both"/>
        <w:rPr>
          <w:lang w:val="en-ID"/>
        </w:rPr>
      </w:pPr>
      <w:r w:rsidRPr="00322F80">
        <w:rPr>
          <w:lang w:val="en-ID"/>
        </w:rPr>
        <w:t xml:space="preserve">The system allows for document type selection, distinguishing between electronic and conventional printed contracts. In the electronic pathway, the contract draft is saved and downloaded, converted into </w:t>
      </w:r>
      <w:r w:rsidRPr="00322F80">
        <w:rPr>
          <w:lang w:val="en-ID"/>
        </w:rPr>
        <w:lastRenderedPageBreak/>
        <w:t>PDF format when necessary, and processed through digital signature and electronic stamp (e-stamp) mechanisms.</w:t>
      </w:r>
    </w:p>
    <w:p w14:paraId="74ED7491" w14:textId="77777777" w:rsidR="005E1004" w:rsidRPr="00322F80" w:rsidRDefault="005E1004" w:rsidP="007E5DAD">
      <w:pPr>
        <w:spacing w:before="240" w:line="480" w:lineRule="auto"/>
        <w:jc w:val="both"/>
        <w:rPr>
          <w:lang w:val="en-ID"/>
        </w:rPr>
      </w:pPr>
      <w:r w:rsidRPr="00322F80">
        <w:rPr>
          <w:lang w:val="en-ID"/>
        </w:rPr>
        <w:t>Prior to finalization, the document undergoes verification to ensure completeness and accuracy. If discrepancies are identified, the document is returned for correction. Once verification is completed, an electronic signature request is submitted to the Head of the Branch Office. The digital signature is applied, and the result is validated within the system.</w:t>
      </w:r>
    </w:p>
    <w:p w14:paraId="549DC51A" w14:textId="77777777" w:rsidR="005E1004" w:rsidRPr="00322F80" w:rsidRDefault="005E1004" w:rsidP="007E5DAD">
      <w:pPr>
        <w:spacing w:before="240" w:line="480" w:lineRule="auto"/>
        <w:jc w:val="both"/>
        <w:rPr>
          <w:lang w:val="en-ID"/>
        </w:rPr>
      </w:pPr>
      <w:r w:rsidRPr="00322F80">
        <w:rPr>
          <w:lang w:val="en-ID"/>
        </w:rPr>
        <w:t>After successful validation, the finalized contract document is uploaded into the Health Facilities Information System (HFIS). The healthcare facility code is generated, and the electronic contract process is officially completed.</w:t>
      </w:r>
    </w:p>
    <w:p w14:paraId="0441FB4A" w14:textId="4A396B1B" w:rsidR="00E458B0" w:rsidRPr="000B2910" w:rsidRDefault="005E1004" w:rsidP="007E5DAD">
      <w:pPr>
        <w:spacing w:before="240" w:line="480" w:lineRule="auto"/>
        <w:jc w:val="both"/>
        <w:rPr>
          <w:lang w:val="en-ID"/>
        </w:rPr>
      </w:pPr>
      <w:r w:rsidRPr="00322F80">
        <w:rPr>
          <w:lang w:val="en-ID"/>
        </w:rPr>
        <w:t>This digital workflow enhances process transparency, reduces administrative delays, minimizes document version inconsistencies, and strengthens governance in partnership contract management under Indonesia’s National Health Insurance Program.</w:t>
      </w:r>
      <w:r w:rsidR="000B2910">
        <w:rPr>
          <w:lang w:val="en-ID"/>
        </w:rPr>
        <w:t xml:space="preserve"> </w:t>
      </w:r>
      <w:r w:rsidR="00E458B0" w:rsidRPr="002F741D">
        <w:rPr>
          <w:rFonts w:asciiTheme="majorBidi" w:hAnsiTheme="majorBidi" w:cstheme="majorBidi"/>
          <w:szCs w:val="22"/>
        </w:rPr>
        <w:t>Electronic contracts enable real-time traceability of contract status, allowing partnership managers to monitor document progress at each stage of the process. Observations also reveal a reduced risk of using outdated document versions, as the system displays only a single, validated contract version.</w:t>
      </w:r>
    </w:p>
    <w:p w14:paraId="7251F011" w14:textId="77777777" w:rsidR="00E458B0" w:rsidRDefault="00E458B0" w:rsidP="007E5DAD">
      <w:pPr>
        <w:spacing w:before="240" w:line="480" w:lineRule="auto"/>
        <w:jc w:val="both"/>
        <w:rPr>
          <w:rFonts w:asciiTheme="majorBidi" w:hAnsiTheme="majorBidi" w:cstheme="majorBidi"/>
          <w:szCs w:val="22"/>
        </w:rPr>
      </w:pPr>
      <w:r w:rsidRPr="002F741D">
        <w:rPr>
          <w:rFonts w:asciiTheme="majorBidi" w:hAnsiTheme="majorBidi" w:cstheme="majorBidi"/>
          <w:szCs w:val="22"/>
        </w:rPr>
        <w:t>However, the observations also identified several implementation constraints, including low adoption of electronic contracts among certain healthcare facilities and internal policies at some facilities that do not yet fully support the use of electronic signatures. These factors hinder the optimization of electronic contract effectiveness at the branch operational level.</w:t>
      </w:r>
    </w:p>
    <w:p w14:paraId="591A4953" w14:textId="77777777" w:rsidR="00F62733" w:rsidRPr="002F741D" w:rsidRDefault="00F62733" w:rsidP="00F62733">
      <w:pPr>
        <w:spacing w:before="240" w:line="480" w:lineRule="auto"/>
        <w:jc w:val="both"/>
        <w:rPr>
          <w:rFonts w:asciiTheme="majorBidi" w:hAnsiTheme="majorBidi" w:cstheme="majorBidi"/>
          <w:szCs w:val="22"/>
        </w:rPr>
      </w:pPr>
      <w:r w:rsidRPr="002F741D">
        <w:rPr>
          <w:rFonts w:asciiTheme="majorBidi" w:hAnsiTheme="majorBidi" w:cstheme="majorBidi"/>
          <w:szCs w:val="22"/>
        </w:rPr>
        <w:t xml:space="preserve">Further observations of electronic contract implementation in the Health Facilities Information System (HFIS) indicate that the system has successfully simplified the digital issuance and signing of partnership contracts. Electronic contracts improve document traceability and reduce the risk of outdated document usage. Nevertheless, the observations also identified several feature limitations that have not yet been fully accommodated, including flexible contract validity settings, contract addendum management, expansion to additional types of healthcare facilities, and specific signing authority </w:t>
      </w:r>
      <w:r w:rsidRPr="002F741D">
        <w:rPr>
          <w:rFonts w:asciiTheme="majorBidi" w:hAnsiTheme="majorBidi" w:cstheme="majorBidi"/>
          <w:szCs w:val="22"/>
        </w:rPr>
        <w:lastRenderedPageBreak/>
        <w:t>configurations. These feature limitations contribute to the emergence of hybrid conventional –electronic processes and constrain the full optimization of electronic contract effectiveness in managing partnerships with healthcare facilities.</w:t>
      </w:r>
    </w:p>
    <w:p w14:paraId="6A377938" w14:textId="77777777" w:rsidR="000B2910" w:rsidRPr="002F741D" w:rsidRDefault="000B2910" w:rsidP="007E5DAD">
      <w:pPr>
        <w:spacing w:line="480" w:lineRule="auto"/>
        <w:jc w:val="both"/>
        <w:rPr>
          <w:rFonts w:asciiTheme="majorBidi" w:hAnsiTheme="majorBidi" w:cstheme="majorBidi"/>
          <w:szCs w:val="22"/>
        </w:rPr>
      </w:pPr>
    </w:p>
    <w:p w14:paraId="6D323A13" w14:textId="77777777" w:rsidR="000B2910" w:rsidRPr="002F741D" w:rsidRDefault="000B2910" w:rsidP="007E5DAD">
      <w:pPr>
        <w:spacing w:line="480" w:lineRule="auto"/>
        <w:rPr>
          <w:rFonts w:asciiTheme="majorBidi" w:hAnsiTheme="majorBidi" w:cstheme="majorBidi"/>
          <w:b/>
          <w:bCs/>
          <w:szCs w:val="22"/>
        </w:rPr>
      </w:pPr>
      <w:r w:rsidRPr="002F741D">
        <w:rPr>
          <w:rFonts w:asciiTheme="majorBidi" w:hAnsiTheme="majorBidi" w:cstheme="majorBidi"/>
          <w:b/>
          <w:bCs/>
          <w:szCs w:val="22"/>
        </w:rPr>
        <w:t>Table 3. Summary of Observational Findings</w:t>
      </w:r>
    </w:p>
    <w:tbl>
      <w:tblPr>
        <w:tblW w:w="9404" w:type="dxa"/>
        <w:tblLook w:val="04A0" w:firstRow="1" w:lastRow="0" w:firstColumn="1" w:lastColumn="0" w:noHBand="0" w:noVBand="1"/>
      </w:tblPr>
      <w:tblGrid>
        <w:gridCol w:w="1583"/>
        <w:gridCol w:w="2736"/>
        <w:gridCol w:w="2339"/>
        <w:gridCol w:w="2746"/>
      </w:tblGrid>
      <w:tr w:rsidR="000B2910" w:rsidRPr="000B2910" w14:paraId="16B68751" w14:textId="77777777" w:rsidTr="0088706F">
        <w:trPr>
          <w:trHeight w:val="675"/>
        </w:trPr>
        <w:tc>
          <w:tcPr>
            <w:tcW w:w="1583" w:type="dxa"/>
            <w:tcBorders>
              <w:top w:val="single" w:sz="4" w:space="0" w:color="auto"/>
              <w:left w:val="single" w:sz="4" w:space="0" w:color="auto"/>
              <w:bottom w:val="single" w:sz="4" w:space="0" w:color="auto"/>
              <w:right w:val="single" w:sz="4" w:space="0" w:color="auto"/>
            </w:tcBorders>
            <w:noWrap/>
            <w:hideMark/>
          </w:tcPr>
          <w:p w14:paraId="3AEAD7D9" w14:textId="77777777" w:rsidR="000B2910" w:rsidRPr="000B2910" w:rsidRDefault="000B2910" w:rsidP="00F62733">
            <w:pPr>
              <w:spacing w:line="240" w:lineRule="auto"/>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Implementation Aspect</w:t>
            </w:r>
          </w:p>
        </w:tc>
        <w:tc>
          <w:tcPr>
            <w:tcW w:w="2736" w:type="dxa"/>
            <w:tcBorders>
              <w:top w:val="single" w:sz="4" w:space="0" w:color="auto"/>
              <w:left w:val="nil"/>
              <w:bottom w:val="single" w:sz="4" w:space="0" w:color="auto"/>
              <w:right w:val="single" w:sz="4" w:space="0" w:color="auto"/>
            </w:tcBorders>
            <w:noWrap/>
            <w:hideMark/>
          </w:tcPr>
          <w:p w14:paraId="5E677DDE" w14:textId="77777777" w:rsidR="000B2910" w:rsidRPr="000B2910" w:rsidRDefault="000B2910" w:rsidP="00F62733">
            <w:pPr>
              <w:spacing w:line="240" w:lineRule="auto"/>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Current Condition</w:t>
            </w:r>
          </w:p>
        </w:tc>
        <w:tc>
          <w:tcPr>
            <w:tcW w:w="2339" w:type="dxa"/>
            <w:tcBorders>
              <w:top w:val="single" w:sz="4" w:space="0" w:color="auto"/>
              <w:left w:val="nil"/>
              <w:bottom w:val="single" w:sz="4" w:space="0" w:color="auto"/>
              <w:right w:val="single" w:sz="4" w:space="0" w:color="auto"/>
            </w:tcBorders>
            <w:noWrap/>
            <w:hideMark/>
          </w:tcPr>
          <w:p w14:paraId="435485EA" w14:textId="77777777" w:rsidR="000B2910" w:rsidRPr="000B2910" w:rsidRDefault="000B2910" w:rsidP="00F62733">
            <w:pPr>
              <w:spacing w:line="240" w:lineRule="auto"/>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Unaccommodated Features</w:t>
            </w:r>
          </w:p>
        </w:tc>
        <w:tc>
          <w:tcPr>
            <w:tcW w:w="2746" w:type="dxa"/>
            <w:tcBorders>
              <w:top w:val="single" w:sz="4" w:space="0" w:color="auto"/>
              <w:left w:val="nil"/>
              <w:bottom w:val="single" w:sz="4" w:space="0" w:color="auto"/>
              <w:right w:val="single" w:sz="4" w:space="0" w:color="auto"/>
            </w:tcBorders>
            <w:noWrap/>
            <w:hideMark/>
          </w:tcPr>
          <w:p w14:paraId="1CA23ACD" w14:textId="77777777" w:rsidR="000B2910" w:rsidRPr="000B2910" w:rsidRDefault="000B2910" w:rsidP="00F62733">
            <w:pPr>
              <w:spacing w:line="240" w:lineRule="auto"/>
              <w:rPr>
                <w:rFonts w:asciiTheme="majorBidi" w:eastAsia="Times New Roman" w:hAnsiTheme="majorBidi" w:cstheme="majorBidi"/>
                <w:b/>
                <w:bCs/>
                <w:color w:val="000000"/>
                <w:sz w:val="20"/>
                <w:szCs w:val="20"/>
              </w:rPr>
            </w:pPr>
            <w:r w:rsidRPr="000B2910">
              <w:rPr>
                <w:rFonts w:asciiTheme="majorBidi" w:eastAsia="Times New Roman" w:hAnsiTheme="majorBidi" w:cstheme="majorBidi"/>
                <w:b/>
                <w:bCs/>
                <w:color w:val="000000"/>
                <w:sz w:val="20"/>
                <w:szCs w:val="20"/>
              </w:rPr>
              <w:t>Implications for Effectiveness</w:t>
            </w:r>
          </w:p>
        </w:tc>
      </w:tr>
      <w:tr w:rsidR="000B2910" w:rsidRPr="000B2910" w14:paraId="6D7561ED" w14:textId="77777777" w:rsidTr="0088706F">
        <w:trPr>
          <w:trHeight w:val="778"/>
        </w:trPr>
        <w:tc>
          <w:tcPr>
            <w:tcW w:w="1583" w:type="dxa"/>
            <w:tcBorders>
              <w:top w:val="nil"/>
              <w:left w:val="single" w:sz="4" w:space="0" w:color="auto"/>
              <w:bottom w:val="single" w:sz="4" w:space="0" w:color="auto"/>
              <w:right w:val="single" w:sz="4" w:space="0" w:color="auto"/>
            </w:tcBorders>
            <w:noWrap/>
            <w:hideMark/>
          </w:tcPr>
          <w:p w14:paraId="7371F4C8"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Contract Validity Period Settings</w:t>
            </w:r>
          </w:p>
        </w:tc>
        <w:tc>
          <w:tcPr>
            <w:tcW w:w="2736" w:type="dxa"/>
            <w:tcBorders>
              <w:top w:val="nil"/>
              <w:left w:val="nil"/>
              <w:bottom w:val="single" w:sz="4" w:space="0" w:color="auto"/>
              <w:right w:val="single" w:sz="4" w:space="0" w:color="auto"/>
            </w:tcBorders>
            <w:noWrap/>
            <w:hideMark/>
          </w:tcPr>
          <w:p w14:paraId="75C88BFF"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The system only accommodates contracts with a standard validity period of 12 months</w:t>
            </w:r>
          </w:p>
        </w:tc>
        <w:tc>
          <w:tcPr>
            <w:tcW w:w="2339" w:type="dxa"/>
            <w:tcBorders>
              <w:top w:val="nil"/>
              <w:left w:val="nil"/>
              <w:bottom w:val="single" w:sz="4" w:space="0" w:color="auto"/>
              <w:right w:val="single" w:sz="4" w:space="0" w:color="auto"/>
            </w:tcBorders>
            <w:noWrap/>
            <w:hideMark/>
          </w:tcPr>
          <w:p w14:paraId="29AFB2D8"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Flexible contract validity settings are not yet available (shorter or longer than 12 months)</w:t>
            </w:r>
          </w:p>
        </w:tc>
        <w:tc>
          <w:tcPr>
            <w:tcW w:w="2746" w:type="dxa"/>
            <w:tcBorders>
              <w:top w:val="nil"/>
              <w:left w:val="nil"/>
              <w:bottom w:val="single" w:sz="4" w:space="0" w:color="auto"/>
              <w:right w:val="single" w:sz="4" w:space="0" w:color="auto"/>
            </w:tcBorders>
            <w:noWrap/>
            <w:hideMark/>
          </w:tcPr>
          <w:p w14:paraId="546CD006"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Reduces flexibility in contract management and complicates adjustments to specific healthcare facility conditions</w:t>
            </w:r>
          </w:p>
        </w:tc>
      </w:tr>
      <w:tr w:rsidR="000B2910" w:rsidRPr="000B2910" w14:paraId="1CE57C7A" w14:textId="77777777" w:rsidTr="0088706F">
        <w:trPr>
          <w:trHeight w:val="238"/>
        </w:trPr>
        <w:tc>
          <w:tcPr>
            <w:tcW w:w="1583" w:type="dxa"/>
            <w:tcBorders>
              <w:top w:val="nil"/>
              <w:left w:val="single" w:sz="4" w:space="0" w:color="auto"/>
              <w:bottom w:val="single" w:sz="4" w:space="0" w:color="auto"/>
              <w:right w:val="single" w:sz="4" w:space="0" w:color="auto"/>
            </w:tcBorders>
            <w:noWrap/>
            <w:hideMark/>
          </w:tcPr>
          <w:p w14:paraId="4B3AA294"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Types of Healthcare Facilities</w:t>
            </w:r>
          </w:p>
        </w:tc>
        <w:tc>
          <w:tcPr>
            <w:tcW w:w="2736" w:type="dxa"/>
            <w:tcBorders>
              <w:top w:val="nil"/>
              <w:left w:val="nil"/>
              <w:bottom w:val="single" w:sz="4" w:space="0" w:color="auto"/>
              <w:right w:val="single" w:sz="4" w:space="0" w:color="auto"/>
            </w:tcBorders>
            <w:noWrap/>
            <w:hideMark/>
          </w:tcPr>
          <w:p w14:paraId="237BEDBF"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The system currently accommodates only Primary Health Facilities and Referral Healthcare Facilities</w:t>
            </w:r>
          </w:p>
        </w:tc>
        <w:tc>
          <w:tcPr>
            <w:tcW w:w="2339" w:type="dxa"/>
            <w:tcBorders>
              <w:top w:val="nil"/>
              <w:left w:val="nil"/>
              <w:bottom w:val="single" w:sz="4" w:space="0" w:color="auto"/>
              <w:right w:val="single" w:sz="4" w:space="0" w:color="auto"/>
            </w:tcBorders>
            <w:noWrap/>
            <w:hideMark/>
          </w:tcPr>
          <w:p w14:paraId="645C7407"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 xml:space="preserve">Does not yet accommodate optical services, pharmacies, laboratories, and mobile hospitals </w:t>
            </w:r>
          </w:p>
        </w:tc>
        <w:tc>
          <w:tcPr>
            <w:tcW w:w="2746" w:type="dxa"/>
            <w:tcBorders>
              <w:top w:val="nil"/>
              <w:left w:val="nil"/>
              <w:bottom w:val="single" w:sz="4" w:space="0" w:color="auto"/>
              <w:right w:val="single" w:sz="4" w:space="0" w:color="auto"/>
            </w:tcBorders>
            <w:noWrap/>
            <w:hideMark/>
          </w:tcPr>
          <w:p w14:paraId="49DC20DC"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Limits the comprehensive implementation of electronic contracts across all types of healthcare facilities</w:t>
            </w:r>
          </w:p>
        </w:tc>
      </w:tr>
      <w:tr w:rsidR="000B2910" w:rsidRPr="000B2910" w14:paraId="63FADA27" w14:textId="77777777" w:rsidTr="0088706F">
        <w:trPr>
          <w:trHeight w:val="1101"/>
        </w:trPr>
        <w:tc>
          <w:tcPr>
            <w:tcW w:w="1583" w:type="dxa"/>
            <w:tcBorders>
              <w:top w:val="nil"/>
              <w:left w:val="single" w:sz="4" w:space="0" w:color="auto"/>
              <w:bottom w:val="single" w:sz="4" w:space="0" w:color="auto"/>
              <w:right w:val="single" w:sz="4" w:space="0" w:color="auto"/>
            </w:tcBorders>
            <w:noWrap/>
            <w:hideMark/>
          </w:tcPr>
          <w:p w14:paraId="2AE52505"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Contract Document Types</w:t>
            </w:r>
          </w:p>
        </w:tc>
        <w:tc>
          <w:tcPr>
            <w:tcW w:w="2736" w:type="dxa"/>
            <w:tcBorders>
              <w:top w:val="nil"/>
              <w:left w:val="nil"/>
              <w:bottom w:val="single" w:sz="4" w:space="0" w:color="auto"/>
              <w:right w:val="single" w:sz="4" w:space="0" w:color="auto"/>
            </w:tcBorders>
            <w:noWrap/>
            <w:hideMark/>
          </w:tcPr>
          <w:p w14:paraId="33C9FC58"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Focused on main contracts only</w:t>
            </w:r>
          </w:p>
        </w:tc>
        <w:tc>
          <w:tcPr>
            <w:tcW w:w="2339" w:type="dxa"/>
            <w:tcBorders>
              <w:top w:val="nil"/>
              <w:left w:val="nil"/>
              <w:bottom w:val="single" w:sz="4" w:space="0" w:color="auto"/>
              <w:right w:val="single" w:sz="4" w:space="0" w:color="auto"/>
            </w:tcBorders>
            <w:noWrap/>
            <w:hideMark/>
          </w:tcPr>
          <w:p w14:paraId="66E29967"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Contract addenda resulting from regulatory or tariff policy changes are not yet accommodated</w:t>
            </w:r>
          </w:p>
        </w:tc>
        <w:tc>
          <w:tcPr>
            <w:tcW w:w="2746" w:type="dxa"/>
            <w:tcBorders>
              <w:top w:val="nil"/>
              <w:left w:val="nil"/>
              <w:bottom w:val="single" w:sz="4" w:space="0" w:color="auto"/>
              <w:right w:val="single" w:sz="4" w:space="0" w:color="auto"/>
            </w:tcBorders>
            <w:noWrap/>
            <w:hideMark/>
          </w:tcPr>
          <w:p w14:paraId="1E23F1AA"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Potentially leads to hybrid processes (conventional –electronic)</w:t>
            </w:r>
          </w:p>
        </w:tc>
      </w:tr>
      <w:tr w:rsidR="000B2910" w:rsidRPr="000B2910" w14:paraId="5831C4C5" w14:textId="77777777" w:rsidTr="0088706F">
        <w:trPr>
          <w:trHeight w:val="383"/>
        </w:trPr>
        <w:tc>
          <w:tcPr>
            <w:tcW w:w="1583" w:type="dxa"/>
            <w:tcBorders>
              <w:top w:val="nil"/>
              <w:left w:val="single" w:sz="4" w:space="0" w:color="auto"/>
              <w:bottom w:val="single" w:sz="4" w:space="0" w:color="auto"/>
              <w:right w:val="single" w:sz="4" w:space="0" w:color="auto"/>
            </w:tcBorders>
            <w:noWrap/>
            <w:hideMark/>
          </w:tcPr>
          <w:p w14:paraId="298FEA61"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Signing Authority Configuration</w:t>
            </w:r>
          </w:p>
        </w:tc>
        <w:tc>
          <w:tcPr>
            <w:tcW w:w="2736" w:type="dxa"/>
            <w:tcBorders>
              <w:top w:val="nil"/>
              <w:left w:val="nil"/>
              <w:bottom w:val="single" w:sz="4" w:space="0" w:color="auto"/>
              <w:right w:val="single" w:sz="4" w:space="0" w:color="auto"/>
            </w:tcBorders>
            <w:noWrap/>
            <w:hideMark/>
          </w:tcPr>
          <w:p w14:paraId="111F4769"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Electronic signing is limited to the Branch Head of BPJS Kesehatan and healthcare facility leaders</w:t>
            </w:r>
          </w:p>
        </w:tc>
        <w:tc>
          <w:tcPr>
            <w:tcW w:w="2339" w:type="dxa"/>
            <w:tcBorders>
              <w:top w:val="nil"/>
              <w:left w:val="nil"/>
              <w:bottom w:val="single" w:sz="4" w:space="0" w:color="auto"/>
              <w:right w:val="single" w:sz="4" w:space="0" w:color="auto"/>
            </w:tcBorders>
            <w:noWrap/>
            <w:hideMark/>
          </w:tcPr>
          <w:p w14:paraId="78033526"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Does not yet accommodate Regional Deputy Directors for specific contracts (e.g., TNI/Police healthcare facilities)</w:t>
            </w:r>
          </w:p>
        </w:tc>
        <w:tc>
          <w:tcPr>
            <w:tcW w:w="2746" w:type="dxa"/>
            <w:tcBorders>
              <w:top w:val="nil"/>
              <w:left w:val="nil"/>
              <w:bottom w:val="single" w:sz="4" w:space="0" w:color="auto"/>
              <w:right w:val="single" w:sz="4" w:space="0" w:color="auto"/>
            </w:tcBorders>
            <w:noWrap/>
            <w:hideMark/>
          </w:tcPr>
          <w:p w14:paraId="2E1AE0E0"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Hinders full implementation of electronic contracts for certain healthcare facility segments</w:t>
            </w:r>
          </w:p>
        </w:tc>
      </w:tr>
      <w:tr w:rsidR="000B2910" w:rsidRPr="000B2910" w14:paraId="58BEC0C9" w14:textId="77777777" w:rsidTr="0088706F">
        <w:trPr>
          <w:trHeight w:val="227"/>
        </w:trPr>
        <w:tc>
          <w:tcPr>
            <w:tcW w:w="1583" w:type="dxa"/>
            <w:tcBorders>
              <w:top w:val="nil"/>
              <w:left w:val="single" w:sz="4" w:space="0" w:color="auto"/>
              <w:bottom w:val="single" w:sz="4" w:space="0" w:color="auto"/>
              <w:right w:val="single" w:sz="4" w:space="0" w:color="auto"/>
            </w:tcBorders>
            <w:noWrap/>
            <w:hideMark/>
          </w:tcPr>
          <w:p w14:paraId="085699C7"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Contract History Management</w:t>
            </w:r>
          </w:p>
        </w:tc>
        <w:tc>
          <w:tcPr>
            <w:tcW w:w="2736" w:type="dxa"/>
            <w:tcBorders>
              <w:top w:val="nil"/>
              <w:left w:val="nil"/>
              <w:bottom w:val="single" w:sz="4" w:space="0" w:color="auto"/>
              <w:right w:val="single" w:sz="4" w:space="0" w:color="auto"/>
            </w:tcBorders>
            <w:noWrap/>
            <w:hideMark/>
          </w:tcPr>
          <w:p w14:paraId="7D562375"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Contract documents are stored digitally</w:t>
            </w:r>
          </w:p>
        </w:tc>
        <w:tc>
          <w:tcPr>
            <w:tcW w:w="2339" w:type="dxa"/>
            <w:tcBorders>
              <w:top w:val="nil"/>
              <w:left w:val="nil"/>
              <w:bottom w:val="single" w:sz="4" w:space="0" w:color="auto"/>
              <w:right w:val="single" w:sz="4" w:space="0" w:color="auto"/>
            </w:tcBorders>
            <w:noWrap/>
            <w:hideMark/>
          </w:tcPr>
          <w:p w14:paraId="6C9B3A3C"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A contract history dashboard and cross-year change tracking are not yet available</w:t>
            </w:r>
          </w:p>
        </w:tc>
        <w:tc>
          <w:tcPr>
            <w:tcW w:w="2746" w:type="dxa"/>
            <w:tcBorders>
              <w:top w:val="nil"/>
              <w:left w:val="nil"/>
              <w:bottom w:val="single" w:sz="4" w:space="0" w:color="auto"/>
              <w:right w:val="single" w:sz="4" w:space="0" w:color="auto"/>
            </w:tcBorders>
            <w:noWrap/>
            <w:hideMark/>
          </w:tcPr>
          <w:p w14:paraId="1A15FE05" w14:textId="77777777" w:rsidR="000B2910" w:rsidRPr="000B2910" w:rsidRDefault="000B2910" w:rsidP="00F62733">
            <w:pPr>
              <w:spacing w:line="240" w:lineRule="auto"/>
              <w:rPr>
                <w:rFonts w:asciiTheme="majorBidi" w:eastAsia="Times New Roman" w:hAnsiTheme="majorBidi" w:cstheme="majorBidi"/>
                <w:color w:val="000000"/>
                <w:sz w:val="20"/>
                <w:szCs w:val="20"/>
              </w:rPr>
            </w:pPr>
            <w:r w:rsidRPr="000B2910">
              <w:rPr>
                <w:rFonts w:asciiTheme="majorBidi" w:eastAsia="Times New Roman" w:hAnsiTheme="majorBidi" w:cstheme="majorBidi"/>
                <w:color w:val="000000"/>
                <w:sz w:val="20"/>
                <w:szCs w:val="20"/>
              </w:rPr>
              <w:t>Complicates longitudinal analysis and internal audit processes</w:t>
            </w:r>
          </w:p>
        </w:tc>
      </w:tr>
    </w:tbl>
    <w:p w14:paraId="31846E39" w14:textId="04005A86" w:rsidR="002C688A" w:rsidRPr="002F741D" w:rsidRDefault="002C688A" w:rsidP="007E5DAD">
      <w:pPr>
        <w:spacing w:before="240" w:line="480" w:lineRule="auto"/>
        <w:jc w:val="both"/>
      </w:pPr>
      <w:r w:rsidRPr="002F741D">
        <w:t xml:space="preserve">The findings of this study demonstrate that the implementation of electronic contracts in managing partnerships between BPJS Kesehatan and healthcare facilities at the West Jakarta Branch is more effective than the conventional contract system, particularly in terms of completion timeliness and contract processing duration. These results reinforce the view that digitalization of administrative processes can address structural challenges in contract management, which have traditionally been characterized by lengthy procedures, reliance on physical documents, and complex multi-stakeholder coordination </w:t>
      </w:r>
      <w:r w:rsidR="00D4394D" w:rsidRPr="002F741D">
        <w:fldChar w:fldCharType="begin" w:fldLock="1"/>
      </w:r>
      <w:r w:rsidR="00F62733">
        <w:instrText>ADDIN CSL_CITATION {"citationItems":[{"id":"ITEM-1","itemData":{"author":[{"dropping-particle":"","family":"Drucker","given":"Peter F.","non-dropping-particle":"","parse-names":false,"suffix":""}],"container-title":"Harvard Business Review OnPoint","id":"ITEM-1","issued":{"date-parts":[["2004"]]},"title":"What Makes an Effective Executive","type":"article-journal"},"uris":["http://www.mendeley.com/documents/?uuid=f82d8ac5-08ab-4f46-a2f1-7f0815e3c1f4"]},{"id":"ITEM-2","itemData":{"DOI":"10.1186/s40064-016-3498-1","ISSN":"2193-1801","author":[{"dropping-particle":"Van","family":"Looy","given":"Amy","non-dropping-particle":"","parse-names":false,"suffix":""},{"dropping-particle":"","family":"Shafagatova","given":"Aygun","non-dropping-particle":"","parse-names":false,"suffix":""}],"container-title":"SpringerPlus","id":"ITEM-2","issued":{"date-parts":[["2016"]]},"page":"1-24","publisher":"Springer International Publishing","title":"Business process performance measurement : a structured literature review of indicators , measures and metrics","type":"article-journal"},"uris":["http://www.mendeley.com/documents/?uuid=c48cb795-d9ec-425d-9c1a-21dd682de266"]}],"mendeley":{"formattedCitation":"(Drucker, 2004; Looy &amp; Shafagatova, 2016)","plainTextFormattedCitation":"(Drucker, 2004; Looy &amp; Shafagatova, 2016)","previouslyFormattedCitation":"(Drucker, 2004; Looy &amp; Shafagatova, 2016)"},"properties":{"noteIndex":0},"schema":"https://github.com/citation-style-language/schema/raw/master/csl-citation.json"}</w:instrText>
      </w:r>
      <w:r w:rsidR="00D4394D" w:rsidRPr="002F741D">
        <w:fldChar w:fldCharType="separate"/>
      </w:r>
      <w:r w:rsidR="00CB14BA" w:rsidRPr="002F741D">
        <w:rPr>
          <w:noProof/>
        </w:rPr>
        <w:t>(Drucker, 2004; Looy &amp; Shafagatova, 2016)</w:t>
      </w:r>
      <w:r w:rsidR="00D4394D" w:rsidRPr="002F741D">
        <w:fldChar w:fldCharType="end"/>
      </w:r>
      <w:r w:rsidRPr="002F741D">
        <w:t>.</w:t>
      </w:r>
    </w:p>
    <w:p w14:paraId="40855BBF" w14:textId="24A7D171" w:rsidR="002C688A" w:rsidRPr="002F741D" w:rsidRDefault="002C688A" w:rsidP="007E5DAD">
      <w:pPr>
        <w:spacing w:before="240" w:line="480" w:lineRule="auto"/>
        <w:jc w:val="both"/>
      </w:pPr>
      <w:r w:rsidRPr="002F741D">
        <w:t xml:space="preserve">From a quantitative perspective, the significant difference in completion duration between conventional and electronic contracts indicates that electronic contracts substantially accelerate the completion of </w:t>
      </w:r>
      <w:r w:rsidRPr="002F741D">
        <w:lastRenderedPageBreak/>
        <w:t>partnership agreements. The average completion time of electronic contracts, which required only 2–3 working days compared to 10–14 working days for printed contracts, reflects a marked improvement in process effectiveness from a time-performance perspective. This finding is consistent with business process management literature, which highlights cycle time reduction as a primary indicator of successful administrative process digitalization</w:t>
      </w:r>
      <w:r w:rsidR="00D4394D" w:rsidRPr="002F741D">
        <w:t xml:space="preserve"> </w:t>
      </w:r>
      <w:r w:rsidR="00D4394D" w:rsidRPr="002F741D">
        <w:fldChar w:fldCharType="begin" w:fldLock="1"/>
      </w:r>
      <w:r w:rsidR="00F62733">
        <w:instrText>ADDIN CSL_CITATION {"citationItems":[{"id":"ITEM-1","itemData":{"DOI":"10.1016/j.compind.2003.10.007","ISSN":"01663615","author":[{"dropping-particle":"","family":"Grigori","given":"Daniela","non-dropping-particle":"","parse-names":false,"suffix":""},{"dropping-particle":"","family":"Casati","given":"Fabio","non-dropping-particle":"","parse-names":false,"suffix":""},{"dropping-particle":"","family":"Castellanos","given":"Malu","non-dropping-particle":"","parse-names":false,"suffix":""},{"dropping-particle":"","family":"Dayal","given":"Umeshwar","non-dropping-particle":"","parse-names":false,"suffix":""},{"dropping-particle":"","family":"Sayal","given":"Mehmet","non-dropping-particle":"","parse-names":false,"suffix":""},{"dropping-particle":"","family":"Shan","given":"Ming-Chien","non-dropping-particle":"","parse-names":false,"suffix":""}],"container-title":"Computers in Industry","id":"ITEM-1","issue":"3","issued":{"date-parts":[["2004","4"]]},"page":"321-343","title":"Business Process Intelligence","type":"article-journal","volume":"53"},"uris":["http://www.mendeley.com/documents/?uuid=d2a1052c-3556-4f30-8409-533b56c855a0"]},{"id":"ITEM-2","itemData":{"DOI":"10.1016/j.cie.2013.02.015","author":[{"dropping-particle":"","family":"Xie","given":"Yi","non-dropping-particle":"","parse-names":false,"suffix":""},{"dropping-particle":"","family":"Chien","given":"Chen-Fu","non-dropping-particle":"","parse-names":false,"suffix":""},{"dropping-particle":"","family":"Tang","given":"Ren-Zhong","non-dropping-particle":"","parse-names":false,"suffix":""}],"container-title":"Computers &amp; Industrial Engineering","id":"ITEM-2","issued":{"date-parts":[["2013"]]},"page":"194–206","title":"A method for estimating the cycle time of business processes with many-to-many relationships among the resources and activities based on individual worklists","type":"article-journal","volume":"65"},"uris":["http://www.mendeley.com/documents/?uuid=1bca31aa-775a-47d0-a6b3-19d4c66b7771"]}],"mendeley":{"formattedCitation":"(Grigori et al., 2004; Xie et al., 2013)","plainTextFormattedCitation":"(Grigori et al., 2004; Xie et al., 2013)","previouslyFormattedCitation":"(Grigori et al., 2004; Xie et al., 2013)"},"properties":{"noteIndex":0},"schema":"https://github.com/citation-style-language/schema/raw/master/csl-citation.json"}</w:instrText>
      </w:r>
      <w:r w:rsidR="00D4394D" w:rsidRPr="002F741D">
        <w:fldChar w:fldCharType="separate"/>
      </w:r>
      <w:r w:rsidR="00CB14BA" w:rsidRPr="002F741D">
        <w:rPr>
          <w:noProof/>
        </w:rPr>
        <w:t>(Grigori et al., 2004; Xie et al., 2013)</w:t>
      </w:r>
      <w:r w:rsidR="00D4394D" w:rsidRPr="002F741D">
        <w:fldChar w:fldCharType="end"/>
      </w:r>
      <w:r w:rsidRPr="002F741D">
        <w:t xml:space="preserve">. Time Efficiency Ratio (TER) and Schedule Performance Index (SPI) values greater than one further confirm that electronic contracts not only accelerate processes but also enhance compliance with predefined schedule targets </w:t>
      </w:r>
      <w:r w:rsidR="00D4394D" w:rsidRPr="002F741D">
        <w:fldChar w:fldCharType="begin" w:fldLock="1"/>
      </w:r>
      <w:r w:rsidR="00CB14BA" w:rsidRPr="002F741D">
        <w:instrText>ADDIN CSL_CITATION {"citationItems":[{"id":"ITEM-1","itemData":{"DOI":"10.3390/buildings12081198","ISSN":"20755309","abstract":"The aim of the research results presented in the article was to develop a method that enables the analysis and evaluation of deviations at the stage of implementing a construction investment in various construction sectors. The new method was based on the well-known Earned Value Method (EVM). It was assumed that the monitoring of costs and the constant control of the implementation time of construction projects, with the simultaneous analysis of the level of deviations, allows for the consistent management of the investment task. Moreover, it ensures—in the required time—the adoption of appropriate improvement actions, and also enables the quantification of risk during the planning of an investment. The article attempts to prove the validity of the assumption about the necessity of the cyclical verification of the level of deviations in construction projects budget and schedule. Such an approach provides numerous perceptible benefits; such as the precise determination of the size of possible losses; an immediate reaction to risk; and the possibility of making changes at every stage of implementing an investment. On the basis of the analysis of the author’s own research carried out in three research groups of facilities (collective housing; hotels; and commercial and service facilities), an original attempt was made to determine the size of cost and time performance indexes of various investment tasks. The values of these performance indexes were determined, and are presented as quantile images in boxplots.","author":[{"dropping-particle":"","family":"Konior","given":"Jarosław","non-dropping-particle":"","parse-names":false,"suffix":""}],"container-title":"Buildings","id":"ITEM-1","issue":"8","issued":{"date-parts":[["2022"]]},"title":"Determining Cost and Time Performance Indexes for Diversified Investment Tasks","type":"article-journal","volume":"12"},"uris":["http://www.mendeley.com/documents/?uuid=359f8fc8-8640-4063-a540-5528fd040470"]}],"mendeley":{"formattedCitation":"(Konior, 2022)","plainTextFormattedCitation":"(Konior, 2022)","previouslyFormattedCitation":"(Konior, 2022)"},"properties":{"noteIndex":0},"schema":"https://github.com/citation-style-language/schema/raw/master/csl-citation.json"}</w:instrText>
      </w:r>
      <w:r w:rsidR="00D4394D" w:rsidRPr="002F741D">
        <w:fldChar w:fldCharType="separate"/>
      </w:r>
      <w:r w:rsidR="00803559" w:rsidRPr="002F741D">
        <w:rPr>
          <w:noProof/>
        </w:rPr>
        <w:t>(Konior, 2022)</w:t>
      </w:r>
      <w:r w:rsidR="00D4394D" w:rsidRPr="002F741D">
        <w:fldChar w:fldCharType="end"/>
      </w:r>
      <w:r w:rsidRPr="002F741D">
        <w:t>.</w:t>
      </w:r>
    </w:p>
    <w:p w14:paraId="571D7C76" w14:textId="039742D4" w:rsidR="002C688A" w:rsidRPr="002F741D" w:rsidRDefault="002C688A" w:rsidP="007E5DAD">
      <w:pPr>
        <w:spacing w:before="240" w:line="480" w:lineRule="auto"/>
        <w:jc w:val="both"/>
      </w:pPr>
      <w:r w:rsidRPr="002F741D">
        <w:t xml:space="preserve">The results of the bivariate analysis reveal a statistically significant relationship between contract type and contract completion timeliness. This finding suggests that the use of electronic contracts increases the likelihood of timely contract completion. In the context of healthcare partnership management, timely contract completion is strategically important because contracts serve as the legal basis for healthcare service coverage and as an instrument for controlling healthcare facility compliance with the National Health Insurance Program. Timely contract completion also contributes to improved accountability in public organizations, as emphasized in public sector governance and performance management studies </w:t>
      </w:r>
      <w:r w:rsidR="00D4394D" w:rsidRPr="002F741D">
        <w:fldChar w:fldCharType="begin" w:fldLock="1"/>
      </w:r>
      <w:r w:rsidR="00F62733">
        <w:instrText>ADDIN CSL_CITATION {"citationItems":[{"id":"ITEM-1","itemData":{"author":[{"dropping-particle":"","family":"Robbin","given":"Stephen P.","non-dropping-particle":"","parse-names":false,"suffix":""},{"dropping-particle":"","family":"Coulter","given":"M","non-dropping-particle":"","parse-names":false,"suffix":""}],"edition":"13","id":"ITEM-1","issued":{"date-parts":[["2016"]]},"publisher":"Pearson Education Limited","publisher-place":"Harlow","title":"Management","type":"book"},"uris":["http://www.mendeley.com/documents/?uuid=47e73f63-6f19-3df9-b14b-57a3f7dcad4b"]},{"id":"ITEM-2","itemData":{"ISBN":"13:978-1-4221-0171-1","author":[{"dropping-particle":"","family":"Kaplan","given":"Robert S.","non-dropping-particle":"","parse-names":false,"suffix":""},{"dropping-particle":"","family":"Anderson","given":"Steven S","non-dropping-particle":"","parse-names":false,"suffix":""}],"edition":"1","id":"ITEM-2","issued":{"date-parts":[["2007"]]},"publisher":"Harvard Business School Press","publisher-place":"Massachusetts","title":"Time Driven Activity Base Costing","type":"book"},"uris":["http://www.mendeley.com/documents/?uuid=c32fd7ae-3fea-4fd6-96c5-ad97e7c775be"]}],"mendeley":{"formattedCitation":"(Kaplan &amp; Anderson, 2007; Robbin &amp; Coulter, 2016)","plainTextFormattedCitation":"(Kaplan &amp; Anderson, 2007; Robbin &amp; Coulter, 2016)","previouslyFormattedCitation":"(Kaplan &amp; Anderson, 2007; Robbin &amp; Coulter, 2016)"},"properties":{"noteIndex":0},"schema":"https://github.com/citation-style-language/schema/raw/master/csl-citation.json"}</w:instrText>
      </w:r>
      <w:r w:rsidR="00D4394D" w:rsidRPr="002F741D">
        <w:fldChar w:fldCharType="separate"/>
      </w:r>
      <w:r w:rsidR="00CB14BA" w:rsidRPr="002F741D">
        <w:rPr>
          <w:noProof/>
        </w:rPr>
        <w:t>(Kaplan &amp; Anderson, 2007; Robbin &amp; Coulter, 2016)</w:t>
      </w:r>
      <w:r w:rsidR="00D4394D" w:rsidRPr="002F741D">
        <w:fldChar w:fldCharType="end"/>
      </w:r>
      <w:r w:rsidRPr="002F741D">
        <w:t>.</w:t>
      </w:r>
    </w:p>
    <w:p w14:paraId="213C9F0C" w14:textId="433F5FF9" w:rsidR="002C688A" w:rsidRPr="002F741D" w:rsidRDefault="002C688A" w:rsidP="007E5DAD">
      <w:pPr>
        <w:spacing w:before="240" w:line="480" w:lineRule="auto"/>
        <w:jc w:val="both"/>
      </w:pPr>
      <w:r w:rsidRPr="002F741D">
        <w:t xml:space="preserve">Observational findings further demonstrate that electronic contracts are able to simplify contractual process stages by eliminating non-value-adding administrative activities, such as document printing, physical distribution, and printed documents archiving. In addition, the electronic contract system enhances process traceability and minimizes the risk of using outdated document versions. The ability to monitor contract status in real time provides critical support for partnership managers in controlling processes and detecting potential delays at an early stage. These findings align with the concept of business process intelligence, which underscores the importance of process visibility in improving organizational performance and control </w:t>
      </w:r>
      <w:r w:rsidR="00D4394D" w:rsidRPr="002F741D">
        <w:fldChar w:fldCharType="begin" w:fldLock="1"/>
      </w:r>
      <w:r w:rsidR="00F62733">
        <w:instrText>ADDIN CSL_CITATION {"citationItems":[{"id":"ITEM-1","itemData":{"DOI":"10.1016/j.compind.2003.10.007","ISSN":"01663615","author":[{"dropping-particle":"","family":"Grigori","given":"Daniela","non-dropping-particle":"","parse-names":false,"suffix":""},{"dropping-particle":"","family":"Casati","given":"Fabio","non-dropping-particle":"","parse-names":false,"suffix":""},{"dropping-particle":"","family":"Castellanos","given":"Malu","non-dropping-particle":"","parse-names":false,"suffix":""},{"dropping-particle":"","family":"Dayal","given":"Umeshwar","non-dropping-particle":"","parse-names":false,"suffix":""},{"dropping-particle":"","family":"Sayal","given":"Mehmet","non-dropping-particle":"","parse-names":false,"suffix":""},{"dropping-particle":"","family":"Shan","given":"Ming-Chien","non-dropping-particle":"","parse-names":false,"suffix":""}],"container-title":"Computers in Industry","id":"ITEM-1","issue":"3","issued":{"date-parts":[["2004","4"]]},"page":"321-343","title":"Business Process Intelligence","type":"article-journal","volume":"53"},"uris":["http://www.mendeley.com/documents/?uuid=d2a1052c-3556-4f30-8409-533b56c855a0"]}],"mendeley":{"formattedCitation":"(Grigori et al., 2004)","plainTextFormattedCitation":"(Grigori et al., 2004)","previouslyFormattedCitation":"(Grigori et al., 2004)"},"properties":{"noteIndex":0},"schema":"https://github.com/citation-style-language/schema/raw/master/csl-citation.json"}</w:instrText>
      </w:r>
      <w:r w:rsidR="00D4394D" w:rsidRPr="002F741D">
        <w:fldChar w:fldCharType="separate"/>
      </w:r>
      <w:r w:rsidR="00803559" w:rsidRPr="002F741D">
        <w:rPr>
          <w:noProof/>
        </w:rPr>
        <w:t>(Grigori et al., 2004)</w:t>
      </w:r>
      <w:r w:rsidR="00D4394D" w:rsidRPr="002F741D">
        <w:fldChar w:fldCharType="end"/>
      </w:r>
      <w:r w:rsidRPr="002F741D">
        <w:t>.</w:t>
      </w:r>
    </w:p>
    <w:p w14:paraId="2DAE6395" w14:textId="6B9E343B" w:rsidR="002C688A" w:rsidRPr="002F741D" w:rsidRDefault="002C688A" w:rsidP="007E5DAD">
      <w:pPr>
        <w:spacing w:before="240" w:line="480" w:lineRule="auto"/>
        <w:jc w:val="both"/>
      </w:pPr>
      <w:r w:rsidRPr="002F741D">
        <w:t xml:space="preserve">Nevertheless, the effectiveness of electronic contracts has not yet been fully optimized due to existing implementation limitations. Adoption of electronic contracts among healthcare facilities remains </w:t>
      </w:r>
      <w:r w:rsidRPr="002F741D">
        <w:lastRenderedPageBreak/>
        <w:t xml:space="preserve">uneven, and some contractual processes still need to be completed through conventional printed mechanisms. This condition is influenced by system feature limitations, including the lack of support for contract addendum management, flexible contract validity periods, and specific signing authority configurations. These limitations contribute to the emergence of hybrid processes, which may reduce the effectiveness gains expected from contract digitalization. Digital transformation literature emphasizes that partial digitalization often results in process fragmentation and constrains overall performance outcomes </w:t>
      </w:r>
      <w:r w:rsidR="00D4394D" w:rsidRPr="002F741D">
        <w:fldChar w:fldCharType="begin" w:fldLock="1"/>
      </w:r>
      <w:r w:rsidR="00CB14BA" w:rsidRPr="002F741D">
        <w:instrText>ADDIN CSL_CITATION {"citationItems":[{"id":"ITEM-1","itemData":{"author":[{"dropping-particle":"","family":"Limna","given":"Pongsakorn","non-dropping-particle":"","parse-names":false,"suffix":""}],"container-title":"International Journal of Advanced Health Science and Technology","id":"ITEM-1","issue":"2","issued":{"date-parts":[["2023"]]},"page":"127-132","title":"The Digital Transformation of Healthcare in The Digital Economy : A Systematic Review","type":"article-journal","volume":"3"},"uris":["http://www.mendeley.com/documents/?uuid=9645fda0-411c-495f-8b5a-412ad948dd67"]}],"mendeley":{"formattedCitation":"(Limna, 2023)","plainTextFormattedCitation":"(Limna, 2023)","previouslyFormattedCitation":"(Limna, 2023)"},"properties":{"noteIndex":0},"schema":"https://github.com/citation-style-language/schema/raw/master/csl-citation.json"}</w:instrText>
      </w:r>
      <w:r w:rsidR="00D4394D" w:rsidRPr="002F741D">
        <w:fldChar w:fldCharType="separate"/>
      </w:r>
      <w:r w:rsidR="00803559" w:rsidRPr="002F741D">
        <w:rPr>
          <w:noProof/>
        </w:rPr>
        <w:t>(Limna, 2023)</w:t>
      </w:r>
      <w:r w:rsidR="00D4394D" w:rsidRPr="002F741D">
        <w:fldChar w:fldCharType="end"/>
      </w:r>
      <w:r w:rsidRPr="002F741D">
        <w:t>.</w:t>
      </w:r>
    </w:p>
    <w:p w14:paraId="162F04E7" w14:textId="5FB82C94" w:rsidR="002C688A" w:rsidRPr="002F741D" w:rsidRDefault="002C688A" w:rsidP="007E5DAD">
      <w:pPr>
        <w:spacing w:before="240" w:line="480" w:lineRule="auto"/>
        <w:jc w:val="both"/>
      </w:pPr>
      <w:r w:rsidRPr="002F741D">
        <w:t xml:space="preserve">These findings indicate that the effectiveness of electronic contracts is determined not only by process speed, but also by the functional completeness of the system in accommodating the complexity of healthcare partnership governance. Systems that are not fully integrated risk creating process discontinuities and additional administrative burdens. Therefore, the development of electronic contracts should be directed toward end-to-end integration of contractual functions, including addendum management, flexible contract validity arrangements, and support for variations in signing authority </w:t>
      </w:r>
      <w:r w:rsidR="00D4394D" w:rsidRPr="002F741D">
        <w:fldChar w:fldCharType="begin" w:fldLock="1"/>
      </w:r>
      <w:r w:rsidR="00F62733">
        <w:instrText>ADDIN CSL_CITATION {"citationItems":[{"id":"ITEM-1","itemData":{"DOI":"10.1016/j.jksuci.2022.06.001","ISSN":"22131248","abstract":"Digital collection and maintenance of evidence corresponding to an accident is of utmost relevance as vehicles become connected and part of Internet of things ecosystem. A conceptual evidence management framework is proposed examining the future of accident investigation forensics in the era of connected vehicles. The framework discusses how evidence generated from vehicles involved in incident along with supporting evidence from nearby vehicles CCTVs and road users can be collected and managed over blockchain using smart contracts in a vehicle to everything connected environment. The management of evidence over blockchain serves as an immutable and auditable means to investigate and settle cases post an accident among the stakeholders. Dynamic access control over evidence data and reports based on location of incident and vehicle involved is implemented with the help of smart contracts. The cost of deploying and carrying out transactions using the smart contracts is evaluated over both public and private Ethereum blockchain. Mechanism and cost involved in storing evidence on chain versus off chain using Inter Planetary File System in most optimised manner saving memory and execution cost is compared and presented. The smart contract codes are deployed on Rinkeby test network and can be accessed using address mentioned.","author":[{"dropping-particle":"","family":"Philip","given":"Abin Oommen","non-dropping-particle":"","parse-names":false,"suffix":""},{"dropping-particle":"","family":"Saravanaguru","given":"RA K.","non-dropping-particle":"","parse-names":false,"suffix":""}],"container-title":"Journal of King Saud University - Computer and Information Sciences","id":"ITEM-1","issue":"7","issued":{"date-parts":[["2022","7","1"]]},"page":"4031-4046","publisher":"King Saud bin Abdulaziz University","title":"Smart contract based digital evidence management framework over blockchain for vehicle accident investigation in IoV era","type":"article-journal","volume":"34"},"uris":["http://www.mendeley.com/documents/?uuid=b068e915-0bab-3fde-8caa-8cf0fd4eb782"]}],"mendeley":{"formattedCitation":"(Philip &amp; Saravanaguru, 2022)","plainTextFormattedCitation":"(Philip &amp; Saravanaguru, 2022)","previouslyFormattedCitation":"(Philip &amp; Saravanaguru, 2022)"},"properties":{"noteIndex":0},"schema":"https://github.com/citation-style-language/schema/raw/master/csl-citation.json"}</w:instrText>
      </w:r>
      <w:r w:rsidR="00D4394D" w:rsidRPr="002F741D">
        <w:fldChar w:fldCharType="separate"/>
      </w:r>
      <w:r w:rsidR="00CB14BA" w:rsidRPr="002F741D">
        <w:rPr>
          <w:noProof/>
        </w:rPr>
        <w:t>(Philip &amp; Saravanaguru, 2022)</w:t>
      </w:r>
      <w:r w:rsidR="00D4394D" w:rsidRPr="002F741D">
        <w:fldChar w:fldCharType="end"/>
      </w:r>
      <w:r w:rsidRPr="002F741D">
        <w:t>.</w:t>
      </w:r>
    </w:p>
    <w:p w14:paraId="24DBC71E" w14:textId="77777777" w:rsidR="002C688A" w:rsidRPr="002F741D" w:rsidRDefault="002C688A" w:rsidP="007E5DAD">
      <w:pPr>
        <w:spacing w:before="240" w:line="480" w:lineRule="auto"/>
        <w:jc w:val="both"/>
      </w:pPr>
      <w:r w:rsidRPr="002F741D">
        <w:t>Overall, the results of this study indicate that electronic contracts constitute an effective instrument for improving the performance of partnership management at the branch level of BPJS Kesehatan. Effectiveness gains are reflected in shorter contract completion durations, improved timeliness, and enhanced process traceability and control. However, to fully maximize these benefits, broader adoption across all healthcare facilities, system feature enhancements to accommodate contractual complexity, and strengthened implementation policies are required to ensure that electronic contracts function optimally as a governance instrument within the National Health Insurance Program.</w:t>
      </w:r>
    </w:p>
    <w:p w14:paraId="369E027B" w14:textId="77777777" w:rsidR="006E7F6F" w:rsidRPr="002F741D" w:rsidRDefault="006E7F6F" w:rsidP="007E5DAD">
      <w:pPr>
        <w:spacing w:line="480" w:lineRule="auto"/>
        <w:ind w:firstLine="397"/>
        <w:jc w:val="both"/>
        <w:rPr>
          <w:rFonts w:asciiTheme="majorBidi" w:hAnsiTheme="majorBidi" w:cstheme="majorBidi"/>
          <w:szCs w:val="22"/>
        </w:rPr>
      </w:pPr>
    </w:p>
    <w:p w14:paraId="34EEEA89" w14:textId="2A9ED273" w:rsidR="009F4164" w:rsidRPr="002F741D" w:rsidRDefault="003F4B10" w:rsidP="007E5DAD">
      <w:pPr>
        <w:spacing w:line="480" w:lineRule="auto"/>
        <w:jc w:val="both"/>
        <w:rPr>
          <w:rFonts w:asciiTheme="majorBidi" w:hAnsiTheme="majorBidi" w:cstheme="majorBidi"/>
          <w:b/>
          <w:bCs/>
          <w:szCs w:val="22"/>
        </w:rPr>
      </w:pPr>
      <w:r w:rsidRPr="002F741D">
        <w:rPr>
          <w:rFonts w:asciiTheme="majorBidi" w:hAnsiTheme="majorBidi" w:cstheme="majorBidi"/>
          <w:b/>
          <w:bCs/>
          <w:szCs w:val="22"/>
        </w:rPr>
        <w:t xml:space="preserve">Research </w:t>
      </w:r>
      <w:r w:rsidR="009F4164" w:rsidRPr="002F741D">
        <w:rPr>
          <w:rFonts w:asciiTheme="majorBidi" w:hAnsiTheme="majorBidi" w:cstheme="majorBidi"/>
          <w:b/>
          <w:bCs/>
          <w:szCs w:val="22"/>
        </w:rPr>
        <w:t>Limitation</w:t>
      </w:r>
    </w:p>
    <w:p w14:paraId="2ABA1044" w14:textId="77777777" w:rsidR="009F4164" w:rsidRPr="002F741D" w:rsidRDefault="009F4164" w:rsidP="007E5DAD">
      <w:pPr>
        <w:spacing w:before="240" w:line="480" w:lineRule="auto"/>
        <w:jc w:val="both"/>
        <w:rPr>
          <w:lang w:val="en-ID"/>
        </w:rPr>
      </w:pPr>
      <w:r w:rsidRPr="002F741D">
        <w:rPr>
          <w:lang w:val="en-ID"/>
        </w:rPr>
        <w:t xml:space="preserve">This study has several limitations that should be considered when interpreting the findings. First, the analysis was conducted within a single operational setting, namely the BPJS Kesehatan West Jakarta </w:t>
      </w:r>
      <w:r w:rsidRPr="002F741D">
        <w:rPr>
          <w:lang w:val="en-ID"/>
        </w:rPr>
        <w:lastRenderedPageBreak/>
        <w:t>Branch. As a result, the findings may not fully represent variations in infrastructure readiness, managerial capacity, and policy implementation across other regional branches.</w:t>
      </w:r>
    </w:p>
    <w:p w14:paraId="3F0ECD5B" w14:textId="77777777" w:rsidR="009F4164" w:rsidRPr="002F741D" w:rsidRDefault="009F4164" w:rsidP="007E5DAD">
      <w:pPr>
        <w:spacing w:before="240" w:line="480" w:lineRule="auto"/>
        <w:jc w:val="both"/>
        <w:rPr>
          <w:lang w:val="en-ID"/>
        </w:rPr>
      </w:pPr>
      <w:r w:rsidRPr="002F741D">
        <w:rPr>
          <w:lang w:val="en-ID"/>
        </w:rPr>
        <w:t>Second, the study primarily relied on secondary administrative data and focused on time-based performance indicators, including timeliness, completion duration, Time Efficiency Ratio (TER), and Schedule Performance Index (SPI). While these indicators provide a strong measure of process effectiveness, the study did not examine other important dimensions such as cost efficiency, user satisfaction, legal risk mitigation, or long-term governance impact.</w:t>
      </w:r>
    </w:p>
    <w:p w14:paraId="35E8FA6F" w14:textId="77777777" w:rsidR="009F4164" w:rsidRPr="002F741D" w:rsidRDefault="009F4164" w:rsidP="007E5DAD">
      <w:pPr>
        <w:spacing w:before="240" w:line="480" w:lineRule="auto"/>
        <w:jc w:val="both"/>
        <w:rPr>
          <w:lang w:val="en-ID"/>
        </w:rPr>
      </w:pPr>
      <w:r w:rsidRPr="002F741D">
        <w:rPr>
          <w:lang w:val="en-ID"/>
        </w:rPr>
        <w:t>Third, the adoption of electronic contracts among healthcare facilities was not yet fully uniform. The presence of hybrid conventional–electronic processes may have influenced the overall effectiveness measurement and limited the ability to assess the full potential of end-to-end digital contract implementation.</w:t>
      </w:r>
    </w:p>
    <w:p w14:paraId="45DC325D" w14:textId="77777777" w:rsidR="009F4164" w:rsidRPr="002F741D" w:rsidRDefault="009F4164" w:rsidP="007E5DAD">
      <w:pPr>
        <w:spacing w:before="240" w:line="480" w:lineRule="auto"/>
        <w:jc w:val="both"/>
        <w:rPr>
          <w:lang w:val="en-ID"/>
        </w:rPr>
      </w:pPr>
      <w:r w:rsidRPr="002F741D">
        <w:rPr>
          <w:lang w:val="en-ID"/>
        </w:rPr>
        <w:t>Finally, this study applied a quantitative observational design without incorporating qualitative perspectives from partnership managers or healthcare facility representatives. Future research could integrate mixed-method approaches to provide deeper insight into behavioral, organizational, and policy factors influencing electronic contract effectiveness</w:t>
      </w:r>
    </w:p>
    <w:p w14:paraId="2D5572C1" w14:textId="77777777" w:rsidR="009F4164" w:rsidRPr="002F741D" w:rsidRDefault="009F4164" w:rsidP="007E5DAD">
      <w:pPr>
        <w:spacing w:line="480" w:lineRule="auto"/>
        <w:jc w:val="both"/>
        <w:rPr>
          <w:rFonts w:asciiTheme="majorBidi" w:hAnsiTheme="majorBidi" w:cstheme="majorBidi"/>
          <w:b/>
          <w:bCs/>
          <w:szCs w:val="22"/>
          <w:lang w:val="en-ID"/>
        </w:rPr>
      </w:pPr>
    </w:p>
    <w:p w14:paraId="2ECC9DA9" w14:textId="58AF4015" w:rsidR="002C688A" w:rsidRPr="002F741D" w:rsidRDefault="00AB6888" w:rsidP="007E5DAD">
      <w:pPr>
        <w:spacing w:line="480" w:lineRule="auto"/>
        <w:jc w:val="both"/>
        <w:rPr>
          <w:rFonts w:asciiTheme="majorBidi" w:hAnsiTheme="majorBidi" w:cstheme="majorBidi"/>
          <w:b/>
          <w:bCs/>
          <w:szCs w:val="22"/>
        </w:rPr>
      </w:pPr>
      <w:r>
        <w:rPr>
          <w:rFonts w:asciiTheme="majorBidi" w:hAnsiTheme="majorBidi" w:cstheme="majorBidi"/>
          <w:b/>
          <w:bCs/>
          <w:szCs w:val="22"/>
        </w:rPr>
        <w:t>Conclusion</w:t>
      </w:r>
    </w:p>
    <w:p w14:paraId="7AC9333C" w14:textId="77777777" w:rsidR="002C688A" w:rsidRPr="002F741D" w:rsidRDefault="002C688A" w:rsidP="007E5DAD">
      <w:pPr>
        <w:spacing w:before="240" w:line="480" w:lineRule="auto"/>
        <w:jc w:val="both"/>
      </w:pPr>
      <w:r w:rsidRPr="002F741D">
        <w:t>This study concludes that the implementation of electronic contracts in managing partnerships between BPJS Kesehatan and healthcare facilities at the BPJS Kesehatan West Jakarta Branch is more effective than the conventional contract system. This effectiveness is reflected in improved contract completion timeliness and significantly reduced contract processing duration. Time Efficiency Ratio (TER) and Schedule Performance Index (SPI) values greater than one indicate that electronic contracts are able to meet and exceed planned completion time targets.</w:t>
      </w:r>
    </w:p>
    <w:p w14:paraId="13BF72A5" w14:textId="77777777" w:rsidR="002C688A" w:rsidRPr="002F741D" w:rsidRDefault="002C688A" w:rsidP="007E5DAD">
      <w:pPr>
        <w:spacing w:before="240" w:line="480" w:lineRule="auto"/>
        <w:jc w:val="both"/>
      </w:pPr>
      <w:r w:rsidRPr="002F741D">
        <w:t xml:space="preserve">The results of the bivariate analysis demonstrate a statistically significant relationship between contract type and completion timeliness, as well as a significant difference in completion duration between </w:t>
      </w:r>
      <w:r w:rsidRPr="002F741D">
        <w:lastRenderedPageBreak/>
        <w:t>electronic and conventional printed  contracts. These findings confirm that electronic contracts serve as a more reliable mechanism for supporting responsive and controlled partnership management.</w:t>
      </w:r>
    </w:p>
    <w:p w14:paraId="329DE282" w14:textId="77777777" w:rsidR="002C688A" w:rsidRPr="002F741D" w:rsidRDefault="002C688A" w:rsidP="007E5DAD">
      <w:pPr>
        <w:spacing w:before="240" w:line="480" w:lineRule="auto"/>
        <w:jc w:val="both"/>
      </w:pPr>
      <w:r w:rsidRPr="002F741D">
        <w:t>Based on implementation observations, electronic contracts are able to simplify administrative stages, enhance process traceability, and minimize the risk of administrative errors resulting from the use of outdated document versions. However, the effectiveness of electronic contracts has not yet been fully optimized due to limitations in adoption and system feature completeness, which require some contractual processes to continue through conventional printed  mechanisms.</w:t>
      </w:r>
    </w:p>
    <w:p w14:paraId="6E076266" w14:textId="27998116" w:rsidR="002C688A" w:rsidRPr="002F741D" w:rsidRDefault="002C688A" w:rsidP="007E5DAD">
      <w:pPr>
        <w:spacing w:before="240" w:line="480" w:lineRule="auto"/>
        <w:jc w:val="both"/>
      </w:pPr>
      <w:r w:rsidRPr="002F741D">
        <w:t>Overall, electronic contracts represent an effective instrument for improving the performance of healthcare partnership management at the branch level. Optimizing these effectiveness benefits requires comprehensive implementation, system feature refinement, and adaptive policy support to ensure that electronic contracts function optimally as an integral component of governance within the National Health Insurance Program</w:t>
      </w:r>
      <w:r w:rsidR="0022568C" w:rsidRPr="002F741D">
        <w:t>.</w:t>
      </w:r>
    </w:p>
    <w:p w14:paraId="0F790A7D" w14:textId="77777777" w:rsidR="003F4B10" w:rsidRPr="002F741D" w:rsidRDefault="003F4B10" w:rsidP="007E5DAD">
      <w:pPr>
        <w:spacing w:line="480" w:lineRule="auto"/>
        <w:ind w:firstLine="397"/>
        <w:jc w:val="both"/>
        <w:rPr>
          <w:rFonts w:asciiTheme="majorBidi" w:hAnsiTheme="majorBidi" w:cstheme="majorBidi"/>
          <w:szCs w:val="22"/>
        </w:rPr>
      </w:pPr>
    </w:p>
    <w:p w14:paraId="1A7ACD91" w14:textId="5F1DC448" w:rsidR="003F4B10" w:rsidRPr="002F741D" w:rsidRDefault="00227773" w:rsidP="007E5DAD">
      <w:pPr>
        <w:spacing w:line="480" w:lineRule="auto"/>
        <w:jc w:val="both"/>
        <w:rPr>
          <w:rFonts w:asciiTheme="majorBidi" w:hAnsiTheme="majorBidi" w:cstheme="majorBidi"/>
          <w:b/>
          <w:bCs/>
          <w:szCs w:val="22"/>
        </w:rPr>
      </w:pPr>
      <w:r w:rsidRPr="002F741D">
        <w:rPr>
          <w:rFonts w:asciiTheme="majorBidi" w:hAnsiTheme="majorBidi" w:cstheme="majorBidi"/>
          <w:b/>
          <w:bCs/>
          <w:szCs w:val="22"/>
        </w:rPr>
        <w:t xml:space="preserve">8. </w:t>
      </w:r>
      <w:r w:rsidR="003F4B10" w:rsidRPr="002F741D">
        <w:rPr>
          <w:rFonts w:asciiTheme="majorBidi" w:hAnsiTheme="majorBidi" w:cstheme="majorBidi"/>
          <w:b/>
          <w:bCs/>
          <w:szCs w:val="22"/>
        </w:rPr>
        <w:t>Originality</w:t>
      </w:r>
    </w:p>
    <w:p w14:paraId="1ABB804F" w14:textId="77777777" w:rsidR="00CB14BA" w:rsidRPr="002F741D" w:rsidRDefault="00CB14BA" w:rsidP="007E5DAD">
      <w:pPr>
        <w:spacing w:before="240" w:line="480" w:lineRule="auto"/>
        <w:jc w:val="both"/>
        <w:rPr>
          <w:lang w:val="en-ID"/>
        </w:rPr>
      </w:pPr>
      <w:r w:rsidRPr="002F741D">
        <w:rPr>
          <w:lang w:val="en-ID"/>
        </w:rPr>
        <w:t>This study provides original value by offering empirical, performance-based evidence on the organizational impact of electronic contract (e-contract) implementation within a large-scale public health insurance institution. Unlike most digital governance studies that focus primarily on regulatory frameworks, system adoption, or technological readiness, this research evaluates digital transformation through measurable organizational effectiveness indicators.</w:t>
      </w:r>
    </w:p>
    <w:p w14:paraId="2636218E" w14:textId="77777777" w:rsidR="00CB14BA" w:rsidRPr="002F741D" w:rsidRDefault="00CB14BA" w:rsidP="007E5DAD">
      <w:pPr>
        <w:spacing w:before="240" w:line="480" w:lineRule="auto"/>
        <w:jc w:val="both"/>
        <w:rPr>
          <w:lang w:val="en-ID"/>
        </w:rPr>
      </w:pPr>
      <w:r w:rsidRPr="002F741D">
        <w:rPr>
          <w:lang w:val="en-ID"/>
        </w:rPr>
        <w:t>The novelty of this study lies in its application of project performance metrics—Time Efficiency Ratio (TER) and Schedule Performance Index (SPI)—to assess administrative contract processes in public-sector partnership management. Such indicators are rarely employed in evaluating digital contract systems within health insurance governance. By combining statistical analysis (Mann–Whitney and Chi-Square tests) with direct workflow observation in the Health Facilities Information System (HFIS), the study introduces an integrated performance-evaluation approach that links digital systems with behavioral and operational outcomes.</w:t>
      </w:r>
    </w:p>
    <w:p w14:paraId="64C91A40" w14:textId="3C350F97" w:rsidR="00227773" w:rsidRDefault="00CB14BA" w:rsidP="007E5DAD">
      <w:pPr>
        <w:spacing w:before="240" w:line="480" w:lineRule="auto"/>
        <w:jc w:val="both"/>
        <w:rPr>
          <w:lang w:val="en-ID"/>
        </w:rPr>
      </w:pPr>
      <w:r w:rsidRPr="002F741D">
        <w:rPr>
          <w:lang w:val="en-ID"/>
        </w:rPr>
        <w:lastRenderedPageBreak/>
        <w:t>The value of this research extends to both theory and practice. Theoretically, it enriches organizational behavior and digital transformation literature by demonstrating how technological innovation reshapes coordination patterns, time efficiency, and accountability. Practically, it provides a replicable evaluation framework for policymakers and public administrators seeking evidence-based strategies to strengthen governance and improve administrative performance through digitalization.</w:t>
      </w:r>
    </w:p>
    <w:p w14:paraId="03553D78" w14:textId="77777777" w:rsidR="009A6572" w:rsidRDefault="009A6572" w:rsidP="007E5DAD">
      <w:pPr>
        <w:spacing w:before="240" w:line="480" w:lineRule="auto"/>
        <w:jc w:val="both"/>
        <w:rPr>
          <w:rFonts w:asciiTheme="majorBidi" w:hAnsiTheme="majorBidi" w:cstheme="majorBidi"/>
          <w:b/>
          <w:bCs/>
          <w:sz w:val="24"/>
        </w:rPr>
      </w:pPr>
    </w:p>
    <w:p w14:paraId="00D77AFA" w14:textId="5AC8CF64" w:rsidR="002C688A" w:rsidRDefault="002C688A" w:rsidP="007B5462">
      <w:pPr>
        <w:spacing w:line="240" w:lineRule="auto"/>
        <w:rPr>
          <w:rFonts w:asciiTheme="majorBidi" w:hAnsiTheme="majorBidi" w:cstheme="majorBidi"/>
          <w:b/>
          <w:bCs/>
          <w:sz w:val="24"/>
        </w:rPr>
      </w:pPr>
      <w:r w:rsidRPr="00CB14BA">
        <w:rPr>
          <w:rFonts w:asciiTheme="majorBidi" w:hAnsiTheme="majorBidi" w:cstheme="majorBidi"/>
          <w:b/>
          <w:bCs/>
          <w:sz w:val="24"/>
        </w:rPr>
        <w:t>References</w:t>
      </w:r>
    </w:p>
    <w:p w14:paraId="4219BE1D" w14:textId="77777777" w:rsidR="00227773" w:rsidRPr="00CB14BA" w:rsidRDefault="00227773" w:rsidP="00CA183C">
      <w:pPr>
        <w:spacing w:line="240" w:lineRule="auto"/>
        <w:jc w:val="both"/>
        <w:rPr>
          <w:rFonts w:asciiTheme="majorBidi" w:hAnsiTheme="majorBidi" w:cstheme="majorBidi"/>
          <w:b/>
          <w:bCs/>
          <w:sz w:val="24"/>
        </w:rPr>
      </w:pPr>
    </w:p>
    <w:p w14:paraId="00F0B80B" w14:textId="635F5D1B" w:rsidR="0006417B" w:rsidRPr="0006417B" w:rsidRDefault="002C688A" w:rsidP="0006417B">
      <w:pPr>
        <w:widowControl w:val="0"/>
        <w:autoSpaceDE w:val="0"/>
        <w:autoSpaceDN w:val="0"/>
        <w:adjustRightInd w:val="0"/>
        <w:spacing w:after="160" w:line="240" w:lineRule="auto"/>
        <w:ind w:left="480" w:hanging="480"/>
        <w:rPr>
          <w:rFonts w:cs="Times New Roman"/>
          <w:noProof/>
          <w:sz w:val="24"/>
        </w:rPr>
      </w:pPr>
      <w:r w:rsidRPr="00CB14BA">
        <w:rPr>
          <w:rFonts w:asciiTheme="majorBidi" w:hAnsiTheme="majorBidi" w:cstheme="majorBidi"/>
          <w:sz w:val="24"/>
        </w:rPr>
        <w:fldChar w:fldCharType="begin" w:fldLock="1"/>
      </w:r>
      <w:r w:rsidRPr="00CB14BA">
        <w:rPr>
          <w:rFonts w:asciiTheme="majorBidi" w:hAnsiTheme="majorBidi" w:cstheme="majorBidi"/>
          <w:sz w:val="24"/>
        </w:rPr>
        <w:instrText xml:space="preserve">ADDIN Mendeley Bibliography CSL_BIBLIOGRAPHY </w:instrText>
      </w:r>
      <w:r w:rsidRPr="00CB14BA">
        <w:rPr>
          <w:rFonts w:asciiTheme="majorBidi" w:hAnsiTheme="majorBidi" w:cstheme="majorBidi"/>
          <w:sz w:val="24"/>
        </w:rPr>
        <w:fldChar w:fldCharType="separate"/>
      </w:r>
      <w:r w:rsidR="0006417B" w:rsidRPr="0006417B">
        <w:rPr>
          <w:rFonts w:cs="Times New Roman"/>
          <w:noProof/>
          <w:sz w:val="24"/>
        </w:rPr>
        <w:t xml:space="preserve">Drucker, P. F. (2004). What Makes an Effective Executive. </w:t>
      </w:r>
      <w:r w:rsidR="0006417B" w:rsidRPr="0006417B">
        <w:rPr>
          <w:rFonts w:cs="Times New Roman"/>
          <w:i/>
          <w:iCs/>
          <w:noProof/>
          <w:sz w:val="24"/>
        </w:rPr>
        <w:t>Harvard Business Review OnPoint</w:t>
      </w:r>
      <w:r w:rsidR="0006417B" w:rsidRPr="0006417B">
        <w:rPr>
          <w:rFonts w:cs="Times New Roman"/>
          <w:noProof/>
          <w:sz w:val="24"/>
        </w:rPr>
        <w:t>.</w:t>
      </w:r>
    </w:p>
    <w:p w14:paraId="2DD13705"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Drucker, P. F., &amp; Maciariello, J. A. (1999). </w:t>
      </w:r>
      <w:r w:rsidRPr="0006417B">
        <w:rPr>
          <w:rFonts w:cs="Times New Roman"/>
          <w:i/>
          <w:iCs/>
          <w:noProof/>
          <w:sz w:val="24"/>
        </w:rPr>
        <w:t>Management (Revised Edition)</w:t>
      </w:r>
      <w:r w:rsidRPr="0006417B">
        <w:rPr>
          <w:rFonts w:cs="Times New Roman"/>
          <w:noProof/>
          <w:sz w:val="24"/>
        </w:rPr>
        <w:t>.</w:t>
      </w:r>
    </w:p>
    <w:p w14:paraId="4E38770F"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Ernawati, N. L. A. K., &amp; Manuaba, I. B. G. (2024). Legal Aspects of Cooperation Agreement in Health Insurance Between Hospitals and BPJS. </w:t>
      </w:r>
      <w:r w:rsidRPr="0006417B">
        <w:rPr>
          <w:rFonts w:cs="Times New Roman"/>
          <w:i/>
          <w:iCs/>
          <w:noProof/>
          <w:sz w:val="24"/>
        </w:rPr>
        <w:t>Healthsains</w:t>
      </w:r>
      <w:r w:rsidRPr="0006417B">
        <w:rPr>
          <w:rFonts w:cs="Times New Roman"/>
          <w:noProof/>
          <w:sz w:val="24"/>
        </w:rPr>
        <w:t xml:space="preserve">, </w:t>
      </w:r>
      <w:r w:rsidRPr="0006417B">
        <w:rPr>
          <w:rFonts w:cs="Times New Roman"/>
          <w:i/>
          <w:iCs/>
          <w:noProof/>
          <w:sz w:val="24"/>
        </w:rPr>
        <w:t>5</w:t>
      </w:r>
      <w:r w:rsidRPr="0006417B">
        <w:rPr>
          <w:rFonts w:cs="Times New Roman"/>
          <w:noProof/>
          <w:sz w:val="24"/>
        </w:rPr>
        <w:t>(2), 107–112.</w:t>
      </w:r>
    </w:p>
    <w:p w14:paraId="673C6149"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Grigori, D., Casati, F., Castellanos, M., Dayal, U., Sayal, M., &amp; Shan, M.-C. (2004). Business Process Intelligence. </w:t>
      </w:r>
      <w:r w:rsidRPr="0006417B">
        <w:rPr>
          <w:rFonts w:cs="Times New Roman"/>
          <w:i/>
          <w:iCs/>
          <w:noProof/>
          <w:sz w:val="24"/>
        </w:rPr>
        <w:t>Computers in Industry</w:t>
      </w:r>
      <w:r w:rsidRPr="0006417B">
        <w:rPr>
          <w:rFonts w:cs="Times New Roman"/>
          <w:noProof/>
          <w:sz w:val="24"/>
        </w:rPr>
        <w:t xml:space="preserve">, </w:t>
      </w:r>
      <w:r w:rsidRPr="0006417B">
        <w:rPr>
          <w:rFonts w:cs="Times New Roman"/>
          <w:i/>
          <w:iCs/>
          <w:noProof/>
          <w:sz w:val="24"/>
        </w:rPr>
        <w:t>53</w:t>
      </w:r>
      <w:r w:rsidRPr="0006417B">
        <w:rPr>
          <w:rFonts w:cs="Times New Roman"/>
          <w:noProof/>
          <w:sz w:val="24"/>
        </w:rPr>
        <w:t>(3), 321–343. https://doi.org/10.1016/j.compind.2003.10.007</w:t>
      </w:r>
    </w:p>
    <w:p w14:paraId="126D2628"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Juliansyah, R. (2025). Implementation of EMR System in Indonesian Health Facilities: Benefits and Constraints. </w:t>
      </w:r>
      <w:r w:rsidRPr="0006417B">
        <w:rPr>
          <w:rFonts w:cs="Times New Roman"/>
          <w:i/>
          <w:iCs/>
          <w:noProof/>
          <w:sz w:val="24"/>
        </w:rPr>
        <w:t>Journal of Indonesian Health Policy and Administration</w:t>
      </w:r>
      <w:r w:rsidRPr="0006417B">
        <w:rPr>
          <w:rFonts w:cs="Times New Roman"/>
          <w:noProof/>
          <w:sz w:val="24"/>
        </w:rPr>
        <w:t xml:space="preserve">, </w:t>
      </w:r>
      <w:r w:rsidRPr="0006417B">
        <w:rPr>
          <w:rFonts w:cs="Times New Roman"/>
          <w:i/>
          <w:iCs/>
          <w:noProof/>
          <w:sz w:val="24"/>
        </w:rPr>
        <w:t>10</w:t>
      </w:r>
      <w:r w:rsidRPr="0006417B">
        <w:rPr>
          <w:rFonts w:cs="Times New Roman"/>
          <w:noProof/>
          <w:sz w:val="24"/>
        </w:rPr>
        <w:t>(1). https://doi.org/10.7454/ihpa.v10i1.1140</w:t>
      </w:r>
    </w:p>
    <w:p w14:paraId="005D90F2"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Kaplan, R. S., &amp; Anderson, S. S. (2007). </w:t>
      </w:r>
      <w:r w:rsidRPr="0006417B">
        <w:rPr>
          <w:rFonts w:cs="Times New Roman"/>
          <w:i/>
          <w:iCs/>
          <w:noProof/>
          <w:sz w:val="24"/>
        </w:rPr>
        <w:t>Time Driven Activity Base Costing</w:t>
      </w:r>
      <w:r w:rsidRPr="0006417B">
        <w:rPr>
          <w:rFonts w:cs="Times New Roman"/>
          <w:noProof/>
          <w:sz w:val="24"/>
        </w:rPr>
        <w:t xml:space="preserve"> (1st ed.). Harvard Business School Press.</w:t>
      </w:r>
    </w:p>
    <w:p w14:paraId="208E412C"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Konior, J. (2022). Determining Cost and Time Performance Indexes for Diversified Investment Tasks. </w:t>
      </w:r>
      <w:r w:rsidRPr="0006417B">
        <w:rPr>
          <w:rFonts w:cs="Times New Roman"/>
          <w:i/>
          <w:iCs/>
          <w:noProof/>
          <w:sz w:val="24"/>
        </w:rPr>
        <w:t>Buildings</w:t>
      </w:r>
      <w:r w:rsidRPr="0006417B">
        <w:rPr>
          <w:rFonts w:cs="Times New Roman"/>
          <w:noProof/>
          <w:sz w:val="24"/>
        </w:rPr>
        <w:t xml:space="preserve">, </w:t>
      </w:r>
      <w:r w:rsidRPr="0006417B">
        <w:rPr>
          <w:rFonts w:cs="Times New Roman"/>
          <w:i/>
          <w:iCs/>
          <w:noProof/>
          <w:sz w:val="24"/>
        </w:rPr>
        <w:t>12</w:t>
      </w:r>
      <w:r w:rsidRPr="0006417B">
        <w:rPr>
          <w:rFonts w:cs="Times New Roman"/>
          <w:noProof/>
          <w:sz w:val="24"/>
        </w:rPr>
        <w:t>(8). https://doi.org/10.3390/buildings12081198</w:t>
      </w:r>
    </w:p>
    <w:p w14:paraId="0C6703BD"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Limna, P. (2023). The Digital Transformation of Healthcare in The Digital Economy : A Systematic Review. </w:t>
      </w:r>
      <w:r w:rsidRPr="0006417B">
        <w:rPr>
          <w:rFonts w:cs="Times New Roman"/>
          <w:i/>
          <w:iCs/>
          <w:noProof/>
          <w:sz w:val="24"/>
        </w:rPr>
        <w:t>International Journal of Advanced Health Science and Technology</w:t>
      </w:r>
      <w:r w:rsidRPr="0006417B">
        <w:rPr>
          <w:rFonts w:cs="Times New Roman"/>
          <w:noProof/>
          <w:sz w:val="24"/>
        </w:rPr>
        <w:t xml:space="preserve">, </w:t>
      </w:r>
      <w:r w:rsidRPr="0006417B">
        <w:rPr>
          <w:rFonts w:cs="Times New Roman"/>
          <w:i/>
          <w:iCs/>
          <w:noProof/>
          <w:sz w:val="24"/>
        </w:rPr>
        <w:t>3</w:t>
      </w:r>
      <w:r w:rsidRPr="0006417B">
        <w:rPr>
          <w:rFonts w:cs="Times New Roman"/>
          <w:noProof/>
          <w:sz w:val="24"/>
        </w:rPr>
        <w:t>(2), 127–132.</w:t>
      </w:r>
    </w:p>
    <w:p w14:paraId="670727D9"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Looy, A. Van, &amp; Shafagatova, A. (2016). Business process performance measurement : a structured literature review of indicators , measures and metrics. </w:t>
      </w:r>
      <w:r w:rsidRPr="0006417B">
        <w:rPr>
          <w:rFonts w:cs="Times New Roman"/>
          <w:i/>
          <w:iCs/>
          <w:noProof/>
          <w:sz w:val="24"/>
        </w:rPr>
        <w:t>SpringerPlus</w:t>
      </w:r>
      <w:r w:rsidRPr="0006417B">
        <w:rPr>
          <w:rFonts w:cs="Times New Roman"/>
          <w:noProof/>
          <w:sz w:val="24"/>
        </w:rPr>
        <w:t>, 1–24. https://doi.org/10.1186/s40064-016-3498-1</w:t>
      </w:r>
    </w:p>
    <w:p w14:paraId="1890A6E5"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Mulesa, O., Horvat, P., Radivilova, T., Sabadosh, V., Baranovskyi, O., &amp; Duran, S. (2023). Design of Mechanisms for Ensuring the Execution of Tasks in Project Planning. </w:t>
      </w:r>
      <w:r w:rsidRPr="0006417B">
        <w:rPr>
          <w:rFonts w:cs="Times New Roman"/>
          <w:i/>
          <w:iCs/>
          <w:noProof/>
          <w:sz w:val="24"/>
        </w:rPr>
        <w:t>Eastern-European Journal of Enterprise Technologies</w:t>
      </w:r>
      <w:r w:rsidRPr="0006417B">
        <w:rPr>
          <w:rFonts w:cs="Times New Roman"/>
          <w:noProof/>
          <w:sz w:val="24"/>
        </w:rPr>
        <w:t xml:space="preserve">, </w:t>
      </w:r>
      <w:r w:rsidRPr="0006417B">
        <w:rPr>
          <w:rFonts w:cs="Times New Roman"/>
          <w:i/>
          <w:iCs/>
          <w:noProof/>
          <w:sz w:val="24"/>
        </w:rPr>
        <w:t>2</w:t>
      </w:r>
      <w:r w:rsidRPr="0006417B">
        <w:rPr>
          <w:rFonts w:cs="Times New Roman"/>
          <w:noProof/>
          <w:sz w:val="24"/>
        </w:rPr>
        <w:t>(4–122), 16–22. https://doi.org/10.15587/1729-4061.2023.277585</w:t>
      </w:r>
    </w:p>
    <w:p w14:paraId="005F6AB9"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Murtiningtias, F., Ibrahim, H. Z., &amp; Ridwan, M. (2020). SOSIAL KESEHATAN DENGAN RSUP DR . MOHAMMAD HOESIN DALAM PELAKSANAAN PELAYANAN KESEHATAN. </w:t>
      </w:r>
      <w:r w:rsidRPr="0006417B">
        <w:rPr>
          <w:rFonts w:cs="Times New Roman"/>
          <w:i/>
          <w:iCs/>
          <w:noProof/>
          <w:sz w:val="24"/>
        </w:rPr>
        <w:t>Lex Lata Jurnal Ilmiah Hukum</w:t>
      </w:r>
      <w:r w:rsidRPr="0006417B">
        <w:rPr>
          <w:rFonts w:cs="Times New Roman"/>
          <w:noProof/>
          <w:sz w:val="24"/>
        </w:rPr>
        <w:t>, 138–150.</w:t>
      </w:r>
    </w:p>
    <w:p w14:paraId="678DF247"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Philip, A. O., &amp; Saravanaguru, R. K. (2022). Smart contract based digital evidence management framework over blockchain for vehicle accident investigation in IoV era. </w:t>
      </w:r>
      <w:r w:rsidRPr="0006417B">
        <w:rPr>
          <w:rFonts w:cs="Times New Roman"/>
          <w:i/>
          <w:iCs/>
          <w:noProof/>
          <w:sz w:val="24"/>
        </w:rPr>
        <w:lastRenderedPageBreak/>
        <w:t>Journal of King Saud University - Computer and Information Sciences</w:t>
      </w:r>
      <w:r w:rsidRPr="0006417B">
        <w:rPr>
          <w:rFonts w:cs="Times New Roman"/>
          <w:noProof/>
          <w:sz w:val="24"/>
        </w:rPr>
        <w:t xml:space="preserve">, </w:t>
      </w:r>
      <w:r w:rsidRPr="0006417B">
        <w:rPr>
          <w:rFonts w:cs="Times New Roman"/>
          <w:i/>
          <w:iCs/>
          <w:noProof/>
          <w:sz w:val="24"/>
        </w:rPr>
        <w:t>34</w:t>
      </w:r>
      <w:r w:rsidRPr="0006417B">
        <w:rPr>
          <w:rFonts w:cs="Times New Roman"/>
          <w:noProof/>
          <w:sz w:val="24"/>
        </w:rPr>
        <w:t>(7), 4031–4046. https://doi.org/10.1016/j.jksuci.2022.06.001</w:t>
      </w:r>
    </w:p>
    <w:p w14:paraId="4B947B0A"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Robbin, S. P., &amp; Coulter, M. (2016). </w:t>
      </w:r>
      <w:r w:rsidRPr="0006417B">
        <w:rPr>
          <w:rFonts w:cs="Times New Roman"/>
          <w:i/>
          <w:iCs/>
          <w:noProof/>
          <w:sz w:val="24"/>
        </w:rPr>
        <w:t>Management</w:t>
      </w:r>
      <w:r w:rsidRPr="0006417B">
        <w:rPr>
          <w:rFonts w:cs="Times New Roman"/>
          <w:noProof/>
          <w:sz w:val="24"/>
        </w:rPr>
        <w:t xml:space="preserve"> (13th ed.). Pearson Education Limited.</w:t>
      </w:r>
    </w:p>
    <w:p w14:paraId="1A41106B"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Undang - Undang Nomor 24 Tahun 2011 Tentang Badan Penyelenggara Jaminan Sosial (2011).</w:t>
      </w:r>
    </w:p>
    <w:p w14:paraId="4D1F8DEB"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Undang Undang Nomor 40 Tahun 2004 Tentang Jaminan Sosial (2004).</w:t>
      </w:r>
    </w:p>
    <w:p w14:paraId="4E94614A" w14:textId="77777777" w:rsidR="0006417B" w:rsidRPr="0006417B" w:rsidRDefault="0006417B" w:rsidP="0006417B">
      <w:pPr>
        <w:widowControl w:val="0"/>
        <w:autoSpaceDE w:val="0"/>
        <w:autoSpaceDN w:val="0"/>
        <w:adjustRightInd w:val="0"/>
        <w:spacing w:after="160" w:line="240" w:lineRule="auto"/>
        <w:ind w:left="480" w:hanging="480"/>
        <w:rPr>
          <w:rFonts w:cs="Times New Roman"/>
          <w:noProof/>
          <w:sz w:val="24"/>
        </w:rPr>
      </w:pPr>
      <w:r w:rsidRPr="0006417B">
        <w:rPr>
          <w:rFonts w:cs="Times New Roman"/>
          <w:noProof/>
          <w:sz w:val="24"/>
        </w:rPr>
        <w:t xml:space="preserve">Xie, Y., Chien, C.-F., &amp; Tang, R.-Z. (2013). A method for estimating the cycle time of business processes with many-to-many relationships among the resources and activities based on individual worklists. </w:t>
      </w:r>
      <w:r w:rsidRPr="0006417B">
        <w:rPr>
          <w:rFonts w:cs="Times New Roman"/>
          <w:i/>
          <w:iCs/>
          <w:noProof/>
          <w:sz w:val="24"/>
        </w:rPr>
        <w:t>Computers &amp; Industrial Engineering</w:t>
      </w:r>
      <w:r w:rsidRPr="0006417B">
        <w:rPr>
          <w:rFonts w:cs="Times New Roman"/>
          <w:noProof/>
          <w:sz w:val="24"/>
        </w:rPr>
        <w:t xml:space="preserve">, </w:t>
      </w:r>
      <w:r w:rsidRPr="0006417B">
        <w:rPr>
          <w:rFonts w:cs="Times New Roman"/>
          <w:i/>
          <w:iCs/>
          <w:noProof/>
          <w:sz w:val="24"/>
        </w:rPr>
        <w:t>65</w:t>
      </w:r>
      <w:r w:rsidRPr="0006417B">
        <w:rPr>
          <w:rFonts w:cs="Times New Roman"/>
          <w:noProof/>
          <w:sz w:val="24"/>
        </w:rPr>
        <w:t>, 194–206. https://doi.org/10.1016/j.cie.2013.02.015</w:t>
      </w:r>
    </w:p>
    <w:p w14:paraId="4CAFB2DE" w14:textId="1A60AB7B" w:rsidR="002C688A" w:rsidRPr="00CB14BA" w:rsidRDefault="002C688A" w:rsidP="00F62733">
      <w:pPr>
        <w:widowControl w:val="0"/>
        <w:autoSpaceDE w:val="0"/>
        <w:autoSpaceDN w:val="0"/>
        <w:adjustRightInd w:val="0"/>
        <w:spacing w:after="160" w:line="240" w:lineRule="auto"/>
        <w:ind w:left="480" w:hanging="480"/>
        <w:jc w:val="both"/>
        <w:rPr>
          <w:rFonts w:asciiTheme="majorBidi" w:hAnsiTheme="majorBidi" w:cstheme="majorBidi"/>
          <w:b/>
          <w:bCs/>
          <w:sz w:val="24"/>
        </w:rPr>
      </w:pPr>
      <w:r w:rsidRPr="00CB14BA">
        <w:rPr>
          <w:rFonts w:asciiTheme="majorBidi" w:hAnsiTheme="majorBidi" w:cstheme="majorBidi"/>
          <w:sz w:val="24"/>
        </w:rPr>
        <w:fldChar w:fldCharType="end"/>
      </w:r>
    </w:p>
    <w:sectPr w:rsidR="002C688A" w:rsidRPr="00CB14BA" w:rsidSect="001A7D03">
      <w:footerReference w:type="default" r:id="rId12"/>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19AF2" w14:textId="77777777" w:rsidR="007128A8" w:rsidRDefault="007128A8" w:rsidP="00B83CB7">
      <w:pPr>
        <w:spacing w:line="240" w:lineRule="auto"/>
      </w:pPr>
      <w:r>
        <w:separator/>
      </w:r>
    </w:p>
  </w:endnote>
  <w:endnote w:type="continuationSeparator" w:id="0">
    <w:p w14:paraId="5E136B06" w14:textId="77777777" w:rsidR="007128A8" w:rsidRDefault="007128A8" w:rsidP="00B83C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326298"/>
      <w:docPartObj>
        <w:docPartGallery w:val="Page Numbers (Bottom of Page)"/>
        <w:docPartUnique/>
      </w:docPartObj>
    </w:sdtPr>
    <w:sdtContent>
      <w:p w14:paraId="36AE9FDE" w14:textId="296CC385" w:rsidR="00B83CB7" w:rsidRDefault="00B83CB7">
        <w:pPr>
          <w:pStyle w:val="Footer"/>
          <w:jc w:val="right"/>
        </w:pPr>
        <w:r>
          <w:fldChar w:fldCharType="begin"/>
        </w:r>
        <w:r>
          <w:instrText>PAGE   \* MERGEFORMAT</w:instrText>
        </w:r>
        <w:r>
          <w:fldChar w:fldCharType="separate"/>
        </w:r>
        <w:r w:rsidR="00A37F53" w:rsidRPr="00A37F53">
          <w:rPr>
            <w:noProof/>
            <w:lang w:val="lt-LT"/>
          </w:rPr>
          <w:t>3</w:t>
        </w:r>
        <w:r>
          <w:fldChar w:fldCharType="end"/>
        </w:r>
      </w:p>
    </w:sdtContent>
  </w:sdt>
  <w:p w14:paraId="6437CCF5" w14:textId="77777777" w:rsidR="00B83CB7" w:rsidRDefault="00B83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B986" w14:textId="77777777" w:rsidR="007128A8" w:rsidRDefault="007128A8" w:rsidP="00B83CB7">
      <w:pPr>
        <w:spacing w:line="240" w:lineRule="auto"/>
      </w:pPr>
      <w:r>
        <w:separator/>
      </w:r>
    </w:p>
  </w:footnote>
  <w:footnote w:type="continuationSeparator" w:id="0">
    <w:p w14:paraId="0A1D4A81" w14:textId="77777777" w:rsidR="007128A8" w:rsidRDefault="007128A8" w:rsidP="00B83C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D9478D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20C69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6030737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36320E"/>
    <w:multiLevelType w:val="hybridMultilevel"/>
    <w:tmpl w:val="FA10FF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5820F9"/>
    <w:multiLevelType w:val="hybridMultilevel"/>
    <w:tmpl w:val="15CC854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AC0023"/>
    <w:multiLevelType w:val="multilevel"/>
    <w:tmpl w:val="E5AC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B1B1D"/>
    <w:multiLevelType w:val="multilevel"/>
    <w:tmpl w:val="98D8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2947C4"/>
    <w:multiLevelType w:val="hybridMultilevel"/>
    <w:tmpl w:val="DA326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B3BA6"/>
    <w:multiLevelType w:val="hybridMultilevel"/>
    <w:tmpl w:val="FA10FF6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13C0E76"/>
    <w:multiLevelType w:val="multilevel"/>
    <w:tmpl w:val="DBFC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D7AD6"/>
    <w:multiLevelType w:val="multilevel"/>
    <w:tmpl w:val="4DBC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9E7CBA"/>
    <w:multiLevelType w:val="multilevel"/>
    <w:tmpl w:val="8B14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1A6A3D"/>
    <w:multiLevelType w:val="hybridMultilevel"/>
    <w:tmpl w:val="68166A50"/>
    <w:lvl w:ilvl="0" w:tplc="A9A014BA">
      <w:start w:val="6"/>
      <w:numFmt w:val="bullet"/>
      <w:lvlText w:val=""/>
      <w:lvlJc w:val="left"/>
      <w:pPr>
        <w:ind w:left="720" w:hanging="360"/>
      </w:pPr>
      <w:rPr>
        <w:rFonts w:ascii="Symbol" w:eastAsiaTheme="minorHAnsi" w:hAnsi="Symbol" w:cs="Times New Roman" w:hint="default"/>
        <w:b/>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6E5203AE"/>
    <w:multiLevelType w:val="hybridMultilevel"/>
    <w:tmpl w:val="A29CDD5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097796601">
    <w:abstractNumId w:val="3"/>
  </w:num>
  <w:num w:numId="2" w16cid:durableId="791636792">
    <w:abstractNumId w:val="2"/>
  </w:num>
  <w:num w:numId="3" w16cid:durableId="1368141839">
    <w:abstractNumId w:val="1"/>
  </w:num>
  <w:num w:numId="4" w16cid:durableId="1187331592">
    <w:abstractNumId w:val="0"/>
  </w:num>
  <w:num w:numId="5" w16cid:durableId="904528050">
    <w:abstractNumId w:val="8"/>
  </w:num>
  <w:num w:numId="6" w16cid:durableId="1601176845">
    <w:abstractNumId w:val="14"/>
  </w:num>
  <w:num w:numId="7" w16cid:durableId="1654023867">
    <w:abstractNumId w:val="10"/>
  </w:num>
  <w:num w:numId="8" w16cid:durableId="743797034">
    <w:abstractNumId w:val="12"/>
  </w:num>
  <w:num w:numId="9" w16cid:durableId="1696075007">
    <w:abstractNumId w:val="9"/>
  </w:num>
  <w:num w:numId="10" w16cid:durableId="1568226938">
    <w:abstractNumId w:val="5"/>
  </w:num>
  <w:num w:numId="11" w16cid:durableId="1838030355">
    <w:abstractNumId w:val="4"/>
  </w:num>
  <w:num w:numId="12" w16cid:durableId="76052701">
    <w:abstractNumId w:val="7"/>
  </w:num>
  <w:num w:numId="13" w16cid:durableId="1062026186">
    <w:abstractNumId w:val="6"/>
  </w:num>
  <w:num w:numId="14" w16cid:durableId="1840075232">
    <w:abstractNumId w:val="13"/>
  </w:num>
  <w:num w:numId="15" w16cid:durableId="731074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97"/>
  <w:hyphenationZone w:val="396"/>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9C"/>
    <w:rsid w:val="000372F9"/>
    <w:rsid w:val="000406CC"/>
    <w:rsid w:val="00046528"/>
    <w:rsid w:val="000469BA"/>
    <w:rsid w:val="00046EDC"/>
    <w:rsid w:val="000474ED"/>
    <w:rsid w:val="00051F69"/>
    <w:rsid w:val="0006417B"/>
    <w:rsid w:val="00096A77"/>
    <w:rsid w:val="000B2910"/>
    <w:rsid w:val="000E49FF"/>
    <w:rsid w:val="000F10BD"/>
    <w:rsid w:val="00113A38"/>
    <w:rsid w:val="001209DD"/>
    <w:rsid w:val="00126B87"/>
    <w:rsid w:val="00140473"/>
    <w:rsid w:val="001A7D03"/>
    <w:rsid w:val="001B092B"/>
    <w:rsid w:val="001F0869"/>
    <w:rsid w:val="001F5DBC"/>
    <w:rsid w:val="001F772D"/>
    <w:rsid w:val="002077C7"/>
    <w:rsid w:val="0022568C"/>
    <w:rsid w:val="00227773"/>
    <w:rsid w:val="00241E00"/>
    <w:rsid w:val="00267B9A"/>
    <w:rsid w:val="002A1B07"/>
    <w:rsid w:val="002B3180"/>
    <w:rsid w:val="002C6157"/>
    <w:rsid w:val="002C688A"/>
    <w:rsid w:val="002E0F31"/>
    <w:rsid w:val="002F6162"/>
    <w:rsid w:val="002F741D"/>
    <w:rsid w:val="00317A60"/>
    <w:rsid w:val="00322F80"/>
    <w:rsid w:val="0032569E"/>
    <w:rsid w:val="00337511"/>
    <w:rsid w:val="003437CF"/>
    <w:rsid w:val="003934AA"/>
    <w:rsid w:val="003C10A2"/>
    <w:rsid w:val="003C1F79"/>
    <w:rsid w:val="003F4B10"/>
    <w:rsid w:val="004041C6"/>
    <w:rsid w:val="004116A6"/>
    <w:rsid w:val="00411DAD"/>
    <w:rsid w:val="004349BC"/>
    <w:rsid w:val="004516BB"/>
    <w:rsid w:val="00495C3A"/>
    <w:rsid w:val="004972A3"/>
    <w:rsid w:val="004B2117"/>
    <w:rsid w:val="004B7445"/>
    <w:rsid w:val="004C7900"/>
    <w:rsid w:val="004F14EA"/>
    <w:rsid w:val="004F3314"/>
    <w:rsid w:val="00524451"/>
    <w:rsid w:val="00551B56"/>
    <w:rsid w:val="0058255F"/>
    <w:rsid w:val="005E1004"/>
    <w:rsid w:val="006027AD"/>
    <w:rsid w:val="00637B6E"/>
    <w:rsid w:val="0064100E"/>
    <w:rsid w:val="00656CB3"/>
    <w:rsid w:val="00687A72"/>
    <w:rsid w:val="00693CEA"/>
    <w:rsid w:val="006A6E4C"/>
    <w:rsid w:val="006E37C7"/>
    <w:rsid w:val="006E5463"/>
    <w:rsid w:val="006E54D4"/>
    <w:rsid w:val="006E7F6F"/>
    <w:rsid w:val="006F1607"/>
    <w:rsid w:val="006F277B"/>
    <w:rsid w:val="007128A8"/>
    <w:rsid w:val="00734E47"/>
    <w:rsid w:val="00781DBD"/>
    <w:rsid w:val="007B5462"/>
    <w:rsid w:val="007E4C84"/>
    <w:rsid w:val="007E5DAD"/>
    <w:rsid w:val="007F5197"/>
    <w:rsid w:val="00801820"/>
    <w:rsid w:val="00803559"/>
    <w:rsid w:val="00803790"/>
    <w:rsid w:val="00805080"/>
    <w:rsid w:val="00813F05"/>
    <w:rsid w:val="008368B7"/>
    <w:rsid w:val="00845033"/>
    <w:rsid w:val="00861226"/>
    <w:rsid w:val="008B77D5"/>
    <w:rsid w:val="008C374B"/>
    <w:rsid w:val="008D47E7"/>
    <w:rsid w:val="008E21EF"/>
    <w:rsid w:val="009007A3"/>
    <w:rsid w:val="009209D1"/>
    <w:rsid w:val="00937211"/>
    <w:rsid w:val="009703BA"/>
    <w:rsid w:val="00992E83"/>
    <w:rsid w:val="00997B07"/>
    <w:rsid w:val="009A4108"/>
    <w:rsid w:val="009A6572"/>
    <w:rsid w:val="009E608A"/>
    <w:rsid w:val="009F4164"/>
    <w:rsid w:val="00A37F53"/>
    <w:rsid w:val="00A40C5F"/>
    <w:rsid w:val="00A57140"/>
    <w:rsid w:val="00A87712"/>
    <w:rsid w:val="00AB6888"/>
    <w:rsid w:val="00AD08F4"/>
    <w:rsid w:val="00AF6A53"/>
    <w:rsid w:val="00B56F92"/>
    <w:rsid w:val="00B83CB7"/>
    <w:rsid w:val="00B85848"/>
    <w:rsid w:val="00BA1055"/>
    <w:rsid w:val="00BF51F7"/>
    <w:rsid w:val="00C027D3"/>
    <w:rsid w:val="00C144E9"/>
    <w:rsid w:val="00C17E25"/>
    <w:rsid w:val="00C44923"/>
    <w:rsid w:val="00C61599"/>
    <w:rsid w:val="00C80D06"/>
    <w:rsid w:val="00CA183C"/>
    <w:rsid w:val="00CA3D10"/>
    <w:rsid w:val="00CB14BA"/>
    <w:rsid w:val="00CB2861"/>
    <w:rsid w:val="00D100FD"/>
    <w:rsid w:val="00D1260A"/>
    <w:rsid w:val="00D17D24"/>
    <w:rsid w:val="00D31359"/>
    <w:rsid w:val="00D42F7E"/>
    <w:rsid w:val="00D4394D"/>
    <w:rsid w:val="00D57A06"/>
    <w:rsid w:val="00D61CEE"/>
    <w:rsid w:val="00D94980"/>
    <w:rsid w:val="00DA22A2"/>
    <w:rsid w:val="00DA42BA"/>
    <w:rsid w:val="00DD06B5"/>
    <w:rsid w:val="00DE6D3F"/>
    <w:rsid w:val="00DF6193"/>
    <w:rsid w:val="00DF7759"/>
    <w:rsid w:val="00E04D9B"/>
    <w:rsid w:val="00E052ED"/>
    <w:rsid w:val="00E1171C"/>
    <w:rsid w:val="00E458B0"/>
    <w:rsid w:val="00E52EE1"/>
    <w:rsid w:val="00E74429"/>
    <w:rsid w:val="00E80C91"/>
    <w:rsid w:val="00E8488D"/>
    <w:rsid w:val="00EB19A0"/>
    <w:rsid w:val="00ED089C"/>
    <w:rsid w:val="00F03021"/>
    <w:rsid w:val="00F044FD"/>
    <w:rsid w:val="00F1149C"/>
    <w:rsid w:val="00F1540B"/>
    <w:rsid w:val="00F255E2"/>
    <w:rsid w:val="00F62733"/>
    <w:rsid w:val="00F777C1"/>
    <w:rsid w:val="00F913FB"/>
    <w:rsid w:val="00FC443D"/>
    <w:rsid w:val="00FD2215"/>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699F3"/>
  <w15:docId w15:val="{885A115B-061A-42FA-9690-7F72C2FF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B87"/>
    <w:pPr>
      <w:spacing w:line="360" w:lineRule="auto"/>
    </w:pPr>
    <w:rPr>
      <w:rFonts w:ascii="Times New Roman" w:hAnsi="Times New Roman"/>
      <w:sz w:val="22"/>
    </w:rPr>
  </w:style>
  <w:style w:type="paragraph" w:styleId="Heading1">
    <w:name w:val="heading 1"/>
    <w:basedOn w:val="Normal"/>
    <w:next w:val="Normal"/>
    <w:link w:val="Heading1Char"/>
    <w:rsid w:val="00B83CB7"/>
    <w:pPr>
      <w:keepNext/>
      <w:keepLines/>
      <w:spacing w:before="120" w:after="120" w:line="240" w:lineRule="auto"/>
      <w:outlineLvl w:val="0"/>
    </w:pPr>
    <w:rPr>
      <w:rFonts w:eastAsiaTheme="majorEastAsia" w:cstheme="majorBidi"/>
      <w:b/>
      <w:sz w:val="24"/>
      <w:szCs w:val="32"/>
    </w:rPr>
  </w:style>
  <w:style w:type="paragraph" w:styleId="Heading2">
    <w:name w:val="heading 2"/>
    <w:basedOn w:val="Normal"/>
    <w:next w:val="Normal"/>
    <w:link w:val="Heading2Char"/>
    <w:rsid w:val="00C144E9"/>
    <w:pPr>
      <w:keepNext/>
      <w:keepLines/>
      <w:spacing w:line="240" w:lineRule="auto"/>
      <w:outlineLvl w:val="1"/>
    </w:pPr>
    <w:rPr>
      <w:rFonts w:eastAsiaTheme="majorEastAsia" w:cstheme="majorBidi"/>
      <w:b/>
      <w:i/>
      <w:szCs w:val="26"/>
    </w:rPr>
  </w:style>
  <w:style w:type="paragraph" w:styleId="Heading3">
    <w:name w:val="heading 3"/>
    <w:basedOn w:val="Normal"/>
    <w:next w:val="Normal"/>
    <w:link w:val="Heading3Char"/>
    <w:rsid w:val="00C144E9"/>
    <w:pPr>
      <w:keepNext/>
      <w:keepLines/>
      <w:spacing w:before="40" w:line="240" w:lineRule="auto"/>
      <w:outlineLvl w:val="2"/>
    </w:pPr>
    <w:rPr>
      <w:rFonts w:eastAsiaTheme="majorEastAsia" w:cstheme="majorBidi"/>
      <w:i/>
    </w:rPr>
  </w:style>
  <w:style w:type="paragraph" w:styleId="Heading4">
    <w:name w:val="heading 4"/>
    <w:basedOn w:val="Normal"/>
    <w:next w:val="Normal"/>
    <w:link w:val="Heading4Char"/>
    <w:rsid w:val="00C144E9"/>
    <w:pPr>
      <w:keepNext/>
      <w:keepLines/>
      <w:outlineLvl w:val="3"/>
    </w:pPr>
    <w:rPr>
      <w:rFonts w:eastAsiaTheme="majorEastAsia" w:cstheme="majorBidi"/>
      <w:b/>
      <w:i/>
      <w:iCs/>
    </w:rPr>
  </w:style>
  <w:style w:type="paragraph" w:styleId="Heading5">
    <w:name w:val="heading 5"/>
    <w:basedOn w:val="Normal"/>
    <w:next w:val="Normal"/>
    <w:link w:val="Heading5Char"/>
    <w:rsid w:val="00C144E9"/>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A1B07"/>
    <w:rPr>
      <w:color w:val="0000FF" w:themeColor="hyperlink"/>
      <w:u w:val="single"/>
    </w:rPr>
  </w:style>
  <w:style w:type="character" w:customStyle="1" w:styleId="UnresolvedMention1">
    <w:name w:val="Unresolved Mention1"/>
    <w:basedOn w:val="DefaultParagraphFont"/>
    <w:uiPriority w:val="99"/>
    <w:semiHidden/>
    <w:unhideWhenUsed/>
    <w:rsid w:val="002A1B07"/>
    <w:rPr>
      <w:color w:val="605E5C"/>
      <w:shd w:val="clear" w:color="auto" w:fill="E1DFDD"/>
    </w:rPr>
  </w:style>
  <w:style w:type="character" w:customStyle="1" w:styleId="Heading1Char">
    <w:name w:val="Heading 1 Char"/>
    <w:basedOn w:val="DefaultParagraphFont"/>
    <w:link w:val="Heading1"/>
    <w:rsid w:val="00B83CB7"/>
    <w:rPr>
      <w:rFonts w:ascii="Times New Roman" w:eastAsiaTheme="majorEastAsia" w:hAnsi="Times New Roman" w:cstheme="majorBidi"/>
      <w:b/>
      <w:szCs w:val="32"/>
    </w:rPr>
  </w:style>
  <w:style w:type="paragraph" w:styleId="NoteHeading">
    <w:name w:val="Note Heading"/>
    <w:basedOn w:val="Normal"/>
    <w:next w:val="Normal"/>
    <w:link w:val="NoteHeadingChar"/>
    <w:qFormat/>
    <w:rsid w:val="002A1B07"/>
  </w:style>
  <w:style w:type="character" w:customStyle="1" w:styleId="NoteHeadingChar">
    <w:name w:val="Note Heading Char"/>
    <w:basedOn w:val="DefaultParagraphFont"/>
    <w:link w:val="NoteHeading"/>
    <w:rsid w:val="002A1B07"/>
    <w:rPr>
      <w:rFonts w:ascii="Times New Roman" w:hAnsi="Times New Roman"/>
    </w:rPr>
  </w:style>
  <w:style w:type="paragraph" w:customStyle="1" w:styleId="Note">
    <w:name w:val="Note"/>
    <w:basedOn w:val="Normal"/>
    <w:qFormat/>
    <w:rsid w:val="001A7D03"/>
    <w:pPr>
      <w:spacing w:line="240" w:lineRule="auto"/>
    </w:pPr>
    <w:rPr>
      <w:sz w:val="20"/>
    </w:rPr>
  </w:style>
  <w:style w:type="character" w:customStyle="1" w:styleId="Heading2Char">
    <w:name w:val="Heading 2 Char"/>
    <w:basedOn w:val="DefaultParagraphFont"/>
    <w:link w:val="Heading2"/>
    <w:rsid w:val="00C144E9"/>
    <w:rPr>
      <w:rFonts w:ascii="Times New Roman" w:eastAsiaTheme="majorEastAsia" w:hAnsi="Times New Roman" w:cstheme="majorBidi"/>
      <w:b/>
      <w:i/>
      <w:sz w:val="22"/>
      <w:szCs w:val="26"/>
    </w:rPr>
  </w:style>
  <w:style w:type="character" w:customStyle="1" w:styleId="Heading3Char">
    <w:name w:val="Heading 3 Char"/>
    <w:basedOn w:val="DefaultParagraphFont"/>
    <w:link w:val="Heading3"/>
    <w:rsid w:val="00C144E9"/>
    <w:rPr>
      <w:rFonts w:ascii="Times New Roman" w:eastAsiaTheme="majorEastAsia" w:hAnsi="Times New Roman" w:cstheme="majorBidi"/>
      <w:i/>
      <w:sz w:val="22"/>
    </w:rPr>
  </w:style>
  <w:style w:type="paragraph" w:customStyle="1" w:styleId="References">
    <w:name w:val="References"/>
    <w:basedOn w:val="Normal"/>
    <w:qFormat/>
    <w:rsid w:val="00FD2215"/>
    <w:pPr>
      <w:widowControl w:val="0"/>
      <w:tabs>
        <w:tab w:val="left" w:pos="220"/>
        <w:tab w:val="left" w:pos="720"/>
      </w:tabs>
      <w:autoSpaceDE w:val="0"/>
      <w:autoSpaceDN w:val="0"/>
      <w:adjustRightInd w:val="0"/>
    </w:pPr>
    <w:rPr>
      <w:rFonts w:cs="Georgia"/>
      <w:sz w:val="20"/>
      <w:szCs w:val="36"/>
      <w:lang w:val="en-US"/>
    </w:rPr>
  </w:style>
  <w:style w:type="paragraph" w:styleId="Title">
    <w:name w:val="Title"/>
    <w:basedOn w:val="Normal"/>
    <w:next w:val="Normal"/>
    <w:link w:val="TitleChar"/>
    <w:rsid w:val="00C144E9"/>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rsid w:val="00C144E9"/>
    <w:rPr>
      <w:rFonts w:ascii="Times New Roman" w:eastAsiaTheme="majorEastAsia" w:hAnsi="Times New Roman" w:cstheme="majorBidi"/>
      <w:b/>
      <w:spacing w:val="-10"/>
      <w:kern w:val="28"/>
      <w:sz w:val="28"/>
      <w:szCs w:val="56"/>
    </w:rPr>
  </w:style>
  <w:style w:type="character" w:customStyle="1" w:styleId="Heading4Char">
    <w:name w:val="Heading 4 Char"/>
    <w:basedOn w:val="DefaultParagraphFont"/>
    <w:link w:val="Heading4"/>
    <w:rsid w:val="00C144E9"/>
    <w:rPr>
      <w:rFonts w:ascii="Times New Roman" w:eastAsiaTheme="majorEastAsia" w:hAnsi="Times New Roman" w:cstheme="majorBidi"/>
      <w:b/>
      <w:i/>
      <w:iCs/>
      <w:sz w:val="22"/>
    </w:rPr>
  </w:style>
  <w:style w:type="character" w:customStyle="1" w:styleId="Heading5Char">
    <w:name w:val="Heading 5 Char"/>
    <w:basedOn w:val="DefaultParagraphFont"/>
    <w:link w:val="Heading5"/>
    <w:rsid w:val="00C144E9"/>
    <w:rPr>
      <w:rFonts w:ascii="Times New Roman" w:eastAsiaTheme="majorEastAsia" w:hAnsi="Times New Roman" w:cstheme="majorBidi"/>
      <w:i/>
      <w:sz w:val="22"/>
    </w:rPr>
  </w:style>
  <w:style w:type="paragraph" w:customStyle="1" w:styleId="TableorFigurecaption">
    <w:name w:val="Table or Figure caption"/>
    <w:basedOn w:val="Normal"/>
    <w:qFormat/>
    <w:rsid w:val="00ED089C"/>
    <w:pPr>
      <w:spacing w:before="120" w:after="120" w:line="240" w:lineRule="auto"/>
      <w:jc w:val="center"/>
    </w:pPr>
    <w:rPr>
      <w:b/>
      <w:sz w:val="18"/>
    </w:rPr>
  </w:style>
  <w:style w:type="paragraph" w:styleId="Header">
    <w:name w:val="header"/>
    <w:basedOn w:val="Normal"/>
    <w:link w:val="HeaderChar"/>
    <w:unhideWhenUsed/>
    <w:rsid w:val="00B83CB7"/>
    <w:pPr>
      <w:tabs>
        <w:tab w:val="center" w:pos="4819"/>
        <w:tab w:val="right" w:pos="9638"/>
      </w:tabs>
      <w:spacing w:line="240" w:lineRule="auto"/>
    </w:pPr>
  </w:style>
  <w:style w:type="character" w:customStyle="1" w:styleId="HeaderChar">
    <w:name w:val="Header Char"/>
    <w:basedOn w:val="DefaultParagraphFont"/>
    <w:link w:val="Header"/>
    <w:rsid w:val="00B83CB7"/>
    <w:rPr>
      <w:rFonts w:ascii="Times New Roman" w:hAnsi="Times New Roman"/>
      <w:sz w:val="22"/>
    </w:rPr>
  </w:style>
  <w:style w:type="paragraph" w:styleId="Footer">
    <w:name w:val="footer"/>
    <w:basedOn w:val="Normal"/>
    <w:link w:val="FooterChar"/>
    <w:uiPriority w:val="99"/>
    <w:unhideWhenUsed/>
    <w:rsid w:val="00B83CB7"/>
    <w:pPr>
      <w:tabs>
        <w:tab w:val="center" w:pos="4819"/>
        <w:tab w:val="right" w:pos="9638"/>
      </w:tabs>
      <w:spacing w:line="240" w:lineRule="auto"/>
    </w:pPr>
  </w:style>
  <w:style w:type="character" w:customStyle="1" w:styleId="FooterChar">
    <w:name w:val="Footer Char"/>
    <w:basedOn w:val="DefaultParagraphFont"/>
    <w:link w:val="Footer"/>
    <w:uiPriority w:val="99"/>
    <w:rsid w:val="00B83CB7"/>
    <w:rPr>
      <w:rFonts w:ascii="Times New Roman" w:hAnsi="Times New Roman"/>
      <w:sz w:val="22"/>
    </w:rPr>
  </w:style>
  <w:style w:type="character" w:styleId="CommentReference">
    <w:name w:val="annotation reference"/>
    <w:basedOn w:val="DefaultParagraphFont"/>
    <w:semiHidden/>
    <w:unhideWhenUsed/>
    <w:rsid w:val="00F255E2"/>
    <w:rPr>
      <w:sz w:val="16"/>
      <w:szCs w:val="16"/>
    </w:rPr>
  </w:style>
  <w:style w:type="paragraph" w:styleId="CommentText">
    <w:name w:val="annotation text"/>
    <w:basedOn w:val="Normal"/>
    <w:link w:val="CommentTextChar"/>
    <w:semiHidden/>
    <w:unhideWhenUsed/>
    <w:rsid w:val="00F255E2"/>
    <w:pPr>
      <w:spacing w:line="240" w:lineRule="auto"/>
    </w:pPr>
    <w:rPr>
      <w:sz w:val="20"/>
      <w:szCs w:val="20"/>
    </w:rPr>
  </w:style>
  <w:style w:type="character" w:customStyle="1" w:styleId="CommentTextChar">
    <w:name w:val="Comment Text Char"/>
    <w:basedOn w:val="DefaultParagraphFont"/>
    <w:link w:val="CommentText"/>
    <w:semiHidden/>
    <w:rsid w:val="00F255E2"/>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F255E2"/>
    <w:rPr>
      <w:b/>
      <w:bCs/>
    </w:rPr>
  </w:style>
  <w:style w:type="character" w:customStyle="1" w:styleId="CommentSubjectChar">
    <w:name w:val="Comment Subject Char"/>
    <w:basedOn w:val="CommentTextChar"/>
    <w:link w:val="CommentSubject"/>
    <w:semiHidden/>
    <w:rsid w:val="00F255E2"/>
    <w:rPr>
      <w:rFonts w:ascii="Times New Roman" w:hAnsi="Times New Roman"/>
      <w:b/>
      <w:bCs/>
      <w:sz w:val="20"/>
      <w:szCs w:val="20"/>
    </w:rPr>
  </w:style>
  <w:style w:type="paragraph" w:customStyle="1" w:styleId="Basictext">
    <w:name w:val="Basic text"/>
    <w:link w:val="BasictextZchn"/>
    <w:rsid w:val="006E37C7"/>
    <w:pPr>
      <w:spacing w:after="60"/>
      <w:jc w:val="both"/>
    </w:pPr>
    <w:rPr>
      <w:rFonts w:ascii="Times New Roman" w:eastAsia="Times New Roman" w:hAnsi="Times New Roman" w:cs="Times New Roman"/>
      <w:color w:val="000000"/>
      <w:sz w:val="22"/>
      <w:szCs w:val="15"/>
    </w:rPr>
  </w:style>
  <w:style w:type="character" w:customStyle="1" w:styleId="BasictextZchn">
    <w:name w:val="Basic text Zchn"/>
    <w:link w:val="Basictext"/>
    <w:rsid w:val="006E37C7"/>
    <w:rPr>
      <w:rFonts w:ascii="Times New Roman" w:eastAsia="Times New Roman" w:hAnsi="Times New Roman" w:cs="Times New Roman"/>
      <w:color w:val="000000"/>
      <w:sz w:val="22"/>
      <w:szCs w:val="15"/>
    </w:rPr>
  </w:style>
  <w:style w:type="paragraph" w:styleId="FootnoteText">
    <w:name w:val="footnote text"/>
    <w:basedOn w:val="Normal"/>
    <w:link w:val="FootnoteTextChar"/>
    <w:semiHidden/>
    <w:unhideWhenUsed/>
    <w:rsid w:val="004349BC"/>
    <w:pPr>
      <w:spacing w:line="240" w:lineRule="auto"/>
    </w:pPr>
    <w:rPr>
      <w:sz w:val="20"/>
      <w:szCs w:val="20"/>
    </w:rPr>
  </w:style>
  <w:style w:type="character" w:customStyle="1" w:styleId="FootnoteTextChar">
    <w:name w:val="Footnote Text Char"/>
    <w:basedOn w:val="DefaultParagraphFont"/>
    <w:link w:val="FootnoteText"/>
    <w:semiHidden/>
    <w:rsid w:val="004349BC"/>
    <w:rPr>
      <w:rFonts w:ascii="Times New Roman" w:hAnsi="Times New Roman"/>
      <w:sz w:val="20"/>
      <w:szCs w:val="20"/>
    </w:rPr>
  </w:style>
  <w:style w:type="character" w:styleId="FootnoteReference">
    <w:name w:val="footnote reference"/>
    <w:basedOn w:val="DefaultParagraphFont"/>
    <w:semiHidden/>
    <w:unhideWhenUsed/>
    <w:rsid w:val="004349BC"/>
    <w:rPr>
      <w:vertAlign w:val="superscript"/>
    </w:rPr>
  </w:style>
  <w:style w:type="paragraph" w:styleId="BalloonText">
    <w:name w:val="Balloon Text"/>
    <w:basedOn w:val="Normal"/>
    <w:link w:val="BalloonTextChar"/>
    <w:semiHidden/>
    <w:unhideWhenUsed/>
    <w:rsid w:val="00997B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97B07"/>
    <w:rPr>
      <w:rFonts w:ascii="Segoe UI" w:hAnsi="Segoe UI" w:cs="Segoe UI"/>
      <w:sz w:val="18"/>
      <w:szCs w:val="18"/>
    </w:rPr>
  </w:style>
  <w:style w:type="character" w:styleId="FollowedHyperlink">
    <w:name w:val="FollowedHyperlink"/>
    <w:basedOn w:val="DefaultParagraphFont"/>
    <w:semiHidden/>
    <w:unhideWhenUsed/>
    <w:rsid w:val="00B56F92"/>
    <w:rPr>
      <w:color w:val="800080" w:themeColor="followedHyperlink"/>
      <w:u w:val="single"/>
    </w:rPr>
  </w:style>
  <w:style w:type="character" w:styleId="UnresolvedMention">
    <w:name w:val="Unresolved Mention"/>
    <w:basedOn w:val="DefaultParagraphFont"/>
    <w:uiPriority w:val="99"/>
    <w:semiHidden/>
    <w:unhideWhenUsed/>
    <w:rsid w:val="00B56F92"/>
    <w:rPr>
      <w:color w:val="605E5C"/>
      <w:shd w:val="clear" w:color="auto" w:fill="E1DFDD"/>
    </w:rPr>
  </w:style>
  <w:style w:type="paragraph" w:styleId="ListParagraph">
    <w:name w:val="List Paragraph"/>
    <w:basedOn w:val="Normal"/>
    <w:uiPriority w:val="34"/>
    <w:qFormat/>
    <w:rsid w:val="002C688A"/>
    <w:pPr>
      <w:spacing w:after="160" w:line="278" w:lineRule="auto"/>
      <w:ind w:left="720"/>
      <w:contextualSpacing/>
    </w:pPr>
    <w:rPr>
      <w:rFonts w:asciiTheme="minorHAnsi" w:eastAsiaTheme="minorEastAsia" w:hAnsiTheme="minorHAnsi"/>
      <w:kern w:val="2"/>
      <w:sz w:val="24"/>
      <w:lang w:val="en-ID" w:eastAsia="zh-CN"/>
      <w14:ligatures w14:val="standardContextual"/>
    </w:rPr>
  </w:style>
  <w:style w:type="paragraph" w:styleId="Caption">
    <w:name w:val="caption"/>
    <w:basedOn w:val="Normal"/>
    <w:next w:val="Normal"/>
    <w:unhideWhenUsed/>
    <w:rsid w:val="009209D1"/>
    <w:pPr>
      <w:spacing w:after="200" w:line="240" w:lineRule="auto"/>
    </w:pPr>
    <w:rPr>
      <w:i/>
      <w:iCs/>
      <w:color w:val="1F497D" w:themeColor="text2"/>
      <w:sz w:val="18"/>
      <w:szCs w:val="18"/>
    </w:rPr>
  </w:style>
  <w:style w:type="paragraph" w:styleId="NormalWeb">
    <w:name w:val="Normal (Web)"/>
    <w:basedOn w:val="Normal"/>
    <w:uiPriority w:val="99"/>
    <w:semiHidden/>
    <w:unhideWhenUsed/>
    <w:rsid w:val="002F741D"/>
    <w:pPr>
      <w:spacing w:before="100" w:beforeAutospacing="1" w:after="100" w:afterAutospacing="1" w:line="240" w:lineRule="auto"/>
    </w:pPr>
    <w:rPr>
      <w:rFonts w:eastAsia="Times New Roman" w:cs="Times New Roman"/>
      <w:sz w:val="24"/>
      <w:lang w:val="en-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ting@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FC1BB-5E94-4888-83C2-66A4B55A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12878</Words>
  <Characters>73405</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VU</Company>
  <LinksUpToDate>false</LinksUpToDate>
  <CharactersWithSpaces>86111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  Editor</dc:creator>
  <cp:keywords/>
  <dc:description/>
  <cp:lastModifiedBy>Unting Patri</cp:lastModifiedBy>
  <cp:revision>5</cp:revision>
  <dcterms:created xsi:type="dcterms:W3CDTF">2026-03-03T06:47:00Z</dcterms:created>
  <dcterms:modified xsi:type="dcterms:W3CDTF">2026-03-03T06:49:00Z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f611f69b-ebf6-3428-8c8f-48411ed562f9</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http://www.zotero.org/styles/fkkmk-ugm-harvard-edited-by-haxa</vt:lpwstr>
  </property>
  <property fmtid="{D5CDD505-2E9C-101B-9397-08002B2CF9AE}" pid="17" name="Mendeley Recent Style Name 6_1">
    <vt:lpwstr>FKKMK UGM - Harvard edited by Haxa</vt:lpwstr>
  </property>
  <property fmtid="{D5CDD505-2E9C-101B-9397-08002B2CF9AE}" pid="18" name="Mendeley Recent Style Id 7_1">
    <vt:lpwstr>http://www.zotero.org/styles/harvard1</vt:lpwstr>
  </property>
  <property fmtid="{D5CDD505-2E9C-101B-9397-08002B2CF9AE}" pid="19" name="Mendeley Recent Style Name 7_1">
    <vt:lpwstr>Harvard reference format 1 (deprecated)</vt:lpwstr>
  </property>
  <property fmtid="{D5CDD505-2E9C-101B-9397-08002B2CF9AE}" pid="20" name="Mendeley Recent Style Id 8_1">
    <vt:lpwstr>http://www.zotero.org/styles/ieee</vt:lpwstr>
  </property>
  <property fmtid="{D5CDD505-2E9C-101B-9397-08002B2CF9AE}" pid="21" name="Mendeley Recent Style Name 8_1">
    <vt:lpwstr>IEEE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http://www.zotero.org/styles/apa</vt:lpwstr>
  </property>
</Properties>
</file>