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4089" w14:textId="77777777" w:rsidR="00353E57" w:rsidRPr="00AC4E5A" w:rsidRDefault="00C22629" w:rsidP="00353E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Capital Market Performance and Green Innovation in West Africa</w:t>
      </w:r>
    </w:p>
    <w:p w14:paraId="3494916D" w14:textId="60A4A850" w:rsidR="00353E57" w:rsidRPr="00AC4E5A" w:rsidRDefault="00C22629" w:rsidP="00353E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bstract</w:t>
      </w:r>
    </w:p>
    <w:p w14:paraId="4E99ABC7" w14:textId="61518C01" w:rsidR="0096283B" w:rsidRPr="00AC4E5A" w:rsidRDefault="00C22629" w:rsidP="009744BD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Capital markets (CAM) are increasingly acknowledged as critical enablers of sustainable finance and green technology innovation (GRIN)</w:t>
      </w:r>
      <w:r w:rsidRPr="00AC4E5A">
        <w:rPr>
          <w:rFonts w:ascii="Times New Roman" w:eastAsia="Calibri" w:hAnsi="Times New Roman" w:cs="Times New Roman"/>
          <w:sz w:val="24"/>
          <w:szCs w:val="24"/>
        </w:rPr>
        <w:t>; however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empirical evidence on their effective</w:t>
      </w:r>
      <w:r w:rsidRPr="00AC4E5A">
        <w:rPr>
          <w:rFonts w:ascii="Times New Roman" w:hAnsi="Times New Roman" w:cs="Times New Roman"/>
          <w:sz w:val="24"/>
          <w:szCs w:val="24"/>
        </w:rPr>
        <w:t xml:space="preserve">ness in institutionally constrained and climate-vulnerable regions </w:t>
      </w:r>
      <w:r w:rsidR="003A3BC1" w:rsidRPr="00AC4E5A">
        <w:rPr>
          <w:rFonts w:ascii="Times New Roman" w:hAnsi="Times New Roman" w:cs="Times New Roman"/>
          <w:sz w:val="24"/>
          <w:szCs w:val="24"/>
        </w:rPr>
        <w:t>is</w:t>
      </w:r>
      <w:r w:rsidRPr="00AC4E5A">
        <w:rPr>
          <w:rFonts w:ascii="Times New Roman" w:hAnsi="Times New Roman" w:cs="Times New Roman"/>
          <w:sz w:val="24"/>
          <w:szCs w:val="24"/>
        </w:rPr>
        <w:t xml:space="preserve"> limited. This study investigates how CAM catalyzes GRIN in West Africa, a region characterized by shallow financial markets, weak governance frameworks, and persistent green </w:t>
      </w:r>
      <w:r w:rsidRPr="00AC4E5A">
        <w:rPr>
          <w:rFonts w:ascii="Times New Roman" w:hAnsi="Times New Roman" w:cs="Times New Roman"/>
          <w:sz w:val="24"/>
          <w:szCs w:val="24"/>
        </w:rPr>
        <w:t>financing gaps</w:t>
      </w:r>
      <w:r w:rsidRPr="00AC4E5A">
        <w:rPr>
          <w:rFonts w:ascii="Times New Roman" w:hAnsi="Times New Roman" w:cs="Times New Roman"/>
          <w:sz w:val="24"/>
          <w:szCs w:val="24"/>
        </w:rPr>
        <w:t xml:space="preserve"> despite high exposure to climate risks. Extant studies assessing this nexus ignore dynamic adjustment processes, cross-country heterogeneity, and </w:t>
      </w:r>
      <w:r w:rsidRPr="00AC4E5A">
        <w:rPr>
          <w:rFonts w:ascii="Times New Roman" w:hAnsi="Times New Roman" w:cs="Times New Roman"/>
          <w:sz w:val="24"/>
          <w:szCs w:val="24"/>
        </w:rPr>
        <w:t>institutional conditions shaping finance–innovation linkages</w:t>
      </w:r>
      <w:r w:rsidR="003A3BC1" w:rsidRPr="00AC4E5A">
        <w:rPr>
          <w:rFonts w:ascii="Times New Roman" w:hAnsi="Times New Roman" w:cs="Times New Roman"/>
          <w:sz w:val="24"/>
          <w:szCs w:val="24"/>
        </w:rPr>
        <w:t>. T</w:t>
      </w:r>
      <w:r w:rsidRPr="00AC4E5A">
        <w:rPr>
          <w:rFonts w:ascii="Times New Roman" w:hAnsi="Times New Roman" w:cs="Times New Roman"/>
          <w:sz w:val="24"/>
          <w:szCs w:val="24"/>
        </w:rPr>
        <w:t>h</w:t>
      </w:r>
      <w:r w:rsidRPr="00AC4E5A">
        <w:rPr>
          <w:rFonts w:ascii="Times New Roman" w:hAnsi="Times New Roman" w:cs="Times New Roman"/>
          <w:sz w:val="24"/>
          <w:szCs w:val="24"/>
        </w:rPr>
        <w:t>is</w:t>
      </w:r>
      <w:r w:rsidRPr="00AC4E5A">
        <w:rPr>
          <w:rFonts w:ascii="Times New Roman" w:hAnsi="Times New Roman" w:cs="Times New Roman"/>
          <w:sz w:val="24"/>
          <w:szCs w:val="24"/>
        </w:rPr>
        <w:t xml:space="preserve"> study examines the med</w:t>
      </w:r>
      <w:r w:rsidRPr="00AC4E5A">
        <w:rPr>
          <w:rFonts w:ascii="Times New Roman" w:hAnsi="Times New Roman" w:cs="Times New Roman"/>
          <w:sz w:val="24"/>
          <w:szCs w:val="24"/>
        </w:rPr>
        <w:t>iating role of financial intermediation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and the moderating effects of institutional quality and </w:t>
      </w:r>
      <w:r w:rsidR="00BF3A73" w:rsidRPr="00AC4E5A">
        <w:rPr>
          <w:rFonts w:ascii="Times New Roman" w:eastAsia="Calibri" w:hAnsi="Times New Roman" w:cs="Times New Roman"/>
          <w:sz w:val="24"/>
          <w:szCs w:val="24"/>
        </w:rPr>
        <w:t>Environmental, Social, and Governance</w:t>
      </w:r>
      <w:r w:rsidR="00BF3A73" w:rsidRPr="00AC4E5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C4E5A">
        <w:rPr>
          <w:rFonts w:ascii="Times New Roman" w:eastAsia="Calibri" w:hAnsi="Times New Roman" w:cs="Times New Roman"/>
          <w:sz w:val="24"/>
          <w:szCs w:val="24"/>
        </w:rPr>
        <w:t>ESG</w:t>
      </w:r>
      <w:r w:rsidR="00BF3A73"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disclosure.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Using an annual</w:t>
      </w:r>
      <w:r w:rsidRPr="00AC4E5A">
        <w:rPr>
          <w:rFonts w:ascii="Times New Roman" w:hAnsi="Times New Roman" w:cs="Times New Roman"/>
          <w:sz w:val="24"/>
          <w:szCs w:val="24"/>
        </w:rPr>
        <w:t xml:space="preserve">ized </w:t>
      </w:r>
      <w:r w:rsidRPr="00AC4E5A">
        <w:rPr>
          <w:rFonts w:ascii="Times New Roman" w:hAnsi="Times New Roman" w:cs="Times New Roman"/>
          <w:sz w:val="24"/>
          <w:szCs w:val="24"/>
        </w:rPr>
        <w:t>panel dataset for Nigeria, Ghana, Côte d’Ivoire, a</w:t>
      </w:r>
      <w:r w:rsidRPr="00AC4E5A">
        <w:rPr>
          <w:rFonts w:ascii="Times New Roman" w:hAnsi="Times New Roman" w:cs="Times New Roman"/>
          <w:sz w:val="24"/>
          <w:szCs w:val="24"/>
        </w:rPr>
        <w:t xml:space="preserve">nd Senegal </w:t>
      </w:r>
      <w:r w:rsidRPr="00AC4E5A">
        <w:rPr>
          <w:rFonts w:ascii="Times New Roman" w:hAnsi="Times New Roman" w:cs="Times New Roman"/>
          <w:sz w:val="24"/>
          <w:szCs w:val="24"/>
        </w:rPr>
        <w:t>from</w:t>
      </w:r>
      <w:r w:rsidRPr="00AC4E5A">
        <w:rPr>
          <w:rFonts w:ascii="Times New Roman" w:hAnsi="Times New Roman" w:cs="Times New Roman"/>
          <w:sz w:val="24"/>
          <w:szCs w:val="24"/>
        </w:rPr>
        <w:t xml:space="preserve"> 2010</w:t>
      </w:r>
      <w:r w:rsidRPr="00AC4E5A">
        <w:rPr>
          <w:rFonts w:ascii="Times New Roman" w:hAnsi="Times New Roman" w:cs="Times New Roman"/>
          <w:sz w:val="24"/>
          <w:szCs w:val="24"/>
        </w:rPr>
        <w:t xml:space="preserve"> to </w:t>
      </w:r>
      <w:r w:rsidRPr="00AC4E5A">
        <w:rPr>
          <w:rFonts w:ascii="Times New Roman" w:hAnsi="Times New Roman" w:cs="Times New Roman"/>
          <w:sz w:val="24"/>
          <w:szCs w:val="24"/>
        </w:rPr>
        <w:t>2025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adopting the </w:t>
      </w:r>
      <w:r w:rsidRPr="00AC4E5A">
        <w:rPr>
          <w:rFonts w:ascii="Times New Roman" w:hAnsi="Times New Roman" w:cs="Times New Roman"/>
          <w:sz w:val="24"/>
          <w:szCs w:val="24"/>
        </w:rPr>
        <w:t>panel autoregressive distributed lag (</w:t>
      </w:r>
      <w:r w:rsidRPr="00AC4E5A">
        <w:rPr>
          <w:rFonts w:ascii="Times New Roman" w:hAnsi="Times New Roman" w:cs="Times New Roman"/>
          <w:sz w:val="24"/>
          <w:szCs w:val="24"/>
        </w:rPr>
        <w:t xml:space="preserve">ARDL) framework.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r</w:t>
      </w:r>
      <w:r w:rsidRPr="00AC4E5A">
        <w:rPr>
          <w:rFonts w:ascii="Times New Roman" w:hAnsi="Times New Roman" w:cs="Times New Roman"/>
          <w:sz w:val="24"/>
          <w:szCs w:val="24"/>
        </w:rPr>
        <w:t xml:space="preserve">esults reveal a stable long-run CAM–GRIN nexus, with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 xml:space="preserve">deepening significantly promoting </w:t>
      </w:r>
      <w:r w:rsidRPr="00AC4E5A">
        <w:rPr>
          <w:rFonts w:ascii="Times New Roman" w:hAnsi="Times New Roman" w:cs="Times New Roman"/>
          <w:sz w:val="24"/>
          <w:szCs w:val="24"/>
        </w:rPr>
        <w:t>GRIN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and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modest short-run effects reflecting the long gestation of green investments. Financial intermediation mediates this </w:t>
      </w:r>
      <w:r w:rsidRPr="00AC4E5A">
        <w:rPr>
          <w:rFonts w:ascii="Times New Roman" w:hAnsi="Times New Roman" w:cs="Times New Roman"/>
          <w:sz w:val="24"/>
          <w:szCs w:val="24"/>
        </w:rPr>
        <w:t>nexus, while i</w:t>
      </w:r>
      <w:r w:rsidRPr="00AC4E5A">
        <w:rPr>
          <w:rFonts w:ascii="Times New Roman" w:hAnsi="Times New Roman" w:cs="Times New Roman"/>
          <w:sz w:val="24"/>
          <w:szCs w:val="24"/>
        </w:rPr>
        <w:t xml:space="preserve">nstitutional quality </w:t>
      </w:r>
      <w:r w:rsidRPr="00AC4E5A">
        <w:rPr>
          <w:rFonts w:ascii="Times New Roman" w:hAnsi="Times New Roman" w:cs="Times New Roman"/>
          <w:sz w:val="24"/>
          <w:szCs w:val="24"/>
        </w:rPr>
        <w:t>and ESG disclosure significantly strengthen the CAM–GRIN linkage.</w:t>
      </w:r>
      <w:r w:rsidRPr="00AC4E5A">
        <w:rPr>
          <w:rFonts w:ascii="Times New Roman" w:hAnsi="Times New Roman" w:cs="Times New Roman"/>
          <w:sz w:val="24"/>
          <w:szCs w:val="24"/>
        </w:rPr>
        <w:t xml:space="preserve"> Cross-country heterogeneity show</w:t>
      </w:r>
      <w:r w:rsidRPr="00AC4E5A">
        <w:rPr>
          <w:rFonts w:ascii="Times New Roman" w:hAnsi="Times New Roman" w:cs="Times New Roman"/>
          <w:sz w:val="24"/>
          <w:szCs w:val="24"/>
        </w:rPr>
        <w:t>ed</w:t>
      </w:r>
      <w:r w:rsidRPr="00AC4E5A">
        <w:rPr>
          <w:rFonts w:ascii="Times New Roman" w:hAnsi="Times New Roman" w:cs="Times New Roman"/>
          <w:sz w:val="24"/>
          <w:szCs w:val="24"/>
        </w:rPr>
        <w:t xml:space="preserve"> stronger linkages in Nigeria and Ghana </w:t>
      </w:r>
      <w:r w:rsidRPr="00AC4E5A">
        <w:rPr>
          <w:rFonts w:ascii="Times New Roman" w:hAnsi="Times New Roman" w:cs="Times New Roman"/>
          <w:sz w:val="24"/>
          <w:szCs w:val="24"/>
        </w:rPr>
        <w:t>than in</w:t>
      </w:r>
      <w:r w:rsidRPr="00AC4E5A">
        <w:rPr>
          <w:rFonts w:ascii="Times New Roman" w:hAnsi="Times New Roman" w:cs="Times New Roman"/>
          <w:sz w:val="24"/>
          <w:szCs w:val="24"/>
        </w:rPr>
        <w:t xml:space="preserve"> Côte d’Ivoire and Senegal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</w:t>
      </w:r>
      <w:r w:rsidRPr="00AC4E5A">
        <w:rPr>
          <w:rFonts w:ascii="Times New Roman" w:hAnsi="Times New Roman" w:cs="Times New Roman"/>
          <w:sz w:val="24"/>
          <w:szCs w:val="24"/>
        </w:rPr>
        <w:t>is</w:t>
      </w:r>
      <w:r w:rsidRPr="00AC4E5A">
        <w:rPr>
          <w:rFonts w:ascii="Times New Roman" w:hAnsi="Times New Roman" w:cs="Times New Roman"/>
          <w:sz w:val="24"/>
          <w:szCs w:val="24"/>
        </w:rPr>
        <w:t xml:space="preserve"> study emphasizes the need for coordinated reforms to deepen cap</w:t>
      </w:r>
      <w:r w:rsidRPr="00AC4E5A">
        <w:rPr>
          <w:rFonts w:ascii="Times New Roman" w:hAnsi="Times New Roman" w:cs="Times New Roman"/>
          <w:sz w:val="24"/>
          <w:szCs w:val="24"/>
        </w:rPr>
        <w:t>ital markets, enhance regulatory quality, and align policies with renewable deployment to achieve effective green outcomes.</w:t>
      </w:r>
    </w:p>
    <w:p w14:paraId="6DD243F9" w14:textId="3C4A4A39" w:rsidR="00353E5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AC4E5A">
        <w:rPr>
          <w:rFonts w:ascii="Times New Roman" w:hAnsi="Times New Roman" w:cs="Times New Roman"/>
          <w:sz w:val="24"/>
          <w:szCs w:val="24"/>
        </w:rPr>
        <w:t>Capital Markets; Green Innovation; Financial Intermediation; ESG Disclosure; Institutional Quality; Renewable Energy.</w:t>
      </w:r>
    </w:p>
    <w:p w14:paraId="090E48F3" w14:textId="0862A748" w:rsidR="0096283B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JEL Classifications;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O16, Q56, G15, Q42, O33</w:t>
      </w:r>
    </w:p>
    <w:p w14:paraId="368697DA" w14:textId="77777777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47C4B5A" w14:textId="71B71FF4" w:rsidR="00353E5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Globally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capital markets (CAM) are </w:t>
      </w:r>
      <w:r w:rsidRPr="00AC4E5A">
        <w:rPr>
          <w:rFonts w:ascii="Times New Roman" w:hAnsi="Times New Roman" w:cs="Times New Roman"/>
          <w:sz w:val="24"/>
          <w:szCs w:val="24"/>
        </w:rPr>
        <w:t>acknowledged as critical drivers of economic development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primarily through financial intermediation channels </w:t>
      </w:r>
      <w:r w:rsidR="00E95CE7" w:rsidRPr="00AC4E5A">
        <w:rPr>
          <w:rFonts w:ascii="Times New Roman" w:hAnsi="Times New Roman" w:cs="Times New Roman"/>
          <w:sz w:val="24"/>
          <w:szCs w:val="24"/>
        </w:rPr>
        <w:t xml:space="preserve">that allocate long-term capital via instruments such as equities and bonds to productive investments and infrastructure projects.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reducing reliance on external aid and volatile commodity exports, CAM </w:t>
      </w:r>
      <w:r w:rsidRPr="00AC4E5A">
        <w:rPr>
          <w:rFonts w:ascii="Times New Roman" w:hAnsi="Times New Roman" w:cs="Times New Roman"/>
          <w:sz w:val="24"/>
          <w:szCs w:val="24"/>
        </w:rPr>
        <w:t>enhance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economic stability and growth (Fapetu et al., 2022; Udo</w:t>
      </w:r>
      <w:r w:rsidR="00275AC9" w:rsidRPr="00AC4E5A">
        <w:rPr>
          <w:rFonts w:ascii="Times New Roman" w:hAnsi="Times New Roman" w:cs="Times New Roman"/>
          <w:sz w:val="24"/>
          <w:szCs w:val="24"/>
        </w:rPr>
        <w:t xml:space="preserve">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="00275AC9" w:rsidRPr="00AC4E5A">
        <w:rPr>
          <w:rFonts w:ascii="Times New Roman" w:hAnsi="Times New Roman" w:cs="Times New Roman"/>
          <w:sz w:val="24"/>
          <w:szCs w:val="24"/>
        </w:rPr>
        <w:t xml:space="preserve"> 2025;</w:t>
      </w:r>
      <w:r w:rsidRPr="00AC4E5A">
        <w:rPr>
          <w:rFonts w:ascii="Times New Roman" w:hAnsi="Times New Roman" w:cs="Times New Roman"/>
          <w:sz w:val="24"/>
          <w:szCs w:val="24"/>
        </w:rPr>
        <w:t xml:space="preserve"> Udoh et al., 2020; </w:t>
      </w:r>
      <w:r w:rsidR="002874E3" w:rsidRPr="00AC4E5A">
        <w:rPr>
          <w:rFonts w:ascii="Times New Roman" w:hAnsi="Times New Roman" w:cs="Times New Roman"/>
          <w:sz w:val="24"/>
          <w:szCs w:val="24"/>
        </w:rPr>
        <w:t xml:space="preserve">2026 </w:t>
      </w:r>
      <w:r w:rsidRPr="00AC4E5A">
        <w:rPr>
          <w:rFonts w:ascii="Times New Roman" w:hAnsi="Times New Roman" w:cs="Times New Roman"/>
          <w:sz w:val="24"/>
          <w:szCs w:val="24"/>
        </w:rPr>
        <w:t>Ndubuaku et al., 2020)</w:t>
      </w:r>
      <w:r w:rsidRPr="00AC4E5A">
        <w:rPr>
          <w:rFonts w:ascii="Times New Roman" w:hAnsi="Times New Roman" w:cs="Times New Roman"/>
          <w:sz w:val="24"/>
          <w:szCs w:val="24"/>
        </w:rPr>
        <w:t xml:space="preserve">. </w:t>
      </w:r>
      <w:r w:rsidRPr="00AC4E5A">
        <w:rPr>
          <w:rFonts w:ascii="Times New Roman" w:hAnsi="Times New Roman" w:cs="Times New Roman"/>
          <w:sz w:val="24"/>
          <w:szCs w:val="24"/>
        </w:rPr>
        <w:t>Th</w:t>
      </w:r>
      <w:r w:rsidRPr="00AC4E5A">
        <w:rPr>
          <w:rFonts w:ascii="Times New Roman" w:hAnsi="Times New Roman" w:cs="Times New Roman"/>
          <w:sz w:val="24"/>
          <w:szCs w:val="24"/>
        </w:rPr>
        <w:t xml:space="preserve">is intermediation </w:t>
      </w:r>
      <w:r w:rsidR="00E95CE7" w:rsidRPr="00AC4E5A">
        <w:rPr>
          <w:rFonts w:ascii="Times New Roman" w:hAnsi="Times New Roman" w:cs="Times New Roman"/>
          <w:sz w:val="24"/>
          <w:szCs w:val="24"/>
        </w:rPr>
        <w:t xml:space="preserve">function </w:t>
      </w:r>
      <w:r w:rsidRPr="00AC4E5A">
        <w:rPr>
          <w:rFonts w:ascii="Times New Roman" w:hAnsi="Times New Roman" w:cs="Times New Roman"/>
          <w:sz w:val="24"/>
          <w:szCs w:val="24"/>
        </w:rPr>
        <w:t>is particularly significant in emerging regions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such as West Africa</w:t>
      </w:r>
      <w:r w:rsidR="00E95CE7" w:rsidRPr="00AC4E5A">
        <w:rPr>
          <w:rFonts w:ascii="Times New Roman" w:hAnsi="Times New Roman" w:cs="Times New Roman"/>
          <w:sz w:val="24"/>
          <w:szCs w:val="24"/>
        </w:rPr>
        <w:t xml:space="preserve"> (WA)</w:t>
      </w:r>
      <w:r w:rsidRPr="00AC4E5A">
        <w:rPr>
          <w:rFonts w:ascii="Times New Roman" w:hAnsi="Times New Roman" w:cs="Times New Roman"/>
          <w:sz w:val="24"/>
          <w:szCs w:val="24"/>
        </w:rPr>
        <w:t xml:space="preserve">, where financing gaps, infrastructure deficits, and limited fiscal </w:t>
      </w:r>
      <w:r w:rsidRPr="00AC4E5A">
        <w:rPr>
          <w:rFonts w:ascii="Times New Roman" w:hAnsi="Times New Roman" w:cs="Times New Roman"/>
          <w:sz w:val="24"/>
          <w:szCs w:val="24"/>
        </w:rPr>
        <w:t xml:space="preserve">space </w:t>
      </w:r>
      <w:r w:rsidRPr="00AC4E5A">
        <w:rPr>
          <w:rFonts w:ascii="Times New Roman" w:hAnsi="Times New Roman" w:cs="Times New Roman"/>
          <w:sz w:val="24"/>
          <w:szCs w:val="24"/>
        </w:rPr>
        <w:t xml:space="preserve">impede growth. </w:t>
      </w:r>
      <w:r w:rsidR="00E95CE7" w:rsidRPr="00AC4E5A">
        <w:rPr>
          <w:rFonts w:ascii="Times New Roman" w:hAnsi="Times New Roman" w:cs="Times New Roman"/>
          <w:sz w:val="24"/>
          <w:szCs w:val="24"/>
        </w:rPr>
        <w:t>I</w:t>
      </w:r>
      <w:r w:rsidR="00397723" w:rsidRPr="00AC4E5A">
        <w:rPr>
          <w:rFonts w:ascii="Times New Roman" w:hAnsi="Times New Roman" w:cs="Times New Roman"/>
          <w:sz w:val="24"/>
          <w:szCs w:val="24"/>
        </w:rPr>
        <w:t>n this context</w:t>
      </w:r>
      <w:r w:rsidR="00E95CE7"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="00397723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represent</w:t>
      </w:r>
      <w:r w:rsidRPr="00AC4E5A">
        <w:rPr>
          <w:rFonts w:ascii="Times New Roman" w:hAnsi="Times New Roman" w:cs="Times New Roman"/>
          <w:sz w:val="24"/>
          <w:szCs w:val="24"/>
        </w:rPr>
        <w:t xml:space="preserve"> a potential pathway to bridge financing gaps and stimulate investments in infrastructure and green </w:t>
      </w:r>
      <w:r w:rsidR="00E95CE7" w:rsidRPr="00AC4E5A">
        <w:rPr>
          <w:rFonts w:ascii="Times New Roman" w:hAnsi="Times New Roman" w:cs="Times New Roman"/>
          <w:sz w:val="24"/>
          <w:szCs w:val="24"/>
        </w:rPr>
        <w:t>innovation (GRIN).</w:t>
      </w:r>
    </w:p>
    <w:p w14:paraId="63971D3B" w14:textId="77777777" w:rsidR="00FD6519" w:rsidRPr="00AC4E5A" w:rsidRDefault="00FD6519" w:rsidP="00F42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AFE5D" w14:textId="0BF089C5" w:rsidR="00352B64" w:rsidRPr="00AC4E5A" w:rsidRDefault="00C22629" w:rsidP="00F420FE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1526D0" w:rsidRPr="00AC4E5A">
        <w:rPr>
          <w:rFonts w:ascii="Times New Roman" w:hAnsi="Times New Roman" w:cs="Times New Roman"/>
          <w:sz w:val="24"/>
          <w:szCs w:val="24"/>
        </w:rPr>
        <w:t xml:space="preserve">given </w:t>
      </w:r>
      <w:r w:rsidRPr="00AC4E5A">
        <w:rPr>
          <w:rFonts w:ascii="Times New Roman" w:hAnsi="Times New Roman" w:cs="Times New Roman"/>
          <w:sz w:val="24"/>
          <w:szCs w:val="24"/>
        </w:rPr>
        <w:t>the geometric decline in environmental quality (EVQ)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with </w:t>
      </w:r>
      <w:r w:rsidRPr="00AC4E5A">
        <w:rPr>
          <w:rFonts w:ascii="Times New Roman" w:hAnsi="Times New Roman" w:cs="Times New Roman"/>
          <w:sz w:val="24"/>
          <w:szCs w:val="24"/>
        </w:rPr>
        <w:t>biodiversity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loss exceeding 70%, Arctic ice declin</w:t>
      </w:r>
      <w:r w:rsidRPr="00AC4E5A">
        <w:rPr>
          <w:rFonts w:ascii="Times New Roman" w:hAnsi="Times New Roman" w:cs="Times New Roman"/>
          <w:sz w:val="24"/>
          <w:szCs w:val="24"/>
        </w:rPr>
        <w:t>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by 40%, and ocean chemistry stability decreas</w:t>
      </w:r>
      <w:r w:rsidRPr="00AC4E5A">
        <w:rPr>
          <w:rFonts w:ascii="Times New Roman" w:hAnsi="Times New Roman" w:cs="Times New Roman"/>
          <w:sz w:val="24"/>
          <w:szCs w:val="24"/>
        </w:rPr>
        <w:t>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by approximately </w:t>
      </w:r>
      <w:r w:rsidRPr="00AC4E5A">
        <w:rPr>
          <w:rFonts w:ascii="Times New Roman" w:hAnsi="Times New Roman" w:cs="Times New Roman"/>
          <w:sz w:val="24"/>
          <w:szCs w:val="24"/>
        </w:rPr>
        <w:t>30%.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R</w:t>
      </w:r>
      <w:r w:rsidRPr="00AC4E5A">
        <w:rPr>
          <w:rFonts w:ascii="Times New Roman" w:hAnsi="Times New Roman" w:cs="Times New Roman"/>
          <w:sz w:val="24"/>
          <w:szCs w:val="24"/>
        </w:rPr>
        <w:t xml:space="preserve">ising </w:t>
      </w:r>
      <w:r w:rsidRPr="00AC4E5A">
        <w:rPr>
          <w:rFonts w:ascii="Times New Roman" w:hAnsi="Times New Roman" w:cs="Times New Roman"/>
          <w:sz w:val="24"/>
          <w:szCs w:val="24"/>
        </w:rPr>
        <w:t>ecological risks, coupled with increased regulatory pressures and public awareness, accelerat</w:t>
      </w:r>
      <w:r w:rsidRPr="00AC4E5A">
        <w:rPr>
          <w:rFonts w:ascii="Times New Roman" w:hAnsi="Times New Roman" w:cs="Times New Roman"/>
          <w:sz w:val="24"/>
          <w:szCs w:val="24"/>
        </w:rPr>
        <w:t>e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the global shift toward green innovation (GRIN), encompassing renewable </w:t>
      </w:r>
      <w:r w:rsidRPr="00AC4E5A">
        <w:rPr>
          <w:rFonts w:ascii="Times New Roman" w:hAnsi="Times New Roman" w:cs="Times New Roman"/>
          <w:sz w:val="24"/>
          <w:szCs w:val="24"/>
        </w:rPr>
        <w:t xml:space="preserve">energy (RENE), sustainable agriculture, circular economy models, and waste </w:t>
      </w:r>
      <w:r w:rsidRPr="00AC4E5A">
        <w:rPr>
          <w:rFonts w:ascii="Times New Roman" w:hAnsi="Times New Roman" w:cs="Times New Roman"/>
          <w:sz w:val="24"/>
          <w:szCs w:val="24"/>
        </w:rPr>
        <w:lastRenderedPageBreak/>
        <w:t>management systems aimed at mitigating EVQ degradation caused by fossil fuel use, deforestation, industrial activity, and unsustainable agriculture (</w:t>
      </w:r>
      <w:r w:rsidR="00FD6519" w:rsidRPr="00AC4E5A">
        <w:rPr>
          <w:rFonts w:ascii="Times New Roman" w:hAnsi="Times New Roman" w:cs="Times New Roman"/>
          <w:sz w:val="24"/>
          <w:szCs w:val="24"/>
        </w:rPr>
        <w:t xml:space="preserve">Samuel et al 2021; </w:t>
      </w:r>
      <w:r w:rsidRPr="00AC4E5A">
        <w:rPr>
          <w:rFonts w:ascii="Times New Roman" w:hAnsi="Times New Roman" w:cs="Times New Roman"/>
          <w:sz w:val="24"/>
          <w:szCs w:val="24"/>
        </w:rPr>
        <w:t>Udo et al., 2</w:t>
      </w:r>
      <w:r w:rsidRPr="00AC4E5A">
        <w:rPr>
          <w:rFonts w:ascii="Times New Roman" w:hAnsi="Times New Roman" w:cs="Times New Roman"/>
          <w:sz w:val="24"/>
          <w:szCs w:val="24"/>
        </w:rPr>
        <w:t>024; Udo et al., 2025).</w:t>
      </w:r>
    </w:p>
    <w:p w14:paraId="12F69081" w14:textId="7F4D5B70" w:rsidR="0022513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eastAsia="Calibri" w:hAnsi="Times New Roman" w:cs="Times New Roman"/>
          <w:sz w:val="24"/>
          <w:szCs w:val="24"/>
        </w:rPr>
        <w:t>De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spite </w:t>
      </w:r>
      <w:r w:rsidR="00353E57" w:rsidRPr="00AC4E5A">
        <w:rPr>
          <w:rFonts w:ascii="Times New Roman" w:hAnsi="Times New Roman" w:cs="Times New Roman"/>
          <w:sz w:val="24"/>
          <w:szCs w:val="24"/>
        </w:rPr>
        <w:t>West Africa</w:t>
      </w:r>
      <w:r w:rsidR="003A3BC1" w:rsidRPr="00AC4E5A">
        <w:rPr>
          <w:rFonts w:ascii="Times New Roman" w:hAnsi="Times New Roman" w:cs="Times New Roman"/>
          <w:sz w:val="24"/>
          <w:szCs w:val="24"/>
        </w:rPr>
        <w:t>'s minimal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 contribution of </w:t>
      </w:r>
      <w:r w:rsidR="007E0BA0" w:rsidRPr="00AC4E5A">
        <w:rPr>
          <w:rFonts w:ascii="Times New Roman" w:hAnsi="Times New Roman" w:cs="Times New Roman"/>
          <w:sz w:val="24"/>
          <w:szCs w:val="24"/>
        </w:rPr>
        <w:t>3.8%</w:t>
      </w:r>
      <w:r w:rsidR="001526D0" w:rsidRPr="00AC4E5A">
        <w:rPr>
          <w:rFonts w:ascii="Times New Roman" w:hAnsi="Times New Roman" w:cs="Times New Roman"/>
          <w:sz w:val="24"/>
          <w:szCs w:val="24"/>
        </w:rPr>
        <w:t>-</w:t>
      </w:r>
      <w:r w:rsidR="007E0BA0" w:rsidRPr="00AC4E5A">
        <w:rPr>
          <w:rFonts w:ascii="Times New Roman" w:hAnsi="Times New Roman" w:cs="Times New Roman"/>
          <w:sz w:val="24"/>
          <w:szCs w:val="24"/>
        </w:rPr>
        <w:t>4% </w:t>
      </w:r>
      <w:r w:rsidR="001526D0" w:rsidRPr="00AC4E5A">
        <w:rPr>
          <w:rFonts w:ascii="Times New Roman" w:hAnsi="Times New Roman" w:cs="Times New Roman"/>
          <w:sz w:val="24"/>
          <w:szCs w:val="24"/>
        </w:rPr>
        <w:t>of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 global emissions, </w:t>
      </w:r>
      <w:r w:rsidR="007E0BA0" w:rsidRPr="00AC4E5A">
        <w:rPr>
          <w:rFonts w:ascii="Times New Roman" w:hAnsi="Times New Roman" w:cs="Times New Roman"/>
          <w:sz w:val="24"/>
          <w:szCs w:val="24"/>
        </w:rPr>
        <w:t>the region is highly vulnerable to climate change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. Sahelian nations </w:t>
      </w:r>
      <w:r w:rsidR="007E0BA0" w:rsidRPr="00AC4E5A">
        <w:rPr>
          <w:rFonts w:ascii="Times New Roman" w:hAnsi="Times New Roman" w:cs="Times New Roman"/>
          <w:sz w:val="24"/>
          <w:szCs w:val="24"/>
        </w:rPr>
        <w:t xml:space="preserve">such as 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Niger, Mali, and Mauritania experience recurring droughts due to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their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limited adaptive capacity, while coastal states </w:t>
      </w:r>
      <w:r w:rsidR="00353E57" w:rsidRPr="00AC4E5A">
        <w:rPr>
          <w:rFonts w:ascii="Times New Roman" w:hAnsi="Times New Roman" w:cs="Times New Roman"/>
          <w:sz w:val="24"/>
          <w:szCs w:val="24"/>
        </w:rPr>
        <w:t>such as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 Benin, Côte d'Ivoire, Senegal, and Togo face </w:t>
      </w:r>
      <w:r w:rsidR="001526D0" w:rsidRPr="00AC4E5A">
        <w:rPr>
          <w:rFonts w:ascii="Times New Roman" w:hAnsi="Times New Roman" w:cs="Times New Roman"/>
          <w:sz w:val="24"/>
          <w:szCs w:val="24"/>
        </w:rPr>
        <w:t>increasing risks of coastal erosion and flooding. Nigeria and Burkina Faso are similarly affected by recurrent floods, underscoring the urgency of climate</w:t>
      </w:r>
      <w:r w:rsidR="001526D0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1526D0" w:rsidRPr="00AC4E5A">
        <w:rPr>
          <w:rFonts w:ascii="Times New Roman" w:hAnsi="Times New Roman" w:cs="Times New Roman"/>
          <w:sz w:val="24"/>
          <w:szCs w:val="24"/>
        </w:rPr>
        <w:t xml:space="preserve">adaptive strategies. 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In this context, GRIN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represents </w:t>
      </w:r>
      <w:r w:rsidRPr="00AC4E5A">
        <w:rPr>
          <w:rFonts w:ascii="Times New Roman" w:hAnsi="Times New Roman" w:cs="Times New Roman"/>
          <w:sz w:val="24"/>
          <w:szCs w:val="24"/>
        </w:rPr>
        <w:t xml:space="preserve">both </w:t>
      </w:r>
      <w:r w:rsidRPr="00AC4E5A"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hAnsi="Times New Roman" w:cs="Times New Roman"/>
          <w:sz w:val="24"/>
          <w:szCs w:val="24"/>
        </w:rPr>
        <w:t>economic opportunit</w:t>
      </w:r>
      <w:r w:rsidRPr="00AC4E5A">
        <w:rPr>
          <w:rFonts w:ascii="Times New Roman" w:hAnsi="Times New Roman" w:cs="Times New Roman"/>
          <w:sz w:val="24"/>
          <w:szCs w:val="24"/>
        </w:rPr>
        <w:t>ies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for resilience and inclusive growth (Udo et al., 2024; Udo et al., 2025</w:t>
      </w:r>
      <w:r w:rsidRPr="00AC4E5A">
        <w:rPr>
          <w:rFonts w:ascii="Times New Roman" w:hAnsi="Times New Roman" w:cs="Times New Roman"/>
          <w:sz w:val="24"/>
          <w:szCs w:val="24"/>
        </w:rPr>
        <w:t>; Udoh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Pr="00AC4E5A">
        <w:rPr>
          <w:rFonts w:ascii="Times New Roman" w:hAnsi="Times New Roman" w:cs="Times New Roman"/>
          <w:sz w:val="24"/>
          <w:szCs w:val="24"/>
        </w:rPr>
        <w:t xml:space="preserve"> 2026</w:t>
      </w:r>
      <w:r w:rsidR="005D17BD" w:rsidRPr="00AC4E5A">
        <w:rPr>
          <w:rFonts w:ascii="Times New Roman" w:hAnsi="Times New Roman" w:cs="Times New Roman"/>
          <w:sz w:val="24"/>
          <w:szCs w:val="24"/>
        </w:rPr>
        <w:t>; 2021</w:t>
      </w:r>
      <w:r w:rsidRPr="00AC4E5A">
        <w:rPr>
          <w:rFonts w:ascii="Times New Roman" w:hAnsi="Times New Roman" w:cs="Times New Roman"/>
          <w:sz w:val="24"/>
          <w:szCs w:val="24"/>
        </w:rPr>
        <w:t>).</w:t>
      </w:r>
    </w:p>
    <w:p w14:paraId="2C81260F" w14:textId="41514989" w:rsidR="0040327C" w:rsidRPr="00AC4E5A" w:rsidRDefault="00C22629" w:rsidP="00C77F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Despite </w:t>
      </w:r>
      <w:r w:rsidR="001526D0" w:rsidRPr="00AC4E5A">
        <w:rPr>
          <w:rFonts w:ascii="Times New Roman" w:hAnsi="Times New Roman" w:cs="Times New Roman"/>
          <w:sz w:val="24"/>
          <w:szCs w:val="24"/>
        </w:rPr>
        <w:t xml:space="preserve">its </w:t>
      </w:r>
      <w:r w:rsidRPr="00AC4E5A">
        <w:rPr>
          <w:rFonts w:ascii="Times New Roman" w:hAnsi="Times New Roman" w:cs="Times New Roman"/>
          <w:sz w:val="24"/>
          <w:szCs w:val="24"/>
        </w:rPr>
        <w:t>potential,</w:t>
      </w:r>
      <w:r w:rsidR="001526D0" w:rsidRPr="00AC4E5A">
        <w:rPr>
          <w:rFonts w:ascii="Times New Roman" w:hAnsi="Times New Roman" w:cs="Times New Roman"/>
          <w:sz w:val="24"/>
          <w:szCs w:val="24"/>
        </w:rPr>
        <w:t xml:space="preserve"> GRIN is characterized by high uncertainty and long gestation periods, which deter private investment, particularly in economies with weak financial systems (Enemuo, 2025; Inim et al., 2025; Emmanuel et al., 2023).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F427EF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C77F3C" w:rsidRPr="00AC4E5A">
        <w:rPr>
          <w:rFonts w:ascii="Times New Roman" w:hAnsi="Times New Roman" w:cs="Times New Roman"/>
          <w:sz w:val="24"/>
          <w:szCs w:val="24"/>
        </w:rPr>
        <w:t xml:space="preserve">Extant studies by </w:t>
      </w:r>
      <w:r w:rsidR="0003001D"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Abugu</w:t>
      </w:r>
      <w:r w:rsidR="0003001D" w:rsidRPr="00AC4E5A">
        <w:rPr>
          <w:rFonts w:ascii="Times New Roman" w:hAnsi="Times New Roman" w:cs="Times New Roman"/>
          <w:sz w:val="24"/>
          <w:szCs w:val="24"/>
        </w:rPr>
        <w:t xml:space="preserve"> et al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(2024)</w:t>
      </w:r>
      <w:r w:rsidR="0003001D" w:rsidRPr="00AC4E5A">
        <w:rPr>
          <w:rFonts w:ascii="Times New Roman" w:hAnsi="Times New Roman" w:cs="Times New Roman"/>
          <w:sz w:val="24"/>
          <w:szCs w:val="24"/>
        </w:rPr>
        <w:t>,</w:t>
      </w:r>
      <w:r w:rsidR="0003001D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Lee and Lee</w:t>
      </w:r>
      <w:r w:rsidRPr="00AC4E5A">
        <w:rPr>
          <w:rFonts w:ascii="Times New Roman" w:hAnsi="Times New Roman" w:cs="Times New Roman"/>
          <w:sz w:val="24"/>
          <w:szCs w:val="24"/>
        </w:rPr>
        <w:t xml:space="preserve"> (2022)</w:t>
      </w:r>
      <w:r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Acheampong and Tyce</w:t>
      </w:r>
      <w:r w:rsidRPr="00AC4E5A">
        <w:rPr>
          <w:rFonts w:ascii="Times New Roman" w:hAnsi="Times New Roman" w:cs="Times New Roman"/>
          <w:sz w:val="24"/>
          <w:szCs w:val="24"/>
        </w:rPr>
        <w:t xml:space="preserve"> (2024)</w:t>
      </w:r>
      <w:r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Udo et al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(2025)</w:t>
      </w:r>
      <w:r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Udo et al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(2024)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001D" w:rsidRPr="00AC4E5A">
        <w:rPr>
          <w:rFonts w:ascii="Times New Roman" w:hAnsi="Times New Roman" w:cs="Times New Roman"/>
          <w:sz w:val="24"/>
          <w:szCs w:val="24"/>
        </w:rPr>
        <w:t>Prince et al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(2021)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hAnsi="Times New Roman" w:cs="Times New Roman"/>
          <w:sz w:val="24"/>
          <w:szCs w:val="24"/>
        </w:rPr>
        <w:t>Abner</w:t>
      </w:r>
      <w:r w:rsidRPr="00AC4E5A">
        <w:rPr>
          <w:rFonts w:ascii="Times New Roman" w:hAnsi="Times New Roman" w:cs="Times New Roman"/>
          <w:sz w:val="24"/>
          <w:szCs w:val="24"/>
        </w:rPr>
        <w:t xml:space="preserve"> et al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(2023) </w:t>
      </w:r>
      <w:r w:rsidR="00C77F3C" w:rsidRPr="00AC4E5A">
        <w:rPr>
          <w:rFonts w:ascii="Times New Roman" w:hAnsi="Times New Roman" w:cs="Times New Roman"/>
          <w:sz w:val="24"/>
          <w:szCs w:val="24"/>
        </w:rPr>
        <w:t xml:space="preserve">reveal that CAM can </w:t>
      </w:r>
      <w:r w:rsidRPr="00AC4E5A">
        <w:rPr>
          <w:rFonts w:ascii="Times New Roman" w:hAnsi="Times New Roman" w:cs="Times New Roman"/>
          <w:sz w:val="24"/>
          <w:szCs w:val="24"/>
        </w:rPr>
        <w:t>mitigat</w:t>
      </w:r>
      <w:r w:rsidR="00C77F3C" w:rsidRPr="00AC4E5A">
        <w:rPr>
          <w:rFonts w:ascii="Times New Roman" w:hAnsi="Times New Roman" w:cs="Times New Roman"/>
          <w:sz w:val="24"/>
          <w:szCs w:val="24"/>
        </w:rPr>
        <w:t>e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C77F3C" w:rsidRPr="00AC4E5A">
        <w:rPr>
          <w:rFonts w:ascii="Times New Roman" w:hAnsi="Times New Roman" w:cs="Times New Roman"/>
          <w:sz w:val="24"/>
          <w:szCs w:val="24"/>
        </w:rPr>
        <w:t xml:space="preserve">these risks </w:t>
      </w:r>
      <w:r w:rsidR="00C77F3C" w:rsidRPr="00AC4E5A">
        <w:rPr>
          <w:rFonts w:ascii="Times New Roman" w:hAnsi="Times New Roman" w:cs="Times New Roman"/>
          <w:sz w:val="24"/>
          <w:szCs w:val="24"/>
        </w:rPr>
        <w:t>by</w:t>
      </w:r>
      <w:r w:rsidR="00C77F3C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reducing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capital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hAnsi="Times New Roman" w:cs="Times New Roman"/>
          <w:sz w:val="24"/>
          <w:szCs w:val="24"/>
        </w:rPr>
        <w:t xml:space="preserve">mobilizing funds through instruments such as green bonds, </w:t>
      </w:r>
      <w:r w:rsidRPr="00AC4E5A">
        <w:rPr>
          <w:rFonts w:ascii="Times New Roman" w:hAnsi="Times New Roman" w:cs="Times New Roman"/>
          <w:sz w:val="24"/>
          <w:szCs w:val="24"/>
        </w:rPr>
        <w:t>sustainability-linked loans, and blended finance</w:t>
      </w:r>
      <w:r w:rsidRPr="00AC4E5A">
        <w:rPr>
          <w:rFonts w:ascii="Times New Roman" w:hAnsi="Times New Roman" w:cs="Times New Roman"/>
          <w:sz w:val="24"/>
          <w:szCs w:val="24"/>
        </w:rPr>
        <w:t xml:space="preserve">. </w:t>
      </w:r>
      <w:r w:rsidRPr="00AC4E5A">
        <w:rPr>
          <w:rFonts w:ascii="Times New Roman" w:hAnsi="Times New Roman" w:cs="Times New Roman"/>
          <w:sz w:val="24"/>
          <w:szCs w:val="24"/>
        </w:rPr>
        <w:t xml:space="preserve">Tolliver et al. (2020) </w:t>
      </w:r>
      <w:r w:rsidR="00C40DDA" w:rsidRPr="00AC4E5A">
        <w:rPr>
          <w:rFonts w:ascii="Times New Roman" w:hAnsi="Times New Roman" w:cs="Times New Roman"/>
          <w:sz w:val="24"/>
          <w:szCs w:val="24"/>
        </w:rPr>
        <w:t>and Ifeoma et al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(2025) </w:t>
      </w:r>
      <w:r w:rsidRPr="00AC4E5A">
        <w:rPr>
          <w:rFonts w:ascii="Times New Roman" w:hAnsi="Times New Roman" w:cs="Times New Roman"/>
          <w:sz w:val="24"/>
          <w:szCs w:val="24"/>
        </w:rPr>
        <w:t>revealed that climate finance reduces investment risk, enhance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performance, attract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ca</w:t>
      </w:r>
      <w:r w:rsidRPr="00AC4E5A">
        <w:rPr>
          <w:rFonts w:ascii="Times New Roman" w:hAnsi="Times New Roman" w:cs="Times New Roman"/>
          <w:sz w:val="24"/>
          <w:szCs w:val="24"/>
        </w:rPr>
        <w:t>pital inflow for green energy projects, and</w:t>
      </w:r>
      <w:r w:rsidR="00C77F3C" w:rsidRPr="00AC4E5A">
        <w:rPr>
          <w:rFonts w:ascii="Times New Roman" w:hAnsi="Times New Roman" w:cs="Times New Roman"/>
          <w:sz w:val="24"/>
          <w:szCs w:val="24"/>
        </w:rPr>
        <w:t xml:space="preserve"> accelerate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="00C77F3C" w:rsidRPr="00AC4E5A">
        <w:rPr>
          <w:rFonts w:ascii="Times New Roman" w:hAnsi="Times New Roman" w:cs="Times New Roman"/>
          <w:sz w:val="24"/>
          <w:szCs w:val="24"/>
        </w:rPr>
        <w:t xml:space="preserve"> sustainable industrialization.</w:t>
      </w:r>
      <w:r w:rsidRPr="00AC4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D8959B" w14:textId="6B2127A6" w:rsidR="00C15E4E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The efficiency of RENE </w:t>
      </w:r>
      <w:r w:rsidRPr="00AC4E5A">
        <w:rPr>
          <w:rFonts w:ascii="Times New Roman" w:hAnsi="Times New Roman" w:cs="Times New Roman"/>
          <w:sz w:val="24"/>
          <w:szCs w:val="24"/>
        </w:rPr>
        <w:t xml:space="preserve">deployment and other green technologies </w:t>
      </w:r>
      <w:r w:rsidR="0040327C" w:rsidRPr="00AC4E5A">
        <w:rPr>
          <w:rFonts w:ascii="Times New Roman" w:hAnsi="Times New Roman" w:cs="Times New Roman"/>
          <w:sz w:val="24"/>
          <w:szCs w:val="24"/>
        </w:rPr>
        <w:t xml:space="preserve">anchors </w:t>
      </w:r>
      <w:r w:rsidRPr="00AC4E5A">
        <w:rPr>
          <w:rFonts w:ascii="Times New Roman" w:hAnsi="Times New Roman" w:cs="Times New Roman"/>
          <w:sz w:val="24"/>
          <w:szCs w:val="24"/>
        </w:rPr>
        <w:t xml:space="preserve">technological advancement, </w:t>
      </w:r>
      <w:r w:rsidRPr="00AC4E5A">
        <w:rPr>
          <w:rFonts w:ascii="Times New Roman" w:hAnsi="Times New Roman" w:cs="Times New Roman"/>
          <w:sz w:val="24"/>
          <w:szCs w:val="24"/>
        </w:rPr>
        <w:t>acquisition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costs</w:t>
      </w:r>
      <w:r w:rsidRPr="00AC4E5A">
        <w:rPr>
          <w:rFonts w:ascii="Times New Roman" w:eastAsia="Calibri" w:hAnsi="Times New Roman" w:cs="Times New Roman"/>
          <w:sz w:val="24"/>
          <w:szCs w:val="24"/>
        </w:rPr>
        <w:t>, and human capital capacity (</w:t>
      </w:r>
      <w:r w:rsidRPr="00AC4E5A">
        <w:rPr>
          <w:rFonts w:ascii="Times New Roman" w:hAnsi="Times New Roman" w:cs="Times New Roman"/>
          <w:sz w:val="24"/>
          <w:szCs w:val="24"/>
        </w:rPr>
        <w:t>Nkemgha et al., 2023; Udoh et al., 2024).</w:t>
      </w:r>
      <w:r w:rsidRPr="00AC4E5A">
        <w:rPr>
          <w:rFonts w:ascii="Times New Roman" w:hAnsi="Times New Roman" w:cs="Times New Roman"/>
          <w:sz w:val="24"/>
          <w:szCs w:val="24"/>
        </w:rPr>
        <w:t xml:space="preserve"> By </w:t>
      </w:r>
      <w:r w:rsidR="0040327C" w:rsidRPr="00AC4E5A">
        <w:rPr>
          <w:rFonts w:ascii="Times New Roman" w:hAnsi="Times New Roman" w:cs="Times New Roman"/>
          <w:sz w:val="24"/>
          <w:szCs w:val="24"/>
        </w:rPr>
        <w:t xml:space="preserve">lowering 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cost of capital for green enterprises,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incentivize</w:t>
      </w:r>
      <w:r w:rsidRPr="00AC4E5A">
        <w:rPr>
          <w:rFonts w:ascii="Times New Roman" w:hAnsi="Times New Roman" w:cs="Times New Roman"/>
          <w:sz w:val="24"/>
          <w:szCs w:val="24"/>
        </w:rPr>
        <w:t xml:space="preserve"> research and development in projects with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</w:t>
      </w:r>
      <w:r w:rsidRPr="00AC4E5A">
        <w:rPr>
          <w:rFonts w:ascii="Times New Roman" w:hAnsi="Times New Roman" w:cs="Times New Roman"/>
          <w:sz w:val="24"/>
          <w:szCs w:val="24"/>
        </w:rPr>
        <w:t>environmental, social, and governance (ESG) performance.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Instruments such as green bonds and climate-oriented financing frameworks accelerate technology diffusion, while international institutions </w:t>
      </w:r>
      <w:r w:rsidRPr="00AC4E5A">
        <w:rPr>
          <w:rFonts w:ascii="Times New Roman" w:hAnsi="Times New Roman" w:cs="Times New Roman"/>
          <w:sz w:val="24"/>
          <w:szCs w:val="24"/>
        </w:rPr>
        <w:t xml:space="preserve">such as 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International Finance Corporation (IFC, 2023) expand capital mobilization for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RENE </w:t>
      </w:r>
      <w:r w:rsidRPr="00AC4E5A">
        <w:rPr>
          <w:rFonts w:ascii="Times New Roman" w:hAnsi="Times New Roman" w:cs="Times New Roman"/>
          <w:sz w:val="24"/>
          <w:szCs w:val="24"/>
        </w:rPr>
        <w:t>and climate-smart enterprises across Africa (Lee &amp; Lee, 2022; Acheampong &amp; Tyce, 2024; Emmanuel et al., 2023; Inim et al., 2024).</w:t>
      </w:r>
    </w:p>
    <w:p w14:paraId="14F57ABE" w14:textId="76F650C0" w:rsidR="0040327C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Theoretically, </w:t>
      </w:r>
      <w:r w:rsidR="00B45BAD"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AC4E5A">
        <w:rPr>
          <w:rFonts w:ascii="Times New Roman" w:hAnsi="Times New Roman" w:cs="Times New Roman"/>
          <w:sz w:val="24"/>
          <w:szCs w:val="24"/>
        </w:rPr>
        <w:t>intermediation theory emphasizes the role of market efficiency in reducing information asymmetry and transaction costs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facilitating green investments (Levine, 1997). Stakeholder theory (Freeman, 1984) and legitimacy theory posit that firms face increa</w:t>
      </w:r>
      <w:r w:rsidRPr="00AC4E5A">
        <w:rPr>
          <w:rFonts w:ascii="Times New Roman" w:hAnsi="Times New Roman" w:cs="Times New Roman"/>
          <w:sz w:val="24"/>
          <w:szCs w:val="24"/>
        </w:rPr>
        <w:t>sing societal and investor pressures to operate sustainably, leverag</w:t>
      </w:r>
      <w:r w:rsidRPr="00AC4E5A">
        <w:rPr>
          <w:rFonts w:ascii="Times New Roman" w:hAnsi="Times New Roman" w:cs="Times New Roman"/>
          <w:sz w:val="24"/>
          <w:szCs w:val="24"/>
        </w:rPr>
        <w:t>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CAM to signal commitment to GRIN. Similarly, the resource-based view (Barney, 1991) posit</w:t>
      </w:r>
      <w:r w:rsidRPr="00AC4E5A">
        <w:rPr>
          <w:rFonts w:ascii="Times New Roman" w:hAnsi="Times New Roman" w:cs="Times New Roman"/>
          <w:sz w:val="24"/>
          <w:szCs w:val="24"/>
        </w:rPr>
        <w:t xml:space="preserve">s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GRIN </w:t>
      </w:r>
      <w:r w:rsidRPr="00AC4E5A">
        <w:rPr>
          <w:rFonts w:ascii="Times New Roman" w:hAnsi="Times New Roman" w:cs="Times New Roman"/>
          <w:sz w:val="24"/>
          <w:szCs w:val="24"/>
        </w:rPr>
        <w:t>i</w:t>
      </w:r>
      <w:r w:rsidRPr="00AC4E5A">
        <w:rPr>
          <w:rFonts w:ascii="Times New Roman" w:hAnsi="Times New Roman" w:cs="Times New Roman"/>
          <w:sz w:val="24"/>
          <w:szCs w:val="24"/>
        </w:rPr>
        <w:t xml:space="preserve">s a </w:t>
      </w:r>
      <w:r w:rsidRPr="00AC4E5A">
        <w:rPr>
          <w:rFonts w:ascii="Times New Roman" w:hAnsi="Times New Roman" w:cs="Times New Roman"/>
          <w:sz w:val="24"/>
          <w:szCs w:val="24"/>
        </w:rPr>
        <w:t>strategic capability capable of delivering competitive advantage</w:t>
      </w:r>
      <w:r w:rsidRPr="00AC4E5A">
        <w:rPr>
          <w:rFonts w:ascii="Times New Roman" w:hAnsi="Times New Roman" w:cs="Times New Roman"/>
          <w:sz w:val="24"/>
          <w:szCs w:val="24"/>
        </w:rPr>
        <w:t xml:space="preserve"> contingent upon access to capital.</w:t>
      </w:r>
    </w:p>
    <w:p w14:paraId="0165BC4C" w14:textId="5F656A24" w:rsidR="002D3E37" w:rsidRPr="00AC4E5A" w:rsidRDefault="00C22629" w:rsidP="00525A8E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Despite global evidence that capital markets can effectively catalyze green innovation, West African CAM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have drifted </w:t>
      </w:r>
      <w:r w:rsidRPr="00AC4E5A">
        <w:rPr>
          <w:rFonts w:ascii="Times New Roman" w:hAnsi="Times New Roman" w:cs="Times New Roman"/>
          <w:sz w:val="24"/>
          <w:szCs w:val="24"/>
        </w:rPr>
        <w:t>because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of</w:t>
      </w:r>
      <w:r w:rsidRPr="00AC4E5A">
        <w:rPr>
          <w:rFonts w:ascii="Times New Roman" w:hAnsi="Times New Roman" w:cs="Times New Roman"/>
          <w:sz w:val="24"/>
          <w:szCs w:val="24"/>
        </w:rPr>
        <w:t xml:space="preserve"> structural weaknesse</w:t>
      </w:r>
      <w:r w:rsidRPr="00AC4E5A">
        <w:rPr>
          <w:rFonts w:ascii="Times New Roman" w:hAnsi="Times New Roman" w:cs="Times New Roman"/>
          <w:sz w:val="24"/>
          <w:szCs w:val="24"/>
        </w:rPr>
        <w:t xml:space="preserve">s, shallow markets, low liquidity, weak investor confidence, and inconsistent ESG reporting (Udo et al., 2019; Huang et al., 2022; </w:t>
      </w:r>
      <w:r w:rsidR="00DF61ED" w:rsidRPr="00AC4E5A">
        <w:rPr>
          <w:rFonts w:ascii="Times New Roman" w:hAnsi="Times New Roman" w:cs="Times New Roman"/>
          <w:sz w:val="24"/>
          <w:szCs w:val="24"/>
        </w:rPr>
        <w:t>Samuel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="00DF61ED" w:rsidRPr="00AC4E5A">
        <w:rPr>
          <w:rFonts w:ascii="Times New Roman" w:hAnsi="Times New Roman" w:cs="Times New Roman"/>
          <w:sz w:val="24"/>
          <w:szCs w:val="24"/>
        </w:rPr>
        <w:t xml:space="preserve"> 2023</w:t>
      </w:r>
      <w:r w:rsidR="003A3BC1" w:rsidRPr="00AC4E5A">
        <w:rPr>
          <w:rFonts w:ascii="Times New Roman" w:hAnsi="Times New Roman" w:cs="Times New Roman"/>
          <w:sz w:val="24"/>
          <w:szCs w:val="24"/>
        </w:rPr>
        <w:t>;</w:t>
      </w:r>
      <w:r w:rsidR="00DF61ED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Enemuo et al., 2025).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tudies in Sub-Saharan Africa often relied on Granger causality models or focused </w:t>
      </w:r>
      <w:r w:rsidRPr="00AC4E5A">
        <w:rPr>
          <w:rFonts w:ascii="Times New Roman" w:hAnsi="Times New Roman" w:cs="Times New Roman"/>
          <w:sz w:val="24"/>
          <w:szCs w:val="24"/>
        </w:rPr>
        <w:t>on single-country analyses, ignoring short-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hAnsi="Times New Roman" w:cs="Times New Roman"/>
          <w:sz w:val="24"/>
          <w:szCs w:val="24"/>
        </w:rPr>
        <w:t>long-run dynamics and cross-country heterogeneity (Xie et al., 2022; Edet et al., 2024; Inim et al., 2024).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This study addresses </w:t>
      </w:r>
      <w:r w:rsidRPr="00AC4E5A">
        <w:rPr>
          <w:rFonts w:ascii="Times New Roman" w:hAnsi="Times New Roman" w:cs="Times New Roman"/>
          <w:sz w:val="24"/>
          <w:szCs w:val="24"/>
        </w:rPr>
        <w:lastRenderedPageBreak/>
        <w:t xml:space="preserve">these gaps by </w:t>
      </w:r>
      <w:r w:rsidRPr="00AC4E5A">
        <w:rPr>
          <w:rFonts w:ascii="Times New Roman" w:hAnsi="Times New Roman" w:cs="Times New Roman"/>
          <w:sz w:val="24"/>
          <w:szCs w:val="24"/>
        </w:rPr>
        <w:t xml:space="preserve">adopting </w:t>
      </w:r>
      <w:r w:rsidRPr="00AC4E5A">
        <w:rPr>
          <w:rFonts w:ascii="Times New Roman" w:hAnsi="Times New Roman" w:cs="Times New Roman"/>
          <w:sz w:val="24"/>
          <w:szCs w:val="24"/>
        </w:rPr>
        <w:t>a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525A8E" w:rsidRPr="00AC4E5A">
        <w:rPr>
          <w:rFonts w:ascii="Times New Roman" w:hAnsi="Times New Roman" w:cs="Times New Roman"/>
          <w:sz w:val="24"/>
          <w:szCs w:val="24"/>
        </w:rPr>
        <w:t>panel autoregressive distributed lag (ARDL)</w:t>
      </w:r>
      <w:r w:rsidRPr="00AC4E5A">
        <w:rPr>
          <w:rFonts w:ascii="Times New Roman" w:hAnsi="Times New Roman" w:cs="Times New Roman"/>
          <w:sz w:val="24"/>
          <w:szCs w:val="24"/>
        </w:rPr>
        <w:t xml:space="preserve"> framework across four </w:t>
      </w:r>
      <w:r w:rsidRPr="00AC4E5A">
        <w:rPr>
          <w:rFonts w:ascii="Times New Roman" w:hAnsi="Times New Roman" w:cs="Times New Roman"/>
          <w:sz w:val="24"/>
          <w:szCs w:val="24"/>
        </w:rPr>
        <w:t xml:space="preserve">West African economies (Nigeria, Ghana, Côte d’Ivoire, 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hAnsi="Times New Roman" w:cs="Times New Roman"/>
          <w:sz w:val="24"/>
          <w:szCs w:val="24"/>
        </w:rPr>
        <w:t xml:space="preserve">Senegal), </w:t>
      </w:r>
      <w:r w:rsidRPr="00AC4E5A">
        <w:rPr>
          <w:rFonts w:ascii="Times New Roman" w:hAnsi="Times New Roman" w:cs="Times New Roman"/>
          <w:sz w:val="24"/>
          <w:szCs w:val="24"/>
        </w:rPr>
        <w:t xml:space="preserve">collectively </w:t>
      </w:r>
      <w:r w:rsidRPr="00AC4E5A">
        <w:rPr>
          <w:rFonts w:ascii="Times New Roman" w:hAnsi="Times New Roman" w:cs="Times New Roman"/>
          <w:sz w:val="24"/>
          <w:szCs w:val="24"/>
        </w:rPr>
        <w:t>represent</w:t>
      </w:r>
      <w:r w:rsidRPr="00AC4E5A">
        <w:rPr>
          <w:rFonts w:ascii="Times New Roman" w:hAnsi="Times New Roman" w:cs="Times New Roman"/>
          <w:sz w:val="24"/>
          <w:szCs w:val="24"/>
        </w:rPr>
        <w:t xml:space="preserve">ing </w:t>
      </w:r>
      <w:r w:rsidRPr="00AC4E5A">
        <w:rPr>
          <w:rFonts w:ascii="Times New Roman" w:hAnsi="Times New Roman" w:cs="Times New Roman"/>
          <w:sz w:val="24"/>
          <w:szCs w:val="24"/>
        </w:rPr>
        <w:t>the core of the Economic Community of West African States (ECOWAS)</w:t>
      </w:r>
      <w:r w:rsidR="00525A8E" w:rsidRPr="00AC4E5A">
        <w:rPr>
          <w:rFonts w:ascii="Times New Roman" w:hAnsi="Times New Roman" w:cs="Times New Roman"/>
          <w:sz w:val="24"/>
          <w:szCs w:val="24"/>
        </w:rPr>
        <w:t xml:space="preserve">. The study </w:t>
      </w:r>
      <w:r w:rsidRPr="00AC4E5A">
        <w:rPr>
          <w:rFonts w:ascii="Times New Roman" w:hAnsi="Times New Roman" w:cs="Times New Roman"/>
          <w:sz w:val="24"/>
          <w:szCs w:val="24"/>
        </w:rPr>
        <w:t>captur</w:t>
      </w:r>
      <w:r w:rsidRPr="00AC4E5A">
        <w:rPr>
          <w:rFonts w:ascii="Times New Roman" w:hAnsi="Times New Roman" w:cs="Times New Roman"/>
          <w:sz w:val="24"/>
          <w:szCs w:val="24"/>
        </w:rPr>
        <w:t>e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both short-run market fluctuations an</w:t>
      </w:r>
      <w:r w:rsidRPr="00AC4E5A">
        <w:rPr>
          <w:rFonts w:ascii="Times New Roman" w:hAnsi="Times New Roman" w:cs="Times New Roman"/>
          <w:sz w:val="24"/>
          <w:szCs w:val="24"/>
        </w:rPr>
        <w:t>d long-run structural effects while accommodating heterogeneity</w:t>
      </w:r>
      <w:r w:rsidR="008000E1"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integrating </w:t>
      </w:r>
      <w:r w:rsidRPr="00AC4E5A">
        <w:rPr>
          <w:rFonts w:ascii="Times New Roman" w:hAnsi="Times New Roman" w:cs="Times New Roman"/>
          <w:sz w:val="24"/>
          <w:szCs w:val="24"/>
        </w:rPr>
        <w:t xml:space="preserve">variables </w:t>
      </w:r>
      <w:r w:rsidR="008000E1" w:rsidRPr="00AC4E5A">
        <w:rPr>
          <w:rFonts w:ascii="Times New Roman" w:hAnsi="Times New Roman" w:cs="Times New Roman"/>
          <w:sz w:val="24"/>
          <w:szCs w:val="24"/>
        </w:rPr>
        <w:t>with</w:t>
      </w:r>
      <w:r w:rsidR="008000E1" w:rsidRPr="00AC4E5A">
        <w:rPr>
          <w:rFonts w:ascii="Times New Roman" w:hAnsi="Times New Roman" w:cs="Times New Roman"/>
          <w:sz w:val="24"/>
          <w:szCs w:val="24"/>
        </w:rPr>
        <w:t xml:space="preserve"> mixed orders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="008000E1" w:rsidRPr="00AC4E5A">
        <w:rPr>
          <w:rFonts w:ascii="Times New Roman" w:hAnsi="Times New Roman" w:cs="Times New Roman"/>
          <w:sz w:val="24"/>
          <w:szCs w:val="24"/>
        </w:rPr>
        <w:t xml:space="preserve"> and addressing endogeneity.</w:t>
      </w:r>
      <w:r w:rsidR="00084EDC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This study aims to provide methodological rigor and contextual relevance </w:t>
      </w:r>
      <w:r w:rsidR="00525A8E" w:rsidRPr="00AC4E5A">
        <w:rPr>
          <w:rFonts w:ascii="Times New Roman" w:hAnsi="Times New Roman" w:cs="Times New Roman"/>
          <w:sz w:val="24"/>
          <w:szCs w:val="24"/>
        </w:rPr>
        <w:t>b</w:t>
      </w:r>
      <w:r w:rsidR="00525A8E" w:rsidRPr="00AC4E5A">
        <w:rPr>
          <w:rFonts w:ascii="Times New Roman" w:hAnsi="Times New Roman" w:cs="Times New Roman"/>
          <w:sz w:val="24"/>
          <w:szCs w:val="24"/>
        </w:rPr>
        <w:t>y linking CAM to GRIN through empirical and policy-relevant insights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525A8E" w:rsidRPr="00AC4E5A">
        <w:rPr>
          <w:rFonts w:ascii="Times New Roman" w:hAnsi="Times New Roman" w:cs="Times New Roman"/>
          <w:sz w:val="24"/>
          <w:szCs w:val="24"/>
        </w:rPr>
        <w:t>to understand how emerging financial markets can catalyze sustainable development in climate-vulnerable regions.</w:t>
      </w:r>
    </w:p>
    <w:p w14:paraId="439CE574" w14:textId="77777777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Literature Review</w:t>
      </w:r>
    </w:p>
    <w:p w14:paraId="751B6329" w14:textId="77777777" w:rsidR="00353E57" w:rsidRPr="00AC4E5A" w:rsidRDefault="00C22629" w:rsidP="00353E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Green Technology Innovation</w:t>
      </w:r>
    </w:p>
    <w:p w14:paraId="58EB8E7B" w14:textId="50A5CD21" w:rsidR="00D20035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In a bid to enhance EVQ </w:t>
      </w:r>
      <w:r w:rsidRPr="00AC4E5A">
        <w:rPr>
          <w:rFonts w:ascii="Times New Roman" w:hAnsi="Times New Roman" w:cs="Times New Roman"/>
          <w:sz w:val="24"/>
          <w:szCs w:val="24"/>
        </w:rPr>
        <w:t>while sustaining l</w:t>
      </w:r>
      <w:r w:rsidRPr="00AC4E5A">
        <w:rPr>
          <w:rFonts w:ascii="Times New Roman" w:hAnsi="Times New Roman" w:cs="Times New Roman"/>
          <w:sz w:val="24"/>
          <w:szCs w:val="24"/>
        </w:rPr>
        <w:t>ong-term economic growth, GRIN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emerged as a critical mechanism for reconciling </w:t>
      </w:r>
      <w:r w:rsidRPr="00AC4E5A">
        <w:rPr>
          <w:rFonts w:ascii="Times New Roman" w:hAnsi="Times New Roman" w:cs="Times New Roman"/>
          <w:sz w:val="24"/>
          <w:szCs w:val="24"/>
        </w:rPr>
        <w:t>EVQ</w:t>
      </w:r>
      <w:r w:rsidRPr="00AC4E5A">
        <w:rPr>
          <w:rFonts w:ascii="Times New Roman" w:hAnsi="Times New Roman" w:cs="Times New Roman"/>
          <w:sz w:val="24"/>
          <w:szCs w:val="24"/>
        </w:rPr>
        <w:t xml:space="preserve"> with development</w:t>
      </w:r>
      <w:r w:rsidRPr="00AC4E5A">
        <w:rPr>
          <w:rFonts w:ascii="Times New Roman" w:eastAsia="Calibri" w:hAnsi="Times New Roman" w:cs="Times New Roman"/>
          <w:sz w:val="24"/>
          <w:szCs w:val="24"/>
        </w:rPr>
        <w:t>al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objectives, particularly in environmentally vulnerable and resource-constrained regi</w:t>
      </w:r>
      <w:r w:rsidRPr="00AC4E5A">
        <w:rPr>
          <w:rFonts w:ascii="Times New Roman" w:eastAsia="Calibri" w:hAnsi="Times New Roman" w:cs="Times New Roman"/>
          <w:sz w:val="24"/>
          <w:szCs w:val="24"/>
        </w:rPr>
        <w:t>ons such as West Africa</w:t>
      </w:r>
      <w:r w:rsidRPr="00AC4E5A">
        <w:rPr>
          <w:rFonts w:ascii="Times New Roman" w:hAnsi="Times New Roman" w:cs="Times New Roman"/>
          <w:sz w:val="24"/>
          <w:szCs w:val="24"/>
        </w:rPr>
        <w:t xml:space="preserve"> (WA)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GRIN encompasses the development and diffusion of eco-efficient products, </w:t>
      </w:r>
      <w:r w:rsidRPr="00AC4E5A">
        <w:rPr>
          <w:rFonts w:ascii="Times New Roman" w:hAnsi="Times New Roman" w:cs="Times New Roman"/>
          <w:sz w:val="24"/>
          <w:szCs w:val="24"/>
        </w:rPr>
        <w:t xml:space="preserve">green </w:t>
      </w:r>
      <w:r w:rsidRPr="00AC4E5A">
        <w:rPr>
          <w:rFonts w:ascii="Times New Roman" w:hAnsi="Times New Roman" w:cs="Times New Roman"/>
          <w:sz w:val="24"/>
          <w:szCs w:val="24"/>
        </w:rPr>
        <w:t>production processes, RENE technologies, circular economy models, waste-to-energy systems, sustainable agriculture, and low-carbon industrial solutions. Through these channels, GRIN enhances resource efficiency, reduces carbon intensity, strengthens climat</w:t>
      </w:r>
      <w:r w:rsidRPr="00AC4E5A">
        <w:rPr>
          <w:rFonts w:ascii="Times New Roman" w:hAnsi="Times New Roman" w:cs="Times New Roman"/>
          <w:sz w:val="24"/>
          <w:szCs w:val="24"/>
        </w:rPr>
        <w:t>e resilience, and aligns structural economic transformation with EVQ objectives (Yan et al., 2020; Sohag et al., 2021; Wang et al., 2022; Ren et al., 2022; Udo et al., 2024, 2025; Inim et al., 2024).</w:t>
      </w:r>
    </w:p>
    <w:p w14:paraId="42245375" w14:textId="7B8E7CB2" w:rsidR="00CF4560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Beyond its environmental relevance, GRIN is </w:t>
      </w:r>
      <w:r w:rsidRPr="00AC4E5A">
        <w:rPr>
          <w:rFonts w:ascii="Times New Roman" w:hAnsi="Times New Roman" w:cs="Times New Roman"/>
          <w:sz w:val="24"/>
          <w:szCs w:val="24"/>
        </w:rPr>
        <w:t>inc</w:t>
      </w:r>
      <w:r w:rsidRPr="00AC4E5A">
        <w:rPr>
          <w:rFonts w:ascii="Times New Roman" w:hAnsi="Times New Roman" w:cs="Times New Roman"/>
          <w:sz w:val="24"/>
          <w:szCs w:val="24"/>
        </w:rPr>
        <w:t>re</w:t>
      </w:r>
      <w:r w:rsidRPr="00AC4E5A">
        <w:rPr>
          <w:rFonts w:ascii="Times New Roman" w:hAnsi="Times New Roman" w:cs="Times New Roman"/>
          <w:sz w:val="24"/>
          <w:szCs w:val="24"/>
        </w:rPr>
        <w:t>a</w:t>
      </w:r>
      <w:r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>i</w:t>
      </w:r>
      <w:r w:rsidRPr="00AC4E5A">
        <w:rPr>
          <w:rFonts w:ascii="Times New Roman" w:hAnsi="Times New Roman" w:cs="Times New Roman"/>
          <w:sz w:val="24"/>
          <w:szCs w:val="24"/>
        </w:rPr>
        <w:t>ng</w:t>
      </w:r>
      <w:r w:rsidRPr="00AC4E5A">
        <w:rPr>
          <w:rFonts w:ascii="Times New Roman" w:hAnsi="Times New Roman" w:cs="Times New Roman"/>
          <w:sz w:val="24"/>
          <w:szCs w:val="24"/>
        </w:rPr>
        <w:t xml:space="preserve">ly </w:t>
      </w:r>
      <w:r w:rsidRPr="00AC4E5A">
        <w:rPr>
          <w:rFonts w:ascii="Times New Roman" w:hAnsi="Times New Roman" w:cs="Times New Roman"/>
          <w:sz w:val="24"/>
          <w:szCs w:val="24"/>
        </w:rPr>
        <w:t xml:space="preserve">acknowledged </w:t>
      </w:r>
      <w:r w:rsidRPr="00AC4E5A">
        <w:rPr>
          <w:rFonts w:ascii="Times New Roman" w:hAnsi="Times New Roman" w:cs="Times New Roman"/>
          <w:sz w:val="24"/>
          <w:szCs w:val="24"/>
        </w:rPr>
        <w:t>as a strategic driver of industrial competitiveness, productivity progression, and long-term economic resilience (Udo et al., 2025</w:t>
      </w:r>
      <w:r w:rsidRPr="00AC4E5A">
        <w:rPr>
          <w:rFonts w:ascii="Times New Roman" w:hAnsi="Times New Roman" w:cs="Times New Roman"/>
          <w:sz w:val="24"/>
          <w:szCs w:val="24"/>
        </w:rPr>
        <w:t>; Udo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Pr="00AC4E5A">
        <w:rPr>
          <w:rFonts w:ascii="Times New Roman" w:hAnsi="Times New Roman" w:cs="Times New Roman"/>
          <w:sz w:val="24"/>
          <w:szCs w:val="24"/>
        </w:rPr>
        <w:t xml:space="preserve"> 2026</w:t>
      </w:r>
      <w:r w:rsidRPr="00AC4E5A">
        <w:rPr>
          <w:rFonts w:ascii="Times New Roman" w:hAnsi="Times New Roman" w:cs="Times New Roman"/>
          <w:sz w:val="24"/>
          <w:szCs w:val="24"/>
        </w:rPr>
        <w:t xml:space="preserve">). However, the diffusion of GRIN 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WA </w:t>
      </w:r>
      <w:r w:rsidRPr="00AC4E5A">
        <w:rPr>
          <w:rFonts w:ascii="Times New Roman" w:hAnsi="Times New Roman" w:cs="Times New Roman"/>
          <w:sz w:val="24"/>
          <w:szCs w:val="24"/>
        </w:rPr>
        <w:t xml:space="preserve">economies </w:t>
      </w:r>
      <w:r w:rsidRPr="00AC4E5A">
        <w:rPr>
          <w:rFonts w:ascii="Times New Roman" w:hAnsi="Times New Roman" w:cs="Times New Roman"/>
          <w:sz w:val="24"/>
          <w:szCs w:val="24"/>
        </w:rPr>
        <w:t>has been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structurally </w:t>
      </w:r>
      <w:r w:rsidRPr="00AC4E5A">
        <w:rPr>
          <w:rFonts w:ascii="Times New Roman" w:hAnsi="Times New Roman" w:cs="Times New Roman"/>
          <w:sz w:val="24"/>
          <w:szCs w:val="24"/>
        </w:rPr>
        <w:t>constrained</w:t>
      </w:r>
      <w:r w:rsidR="00D20035" w:rsidRPr="00AC4E5A">
        <w:rPr>
          <w:rFonts w:ascii="Times New Roman" w:hAnsi="Times New Roman" w:cs="Times New Roman"/>
          <w:sz w:val="24"/>
          <w:szCs w:val="24"/>
        </w:rPr>
        <w:t>. H</w:t>
      </w:r>
      <w:r w:rsidRPr="00AC4E5A">
        <w:rPr>
          <w:rFonts w:ascii="Times New Roman" w:hAnsi="Times New Roman" w:cs="Times New Roman"/>
          <w:sz w:val="24"/>
          <w:szCs w:val="24"/>
        </w:rPr>
        <w:t>igh upfront capital requirements, long gestation periods, uncertain commercial returns, weak innovation ecosystems, limited absorptive capacity, and underdeveloped technological infrastructure significantly impede green investment (Emmanuel e</w:t>
      </w:r>
      <w:r w:rsidRPr="00AC4E5A">
        <w:rPr>
          <w:rFonts w:ascii="Times New Roman" w:hAnsi="Times New Roman" w:cs="Times New Roman"/>
          <w:sz w:val="24"/>
          <w:szCs w:val="24"/>
        </w:rPr>
        <w:t>t al., 2023; Enemuo, 2025</w:t>
      </w:r>
      <w:r w:rsidR="00C91539" w:rsidRPr="00AC4E5A">
        <w:rPr>
          <w:rFonts w:ascii="Times New Roman" w:hAnsi="Times New Roman" w:cs="Times New Roman"/>
          <w:sz w:val="24"/>
          <w:szCs w:val="24"/>
        </w:rPr>
        <w:t>; Eduno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="00C91539" w:rsidRPr="00AC4E5A">
        <w:rPr>
          <w:rFonts w:ascii="Times New Roman" w:hAnsi="Times New Roman" w:cs="Times New Roman"/>
          <w:sz w:val="24"/>
          <w:szCs w:val="24"/>
        </w:rPr>
        <w:t xml:space="preserve"> 2024</w:t>
      </w:r>
      <w:r w:rsidRPr="00AC4E5A">
        <w:rPr>
          <w:rFonts w:ascii="Times New Roman" w:hAnsi="Times New Roman" w:cs="Times New Roman"/>
          <w:sz w:val="24"/>
          <w:szCs w:val="24"/>
        </w:rPr>
        <w:t>). These constraints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AC4E5A">
        <w:rPr>
          <w:rFonts w:ascii="Times New Roman" w:hAnsi="Times New Roman" w:cs="Times New Roman"/>
          <w:sz w:val="24"/>
          <w:szCs w:val="24"/>
        </w:rPr>
        <w:t>(Adu-Yeboah et al., 2022</w:t>
      </w:r>
      <w:r w:rsidRPr="00AC4E5A">
        <w:rPr>
          <w:rFonts w:ascii="Times New Roman" w:hAnsi="Times New Roman" w:cs="Times New Roman"/>
          <w:sz w:val="24"/>
          <w:szCs w:val="24"/>
        </w:rPr>
        <w:t>; Edet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Pr="00AC4E5A">
        <w:rPr>
          <w:rFonts w:ascii="Times New Roman" w:hAnsi="Times New Roman" w:cs="Times New Roman"/>
          <w:sz w:val="24"/>
          <w:szCs w:val="24"/>
        </w:rPr>
        <w:t xml:space="preserve"> 2024</w:t>
      </w:r>
      <w:r w:rsidRPr="00AC4E5A">
        <w:rPr>
          <w:rFonts w:ascii="Times New Roman" w:hAnsi="Times New Roman" w:cs="Times New Roman"/>
          <w:sz w:val="24"/>
          <w:szCs w:val="24"/>
        </w:rPr>
        <w:t>)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D20035" w:rsidRPr="00AC4E5A">
        <w:rPr>
          <w:rFonts w:ascii="Times New Roman" w:hAnsi="Times New Roman" w:cs="Times New Roman"/>
          <w:sz w:val="24"/>
          <w:szCs w:val="24"/>
        </w:rPr>
        <w:t xml:space="preserve">are </w:t>
      </w:r>
      <w:r w:rsidRPr="00AC4E5A">
        <w:rPr>
          <w:rFonts w:ascii="Times New Roman" w:hAnsi="Times New Roman" w:cs="Times New Roman"/>
          <w:sz w:val="24"/>
          <w:szCs w:val="24"/>
        </w:rPr>
        <w:t>further</w:t>
      </w:r>
      <w:r w:rsidRPr="00AC4E5A">
        <w:rPr>
          <w:rFonts w:ascii="Times New Roman" w:hAnsi="Times New Roman" w:cs="Times New Roman"/>
          <w:sz w:val="24"/>
          <w:szCs w:val="24"/>
        </w:rPr>
        <w:t xml:space="preserve"> compounded by </w:t>
      </w:r>
      <w:r w:rsidRPr="00AC4E5A">
        <w:rPr>
          <w:rFonts w:ascii="Times New Roman" w:hAnsi="Times New Roman" w:cs="Times New Roman"/>
          <w:sz w:val="24"/>
          <w:szCs w:val="24"/>
        </w:rPr>
        <w:t xml:space="preserve">lax EVQ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regulatory enforcement and </w:t>
      </w:r>
      <w:r w:rsidR="00D20035" w:rsidRPr="00AC4E5A">
        <w:rPr>
          <w:rFonts w:ascii="Times New Roman" w:hAnsi="Times New Roman" w:cs="Times New Roman"/>
          <w:sz w:val="24"/>
          <w:szCs w:val="24"/>
        </w:rPr>
        <w:t xml:space="preserve">weak </w:t>
      </w:r>
      <w:r w:rsidRPr="00AC4E5A">
        <w:rPr>
          <w:rFonts w:ascii="Times New Roman" w:hAnsi="Times New Roman" w:cs="Times New Roman"/>
          <w:sz w:val="24"/>
          <w:szCs w:val="24"/>
        </w:rPr>
        <w:t>ESG disclosure frameworks, which undermine investor confidence</w:t>
      </w:r>
      <w:r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facilitate greenwashing,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hAnsi="Times New Roman" w:cs="Times New Roman"/>
          <w:sz w:val="24"/>
          <w:szCs w:val="24"/>
        </w:rPr>
        <w:t>weaken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the credibility of corporate green claims.</w:t>
      </w:r>
    </w:p>
    <w:p w14:paraId="73B149CF" w14:textId="150F2873" w:rsidR="00353E57" w:rsidRPr="00AC4E5A" w:rsidRDefault="00C22629" w:rsidP="00C2639F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While </w:t>
      </w:r>
      <w:r w:rsidRPr="00AC4E5A">
        <w:rPr>
          <w:rFonts w:ascii="Times New Roman" w:hAnsi="Times New Roman" w:cs="Times New Roman"/>
          <w:sz w:val="24"/>
          <w:szCs w:val="24"/>
        </w:rPr>
        <w:t xml:space="preserve">extant </w:t>
      </w:r>
      <w:r w:rsidR="00D20035" w:rsidRPr="00AC4E5A">
        <w:rPr>
          <w:rFonts w:ascii="Times New Roman" w:hAnsi="Times New Roman" w:cs="Times New Roman"/>
          <w:sz w:val="24"/>
          <w:szCs w:val="24"/>
        </w:rPr>
        <w:t>studies acknowledge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the role of financial development, stakeholder pressure</w:t>
      </w:r>
      <w:r w:rsidRPr="00AC4E5A">
        <w:rPr>
          <w:rFonts w:ascii="Times New Roman" w:hAnsi="Times New Roman" w:cs="Times New Roman"/>
          <w:sz w:val="24"/>
          <w:szCs w:val="24"/>
        </w:rPr>
        <w:t xml:space="preserve">, and regulatory frameworks in stimulating </w:t>
      </w:r>
      <w:r w:rsidRPr="00AC4E5A">
        <w:rPr>
          <w:rFonts w:ascii="Times New Roman" w:hAnsi="Times New Roman" w:cs="Times New Roman"/>
          <w:sz w:val="24"/>
          <w:szCs w:val="24"/>
        </w:rPr>
        <w:t>GRIN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, evidence from </w:t>
      </w:r>
      <w:r w:rsidRPr="00AC4E5A">
        <w:rPr>
          <w:rFonts w:ascii="Times New Roman" w:hAnsi="Times New Roman" w:cs="Times New Roman"/>
          <w:sz w:val="24"/>
          <w:szCs w:val="24"/>
        </w:rPr>
        <w:t xml:space="preserve">WA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remains sparse and fragmented. </w:t>
      </w:r>
      <w:r w:rsidRPr="00AC4E5A">
        <w:rPr>
          <w:rFonts w:ascii="Times New Roman" w:hAnsi="Times New Roman" w:cs="Times New Roman"/>
          <w:sz w:val="24"/>
          <w:szCs w:val="24"/>
        </w:rPr>
        <w:t xml:space="preserve">Extant studies assessing the CAM-GRIN nexus ignore </w:t>
      </w:r>
      <w:r w:rsidRPr="00AC4E5A">
        <w:rPr>
          <w:rFonts w:ascii="Times New Roman" w:hAnsi="Times New Roman" w:cs="Times New Roman"/>
          <w:sz w:val="24"/>
          <w:szCs w:val="24"/>
        </w:rPr>
        <w:t xml:space="preserve">how financial intermediation mechanisms bridge investment gaps 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RENE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circular economy projects, or how stakeholder and legitimacy pressures operate 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in </w:t>
      </w:r>
      <w:r w:rsidR="00D20035" w:rsidRPr="00AC4E5A">
        <w:rPr>
          <w:rFonts w:ascii="Times New Roman" w:hAnsi="Times New Roman" w:cs="Times New Roman"/>
          <w:sz w:val="24"/>
          <w:szCs w:val="24"/>
        </w:rPr>
        <w:t xml:space="preserve">lax </w:t>
      </w:r>
      <w:r w:rsidRPr="00AC4E5A">
        <w:rPr>
          <w:rFonts w:ascii="Times New Roman" w:hAnsi="Times New Roman" w:cs="Times New Roman"/>
          <w:sz w:val="24"/>
          <w:szCs w:val="24"/>
        </w:rPr>
        <w:t>ins</w:t>
      </w:r>
      <w:r w:rsidRPr="00AC4E5A">
        <w:rPr>
          <w:rFonts w:ascii="Times New Roman" w:hAnsi="Times New Roman" w:cs="Times New Roman"/>
          <w:sz w:val="24"/>
          <w:szCs w:val="24"/>
        </w:rPr>
        <w:t xml:space="preserve">titutional environments. This omission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reveals </w:t>
      </w:r>
      <w:r w:rsidRPr="00AC4E5A">
        <w:rPr>
          <w:rFonts w:ascii="Times New Roman" w:hAnsi="Times New Roman" w:cs="Times New Roman"/>
          <w:sz w:val="24"/>
          <w:szCs w:val="24"/>
        </w:rPr>
        <w:t>important gaps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and gives credibility to our study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as it assesses </w:t>
      </w:r>
      <w:r w:rsidRPr="00AC4E5A">
        <w:rPr>
          <w:rFonts w:ascii="Times New Roman" w:hAnsi="Times New Roman" w:cs="Times New Roman"/>
          <w:sz w:val="24"/>
          <w:szCs w:val="24"/>
        </w:rPr>
        <w:t>how financial markets shape substantive</w:t>
      </w:r>
      <w:r w:rsidRPr="00AC4E5A">
        <w:rPr>
          <w:rFonts w:ascii="Times New Roman" w:hAnsi="Times New Roman" w:cs="Times New Roman"/>
          <w:sz w:val="24"/>
          <w:szCs w:val="24"/>
        </w:rPr>
        <w:t xml:space="preserve">ly </w:t>
      </w:r>
      <w:r w:rsidRPr="00AC4E5A">
        <w:rPr>
          <w:rFonts w:ascii="Times New Roman" w:hAnsi="Times New Roman" w:cs="Times New Roman"/>
          <w:sz w:val="24"/>
          <w:szCs w:val="24"/>
        </w:rPr>
        <w:t>rather than symbolic</w:t>
      </w:r>
      <w:r w:rsidR="003A3BC1" w:rsidRPr="00AC4E5A">
        <w:rPr>
          <w:rFonts w:ascii="Times New Roman" w:hAnsi="Times New Roman" w:cs="Times New Roman"/>
          <w:sz w:val="24"/>
          <w:szCs w:val="24"/>
        </w:rPr>
        <w:t>ally,</w:t>
      </w:r>
      <w:r w:rsidRPr="00AC4E5A">
        <w:rPr>
          <w:rFonts w:ascii="Times New Roman" w:hAnsi="Times New Roman" w:cs="Times New Roman"/>
          <w:sz w:val="24"/>
          <w:szCs w:val="24"/>
        </w:rPr>
        <w:t xml:space="preserve"> GRIN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WA. </w:t>
      </w:r>
    </w:p>
    <w:p w14:paraId="7369792A" w14:textId="11F98925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CAM-GRIN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 Financing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5A40E9" w14:textId="018F8006" w:rsidR="00353E57" w:rsidRPr="00AC4E5A" w:rsidRDefault="00C22629" w:rsidP="00861F19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CAM p</w:t>
      </w:r>
      <w:r w:rsidRPr="00AC4E5A">
        <w:rPr>
          <w:rFonts w:ascii="Times New Roman" w:hAnsi="Times New Roman" w:cs="Times New Roman"/>
          <w:sz w:val="24"/>
          <w:szCs w:val="24"/>
        </w:rPr>
        <w:t>lay</w:t>
      </w:r>
      <w:r w:rsidRPr="00AC4E5A">
        <w:rPr>
          <w:rFonts w:ascii="Times New Roman" w:hAnsi="Times New Roman" w:cs="Times New Roman"/>
          <w:sz w:val="24"/>
          <w:szCs w:val="24"/>
        </w:rPr>
        <w:t xml:space="preserve"> a pivotal role in mobilizing long-term financ</w:t>
      </w:r>
      <w:r w:rsidRPr="00AC4E5A">
        <w:rPr>
          <w:rFonts w:ascii="Times New Roman" w:hAnsi="Times New Roman" w:cs="Times New Roman"/>
          <w:sz w:val="24"/>
          <w:szCs w:val="24"/>
        </w:rPr>
        <w:t>e</w:t>
      </w:r>
      <w:r w:rsidRPr="00AC4E5A">
        <w:rPr>
          <w:rFonts w:ascii="Times New Roman" w:hAnsi="Times New Roman" w:cs="Times New Roman"/>
          <w:sz w:val="24"/>
          <w:szCs w:val="24"/>
        </w:rPr>
        <w:t xml:space="preserve"> for sustainable development </w:t>
      </w:r>
      <w:r w:rsidR="006556B6"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transformi</w:t>
      </w:r>
      <w:r w:rsidR="006556B6" w:rsidRPr="00AC4E5A">
        <w:rPr>
          <w:rFonts w:ascii="Times New Roman" w:hAnsi="Times New Roman" w:cs="Times New Roman"/>
          <w:sz w:val="24"/>
          <w:szCs w:val="24"/>
        </w:rPr>
        <w:t>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savings </w:t>
      </w:r>
      <w:r w:rsidR="006556B6" w:rsidRPr="00AC4E5A">
        <w:rPr>
          <w:rFonts w:ascii="Times New Roman" w:hAnsi="Times New Roman" w:cs="Times New Roman"/>
          <w:sz w:val="24"/>
          <w:szCs w:val="24"/>
        </w:rPr>
        <w:t xml:space="preserve">into productive investments through instruments such as equities, bonds, and </w:t>
      </w:r>
      <w:r w:rsidR="006556B6" w:rsidRPr="00AC4E5A">
        <w:rPr>
          <w:rFonts w:ascii="Times New Roman" w:hAnsi="Times New Roman" w:cs="Times New Roman"/>
          <w:sz w:val="24"/>
          <w:szCs w:val="24"/>
        </w:rPr>
        <w:lastRenderedPageBreak/>
        <w:t>sustainability-linked securities. E</w:t>
      </w:r>
      <w:r w:rsidR="00320CE3" w:rsidRPr="00AC4E5A">
        <w:rPr>
          <w:rFonts w:ascii="Times New Roman" w:hAnsi="Times New Roman" w:cs="Times New Roman"/>
          <w:sz w:val="24"/>
          <w:szCs w:val="24"/>
        </w:rPr>
        <w:t>fficient CAM improve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="00320CE3" w:rsidRPr="00AC4E5A">
        <w:rPr>
          <w:rFonts w:ascii="Times New Roman" w:hAnsi="Times New Roman" w:cs="Times New Roman"/>
          <w:sz w:val="24"/>
          <w:szCs w:val="24"/>
        </w:rPr>
        <w:t xml:space="preserve"> capital allocation, diversif</w:t>
      </w:r>
      <w:r w:rsidR="003A3BC1" w:rsidRPr="00AC4E5A">
        <w:rPr>
          <w:rFonts w:ascii="Times New Roman" w:hAnsi="Times New Roman" w:cs="Times New Roman"/>
          <w:sz w:val="24"/>
          <w:szCs w:val="24"/>
        </w:rPr>
        <w:t>ies</w:t>
      </w:r>
      <w:r w:rsidR="00320CE3" w:rsidRPr="00AC4E5A">
        <w:rPr>
          <w:rFonts w:ascii="Times New Roman" w:hAnsi="Times New Roman" w:cs="Times New Roman"/>
          <w:sz w:val="24"/>
          <w:szCs w:val="24"/>
        </w:rPr>
        <w:t xml:space="preserve"> financing sources away from volatile aid flows, and support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="00320CE3" w:rsidRPr="00AC4E5A">
        <w:rPr>
          <w:rFonts w:ascii="Times New Roman" w:hAnsi="Times New Roman" w:cs="Times New Roman"/>
          <w:sz w:val="24"/>
          <w:szCs w:val="24"/>
        </w:rPr>
        <w:t xml:space="preserve"> large-scale infrastructure investment</w:t>
      </w:r>
      <w:r w:rsidRPr="00AC4E5A">
        <w:rPr>
          <w:rFonts w:ascii="Times New Roman" w:eastAsia="Calibri" w:hAnsi="Times New Roman" w:cs="Times New Roman"/>
          <w:sz w:val="24"/>
          <w:szCs w:val="24"/>
        </w:rPr>
        <w:t>s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(Levine, </w:t>
      </w:r>
      <w:r w:rsidR="00320CE3" w:rsidRPr="00AC4E5A">
        <w:rPr>
          <w:rFonts w:ascii="Times New Roman" w:hAnsi="Times New Roman" w:cs="Times New Roman"/>
          <w:sz w:val="24"/>
          <w:szCs w:val="24"/>
        </w:rPr>
        <w:t>1997; Ndubuaku et al., 2020; Udo et al., 2023).</w:t>
      </w:r>
      <w:r w:rsidR="00861F19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 developed economies, </w:t>
      </w:r>
      <w:r w:rsidR="00861F19" w:rsidRPr="00AC4E5A">
        <w:rPr>
          <w:rFonts w:ascii="Times New Roman" w:hAnsi="Times New Roman" w:cs="Times New Roman"/>
          <w:sz w:val="24"/>
          <w:szCs w:val="24"/>
        </w:rPr>
        <w:t xml:space="preserve">deep and liquid CAM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have </w:t>
      </w:r>
      <w:r w:rsidR="00861F19" w:rsidRPr="00AC4E5A">
        <w:rPr>
          <w:rFonts w:ascii="Times New Roman" w:hAnsi="Times New Roman" w:cs="Times New Roman"/>
          <w:sz w:val="24"/>
          <w:szCs w:val="24"/>
        </w:rPr>
        <w:t>facilitated the rapid scaling of green finance instruments such as green bonds, sustainability-linked loans, and blended finance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="00861F19" w:rsidRPr="00AC4E5A">
        <w:rPr>
          <w:rFonts w:ascii="Times New Roman" w:hAnsi="Times New Roman" w:cs="Times New Roman"/>
          <w:sz w:val="24"/>
          <w:szCs w:val="24"/>
        </w:rPr>
        <w:t xml:space="preserve"> thereby reducing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perceived risk in </w:t>
      </w:r>
      <w:r w:rsidR="00861F19" w:rsidRPr="00AC4E5A">
        <w:rPr>
          <w:rFonts w:ascii="Times New Roman" w:hAnsi="Times New Roman" w:cs="Times New Roman"/>
          <w:sz w:val="24"/>
          <w:szCs w:val="24"/>
        </w:rPr>
        <w:t>RENE and low-carbon investments (Tolliver et al., 2020; Udoh et al., 2024; Inim et al., 2025</w:t>
      </w:r>
      <w:r w:rsidR="001737B5" w:rsidRPr="00AC4E5A">
        <w:rPr>
          <w:rFonts w:ascii="Times New Roman" w:hAnsi="Times New Roman" w:cs="Times New Roman"/>
          <w:sz w:val="24"/>
          <w:szCs w:val="24"/>
        </w:rPr>
        <w:t>; Achara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="001737B5" w:rsidRPr="00AC4E5A">
        <w:rPr>
          <w:rFonts w:ascii="Times New Roman" w:hAnsi="Times New Roman" w:cs="Times New Roman"/>
          <w:sz w:val="24"/>
          <w:szCs w:val="24"/>
        </w:rPr>
        <w:t xml:space="preserve"> 2020</w:t>
      </w:r>
      <w:r w:rsidR="00861F19" w:rsidRPr="00AC4E5A">
        <w:rPr>
          <w:rFonts w:ascii="Times New Roman" w:hAnsi="Times New Roman" w:cs="Times New Roman"/>
          <w:sz w:val="24"/>
          <w:szCs w:val="24"/>
        </w:rPr>
        <w:t>).</w:t>
      </w:r>
    </w:p>
    <w:p w14:paraId="7AE6750A" w14:textId="1F31911F" w:rsidR="00B0635B" w:rsidRPr="00AC4E5A" w:rsidRDefault="00C22629" w:rsidP="0090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In emerging economies, shallow, fragmented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 volatile </w:t>
      </w:r>
      <w:r w:rsidR="00902801" w:rsidRPr="00AC4E5A">
        <w:rPr>
          <w:rFonts w:ascii="Times New Roman" w:hAnsi="Times New Roman" w:cs="Times New Roman"/>
          <w:sz w:val="24"/>
          <w:szCs w:val="24"/>
        </w:rPr>
        <w:t>CAM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="00902801" w:rsidRPr="00AC4E5A">
        <w:rPr>
          <w:rFonts w:ascii="Times New Roman" w:hAnsi="Times New Roman" w:cs="Times New Roman"/>
          <w:sz w:val="24"/>
          <w:szCs w:val="24"/>
        </w:rPr>
        <w:t xml:space="preserve"> characterized by limited liquidity, weak disclosure standards, and fragile regulatory enforcement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="00902801" w:rsidRPr="00AC4E5A">
        <w:rPr>
          <w:rFonts w:ascii="Times New Roman" w:hAnsi="Times New Roman" w:cs="Times New Roman"/>
          <w:sz w:val="24"/>
          <w:szCs w:val="24"/>
        </w:rPr>
        <w:t xml:space="preserve"> impede </w:t>
      </w:r>
      <w:r w:rsidR="00902801" w:rsidRPr="00AC4E5A">
        <w:rPr>
          <w:rFonts w:ascii="Times New Roman" w:hAnsi="Times New Roman" w:cs="Times New Roman"/>
          <w:sz w:val="24"/>
          <w:szCs w:val="24"/>
        </w:rPr>
        <w:t>their</w:t>
      </w:r>
      <w:r w:rsidR="00902801" w:rsidRPr="00AC4E5A">
        <w:rPr>
          <w:rFonts w:ascii="Times New Roman" w:hAnsi="Times New Roman" w:cs="Times New Roman"/>
          <w:sz w:val="24"/>
          <w:szCs w:val="24"/>
        </w:rPr>
        <w:t xml:space="preserve"> contribution to EVQ. </w:t>
      </w:r>
      <w:r w:rsidR="006556B6" w:rsidRPr="00AC4E5A">
        <w:rPr>
          <w:rFonts w:ascii="Times New Roman" w:hAnsi="Times New Roman" w:cs="Times New Roman"/>
          <w:sz w:val="24"/>
          <w:szCs w:val="24"/>
        </w:rPr>
        <w:t xml:space="preserve">These </w:t>
      </w:r>
      <w:r w:rsidR="00902801" w:rsidRPr="00AC4E5A">
        <w:rPr>
          <w:rFonts w:ascii="Times New Roman" w:hAnsi="Times New Roman" w:cs="Times New Roman"/>
          <w:sz w:val="24"/>
          <w:szCs w:val="24"/>
        </w:rPr>
        <w:t xml:space="preserve">structural deficiencies constrain the pricing of long-duration green risks and heighten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financing costs for environmentally innovative projects</w:t>
      </w:r>
      <w:r w:rsidR="006556B6" w:rsidRPr="00AC4E5A">
        <w:rPr>
          <w:rFonts w:ascii="Times New Roman" w:hAnsi="Times New Roman" w:cs="Times New Roman"/>
          <w:sz w:val="24"/>
          <w:szCs w:val="24"/>
        </w:rPr>
        <w:t xml:space="preserve"> (Samuel et al 2019;</w:t>
      </w:r>
      <w:r w:rsidR="00FD6519" w:rsidRPr="00AC4E5A">
        <w:rPr>
          <w:rFonts w:ascii="Times New Roman" w:hAnsi="Times New Roman" w:cs="Times New Roman"/>
          <w:sz w:val="24"/>
          <w:szCs w:val="24"/>
        </w:rPr>
        <w:t xml:space="preserve"> Samuel et al </w:t>
      </w:r>
      <w:r w:rsidR="006556B6" w:rsidRPr="00AC4E5A">
        <w:rPr>
          <w:rFonts w:ascii="Times New Roman" w:hAnsi="Times New Roman" w:cs="Times New Roman"/>
          <w:sz w:val="24"/>
          <w:szCs w:val="24"/>
        </w:rPr>
        <w:t>2023)</w:t>
      </w:r>
      <w:r w:rsidR="00902801" w:rsidRPr="00AC4E5A">
        <w:rPr>
          <w:rFonts w:ascii="Times New Roman" w:hAnsi="Times New Roman" w:cs="Times New Roman"/>
          <w:sz w:val="24"/>
          <w:szCs w:val="24"/>
        </w:rPr>
        <w:t xml:space="preserve">. </w:t>
      </w:r>
      <w:r w:rsidRPr="00AC4E5A">
        <w:rPr>
          <w:rFonts w:ascii="Times New Roman" w:hAnsi="Times New Roman" w:cs="Times New Roman"/>
          <w:sz w:val="24"/>
          <w:szCs w:val="24"/>
        </w:rPr>
        <w:t>Accordingly, CAM openness may either catalyze green investment by easing financing constraints or exacerbate volatility and speculative pressures in weak institutional environments.</w:t>
      </w:r>
    </w:p>
    <w:p w14:paraId="69FBA2BC" w14:textId="7A75E23D" w:rsidR="00353E57" w:rsidRPr="00AC4E5A" w:rsidRDefault="00C22629" w:rsidP="00B0635B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Despite extensive </w:t>
      </w:r>
      <w:r w:rsidR="00236524" w:rsidRPr="00AC4E5A">
        <w:rPr>
          <w:rFonts w:ascii="Times New Roman" w:hAnsi="Times New Roman" w:cs="Times New Roman"/>
          <w:sz w:val="24"/>
          <w:szCs w:val="24"/>
        </w:rPr>
        <w:t xml:space="preserve">studies on CAM development and parallel literature on the drivers of GRIN, studies explicitly connecting CAM to GRIN in emerging </w:t>
      </w:r>
      <w:r w:rsidR="00B0635B" w:rsidRPr="00AC4E5A">
        <w:rPr>
          <w:rFonts w:ascii="Times New Roman" w:hAnsi="Times New Roman" w:cs="Times New Roman"/>
          <w:sz w:val="24"/>
          <w:szCs w:val="24"/>
        </w:rPr>
        <w:t xml:space="preserve">and low-income economies </w:t>
      </w:r>
      <w:r w:rsidR="00236524" w:rsidRPr="00AC4E5A">
        <w:rPr>
          <w:rFonts w:ascii="Times New Roman" w:hAnsi="Times New Roman" w:cs="Times New Roman"/>
          <w:sz w:val="24"/>
          <w:szCs w:val="24"/>
        </w:rPr>
        <w:t>are sca</w:t>
      </w:r>
      <w:r w:rsidR="00236524" w:rsidRPr="00AC4E5A">
        <w:rPr>
          <w:rFonts w:ascii="Times New Roman" w:hAnsi="Times New Roman" w:cs="Times New Roman"/>
          <w:sz w:val="24"/>
          <w:szCs w:val="24"/>
        </w:rPr>
        <w:t>rce</w:t>
      </w:r>
      <w:r w:rsidR="00236524" w:rsidRPr="00AC4E5A">
        <w:rPr>
          <w:rFonts w:ascii="Times New Roman" w:hAnsi="Times New Roman" w:cs="Times New Roman"/>
          <w:sz w:val="24"/>
          <w:szCs w:val="24"/>
        </w:rPr>
        <w:t xml:space="preserve">. </w:t>
      </w:r>
      <w:r w:rsidR="00B0635B" w:rsidRPr="00AC4E5A">
        <w:rPr>
          <w:rFonts w:ascii="Times New Roman" w:hAnsi="Times New Roman" w:cs="Times New Roman"/>
          <w:sz w:val="24"/>
          <w:szCs w:val="24"/>
        </w:rPr>
        <w:t>Extant studies provide limited causal insight into whether CAM development promotes substantive GRIN and through which channels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 such as</w:t>
      </w:r>
      <w:r w:rsidR="00B0635B" w:rsidRPr="00AC4E5A">
        <w:rPr>
          <w:rFonts w:ascii="Times New Roman" w:hAnsi="Times New Roman" w:cs="Times New Roman"/>
          <w:sz w:val="24"/>
          <w:szCs w:val="24"/>
        </w:rPr>
        <w:t xml:space="preserve"> financial intermediation, enhanced disclosure, or intensified stakeholder pressure. This gap limits the policy relevance of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current evidence for institutionally fragile contexts such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as West Africa.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0096" w14:textId="5206D1C1" w:rsidR="00DB516F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Theoretical Perspectives on the 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–GRIN Nexus</w:t>
      </w:r>
    </w:p>
    <w:p w14:paraId="0E71A16A" w14:textId="280594E2" w:rsidR="009A3D84" w:rsidRPr="00AC4E5A" w:rsidRDefault="00C22629" w:rsidP="00B3237E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Theoretically, the CAM-GRIN nexus </w:t>
      </w:r>
      <w:r w:rsidR="00B3237E" w:rsidRPr="00AC4E5A">
        <w:rPr>
          <w:rFonts w:ascii="Times New Roman" w:hAnsi="Times New Roman" w:cs="Times New Roman"/>
          <w:sz w:val="24"/>
          <w:szCs w:val="24"/>
        </w:rPr>
        <w:t xml:space="preserve">is underpinned </w:t>
      </w:r>
      <w:r w:rsidR="003A3BC1" w:rsidRPr="00AC4E5A">
        <w:rPr>
          <w:rFonts w:ascii="Times New Roman" w:hAnsi="Times New Roman" w:cs="Times New Roman"/>
          <w:sz w:val="24"/>
          <w:szCs w:val="24"/>
        </w:rPr>
        <w:t>by</w:t>
      </w:r>
      <w:r w:rsidR="00B3237E" w:rsidRPr="00AC4E5A">
        <w:rPr>
          <w:rFonts w:ascii="Times New Roman" w:hAnsi="Times New Roman" w:cs="Times New Roman"/>
          <w:sz w:val="24"/>
          <w:szCs w:val="24"/>
        </w:rPr>
        <w:t xml:space="preserve"> complementary theoretical frameworks. Financial intermediation theory posits that efficient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="00B3237E" w:rsidRPr="00AC4E5A">
        <w:rPr>
          <w:rFonts w:ascii="Times New Roman" w:hAnsi="Times New Roman" w:cs="Times New Roman"/>
          <w:sz w:val="24"/>
          <w:szCs w:val="24"/>
        </w:rPr>
        <w:t>reduce information asymmetries and transaction costs</w:t>
      </w:r>
      <w:r w:rsidRPr="00AC4E5A">
        <w:rPr>
          <w:rFonts w:ascii="Times New Roman" w:hAnsi="Times New Roman" w:cs="Times New Roman"/>
          <w:sz w:val="24"/>
          <w:szCs w:val="24"/>
        </w:rPr>
        <w:t>,</w:t>
      </w:r>
      <w:r w:rsidR="00B3237E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thereby </w:t>
      </w:r>
      <w:r w:rsidR="00B3237E" w:rsidRPr="00AC4E5A">
        <w:rPr>
          <w:rFonts w:ascii="Times New Roman" w:hAnsi="Times New Roman" w:cs="Times New Roman"/>
          <w:sz w:val="24"/>
          <w:szCs w:val="24"/>
        </w:rPr>
        <w:t>improv</w:t>
      </w:r>
      <w:r w:rsidR="003A3BC1" w:rsidRPr="00AC4E5A">
        <w:rPr>
          <w:rFonts w:ascii="Times New Roman" w:hAnsi="Times New Roman" w:cs="Times New Roman"/>
          <w:sz w:val="24"/>
          <w:szCs w:val="24"/>
        </w:rPr>
        <w:t>ing</w:t>
      </w:r>
      <w:r w:rsidR="00B3237E" w:rsidRPr="00AC4E5A">
        <w:rPr>
          <w:rFonts w:ascii="Times New Roman" w:hAnsi="Times New Roman" w:cs="Times New Roman"/>
          <w:sz w:val="24"/>
          <w:szCs w:val="24"/>
        </w:rPr>
        <w:t xml:space="preserve"> access to long-term financ</w:t>
      </w:r>
      <w:r w:rsidR="00B3237E" w:rsidRPr="00AC4E5A">
        <w:rPr>
          <w:rFonts w:ascii="Times New Roman" w:hAnsi="Times New Roman" w:cs="Times New Roman"/>
          <w:sz w:val="24"/>
          <w:szCs w:val="24"/>
        </w:rPr>
        <w:t>ing</w:t>
      </w:r>
      <w:r w:rsidR="00B3237E" w:rsidRPr="00AC4E5A">
        <w:rPr>
          <w:rFonts w:ascii="Times New Roman" w:hAnsi="Times New Roman" w:cs="Times New Roman"/>
          <w:sz w:val="24"/>
          <w:szCs w:val="24"/>
        </w:rPr>
        <w:t xml:space="preserve"> for high-risk, innovation-intensive projects such as green technologies (Levine, 1997). Stakeholder theory and legitimacy theory </w:t>
      </w:r>
      <w:r w:rsidRPr="00AC4E5A">
        <w:rPr>
          <w:rFonts w:ascii="Times New Roman" w:hAnsi="Times New Roman" w:cs="Times New Roman"/>
          <w:sz w:val="24"/>
          <w:szCs w:val="24"/>
        </w:rPr>
        <w:t xml:space="preserve">posit that </w:t>
      </w:r>
      <w:r w:rsidR="00B3237E" w:rsidRPr="00AC4E5A">
        <w:rPr>
          <w:rFonts w:ascii="Times New Roman" w:hAnsi="Times New Roman" w:cs="Times New Roman"/>
          <w:sz w:val="24"/>
          <w:szCs w:val="24"/>
        </w:rPr>
        <w:t>firms fac</w:t>
      </w:r>
      <w:r w:rsidRPr="00AC4E5A">
        <w:rPr>
          <w:rFonts w:ascii="Times New Roman" w:hAnsi="Times New Roman" w:cs="Times New Roman"/>
          <w:sz w:val="24"/>
          <w:szCs w:val="24"/>
        </w:rPr>
        <w:t>ing</w:t>
      </w:r>
      <w:r w:rsidR="00B3237E" w:rsidRPr="00AC4E5A">
        <w:rPr>
          <w:rFonts w:ascii="Times New Roman" w:hAnsi="Times New Roman" w:cs="Times New Roman"/>
          <w:sz w:val="24"/>
          <w:szCs w:val="24"/>
        </w:rPr>
        <w:t xml:space="preserve"> pressure from investors, regulators, and civil society </w:t>
      </w:r>
      <w:r w:rsidRPr="00AC4E5A">
        <w:rPr>
          <w:rFonts w:ascii="Times New Roman" w:hAnsi="Times New Roman" w:cs="Times New Roman"/>
          <w:sz w:val="24"/>
          <w:szCs w:val="24"/>
        </w:rPr>
        <w:t>are more likely to adopt substantive GRIN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 as capital market participation increases transparency and scrutiny (Freeman, 1984; Adu-Yeboah et al., 2022; Udo et al., 2025).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B3237E" w:rsidRPr="00AC4E5A">
        <w:rPr>
          <w:rFonts w:ascii="Times New Roman" w:hAnsi="Times New Roman" w:cs="Times New Roman"/>
          <w:sz w:val="24"/>
          <w:szCs w:val="24"/>
        </w:rPr>
        <w:t xml:space="preserve">The resource-based view further conceptualizes GRIN as a strategic capability that yields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sustained competitive advantage when firms possess adequate financial resources and organizational capacities to invest 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GRIN </w:t>
      </w:r>
      <w:r w:rsidR="00B3237E" w:rsidRPr="00AC4E5A">
        <w:rPr>
          <w:rFonts w:ascii="Times New Roman" w:hAnsi="Times New Roman" w:cs="Times New Roman"/>
          <w:sz w:val="24"/>
          <w:szCs w:val="24"/>
        </w:rPr>
        <w:t>(Barney, 1991).</w:t>
      </w:r>
      <w:r w:rsidR="00AF4E17" w:rsidRPr="00AC4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FE738" w14:textId="33D8097B" w:rsidR="00CF2AA9" w:rsidRPr="00AC4E5A" w:rsidRDefault="00C22629" w:rsidP="00CF2AA9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Empirical evidence from </w:t>
      </w:r>
      <w:r w:rsidR="00AF4E17" w:rsidRPr="00AC4E5A">
        <w:rPr>
          <w:rFonts w:ascii="Times New Roman" w:hAnsi="Times New Roman" w:cs="Times New Roman"/>
          <w:sz w:val="24"/>
          <w:szCs w:val="24"/>
        </w:rPr>
        <w:t>develop</w:t>
      </w:r>
      <w:r w:rsidR="003A3BC1" w:rsidRPr="00AC4E5A">
        <w:rPr>
          <w:rFonts w:ascii="Times New Roman" w:hAnsi="Times New Roman" w:cs="Times New Roman"/>
          <w:sz w:val="24"/>
          <w:szCs w:val="24"/>
        </w:rPr>
        <w:t>ed</w:t>
      </w:r>
      <w:r w:rsidR="00AF4E17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economies </w:t>
      </w:r>
      <w:r w:rsidR="003A3BC1" w:rsidRPr="00AC4E5A">
        <w:rPr>
          <w:rFonts w:ascii="Times New Roman" w:hAnsi="Times New Roman" w:cs="Times New Roman"/>
          <w:sz w:val="24"/>
          <w:szCs w:val="24"/>
        </w:rPr>
        <w:t>support</w:t>
      </w:r>
      <w:r w:rsidR="00AF4E17" w:rsidRPr="00AC4E5A">
        <w:rPr>
          <w:rFonts w:ascii="Times New Roman" w:hAnsi="Times New Roman" w:cs="Times New Roman"/>
          <w:sz w:val="24"/>
          <w:szCs w:val="24"/>
        </w:rPr>
        <w:t xml:space="preserve">s </w:t>
      </w:r>
      <w:r w:rsidRPr="00AC4E5A">
        <w:rPr>
          <w:rFonts w:ascii="Times New Roman" w:hAnsi="Times New Roman" w:cs="Times New Roman"/>
          <w:sz w:val="24"/>
          <w:szCs w:val="24"/>
        </w:rPr>
        <w:t>a</w:t>
      </w:r>
      <w:r w:rsidR="00AF4E17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virtuous cycle</w:t>
      </w:r>
      <w:r w:rsidRPr="00AC4E5A">
        <w:rPr>
          <w:rFonts w:ascii="Times New Roman" w:hAnsi="Times New Roman" w:cs="Times New Roman"/>
          <w:sz w:val="24"/>
          <w:szCs w:val="24"/>
        </w:rPr>
        <w:t xml:space="preserve"> in which deeper CAM </w:t>
      </w:r>
      <w:r w:rsidRPr="00AC4E5A">
        <w:rPr>
          <w:rFonts w:ascii="Times New Roman" w:hAnsi="Times New Roman" w:cs="Times New Roman"/>
          <w:sz w:val="24"/>
          <w:szCs w:val="24"/>
        </w:rPr>
        <w:t>facilitate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AF4E17" w:rsidRPr="00AC4E5A">
        <w:rPr>
          <w:rFonts w:ascii="Times New Roman" w:hAnsi="Times New Roman" w:cs="Times New Roman"/>
          <w:sz w:val="24"/>
          <w:szCs w:val="24"/>
        </w:rPr>
        <w:t>GRIN</w:t>
      </w:r>
      <w:r w:rsidRPr="00AC4E5A">
        <w:rPr>
          <w:rFonts w:ascii="Times New Roman" w:hAnsi="Times New Roman" w:cs="Times New Roman"/>
          <w:sz w:val="24"/>
          <w:szCs w:val="24"/>
        </w:rPr>
        <w:t>, which in turn improves firm performance and attracts additional investment</w:t>
      </w:r>
      <w:r w:rsidRPr="00AC4E5A">
        <w:rPr>
          <w:rFonts w:ascii="Times New Roman" w:eastAsia="Calibri" w:hAnsi="Times New Roman" w:cs="Times New Roman"/>
          <w:sz w:val="24"/>
          <w:szCs w:val="24"/>
        </w:rPr>
        <w:t>s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(Lee &amp; Lee, 2022; Abner et al., 2023</w:t>
      </w:r>
      <w:r w:rsidR="00AF4E17" w:rsidRPr="00AC4E5A">
        <w:rPr>
          <w:rFonts w:ascii="Times New Roman" w:hAnsi="Times New Roman" w:cs="Times New Roman"/>
          <w:sz w:val="24"/>
          <w:szCs w:val="24"/>
        </w:rPr>
        <w:t>; Prince et al</w:t>
      </w:r>
      <w:r w:rsidR="003A3BC1" w:rsidRPr="00AC4E5A">
        <w:rPr>
          <w:rFonts w:ascii="Times New Roman" w:hAnsi="Times New Roman" w:cs="Times New Roman"/>
          <w:sz w:val="24"/>
          <w:szCs w:val="24"/>
        </w:rPr>
        <w:t>.,</w:t>
      </w:r>
      <w:r w:rsidR="00AF4E17" w:rsidRPr="00AC4E5A">
        <w:rPr>
          <w:rFonts w:ascii="Times New Roman" w:hAnsi="Times New Roman" w:cs="Times New Roman"/>
          <w:sz w:val="24"/>
          <w:szCs w:val="24"/>
        </w:rPr>
        <w:t xml:space="preserve"> 2023</w:t>
      </w:r>
      <w:r w:rsidRPr="00AC4E5A">
        <w:rPr>
          <w:rFonts w:ascii="Times New Roman" w:hAnsi="Times New Roman" w:cs="Times New Roman"/>
          <w:sz w:val="24"/>
          <w:szCs w:val="24"/>
        </w:rPr>
        <w:t xml:space="preserve">). However,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85A68" w:rsidRPr="00AC4E5A">
        <w:rPr>
          <w:rFonts w:ascii="Times New Roman" w:hAnsi="Times New Roman" w:cs="Times New Roman"/>
          <w:sz w:val="24"/>
          <w:szCs w:val="24"/>
        </w:rPr>
        <w:t xml:space="preserve">results </w:t>
      </w:r>
      <w:r w:rsidRPr="00AC4E5A">
        <w:rPr>
          <w:rFonts w:ascii="Times New Roman" w:hAnsi="Times New Roman" w:cs="Times New Roman"/>
          <w:sz w:val="24"/>
          <w:szCs w:val="24"/>
        </w:rPr>
        <w:t>from emerging markets are mixed.</w:t>
      </w:r>
      <w:r w:rsidR="00785A68" w:rsidRPr="00AC4E5A">
        <w:rPr>
          <w:rFonts w:ascii="Times New Roman" w:hAnsi="Times New Roman" w:cs="Times New Roman"/>
          <w:sz w:val="24"/>
          <w:szCs w:val="24"/>
        </w:rPr>
        <w:t xml:space="preserve"> Yan et al. (2020)</w:t>
      </w:r>
      <w:r w:rsidR="00785A68" w:rsidRPr="00AC4E5A">
        <w:rPr>
          <w:rFonts w:ascii="Times New Roman" w:hAnsi="Times New Roman" w:cs="Times New Roman"/>
          <w:sz w:val="24"/>
          <w:szCs w:val="24"/>
        </w:rPr>
        <w:t>,</w:t>
      </w:r>
      <w:r w:rsidR="00785A68" w:rsidRPr="00AC4E5A">
        <w:rPr>
          <w:rFonts w:ascii="Times New Roman" w:hAnsi="Times New Roman" w:cs="Times New Roman"/>
          <w:sz w:val="24"/>
          <w:szCs w:val="24"/>
        </w:rPr>
        <w:t xml:space="preserve"> Sohag et al. (2021)</w:t>
      </w:r>
      <w:r w:rsidR="00785A68" w:rsidRPr="00AC4E5A">
        <w:rPr>
          <w:rFonts w:ascii="Times New Roman" w:hAnsi="Times New Roman" w:cs="Times New Roman"/>
          <w:sz w:val="24"/>
          <w:szCs w:val="24"/>
        </w:rPr>
        <w:t>,</w:t>
      </w:r>
      <w:r w:rsidR="00785A68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eastAsia="Calibri" w:hAnsi="Times New Roman" w:cs="Times New Roman"/>
          <w:sz w:val="24"/>
          <w:szCs w:val="24"/>
        </w:rPr>
        <w:t>Emmanuel et al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(2013) reveal</w:t>
      </w:r>
      <w:r w:rsidRPr="00AC4E5A">
        <w:rPr>
          <w:rFonts w:ascii="Times New Roman" w:eastAsia="Calibri" w:hAnsi="Times New Roman" w:cs="Times New Roman"/>
          <w:sz w:val="24"/>
          <w:szCs w:val="24"/>
        </w:rPr>
        <w:t>ed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that w</w:t>
      </w:r>
      <w:r w:rsidRPr="00AC4E5A">
        <w:rPr>
          <w:rFonts w:ascii="Times New Roman" w:hAnsi="Times New Roman" w:cs="Times New Roman"/>
          <w:sz w:val="24"/>
          <w:szCs w:val="24"/>
        </w:rPr>
        <w:t xml:space="preserve">eak absorptive capacity, limited technology transfer, and underdeveloped institutions attenuate </w:t>
      </w:r>
      <w:r w:rsidRPr="00AC4E5A">
        <w:rPr>
          <w:rFonts w:ascii="Times New Roman" w:hAnsi="Times New Roman" w:cs="Times New Roman"/>
          <w:sz w:val="24"/>
          <w:szCs w:val="24"/>
        </w:rPr>
        <w:t xml:space="preserve">growth and environmental returns to </w:t>
      </w:r>
      <w:r w:rsidR="00785A68" w:rsidRPr="00AC4E5A">
        <w:rPr>
          <w:rFonts w:ascii="Times New Roman" w:hAnsi="Times New Roman" w:cs="Times New Roman"/>
          <w:sz w:val="24"/>
          <w:szCs w:val="24"/>
        </w:rPr>
        <w:t>GRIN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. In Sub-Saharan Africa, </w:t>
      </w:r>
      <w:r w:rsidRPr="00AC4E5A">
        <w:rPr>
          <w:rFonts w:ascii="Times New Roman" w:hAnsi="Times New Roman" w:cs="Times New Roman"/>
          <w:sz w:val="24"/>
          <w:szCs w:val="24"/>
        </w:rPr>
        <w:t>inadequate ESG data, weak environmental enforcement, and underdeveloped public–private part</w:t>
      </w:r>
      <w:r w:rsidRPr="00AC4E5A">
        <w:rPr>
          <w:rFonts w:ascii="Times New Roman" w:hAnsi="Times New Roman" w:cs="Times New Roman"/>
          <w:sz w:val="24"/>
          <w:szCs w:val="24"/>
        </w:rPr>
        <w:t xml:space="preserve">nerships further undermine </w:t>
      </w:r>
      <w:r w:rsidRPr="00AC4E5A">
        <w:rPr>
          <w:rFonts w:ascii="Times New Roman" w:hAnsi="Times New Roman" w:cs="Times New Roman"/>
          <w:sz w:val="24"/>
          <w:szCs w:val="24"/>
        </w:rPr>
        <w:t>capital markets</w:t>
      </w:r>
      <w:r w:rsidRPr="00AC4E5A">
        <w:rPr>
          <w:rFonts w:ascii="Times New Roman" w:eastAsia="Calibri" w:hAnsi="Times New Roman" w:cs="Times New Roman"/>
          <w:sz w:val="24"/>
          <w:szCs w:val="24"/>
        </w:rPr>
        <w:t>’ capacity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effectively </w:t>
      </w:r>
      <w:r w:rsidRPr="00AC4E5A">
        <w:rPr>
          <w:rFonts w:ascii="Times New Roman" w:eastAsia="Calibri" w:hAnsi="Times New Roman" w:cs="Times New Roman"/>
          <w:sz w:val="24"/>
          <w:szCs w:val="24"/>
        </w:rPr>
        <w:t>finance green innovation effecti</w:t>
      </w:r>
      <w:r w:rsidRPr="00AC4E5A">
        <w:rPr>
          <w:rFonts w:ascii="Times New Roman" w:eastAsia="Calibri" w:hAnsi="Times New Roman" w:cs="Times New Roman"/>
          <w:sz w:val="24"/>
          <w:szCs w:val="24"/>
        </w:rPr>
        <w:t>vely (</w:t>
      </w:r>
      <w:r w:rsidRPr="00AC4E5A">
        <w:rPr>
          <w:rFonts w:ascii="Times New Roman" w:hAnsi="Times New Roman" w:cs="Times New Roman"/>
          <w:sz w:val="24"/>
          <w:szCs w:val="24"/>
        </w:rPr>
        <w:t>Inim et al., 2024; Edet et al., 2024; Enemuo et al., 2025).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This is </w:t>
      </w:r>
      <w:r w:rsidRPr="00AC4E5A">
        <w:rPr>
          <w:rFonts w:ascii="Times New Roman" w:hAnsi="Times New Roman" w:cs="Times New Roman"/>
          <w:sz w:val="24"/>
          <w:szCs w:val="24"/>
        </w:rPr>
        <w:t>d</w:t>
      </w:r>
      <w:r w:rsidRPr="00AC4E5A">
        <w:rPr>
          <w:rFonts w:ascii="Times New Roman" w:hAnsi="Times New Roman" w:cs="Times New Roman"/>
          <w:sz w:val="24"/>
          <w:szCs w:val="24"/>
        </w:rPr>
        <w:t xml:space="preserve">istinct from extant studies </w:t>
      </w:r>
      <w:r w:rsidRPr="00AC4E5A">
        <w:rPr>
          <w:rFonts w:ascii="Times New Roman" w:hAnsi="Times New Roman" w:cs="Times New Roman"/>
          <w:sz w:val="24"/>
          <w:szCs w:val="24"/>
        </w:rPr>
        <w:t>impos</w:t>
      </w:r>
      <w:r w:rsidRPr="00AC4E5A">
        <w:rPr>
          <w:rFonts w:ascii="Times New Roman" w:hAnsi="Times New Roman" w:cs="Times New Roman"/>
          <w:sz w:val="24"/>
          <w:szCs w:val="24"/>
        </w:rPr>
        <w:t>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homogeneity across countries, </w:t>
      </w:r>
      <w:r w:rsidR="003D4BBA" w:rsidRPr="00AC4E5A">
        <w:rPr>
          <w:rFonts w:ascii="Times New Roman" w:hAnsi="Times New Roman" w:cs="Times New Roman"/>
          <w:sz w:val="24"/>
          <w:szCs w:val="24"/>
        </w:rPr>
        <w:t xml:space="preserve">ignoring </w:t>
      </w:r>
      <w:r w:rsidRPr="00AC4E5A">
        <w:rPr>
          <w:rFonts w:ascii="Times New Roman" w:hAnsi="Times New Roman" w:cs="Times New Roman"/>
          <w:sz w:val="24"/>
          <w:szCs w:val="24"/>
        </w:rPr>
        <w:t xml:space="preserve">substantial heterogeneity in institutional quality, financial depth, and governance capacity within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D4BBA" w:rsidRPr="00AC4E5A">
        <w:rPr>
          <w:rFonts w:ascii="Times New Roman" w:hAnsi="Times New Roman" w:cs="Times New Roman"/>
          <w:sz w:val="24"/>
          <w:szCs w:val="24"/>
        </w:rPr>
        <w:t>WA</w:t>
      </w:r>
      <w:r w:rsidRPr="00AC4E5A">
        <w:rPr>
          <w:rFonts w:ascii="Times New Roman" w:hAnsi="Times New Roman" w:cs="Times New Roman"/>
          <w:sz w:val="24"/>
          <w:szCs w:val="24"/>
        </w:rPr>
        <w:t xml:space="preserve">. This methodological limitation obscures whether </w:t>
      </w:r>
      <w:r w:rsidR="003D4BBA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lastRenderedPageBreak/>
        <w:t>function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as </w:t>
      </w:r>
      <w:r w:rsidR="003A3BC1" w:rsidRPr="00AC4E5A">
        <w:rPr>
          <w:rFonts w:ascii="Times New Roman" w:hAnsi="Times New Roman" w:cs="Times New Roman"/>
          <w:sz w:val="24"/>
          <w:szCs w:val="24"/>
        </w:rPr>
        <w:t>a catalyst</w:t>
      </w:r>
      <w:r w:rsidRPr="00AC4E5A">
        <w:rPr>
          <w:rFonts w:ascii="Times New Roman" w:hAnsi="Times New Roman" w:cs="Times New Roman"/>
          <w:sz w:val="24"/>
          <w:szCs w:val="24"/>
        </w:rPr>
        <w:t xml:space="preserve"> or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3A3BC1" w:rsidRPr="00AC4E5A">
        <w:rPr>
          <w:rFonts w:ascii="Times New Roman" w:hAnsi="Times New Roman" w:cs="Times New Roman"/>
          <w:sz w:val="24"/>
          <w:szCs w:val="24"/>
        </w:rPr>
        <w:t>constraint</w:t>
      </w:r>
      <w:r w:rsidRPr="00AC4E5A">
        <w:rPr>
          <w:rFonts w:ascii="Times New Roman" w:hAnsi="Times New Roman" w:cs="Times New Roman"/>
          <w:sz w:val="24"/>
          <w:szCs w:val="24"/>
        </w:rPr>
        <w:t xml:space="preserve"> for </w:t>
      </w:r>
      <w:r w:rsidR="003D4BBA" w:rsidRPr="00AC4E5A">
        <w:rPr>
          <w:rFonts w:ascii="Times New Roman" w:hAnsi="Times New Roman" w:cs="Times New Roman"/>
          <w:sz w:val="24"/>
          <w:szCs w:val="24"/>
        </w:rPr>
        <w:t xml:space="preserve">GRIN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 diverse national contexts. </w:t>
      </w:r>
      <w:r w:rsidRPr="00AC4E5A">
        <w:rPr>
          <w:rFonts w:ascii="Times New Roman" w:hAnsi="Times New Roman" w:cs="Times New Roman"/>
          <w:sz w:val="24"/>
          <w:szCs w:val="24"/>
        </w:rPr>
        <w:t>T</w:t>
      </w:r>
      <w:r w:rsidRPr="00AC4E5A">
        <w:rPr>
          <w:rFonts w:ascii="Times New Roman" w:hAnsi="Times New Roman" w:cs="Times New Roman"/>
          <w:sz w:val="24"/>
          <w:szCs w:val="24"/>
        </w:rPr>
        <w:t>herefore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literature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remains inconclusive on the net role of </w:t>
      </w:r>
      <w:r w:rsidR="003D4BBA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 advancing GRIN in West Africa, </w:t>
      </w:r>
      <w:r w:rsidRPr="00AC4E5A">
        <w:rPr>
          <w:rFonts w:ascii="Times New Roman" w:hAnsi="Times New Roman" w:cs="Times New Roman"/>
          <w:sz w:val="24"/>
          <w:szCs w:val="24"/>
        </w:rPr>
        <w:t>creating a clear empirical and theoretical gap.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This study addresses these gaps by </w:t>
      </w:r>
      <w:r w:rsidRPr="00AC4E5A">
        <w:rPr>
          <w:rFonts w:ascii="Times New Roman" w:hAnsi="Times New Roman" w:cs="Times New Roman"/>
          <w:sz w:val="24"/>
          <w:szCs w:val="24"/>
        </w:rPr>
        <w:t xml:space="preserve">providing systematic multi-country evidence on how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shape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GRIN in </w:t>
      </w:r>
      <w:r w:rsidRPr="00AC4E5A">
        <w:rPr>
          <w:rFonts w:ascii="Times New Roman" w:hAnsi="Times New Roman" w:cs="Times New Roman"/>
          <w:sz w:val="24"/>
          <w:szCs w:val="24"/>
        </w:rPr>
        <w:t>WA</w:t>
      </w:r>
      <w:r w:rsidRPr="00AC4E5A">
        <w:rPr>
          <w:rFonts w:ascii="Times New Roman" w:hAnsi="Times New Roman" w:cs="Times New Roman"/>
          <w:sz w:val="24"/>
          <w:szCs w:val="24"/>
        </w:rPr>
        <w:t xml:space="preserve">, explicitly modeling financial intermediation as a mediating mechanism and institutional quality as </w:t>
      </w:r>
      <w:r w:rsidRPr="00AC4E5A">
        <w:rPr>
          <w:rFonts w:ascii="Times New Roman" w:hAnsi="Times New Roman" w:cs="Times New Roman"/>
          <w:sz w:val="24"/>
          <w:szCs w:val="24"/>
        </w:rPr>
        <w:t xml:space="preserve">a moderating condition. </w:t>
      </w:r>
      <w:r w:rsidRPr="00AC4E5A">
        <w:rPr>
          <w:rFonts w:ascii="Times New Roman" w:hAnsi="Times New Roman" w:cs="Times New Roman"/>
          <w:sz w:val="24"/>
          <w:szCs w:val="24"/>
        </w:rPr>
        <w:t>This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study </w:t>
      </w:r>
      <w:r w:rsidRPr="00AC4E5A">
        <w:rPr>
          <w:rFonts w:ascii="Times New Roman" w:hAnsi="Times New Roman" w:cs="Times New Roman"/>
          <w:sz w:val="24"/>
          <w:szCs w:val="24"/>
        </w:rPr>
        <w:t>advances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theory o</w:t>
      </w:r>
      <w:r w:rsidRPr="00AC4E5A">
        <w:rPr>
          <w:rFonts w:ascii="Times New Roman" w:hAnsi="Times New Roman" w:cs="Times New Roman"/>
          <w:sz w:val="24"/>
          <w:szCs w:val="24"/>
        </w:rPr>
        <w:t>f</w:t>
      </w:r>
      <w:r w:rsidRPr="00AC4E5A">
        <w:rPr>
          <w:rFonts w:ascii="Times New Roman" w:hAnsi="Times New Roman" w:cs="Times New Roman"/>
          <w:sz w:val="24"/>
          <w:szCs w:val="24"/>
        </w:rPr>
        <w:t xml:space="preserve"> finance–innovation–environment linkages and offers policy-relevant insights </w:t>
      </w:r>
      <w:r w:rsidRPr="00AC4E5A">
        <w:rPr>
          <w:rFonts w:ascii="Times New Roman" w:hAnsi="Times New Roman" w:cs="Times New Roman"/>
          <w:sz w:val="24"/>
          <w:szCs w:val="24"/>
        </w:rPr>
        <w:t>into</w:t>
      </w:r>
      <w:r w:rsidRPr="00AC4E5A">
        <w:rPr>
          <w:rFonts w:ascii="Times New Roman" w:hAnsi="Times New Roman" w:cs="Times New Roman"/>
          <w:sz w:val="24"/>
          <w:szCs w:val="24"/>
        </w:rPr>
        <w:t xml:space="preserve"> sustainable development financing in institutionally constrained contexts.</w:t>
      </w:r>
    </w:p>
    <w:p w14:paraId="663E626E" w14:textId="2F7D4161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Hypotheses Development</w:t>
      </w:r>
    </w:p>
    <w:p w14:paraId="4234E517" w14:textId="2F79D6D1" w:rsidR="003F19C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Based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o</w:t>
      </w:r>
      <w:r w:rsidRPr="00AC4E5A">
        <w:rPr>
          <w:rFonts w:ascii="Times New Roman" w:hAnsi="Times New Roman" w:cs="Times New Roman"/>
          <w:sz w:val="24"/>
          <w:szCs w:val="24"/>
        </w:rPr>
        <w:t xml:space="preserve">n </w:t>
      </w:r>
      <w:r w:rsidRPr="00AC4E5A">
        <w:rPr>
          <w:rFonts w:ascii="Times New Roman" w:hAnsi="Times New Roman" w:cs="Times New Roman"/>
          <w:sz w:val="24"/>
          <w:szCs w:val="24"/>
        </w:rPr>
        <w:t>theoretical and empirical perspective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this study advances theory-driven hypotheses to explain how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shape</w:t>
      </w:r>
      <w:r w:rsidRPr="00AC4E5A">
        <w:rPr>
          <w:rFonts w:ascii="Times New Roman" w:hAnsi="Times New Roman" w:cs="Times New Roman"/>
          <w:sz w:val="24"/>
          <w:szCs w:val="24"/>
        </w:rPr>
        <w:t xml:space="preserve"> green technology innovation </w:t>
      </w:r>
      <w:r w:rsidRPr="00AC4E5A">
        <w:rPr>
          <w:rFonts w:ascii="Times New Roman" w:hAnsi="Times New Roman" w:cs="Times New Roman"/>
          <w:sz w:val="24"/>
          <w:szCs w:val="24"/>
        </w:rPr>
        <w:t>in West Africa.</w:t>
      </w:r>
    </w:p>
    <w:p w14:paraId="40A156D6" w14:textId="61F0A522" w:rsidR="003F19C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H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 xml:space="preserve">: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significantly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influences </w:t>
      </w:r>
      <w:r w:rsidRPr="00AC4E5A">
        <w:rPr>
          <w:rFonts w:ascii="Times New Roman" w:hAnsi="Times New Roman" w:cs="Times New Roman"/>
          <w:sz w:val="24"/>
          <w:szCs w:val="24"/>
        </w:rPr>
        <w:t>GRIN i</w:t>
      </w:r>
      <w:r w:rsidRPr="00AC4E5A">
        <w:rPr>
          <w:rFonts w:ascii="Times New Roman" w:hAnsi="Times New Roman" w:cs="Times New Roman"/>
          <w:sz w:val="24"/>
          <w:szCs w:val="24"/>
        </w:rPr>
        <w:t>n West Africa.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9778B" w14:textId="67847E50" w:rsidR="003F19C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H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 xml:space="preserve">: </w:t>
      </w:r>
      <w:r w:rsidR="009E35D1"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CAM-GRIN nexus </w:t>
      </w:r>
      <w:r w:rsidR="009E35D1" w:rsidRPr="00AC4E5A">
        <w:rPr>
          <w:rFonts w:ascii="Times New Roman" w:hAnsi="Times New Roman" w:cs="Times New Roman"/>
          <w:sz w:val="24"/>
          <w:szCs w:val="24"/>
        </w:rPr>
        <w:t xml:space="preserve">in West Africa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mediated by improvements in financial intermediation </w:t>
      </w:r>
      <w:r w:rsidRPr="00AC4E5A">
        <w:rPr>
          <w:rFonts w:ascii="Times New Roman" w:eastAsia="Calibri" w:hAnsi="Times New Roman" w:cs="Times New Roman"/>
          <w:sz w:val="24"/>
          <w:szCs w:val="24"/>
        </w:rPr>
        <w:t>efficiency.</w:t>
      </w:r>
    </w:p>
    <w:p w14:paraId="0F1EC911" w14:textId="2E1AD9EE" w:rsidR="009E35D1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H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E5A">
        <w:rPr>
          <w:rFonts w:ascii="Times New Roman" w:hAnsi="Times New Roman" w:cs="Times New Roman"/>
          <w:sz w:val="24"/>
          <w:szCs w:val="24"/>
        </w:rPr>
        <w:t xml:space="preserve">: Institutional quality moderates the CAM-GRIN nexus. </w:t>
      </w:r>
      <w:r w:rsidRPr="00AC4E5A">
        <w:rPr>
          <w:rFonts w:ascii="Times New Roman" w:hAnsi="Times New Roman" w:cs="Times New Roman"/>
          <w:sz w:val="24"/>
          <w:szCs w:val="24"/>
        </w:rPr>
        <w:t>This</w:t>
      </w:r>
      <w:r w:rsidRPr="00AC4E5A">
        <w:rPr>
          <w:rFonts w:ascii="Times New Roman" w:hAnsi="Times New Roman" w:cs="Times New Roman"/>
          <w:sz w:val="24"/>
          <w:szCs w:val="24"/>
        </w:rPr>
        <w:t xml:space="preserve"> positive effect is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 countries with </w:t>
      </w:r>
      <w:r w:rsidRPr="00AC4E5A">
        <w:rPr>
          <w:rFonts w:ascii="Times New Roman" w:hAnsi="Times New Roman" w:cs="Times New Roman"/>
          <w:sz w:val="24"/>
          <w:szCs w:val="24"/>
        </w:rPr>
        <w:t>stringent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regulations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effective </w:t>
      </w:r>
      <w:r w:rsidRPr="00AC4E5A">
        <w:rPr>
          <w:rFonts w:ascii="Times New Roman" w:eastAsia="Calibri" w:hAnsi="Times New Roman" w:cs="Times New Roman"/>
          <w:sz w:val="24"/>
          <w:szCs w:val="24"/>
        </w:rPr>
        <w:t>governance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</w:p>
    <w:p w14:paraId="0E3B4DE7" w14:textId="77777777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Methodology</w:t>
      </w:r>
    </w:p>
    <w:p w14:paraId="6D0445E9" w14:textId="17FC1A4A" w:rsidR="00E678E4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This study adopted </w:t>
      </w:r>
      <w:r w:rsidRPr="00AC4E5A">
        <w:rPr>
          <w:rFonts w:ascii="Times New Roman" w:hAnsi="Times New Roman" w:cs="Times New Roman"/>
          <w:sz w:val="24"/>
          <w:szCs w:val="24"/>
        </w:rPr>
        <w:t>an</w:t>
      </w:r>
      <w:r w:rsidRPr="00AC4E5A">
        <w:rPr>
          <w:rFonts w:ascii="Times New Roman" w:hAnsi="Times New Roman" w:cs="Times New Roman"/>
          <w:sz w:val="24"/>
          <w:szCs w:val="24"/>
        </w:rPr>
        <w:t xml:space="preserve"> ex-post facto research design and </w:t>
      </w:r>
      <w:r w:rsidRPr="00AC4E5A">
        <w:rPr>
          <w:rFonts w:ascii="Times New Roman" w:hAnsi="Times New Roman" w:cs="Times New Roman"/>
          <w:sz w:val="24"/>
          <w:szCs w:val="24"/>
        </w:rPr>
        <w:t>employ</w:t>
      </w:r>
      <w:r w:rsidRPr="00AC4E5A">
        <w:rPr>
          <w:rFonts w:ascii="Times New Roman" w:hAnsi="Times New Roman" w:cs="Times New Roman"/>
          <w:sz w:val="24"/>
          <w:szCs w:val="24"/>
        </w:rPr>
        <w:t>ed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 </w:t>
      </w:r>
      <w:r w:rsidR="005078C6" w:rsidRPr="00AC4E5A">
        <w:rPr>
          <w:rFonts w:ascii="Times New Roman" w:hAnsi="Times New Roman" w:cs="Times New Roman"/>
          <w:sz w:val="24"/>
          <w:szCs w:val="24"/>
        </w:rPr>
        <w:t>annualized panel dataset for four core West African countries (Nigeria, Ghana, Côte d’Ivoire, and Senegal) from 2010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 to </w:t>
      </w:r>
      <w:r w:rsidR="005078C6" w:rsidRPr="00AC4E5A">
        <w:rPr>
          <w:rFonts w:ascii="Times New Roman" w:hAnsi="Times New Roman" w:cs="Times New Roman"/>
          <w:sz w:val="24"/>
          <w:szCs w:val="24"/>
        </w:rPr>
        <w:t>2025. These countries represent the economic and institutional diversity of the West African sub-region, encompassing both Anglophone and Francophone systems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and varying levels of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="005078C6" w:rsidRPr="00AC4E5A">
        <w:rPr>
          <w:rFonts w:ascii="Times New Roman" w:hAnsi="Times New Roman" w:cs="Times New Roman"/>
          <w:sz w:val="24"/>
          <w:szCs w:val="24"/>
        </w:rPr>
        <w:t>and environmental governance.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Monetary variables are deflated to constant prices and logarithmically transformed where appropriate.</w:t>
      </w:r>
    </w:p>
    <w:p w14:paraId="6A5A176E" w14:textId="77777777" w:rsidR="00353E5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Table 1: Data Sources and Variables</w:t>
      </w:r>
    </w:p>
    <w:tbl>
      <w:tblPr>
        <w:tblStyle w:val="TableGrid"/>
        <w:tblW w:w="11713" w:type="dxa"/>
        <w:jc w:val="center"/>
        <w:tblLook w:val="04A0" w:firstRow="1" w:lastRow="0" w:firstColumn="1" w:lastColumn="0" w:noHBand="0" w:noVBand="1"/>
      </w:tblPr>
      <w:tblGrid>
        <w:gridCol w:w="1728"/>
        <w:gridCol w:w="1299"/>
        <w:gridCol w:w="3628"/>
        <w:gridCol w:w="5058"/>
      </w:tblGrid>
      <w:tr w:rsidR="004E0434" w:rsidRPr="00AC4E5A" w14:paraId="3E597280" w14:textId="77777777" w:rsidTr="0091759A">
        <w:trPr>
          <w:trHeight w:val="269"/>
          <w:jc w:val="center"/>
        </w:trPr>
        <w:tc>
          <w:tcPr>
            <w:tcW w:w="3027" w:type="dxa"/>
            <w:gridSpan w:val="2"/>
            <w:hideMark/>
          </w:tcPr>
          <w:p w14:paraId="1D41B4C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7520315"/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3628" w:type="dxa"/>
            <w:hideMark/>
          </w:tcPr>
          <w:p w14:paraId="7CC0D34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 / Proxy</w:t>
            </w:r>
          </w:p>
        </w:tc>
        <w:tc>
          <w:tcPr>
            <w:tcW w:w="5058" w:type="dxa"/>
            <w:hideMark/>
          </w:tcPr>
          <w:p w14:paraId="0C76A30A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 (Gap-driven)</w:t>
            </w:r>
          </w:p>
        </w:tc>
      </w:tr>
      <w:tr w:rsidR="004E0434" w:rsidRPr="00AC4E5A" w14:paraId="6FE02D16" w14:textId="77777777" w:rsidTr="0091759A">
        <w:trPr>
          <w:trHeight w:val="1042"/>
          <w:jc w:val="center"/>
        </w:trPr>
        <w:tc>
          <w:tcPr>
            <w:tcW w:w="1728" w:type="dxa"/>
            <w:hideMark/>
          </w:tcPr>
          <w:p w14:paraId="088A775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Green Technology Innovation</w:t>
            </w:r>
          </w:p>
        </w:tc>
        <w:tc>
          <w:tcPr>
            <w:tcW w:w="1299" w:type="dxa"/>
            <w:hideMark/>
          </w:tcPr>
          <w:p w14:paraId="4311DC9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GRIN</w:t>
            </w:r>
          </w:p>
        </w:tc>
        <w:tc>
          <w:tcPr>
            <w:tcW w:w="3628" w:type="dxa"/>
            <w:hideMark/>
          </w:tcPr>
          <w:p w14:paraId="1F4944DC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enewable energy consumption </w:t>
            </w:r>
          </w:p>
          <w:p w14:paraId="58E36CE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(% of total energy) </w:t>
            </w:r>
          </w:p>
          <w:p w14:paraId="27D5067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8" w:type="dxa"/>
            <w:hideMark/>
          </w:tcPr>
          <w:p w14:paraId="3265364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GRIN is multi-dimensional. Using composite indicators captures technological, agricultural, and industrial green transition, addressing the gap of narrow single-indicator studies in Africa.</w:t>
            </w:r>
          </w:p>
        </w:tc>
      </w:tr>
      <w:tr w:rsidR="004E0434" w:rsidRPr="00AC4E5A" w14:paraId="458D0C8F" w14:textId="77777777" w:rsidTr="0091759A">
        <w:trPr>
          <w:trHeight w:val="744"/>
          <w:jc w:val="center"/>
        </w:trPr>
        <w:tc>
          <w:tcPr>
            <w:tcW w:w="1728" w:type="dxa"/>
            <w:hideMark/>
          </w:tcPr>
          <w:p w14:paraId="062EA96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Capital Market Performance</w:t>
            </w:r>
          </w:p>
        </w:tc>
        <w:tc>
          <w:tcPr>
            <w:tcW w:w="1299" w:type="dxa"/>
            <w:hideMark/>
          </w:tcPr>
          <w:p w14:paraId="472539A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CAM</w:t>
            </w:r>
          </w:p>
        </w:tc>
        <w:tc>
          <w:tcPr>
            <w:tcW w:w="3628" w:type="dxa"/>
            <w:hideMark/>
          </w:tcPr>
          <w:p w14:paraId="7A2234E0" w14:textId="77777777" w:rsidR="00353E57" w:rsidRPr="00AC4E5A" w:rsidRDefault="00C22629" w:rsidP="00353E5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Stock market capitalization (% of GDP) </w:t>
            </w:r>
          </w:p>
          <w:p w14:paraId="0D537AD3" w14:textId="77777777" w:rsidR="00353E57" w:rsidRPr="00AC4E5A" w:rsidRDefault="00C22629" w:rsidP="00353E5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Bond market size (% of GDP) (BOMZ)</w:t>
            </w:r>
          </w:p>
          <w:p w14:paraId="2ED9F64C" w14:textId="72BD268D" w:rsidR="00353E57" w:rsidRPr="00AC4E5A" w:rsidRDefault="00C22629" w:rsidP="0091759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Market liquidity </w:t>
            </w:r>
          </w:p>
        </w:tc>
        <w:tc>
          <w:tcPr>
            <w:tcW w:w="5058" w:type="dxa"/>
            <w:hideMark/>
          </w:tcPr>
          <w:p w14:paraId="7ACA7F92" w14:textId="4B5A1BD0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Captures both market depth and liquidity</w:t>
            </w:r>
          </w:p>
        </w:tc>
      </w:tr>
      <w:tr w:rsidR="004E0434" w:rsidRPr="00AC4E5A" w14:paraId="61C31BC1" w14:textId="77777777" w:rsidTr="00AE1491">
        <w:trPr>
          <w:trHeight w:val="803"/>
          <w:jc w:val="center"/>
        </w:trPr>
        <w:tc>
          <w:tcPr>
            <w:tcW w:w="1728" w:type="dxa"/>
            <w:hideMark/>
          </w:tcPr>
          <w:p w14:paraId="4F27A1F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Financial Intermediation</w:t>
            </w:r>
          </w:p>
        </w:tc>
        <w:tc>
          <w:tcPr>
            <w:tcW w:w="1299" w:type="dxa"/>
            <w:hideMark/>
          </w:tcPr>
          <w:p w14:paraId="3E7E512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FIN</w:t>
            </w:r>
          </w:p>
        </w:tc>
        <w:tc>
          <w:tcPr>
            <w:tcW w:w="3628" w:type="dxa"/>
            <w:hideMark/>
          </w:tcPr>
          <w:p w14:paraId="1B6D4C32" w14:textId="442CA01D" w:rsidR="00AE1491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Domestic credit to </w:t>
            </w:r>
            <w:r w:rsidR="003A3BC1"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0EFC5B1A" w14:textId="5D7CE515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(% of GDP) (DCPS)</w:t>
            </w:r>
          </w:p>
        </w:tc>
        <w:tc>
          <w:tcPr>
            <w:tcW w:w="5058" w:type="dxa"/>
          </w:tcPr>
          <w:p w14:paraId="023FB9AF" w14:textId="2D98BF1C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sts transmission mechanism</w:t>
            </w:r>
          </w:p>
        </w:tc>
      </w:tr>
      <w:tr w:rsidR="004E0434" w:rsidRPr="00AC4E5A" w14:paraId="63717A35" w14:textId="77777777" w:rsidTr="0091759A">
        <w:trPr>
          <w:trHeight w:val="1134"/>
          <w:jc w:val="center"/>
        </w:trPr>
        <w:tc>
          <w:tcPr>
            <w:tcW w:w="1728" w:type="dxa"/>
            <w:hideMark/>
          </w:tcPr>
          <w:p w14:paraId="150CA94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Institutional Quality</w:t>
            </w:r>
          </w:p>
        </w:tc>
        <w:tc>
          <w:tcPr>
            <w:tcW w:w="1299" w:type="dxa"/>
            <w:hideMark/>
          </w:tcPr>
          <w:p w14:paraId="21C63A4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INSQ</w:t>
            </w:r>
          </w:p>
        </w:tc>
        <w:tc>
          <w:tcPr>
            <w:tcW w:w="3628" w:type="dxa"/>
            <w:hideMark/>
          </w:tcPr>
          <w:p w14:paraId="4CB6351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World Governance Indicators: </w:t>
            </w:r>
          </w:p>
          <w:p w14:paraId="0520A7C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Rule of law (RLA) and </w:t>
            </w:r>
          </w:p>
          <w:p w14:paraId="50D0412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Regulatory quality (REQ)</w:t>
            </w:r>
          </w:p>
        </w:tc>
        <w:tc>
          <w:tcPr>
            <w:tcW w:w="5058" w:type="dxa"/>
            <w:hideMark/>
          </w:tcPr>
          <w:p w14:paraId="606024D2" w14:textId="7F07457C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Institutional weaknesses are repeatedly cited as constraints in West Africa; </w:t>
            </w:r>
            <w:r w:rsidR="00AE1491"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capturing 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them addresses the gap in studies that ignore governance in explaining the laxity in CAM–GRIN linkages.</w:t>
            </w:r>
          </w:p>
        </w:tc>
      </w:tr>
      <w:tr w:rsidR="004E0434" w:rsidRPr="00AC4E5A" w14:paraId="4AD3C87B" w14:textId="77777777" w:rsidTr="0091759A">
        <w:trPr>
          <w:trHeight w:val="916"/>
          <w:jc w:val="center"/>
        </w:trPr>
        <w:tc>
          <w:tcPr>
            <w:tcW w:w="1728" w:type="dxa"/>
            <w:hideMark/>
          </w:tcPr>
          <w:p w14:paraId="136A2F0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ESG Disclosure</w:t>
            </w:r>
          </w:p>
        </w:tc>
        <w:tc>
          <w:tcPr>
            <w:tcW w:w="1299" w:type="dxa"/>
            <w:hideMark/>
          </w:tcPr>
          <w:p w14:paraId="6B99F47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ESG</w:t>
            </w:r>
          </w:p>
        </w:tc>
        <w:tc>
          <w:tcPr>
            <w:tcW w:w="3628" w:type="dxa"/>
            <w:hideMark/>
          </w:tcPr>
          <w:p w14:paraId="0C44F897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 ESG reporting scores - Sustainability disc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losure index - ESG adoption dummy (1=adopted, 0=not adopted)</w:t>
            </w:r>
          </w:p>
        </w:tc>
        <w:tc>
          <w:tcPr>
            <w:tcW w:w="5058" w:type="dxa"/>
            <w:hideMark/>
          </w:tcPr>
          <w:p w14:paraId="4D016D8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ESG disclosure is fragmented in West Africa. Capturing it allows testing whether transparency strengthens the CAM–GRIN nexus, addressing the information asymmetry gap.</w:t>
            </w:r>
          </w:p>
        </w:tc>
      </w:tr>
      <w:tr w:rsidR="004E0434" w:rsidRPr="00AC4E5A" w14:paraId="023D8431" w14:textId="77777777" w:rsidTr="0091759A">
        <w:trPr>
          <w:trHeight w:val="906"/>
          <w:jc w:val="center"/>
        </w:trPr>
        <w:tc>
          <w:tcPr>
            <w:tcW w:w="1728" w:type="dxa"/>
            <w:hideMark/>
          </w:tcPr>
          <w:p w14:paraId="39BEFAD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Control Variables </w:t>
            </w:r>
          </w:p>
        </w:tc>
        <w:tc>
          <w:tcPr>
            <w:tcW w:w="4927" w:type="dxa"/>
            <w:gridSpan w:val="2"/>
            <w:hideMark/>
          </w:tcPr>
          <w:p w14:paraId="6EAAC48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GDP per capita (GDPC) </w:t>
            </w:r>
          </w:p>
          <w:p w14:paraId="28416900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FDI inflows (FDI) </w:t>
            </w:r>
          </w:p>
          <w:p w14:paraId="7065DA4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Energy demand (ENM)</w:t>
            </w:r>
          </w:p>
        </w:tc>
        <w:tc>
          <w:tcPr>
            <w:tcW w:w="5058" w:type="dxa"/>
            <w:hideMark/>
          </w:tcPr>
          <w:p w14:paraId="0E738EE4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Controls macroeconomic and demand-side effects that could bias the CAM–GRIN nexus. Inclusion ensures robustness, overcoming the gap of omitted-variable bias in prior African s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tudies.</w:t>
            </w:r>
          </w:p>
        </w:tc>
      </w:tr>
      <w:tr w:rsidR="004E0434" w:rsidRPr="00AC4E5A" w14:paraId="157424F1" w14:textId="77777777" w:rsidTr="0091759A">
        <w:trPr>
          <w:trHeight w:val="662"/>
          <w:jc w:val="center"/>
        </w:trPr>
        <w:tc>
          <w:tcPr>
            <w:tcW w:w="11713" w:type="dxa"/>
            <w:gridSpan w:val="4"/>
          </w:tcPr>
          <w:p w14:paraId="0D050A98" w14:textId="550194CA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Data are 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sourced from World Bank Development Indicators (WDI); African Securities Exchanges Association (ASEA); Nigerian Exchange Group (NGX) reports; IFC and UNCTAD ESG/Green Finance databases</w:t>
            </w:r>
            <w:r w:rsidR="003A3BC1" w:rsidRPr="00AC4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 and Country-level ESG disclosure reports and policy documents.</w:t>
            </w:r>
          </w:p>
        </w:tc>
      </w:tr>
    </w:tbl>
    <w:bookmarkEnd w:id="0"/>
    <w:p w14:paraId="23B9F31B" w14:textId="77777777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Source: Authors (2025)</w:t>
      </w:r>
    </w:p>
    <w:p w14:paraId="2FB01AEE" w14:textId="77777777" w:rsidR="00353E57" w:rsidRPr="00AC4E5A" w:rsidRDefault="00C22629" w:rsidP="00353E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Model Specification</w:t>
      </w:r>
    </w:p>
    <w:p w14:paraId="42328FEB" w14:textId="61216D86" w:rsidR="009261FA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To </w:t>
      </w:r>
      <w:r w:rsidRPr="00AC4E5A">
        <w:rPr>
          <w:rFonts w:ascii="Times New Roman" w:hAnsi="Times New Roman" w:cs="Times New Roman"/>
          <w:sz w:val="24"/>
          <w:szCs w:val="24"/>
        </w:rPr>
        <w:t xml:space="preserve">assess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 dynamic </w:t>
      </w:r>
      <w:r w:rsidRPr="00AC4E5A">
        <w:rPr>
          <w:rFonts w:ascii="Times New Roman" w:hAnsi="Times New Roman" w:cs="Times New Roman"/>
          <w:sz w:val="24"/>
          <w:szCs w:val="24"/>
        </w:rPr>
        <w:t>CAM-GRIN nexus</w:t>
      </w:r>
      <w:r w:rsidRPr="00AC4E5A">
        <w:rPr>
          <w:rFonts w:ascii="Times New Roman" w:hAnsi="Times New Roman" w:cs="Times New Roman"/>
          <w:sz w:val="24"/>
          <w:szCs w:val="24"/>
        </w:rPr>
        <w:t>, the study adopts a panel autoregressive distributed lag (</w:t>
      </w:r>
      <w:r w:rsidR="00B76ED1" w:rsidRPr="00AC4E5A">
        <w:rPr>
          <w:rFonts w:ascii="Times New Roman" w:hAnsi="Times New Roman" w:cs="Times New Roman"/>
          <w:sz w:val="24"/>
          <w:szCs w:val="24"/>
        </w:rPr>
        <w:t>P-</w:t>
      </w:r>
      <w:r w:rsidRPr="00AC4E5A">
        <w:rPr>
          <w:rFonts w:ascii="Times New Roman" w:hAnsi="Times New Roman" w:cs="Times New Roman"/>
          <w:sz w:val="24"/>
          <w:szCs w:val="24"/>
        </w:rPr>
        <w:t>ARDL) framework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353E57" w:rsidRPr="00AC4E5A">
        <w:rPr>
          <w:rFonts w:ascii="Times New Roman" w:hAnsi="Times New Roman" w:cs="Times New Roman"/>
          <w:sz w:val="24"/>
          <w:szCs w:val="24"/>
        </w:rPr>
        <w:t>by Pesaran, Shin, and Smith</w:t>
      </w:r>
      <w:r w:rsidRPr="00AC4E5A">
        <w:rPr>
          <w:rFonts w:ascii="Times New Roman" w:eastAsia="Calibri" w:hAnsi="Times New Roman" w:cs="Times New Roman"/>
          <w:sz w:val="24"/>
          <w:szCs w:val="24"/>
        </w:rPr>
        <w:t>’s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(1999)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panel autoregressive distributed lag framework was used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="00353E57" w:rsidRPr="00AC4E5A">
        <w:rPr>
          <w:rFonts w:ascii="Times New Roman" w:eastAsia="TimesNewRomanPSMT" w:hAnsi="Times New Roman" w:cs="Times New Roman"/>
          <w:color w:val="242021"/>
          <w:sz w:val="24"/>
          <w:szCs w:val="24"/>
        </w:rPr>
        <w:t xml:space="preserve"> 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Distinct from static models, </w:t>
      </w:r>
      <w:r w:rsidRPr="00AC4E5A">
        <w:rPr>
          <w:rFonts w:ascii="Times New Roman" w:eastAsia="Calibri" w:hAnsi="Times New Roman" w:cs="Times New Roman"/>
          <w:sz w:val="24"/>
          <w:szCs w:val="24"/>
        </w:rPr>
        <w:t>P-ARDL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captures the evolving nature of the nexus, which allows for a more nuanced understanding of how CAM influences the variables of interest over time, while incorporating the lagged values of the dependent variable, to provide a mechanism to capture any dela</w:t>
      </w:r>
      <w:r w:rsidRPr="00AC4E5A">
        <w:rPr>
          <w:rFonts w:ascii="Times New Roman" w:eastAsia="Calibri" w:hAnsi="Times New Roman" w:cs="Times New Roman"/>
          <w:sz w:val="24"/>
          <w:szCs w:val="24"/>
        </w:rPr>
        <w:t>yed effects or feedback loops in the nexus.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P-</w:t>
      </w:r>
      <w:r w:rsidRPr="00AC4E5A">
        <w:rPr>
          <w:rFonts w:ascii="Times New Roman" w:hAnsi="Times New Roman" w:cs="Times New Roman"/>
          <w:sz w:val="24"/>
          <w:szCs w:val="24"/>
        </w:rPr>
        <w:t xml:space="preserve">ARDL </w:t>
      </w:r>
      <w:r w:rsidRPr="00AC4E5A">
        <w:rPr>
          <w:rFonts w:ascii="Times New Roman" w:hAnsi="Times New Roman" w:cs="Times New Roman"/>
          <w:sz w:val="24"/>
          <w:szCs w:val="24"/>
        </w:rPr>
        <w:t xml:space="preserve">model </w:t>
      </w:r>
      <w:r w:rsidRPr="00AC4E5A">
        <w:rPr>
          <w:rFonts w:ascii="Times New Roman" w:hAnsi="Times New Roman" w:cs="Times New Roman"/>
          <w:sz w:val="24"/>
          <w:szCs w:val="24"/>
        </w:rPr>
        <w:t xml:space="preserve">is particularly suitable </w:t>
      </w:r>
      <w:r w:rsidRPr="00AC4E5A">
        <w:rPr>
          <w:rFonts w:ascii="Times New Roman" w:hAnsi="Times New Roman" w:cs="Times New Roman"/>
          <w:sz w:val="24"/>
          <w:szCs w:val="24"/>
        </w:rPr>
        <w:t>for this study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r w:rsidRPr="00AC4E5A">
        <w:rPr>
          <w:rFonts w:ascii="Times New Roman" w:hAnsi="Times New Roman" w:cs="Times New Roman"/>
          <w:sz w:val="24"/>
          <w:szCs w:val="24"/>
        </w:rPr>
        <w:t xml:space="preserve">it (i) decomposes short-run adjustments from </w:t>
      </w:r>
      <w:r w:rsidR="003A3BC1"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long-run equilibrium </w:t>
      </w:r>
      <w:r w:rsidRPr="00AC4E5A">
        <w:rPr>
          <w:rFonts w:ascii="Times New Roman" w:hAnsi="Times New Roman" w:cs="Times New Roman"/>
          <w:sz w:val="24"/>
          <w:szCs w:val="24"/>
        </w:rPr>
        <w:t>nexus</w:t>
      </w:r>
      <w:r w:rsidRPr="00AC4E5A">
        <w:rPr>
          <w:rFonts w:ascii="Times New Roman" w:hAnsi="Times New Roman" w:cs="Times New Roman"/>
          <w:sz w:val="24"/>
          <w:szCs w:val="24"/>
        </w:rPr>
        <w:t>, (ii)</w:t>
      </w:r>
      <w:r w:rsidRPr="00AC4E5A">
        <w:rPr>
          <w:rFonts w:ascii="Times New Roman" w:hAnsi="Times New Roman" w:cs="Times New Roman"/>
          <w:sz w:val="24"/>
          <w:szCs w:val="24"/>
        </w:rPr>
        <w:t xml:space="preserve"> accommodates regressors integrated </w:t>
      </w:r>
      <w:r w:rsidRPr="00AC4E5A">
        <w:rPr>
          <w:rFonts w:ascii="Times New Roman" w:hAnsi="Times New Roman" w:cs="Times New Roman"/>
          <w:sz w:val="24"/>
          <w:szCs w:val="24"/>
        </w:rPr>
        <w:t>with</w:t>
      </w:r>
      <w:r w:rsidRPr="00AC4E5A">
        <w:rPr>
          <w:rFonts w:ascii="Times New Roman" w:hAnsi="Times New Roman" w:cs="Times New Roman"/>
          <w:sz w:val="24"/>
          <w:szCs w:val="24"/>
        </w:rPr>
        <w:t xml:space="preserve"> mixed orders, I(0) and I(1), without requiring pre-testing for uniform stationarity, and (</w:t>
      </w:r>
      <w:r w:rsidRPr="00AC4E5A">
        <w:rPr>
          <w:rFonts w:ascii="Times New Roman" w:eastAsia="Calibri" w:hAnsi="Times New Roman" w:cs="Times New Roman"/>
          <w:sz w:val="24"/>
          <w:szCs w:val="24"/>
        </w:rPr>
        <w:t>iii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) mitigates simultaneity and reverse causality concerns through its dynamic lag structure and </w:t>
      </w:r>
      <w:r w:rsidRPr="00AC4E5A">
        <w:rPr>
          <w:rFonts w:ascii="Times New Roman" w:eastAsia="Calibri" w:hAnsi="Times New Roman" w:cs="Times New Roman"/>
          <w:sz w:val="24"/>
          <w:szCs w:val="24"/>
        </w:rPr>
        <w:t>error-correction representation.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3A3BC1" w:rsidRPr="00AC4E5A">
        <w:rPr>
          <w:rFonts w:ascii="Times New Roman" w:hAnsi="Times New Roman" w:cs="Times New Roman"/>
          <w:sz w:val="24"/>
          <w:szCs w:val="24"/>
        </w:rPr>
        <w:t>Before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 the P-ARDL model estimation, an array of pretests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AD1324" w:rsidRPr="00AC4E5A">
        <w:rPr>
          <w:rFonts w:ascii="Times New Roman" w:hAnsi="Times New Roman" w:cs="Times New Roman"/>
          <w:sz w:val="24"/>
          <w:szCs w:val="24"/>
        </w:rPr>
        <w:t>such as the cross-sectional augmented Dickey–Fuller (CADF) and cross-sectional augmented Im, Pesaran, and Shin (CIPS) tests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="00AD1324" w:rsidRPr="00AC4E5A">
        <w:rPr>
          <w:rFonts w:ascii="Times New Roman" w:hAnsi="Times New Roman" w:cs="Times New Roman"/>
          <w:sz w:val="24"/>
          <w:szCs w:val="24"/>
        </w:rPr>
        <w:t xml:space="preserve"> were conducted to determine the stationarity properties of the series</w:t>
      </w:r>
      <w:r w:rsidR="003A3BC1" w:rsidRPr="00AC4E5A">
        <w:rPr>
          <w:rFonts w:ascii="Times New Roman" w:hAnsi="Times New Roman" w:cs="Times New Roman"/>
          <w:sz w:val="24"/>
          <w:szCs w:val="24"/>
        </w:rPr>
        <w:t>.</w:t>
      </w:r>
      <w:r w:rsidR="00AD1324" w:rsidRPr="00AC4E5A">
        <w:rPr>
          <w:rFonts w:ascii="Times New Roman" w:hAnsi="Times New Roman" w:cs="Times New Roman"/>
          <w:sz w:val="24"/>
          <w:szCs w:val="24"/>
        </w:rPr>
        <w:t xml:space="preserve"> Pesaran’s (2004) cross-sectional dependence test was conducted to address potential dependencies among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study variabl</w:t>
      </w:r>
      <w:r w:rsidRPr="00AC4E5A">
        <w:rPr>
          <w:rFonts w:ascii="Times New Roman" w:eastAsia="Calibri" w:hAnsi="Times New Roman" w:cs="Times New Roman"/>
          <w:sz w:val="24"/>
          <w:szCs w:val="24"/>
        </w:rPr>
        <w:t>es</w:t>
      </w:r>
      <w:r w:rsidR="00AD1324" w:rsidRPr="00AC4E5A">
        <w:rPr>
          <w:rFonts w:ascii="Times New Roman" w:hAnsi="Times New Roman" w:cs="Times New Roman"/>
          <w:sz w:val="24"/>
          <w:szCs w:val="24"/>
        </w:rPr>
        <w:t>.</w:t>
      </w:r>
      <w:r w:rsidR="00353E57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To </w:t>
      </w:r>
      <w:r w:rsidRPr="00AC4E5A">
        <w:rPr>
          <w:rFonts w:ascii="Times New Roman" w:hAnsi="Times New Roman" w:cs="Times New Roman"/>
          <w:sz w:val="24"/>
          <w:szCs w:val="24"/>
        </w:rPr>
        <w:t xml:space="preserve">examine the direct effect of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(H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), the mediating role of financial intermediation (H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), and the moderating role of institutional quality (H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E5A">
        <w:rPr>
          <w:rFonts w:ascii="Times New Roman" w:hAnsi="Times New Roman" w:cs="Times New Roman"/>
          <w:sz w:val="24"/>
          <w:szCs w:val="24"/>
        </w:rPr>
        <w:t>), we estimate an integrated PMG–ARDL model specified as</w:t>
      </w:r>
    </w:p>
    <w:p w14:paraId="49489574" w14:textId="61F76DAC" w:rsidR="00353E5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GRIN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CAM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FIN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INSQ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CAM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INSQ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ESG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GDPC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FDI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ENM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…………..…(</m:t>
          </m:r>
          <m:r>
            <w:rPr>
              <w:rFonts w:ascii="Cambria Math" w:hAnsi="Cambria Math" w:cs="Times New Roman"/>
              <w:sz w:val="24"/>
              <w:szCs w:val="24"/>
            </w:rPr>
            <m:t>EQ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1)</m:t>
          </m:r>
        </m:oMath>
      </m:oMathPara>
    </w:p>
    <w:p w14:paraId="3DE0BFE4" w14:textId="45954BAF" w:rsidR="00353E57" w:rsidRPr="00AC4E5A" w:rsidRDefault="00C22629" w:rsidP="00353E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GRIN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GRIN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CAM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INSQ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CAM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xINSQ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ES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GDPC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FDI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ENM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GRIN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1-1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CAM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3-1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INSQ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4-1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ESG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5-1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GDPC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6-1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FDI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7-1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χ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ENM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……….. (</m:t>
          </m:r>
          <m:r>
            <w:rPr>
              <w:rFonts w:ascii="Cambria Math" w:hAnsi="Cambria Math" w:cs="Times New Roman"/>
              <w:sz w:val="24"/>
              <w:szCs w:val="24"/>
            </w:rPr>
            <m:t>EQ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2)</m:t>
          </m:r>
        </m:oMath>
      </m:oMathPara>
    </w:p>
    <w:p w14:paraId="4CCFA350" w14:textId="029571B0" w:rsidR="00285CCB" w:rsidRPr="00AC4E5A" w:rsidRDefault="00C22629" w:rsidP="00CA4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GRIN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green technology innovation</w:t>
      </w:r>
    </w:p>
    <w:p w14:paraId="720B616B" w14:textId="77777777" w:rsidR="00285CCB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CAM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capital market development (H1)</w:t>
      </w:r>
    </w:p>
    <w:p w14:paraId="1C94E810" w14:textId="77777777" w:rsidR="00285CCB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FIN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financial intermediation (mediating channel, H2)</w:t>
      </w:r>
    </w:p>
    <w:p w14:paraId="025F9570" w14:textId="77777777" w:rsidR="00285CCB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INSQ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institutional quality (moderator, H3)</w:t>
      </w:r>
    </w:p>
    <w:p w14:paraId="203DF670" w14:textId="77777777" w:rsidR="00285CCB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CAM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×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INSQ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it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interaction term (conditional effect)</w:t>
      </w:r>
    </w:p>
    <w:p w14:paraId="1006DA9E" w14:textId="77777777" w:rsidR="00285CCB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β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direct CAM effect</w:t>
      </w:r>
    </w:p>
    <w:p w14:paraId="30FC1EEC" w14:textId="77777777" w:rsidR="00285CCB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β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mediation channel</w:t>
      </w:r>
    </w:p>
    <w:p w14:paraId="0F16A4E8" w14:textId="533B1F98" w:rsidR="00285CCB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β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4E5A">
        <w:rPr>
          <w:rFonts w:ascii="Times New Roman" w:hAnsi="Times New Roman" w:cs="Times New Roman"/>
          <w:sz w:val="24"/>
          <w:szCs w:val="24"/>
        </w:rPr>
        <w:t>​</w:t>
      </w:r>
      <w:r w:rsidRPr="00AC4E5A">
        <w:rPr>
          <w:rFonts w:ascii="Times New Roman" w:hAnsi="Times New Roman" w:cs="Times New Roman"/>
          <w:sz w:val="24"/>
          <w:szCs w:val="24"/>
        </w:rPr>
        <w:t>: moderation effect</w:t>
      </w:r>
    </w:p>
    <w:p w14:paraId="722E60C6" w14:textId="3745172E" w:rsidR="00353E57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i =1,…,N = country (West African countries)</w:t>
      </w:r>
    </w:p>
    <w:p w14:paraId="78437427" w14:textId="77777777" w:rsidR="00353E57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t =1,…,T = 1,…,T = time period</w:t>
      </w:r>
    </w:p>
    <w:p w14:paraId="4ECBEF7B" w14:textId="31A7DF55" w:rsidR="00353E57" w:rsidRPr="00AC4E5A" w:rsidRDefault="00C22629" w:rsidP="0042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p,q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, q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,q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E5A">
        <w:rPr>
          <w:rFonts w:ascii="Times New Roman" w:hAnsi="Times New Roman" w:cs="Times New Roman"/>
          <w:sz w:val="24"/>
          <w:szCs w:val="24"/>
        </w:rPr>
        <w:t>,q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4E5A">
        <w:rPr>
          <w:rFonts w:ascii="Times New Roman" w:hAnsi="Times New Roman" w:cs="Times New Roman"/>
          <w:sz w:val="24"/>
          <w:szCs w:val="24"/>
        </w:rPr>
        <w:t>,q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9261FA" w:rsidRPr="00AC4E5A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="009261FA" w:rsidRPr="00AC4E5A">
        <w:rPr>
          <w:rFonts w:ascii="Times New Roman" w:hAnsi="Times New Roman" w:cs="Times New Roman"/>
          <w:sz w:val="24"/>
          <w:szCs w:val="24"/>
        </w:rPr>
        <w:t>q</w:t>
      </w:r>
      <w:r w:rsidR="009261FA" w:rsidRPr="00AC4E5A">
        <w:rPr>
          <w:rFonts w:ascii="Times New Roman" w:hAnsi="Times New Roman" w:cs="Times New Roman"/>
          <w:sz w:val="24"/>
          <w:szCs w:val="24"/>
          <w:vertAlign w:val="subscript"/>
        </w:rPr>
        <w:t xml:space="preserve">6, </w:t>
      </w:r>
      <w:r w:rsidR="009261FA" w:rsidRPr="00AC4E5A">
        <w:rPr>
          <w:rFonts w:ascii="Times New Roman" w:hAnsi="Times New Roman" w:cs="Times New Roman"/>
          <w:sz w:val="24"/>
          <w:szCs w:val="24"/>
        </w:rPr>
        <w:t>q</w:t>
      </w:r>
      <w:r w:rsidR="009261FA" w:rsidRPr="00AC4E5A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C4E5A">
        <w:rPr>
          <w:rFonts w:ascii="Times New Roman" w:hAnsi="Times New Roman" w:cs="Times New Roman"/>
          <w:sz w:val="24"/>
          <w:szCs w:val="24"/>
        </w:rPr>
        <w:t xml:space="preserve"> ​ = optimal lag orders</w:t>
      </w:r>
    </w:p>
    <w:p w14:paraId="00AF3082" w14:textId="77777777" w:rsidR="00353E57" w:rsidRPr="00AC4E5A" w:rsidRDefault="00C22629" w:rsidP="00353E57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ECM 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Representation of P-ARDL</w:t>
      </w:r>
    </w:p>
    <w:p w14:paraId="5BE49124" w14:textId="77777777" w:rsidR="00353E57" w:rsidRPr="00AC4E5A" w:rsidRDefault="00C22629" w:rsidP="00353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The ECM (Error Correction Model) form separates the short-run dynamics from the long-run equilibrium:</w:t>
      </w:r>
    </w:p>
    <w:p w14:paraId="6AA0E878" w14:textId="77777777" w:rsidR="00353E57" w:rsidRPr="00AC4E5A" w:rsidRDefault="00C22629" w:rsidP="00353E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ΔGRIN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∅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GRIN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CAM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INSQ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ESG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GDPC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FDI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ENM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GRIN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1-1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ΔCAM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ΔFIN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3-1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ΔINSQ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4-1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ΔESG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5-1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GDPC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6-1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FDI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7-1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ϒ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ENM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……….. (</m:t>
          </m:r>
          <m:r>
            <w:rPr>
              <w:rFonts w:ascii="Cambria Math" w:hAnsi="Cambria Math" w:cs="Times New Roman"/>
              <w:sz w:val="24"/>
              <w:szCs w:val="24"/>
            </w:rPr>
            <m:t>EQ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3)</m:t>
          </m:r>
        </m:oMath>
      </m:oMathPara>
    </w:p>
    <w:p w14:paraId="3A033975" w14:textId="77777777" w:rsidR="00353E57" w:rsidRPr="00AC4E5A" w:rsidRDefault="00C22629" w:rsidP="00353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Where: λ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,λ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,…= long-run parameters</w:t>
      </w:r>
    </w:p>
    <w:p w14:paraId="28C00CA1" w14:textId="5A73A2F1" w:rsidR="00353E57" w:rsidRPr="00AC4E5A" w:rsidRDefault="00C22629" w:rsidP="00353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γ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AC4E5A">
        <w:rPr>
          <w:rFonts w:ascii="Times New Roman" w:hAnsi="Times New Roman" w:cs="Times New Roman"/>
          <w:sz w:val="24"/>
          <w:szCs w:val="24"/>
        </w:rPr>
        <w:t xml:space="preserve"> ​ = short-run coefficient</w:t>
      </w:r>
    </w:p>
    <w:p w14:paraId="6AB14F22" w14:textId="77777777" w:rsidR="00353E57" w:rsidRPr="00AC4E5A" w:rsidRDefault="00C22629" w:rsidP="000F7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ECM term = (GRIN</w:t>
      </w:r>
      <w:r w:rsidRPr="00AC4E5A">
        <w:rPr>
          <w:rFonts w:ascii="Times New Roman" w:hAnsi="Times New Roman" w:cs="Times New Roman"/>
          <w:sz w:val="24"/>
          <w:szCs w:val="24"/>
          <w:vertAlign w:val="subscript"/>
        </w:rPr>
        <w:t>i,t−1</w:t>
      </w:r>
      <w:r w:rsidRPr="00AC4E5A">
        <w:rPr>
          <w:rFonts w:ascii="Times New Roman" w:hAnsi="Times New Roman" w:cs="Times New Roman"/>
          <w:sz w:val="24"/>
          <w:szCs w:val="24"/>
        </w:rPr>
        <w:t xml:space="preserve"> −…) = long-run equilibrium error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35B29B" w14:textId="556FBEE4" w:rsidR="00353E57" w:rsidRPr="00AC4E5A" w:rsidRDefault="00C22629" w:rsidP="000F7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lastRenderedPageBreak/>
        <w:t>Φi</w:t>
      </w:r>
      <w:r w:rsidRPr="00AC4E5A">
        <w:rPr>
          <w:rFonts w:ascii="Times New Roman" w:hAnsi="Times New Roman" w:cs="Times New Roman"/>
          <w:sz w:val="24"/>
          <w:szCs w:val="24"/>
        </w:rPr>
        <w:t xml:space="preserve"> = speed of convergence from short-run shocks to long-run equilibrium (negative and significant). After </w:t>
      </w:r>
      <w:r w:rsidRPr="00AC4E5A">
        <w:rPr>
          <w:rFonts w:ascii="Times New Roman" w:hAnsi="Times New Roman" w:cs="Times New Roman"/>
          <w:sz w:val="24"/>
          <w:szCs w:val="24"/>
        </w:rPr>
        <w:t xml:space="preserve">model estimation, </w:t>
      </w:r>
      <w:r w:rsidRPr="00AC4E5A">
        <w:rPr>
          <w:rFonts w:ascii="Times New Roman" w:hAnsi="Times New Roman" w:cs="Times New Roman"/>
          <w:sz w:val="24"/>
          <w:szCs w:val="24"/>
        </w:rPr>
        <w:t>diagnostic tests were conducted to ensure the reliability of the estimated results. These included the Autoregressive Conditio</w:t>
      </w:r>
      <w:r w:rsidRPr="00AC4E5A">
        <w:rPr>
          <w:rFonts w:ascii="Times New Roman" w:hAnsi="Times New Roman" w:cs="Times New Roman"/>
          <w:sz w:val="24"/>
          <w:szCs w:val="24"/>
        </w:rPr>
        <w:t xml:space="preserve">nal Heteroscedasticity (ARCH) test for heteroscedasticity, </w:t>
      </w:r>
      <w:r w:rsidRPr="00AC4E5A">
        <w:rPr>
          <w:rFonts w:ascii="Times New Roman" w:hAnsi="Times New Roman" w:cs="Times New Roman"/>
          <w:sz w:val="24"/>
          <w:szCs w:val="24"/>
        </w:rPr>
        <w:t xml:space="preserve">Breusch–Godfrey (BG) test for serial correlation, and </w:t>
      </w:r>
      <w:r w:rsidRPr="00AC4E5A">
        <w:rPr>
          <w:rFonts w:ascii="Times New Roman" w:hAnsi="Times New Roman" w:cs="Times New Roman"/>
          <w:sz w:val="24"/>
          <w:szCs w:val="24"/>
        </w:rPr>
        <w:t xml:space="preserve">Jarque–Bera (JB) test for normality. In addition, the bounds test </w:t>
      </w:r>
      <w:r w:rsidRPr="00AC4E5A">
        <w:rPr>
          <w:rFonts w:ascii="Times New Roman" w:hAnsi="Times New Roman" w:cs="Times New Roman"/>
          <w:sz w:val="24"/>
          <w:szCs w:val="24"/>
        </w:rPr>
        <w:t>i</w:t>
      </w:r>
      <w:r w:rsidRPr="00AC4E5A">
        <w:rPr>
          <w:rFonts w:ascii="Times New Roman" w:hAnsi="Times New Roman" w:cs="Times New Roman"/>
          <w:sz w:val="24"/>
          <w:szCs w:val="24"/>
        </w:rPr>
        <w:t>s applied to examine the existence of a long-run nexus among the s</w:t>
      </w:r>
      <w:r w:rsidRPr="00AC4E5A">
        <w:rPr>
          <w:rFonts w:ascii="Times New Roman" w:hAnsi="Times New Roman" w:cs="Times New Roman"/>
          <w:sz w:val="24"/>
          <w:szCs w:val="24"/>
        </w:rPr>
        <w:t>eries.</w:t>
      </w:r>
    </w:p>
    <w:p w14:paraId="74E14EB5" w14:textId="77777777" w:rsidR="00CA4F90" w:rsidRPr="00AC4E5A" w:rsidRDefault="00CA4F90" w:rsidP="000F7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1A353" w14:textId="537EA1C5" w:rsidR="00353E57" w:rsidRPr="00AC4E5A" w:rsidRDefault="00C22629" w:rsidP="005269A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Model Estimation</w:t>
      </w:r>
    </w:p>
    <w:p w14:paraId="51B377C6" w14:textId="6DB63F0A" w:rsidR="00353E57" w:rsidRPr="00AC4E5A" w:rsidRDefault="00C22629" w:rsidP="00353E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Table 2: Descriptive Statistics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50"/>
        <w:gridCol w:w="987"/>
        <w:gridCol w:w="810"/>
        <w:gridCol w:w="1078"/>
        <w:gridCol w:w="982"/>
        <w:gridCol w:w="1190"/>
        <w:gridCol w:w="1097"/>
        <w:gridCol w:w="1061"/>
        <w:gridCol w:w="1080"/>
      </w:tblGrid>
      <w:tr w:rsidR="004E0434" w:rsidRPr="00AC4E5A" w14:paraId="699C0950" w14:textId="77777777" w:rsidTr="009A5BEF">
        <w:trPr>
          <w:trHeight w:val="448"/>
        </w:trPr>
        <w:tc>
          <w:tcPr>
            <w:tcW w:w="1250" w:type="dxa"/>
            <w:hideMark/>
          </w:tcPr>
          <w:p w14:paraId="268849AC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987" w:type="dxa"/>
            <w:hideMark/>
          </w:tcPr>
          <w:p w14:paraId="557F04F4" w14:textId="77777777" w:rsidR="002D58A4" w:rsidRPr="00AC4E5A" w:rsidRDefault="002D58A4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14:paraId="04EDEAB2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078" w:type="dxa"/>
            <w:hideMark/>
          </w:tcPr>
          <w:p w14:paraId="36517147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982" w:type="dxa"/>
            <w:hideMark/>
          </w:tcPr>
          <w:p w14:paraId="6D7376A0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Std. Dev.</w:t>
            </w:r>
          </w:p>
        </w:tc>
        <w:tc>
          <w:tcPr>
            <w:tcW w:w="1190" w:type="dxa"/>
            <w:hideMark/>
          </w:tcPr>
          <w:p w14:paraId="019ABD0F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Skewness</w:t>
            </w:r>
          </w:p>
        </w:tc>
        <w:tc>
          <w:tcPr>
            <w:tcW w:w="1097" w:type="dxa"/>
            <w:hideMark/>
          </w:tcPr>
          <w:p w14:paraId="28538F57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Kurtosis</w:t>
            </w:r>
          </w:p>
        </w:tc>
        <w:tc>
          <w:tcPr>
            <w:tcW w:w="1061" w:type="dxa"/>
            <w:hideMark/>
          </w:tcPr>
          <w:p w14:paraId="28AEBA80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Jarque-Bera</w:t>
            </w:r>
          </w:p>
        </w:tc>
        <w:tc>
          <w:tcPr>
            <w:tcW w:w="1080" w:type="dxa"/>
            <w:hideMark/>
          </w:tcPr>
          <w:p w14:paraId="523580D3" w14:textId="77777777" w:rsidR="002D58A4" w:rsidRPr="00AC4E5A" w:rsidRDefault="00C22629" w:rsidP="009A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Prob.</w:t>
            </w:r>
          </w:p>
        </w:tc>
      </w:tr>
      <w:tr w:rsidR="004E0434" w:rsidRPr="00AC4E5A" w14:paraId="5C11D856" w14:textId="77777777" w:rsidTr="009A5BEF">
        <w:trPr>
          <w:trHeight w:val="223"/>
        </w:trPr>
        <w:tc>
          <w:tcPr>
            <w:tcW w:w="1250" w:type="dxa"/>
            <w:vMerge w:val="restart"/>
            <w:hideMark/>
          </w:tcPr>
          <w:p w14:paraId="221E1E6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Panel</w:t>
            </w:r>
          </w:p>
        </w:tc>
        <w:tc>
          <w:tcPr>
            <w:tcW w:w="987" w:type="dxa"/>
            <w:hideMark/>
          </w:tcPr>
          <w:p w14:paraId="78801A5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GRIN</w:t>
            </w:r>
          </w:p>
        </w:tc>
        <w:tc>
          <w:tcPr>
            <w:tcW w:w="810" w:type="dxa"/>
            <w:hideMark/>
          </w:tcPr>
          <w:p w14:paraId="657EA6A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18.24</w:t>
            </w:r>
          </w:p>
        </w:tc>
        <w:tc>
          <w:tcPr>
            <w:tcW w:w="1078" w:type="dxa"/>
            <w:hideMark/>
          </w:tcPr>
          <w:p w14:paraId="46CB95F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982" w:type="dxa"/>
            <w:hideMark/>
          </w:tcPr>
          <w:p w14:paraId="0B448A3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190" w:type="dxa"/>
            <w:hideMark/>
          </w:tcPr>
          <w:p w14:paraId="5F76E18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097" w:type="dxa"/>
            <w:hideMark/>
          </w:tcPr>
          <w:p w14:paraId="6EB7D74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061" w:type="dxa"/>
            <w:hideMark/>
          </w:tcPr>
          <w:p w14:paraId="1DCBB98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6.42</w:t>
            </w:r>
          </w:p>
        </w:tc>
        <w:tc>
          <w:tcPr>
            <w:tcW w:w="1080" w:type="dxa"/>
            <w:hideMark/>
          </w:tcPr>
          <w:p w14:paraId="2B9A5DE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E0434" w:rsidRPr="00AC4E5A" w14:paraId="68235BE7" w14:textId="77777777" w:rsidTr="009A5BEF">
        <w:trPr>
          <w:trHeight w:val="223"/>
        </w:trPr>
        <w:tc>
          <w:tcPr>
            <w:tcW w:w="1250" w:type="dxa"/>
            <w:vMerge/>
            <w:hideMark/>
          </w:tcPr>
          <w:p w14:paraId="33A53E86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55C680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810" w:type="dxa"/>
            <w:hideMark/>
          </w:tcPr>
          <w:p w14:paraId="250ED99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23.87</w:t>
            </w:r>
          </w:p>
        </w:tc>
        <w:tc>
          <w:tcPr>
            <w:tcW w:w="1078" w:type="dxa"/>
            <w:hideMark/>
          </w:tcPr>
          <w:p w14:paraId="45BE268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22.40</w:t>
            </w:r>
          </w:p>
        </w:tc>
        <w:tc>
          <w:tcPr>
            <w:tcW w:w="982" w:type="dxa"/>
            <w:hideMark/>
          </w:tcPr>
          <w:p w14:paraId="2ADA185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190" w:type="dxa"/>
            <w:hideMark/>
          </w:tcPr>
          <w:p w14:paraId="0BE473A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097" w:type="dxa"/>
            <w:hideMark/>
          </w:tcPr>
          <w:p w14:paraId="5635DAC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061" w:type="dxa"/>
            <w:hideMark/>
          </w:tcPr>
          <w:p w14:paraId="6B161F7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8.75</w:t>
            </w:r>
          </w:p>
        </w:tc>
        <w:tc>
          <w:tcPr>
            <w:tcW w:w="1080" w:type="dxa"/>
            <w:hideMark/>
          </w:tcPr>
          <w:p w14:paraId="4AC0F92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4E0434" w:rsidRPr="00AC4E5A" w14:paraId="23E0A6FF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2F89AE18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4FE8AE4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810" w:type="dxa"/>
            <w:hideMark/>
          </w:tcPr>
          <w:p w14:paraId="2C71BDC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35.11</w:t>
            </w:r>
          </w:p>
        </w:tc>
        <w:tc>
          <w:tcPr>
            <w:tcW w:w="1078" w:type="dxa"/>
            <w:hideMark/>
          </w:tcPr>
          <w:p w14:paraId="228AE7D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34.00</w:t>
            </w:r>
          </w:p>
        </w:tc>
        <w:tc>
          <w:tcPr>
            <w:tcW w:w="982" w:type="dxa"/>
            <w:hideMark/>
          </w:tcPr>
          <w:p w14:paraId="45ED0DC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190" w:type="dxa"/>
            <w:hideMark/>
          </w:tcPr>
          <w:p w14:paraId="3237647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097" w:type="dxa"/>
            <w:hideMark/>
          </w:tcPr>
          <w:p w14:paraId="1216E24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061" w:type="dxa"/>
            <w:hideMark/>
          </w:tcPr>
          <w:p w14:paraId="12F3B9F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080" w:type="dxa"/>
            <w:hideMark/>
          </w:tcPr>
          <w:p w14:paraId="2B31784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4E0434" w:rsidRPr="00AC4E5A" w14:paraId="3A0C0B86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7C733EA1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C3696F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INSQ</w:t>
            </w:r>
          </w:p>
        </w:tc>
        <w:tc>
          <w:tcPr>
            <w:tcW w:w="810" w:type="dxa"/>
            <w:hideMark/>
          </w:tcPr>
          <w:p w14:paraId="054A013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-0.15</w:t>
            </w:r>
          </w:p>
        </w:tc>
        <w:tc>
          <w:tcPr>
            <w:tcW w:w="1078" w:type="dxa"/>
            <w:hideMark/>
          </w:tcPr>
          <w:p w14:paraId="031D1DC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-0.18</w:t>
            </w:r>
          </w:p>
        </w:tc>
        <w:tc>
          <w:tcPr>
            <w:tcW w:w="982" w:type="dxa"/>
            <w:hideMark/>
          </w:tcPr>
          <w:p w14:paraId="0F0B443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190" w:type="dxa"/>
            <w:hideMark/>
          </w:tcPr>
          <w:p w14:paraId="3E45AAC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97" w:type="dxa"/>
            <w:hideMark/>
          </w:tcPr>
          <w:p w14:paraId="11B69F1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061" w:type="dxa"/>
            <w:hideMark/>
          </w:tcPr>
          <w:p w14:paraId="260211A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080" w:type="dxa"/>
            <w:hideMark/>
          </w:tcPr>
          <w:p w14:paraId="386C9E9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4E0434" w:rsidRPr="00AC4E5A" w14:paraId="780CC92E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7B22EE44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061B97B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810" w:type="dxa"/>
            <w:hideMark/>
          </w:tcPr>
          <w:p w14:paraId="6B975E3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078" w:type="dxa"/>
            <w:hideMark/>
          </w:tcPr>
          <w:p w14:paraId="2905E93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82" w:type="dxa"/>
            <w:hideMark/>
          </w:tcPr>
          <w:p w14:paraId="62D1251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90" w:type="dxa"/>
            <w:hideMark/>
          </w:tcPr>
          <w:p w14:paraId="0C89E1F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097" w:type="dxa"/>
            <w:hideMark/>
          </w:tcPr>
          <w:p w14:paraId="20AD9F9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061" w:type="dxa"/>
            <w:hideMark/>
          </w:tcPr>
          <w:p w14:paraId="3FCF15F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1080" w:type="dxa"/>
            <w:hideMark/>
          </w:tcPr>
          <w:p w14:paraId="068A05C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4E0434" w:rsidRPr="00AC4E5A" w14:paraId="16F8FF05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1D8EEFC3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0F90BDA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810" w:type="dxa"/>
            <w:hideMark/>
          </w:tcPr>
          <w:p w14:paraId="3EC91AF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1078" w:type="dxa"/>
            <w:hideMark/>
          </w:tcPr>
          <w:p w14:paraId="441B76E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1,820</w:t>
            </w:r>
          </w:p>
        </w:tc>
        <w:tc>
          <w:tcPr>
            <w:tcW w:w="982" w:type="dxa"/>
            <w:hideMark/>
          </w:tcPr>
          <w:p w14:paraId="6CAC5BB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90" w:type="dxa"/>
            <w:hideMark/>
          </w:tcPr>
          <w:p w14:paraId="2B4794B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097" w:type="dxa"/>
            <w:hideMark/>
          </w:tcPr>
          <w:p w14:paraId="7420CF2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1061" w:type="dxa"/>
            <w:hideMark/>
          </w:tcPr>
          <w:p w14:paraId="29B6E3A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080" w:type="dxa"/>
            <w:hideMark/>
          </w:tcPr>
          <w:p w14:paraId="68476BA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4E0434" w:rsidRPr="00AC4E5A" w14:paraId="1AC30C75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695C1C22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0DB042D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810" w:type="dxa"/>
            <w:hideMark/>
          </w:tcPr>
          <w:p w14:paraId="3E00B03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1078" w:type="dxa"/>
            <w:hideMark/>
          </w:tcPr>
          <w:p w14:paraId="3B75B2E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982" w:type="dxa"/>
            <w:hideMark/>
          </w:tcPr>
          <w:p w14:paraId="2D5C4DB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90" w:type="dxa"/>
            <w:hideMark/>
          </w:tcPr>
          <w:p w14:paraId="491E0F2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097" w:type="dxa"/>
            <w:hideMark/>
          </w:tcPr>
          <w:p w14:paraId="2137B19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1061" w:type="dxa"/>
            <w:hideMark/>
          </w:tcPr>
          <w:p w14:paraId="70A5D68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80" w:type="dxa"/>
            <w:hideMark/>
          </w:tcPr>
          <w:p w14:paraId="252515D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4E0434" w:rsidRPr="00AC4E5A" w14:paraId="602B1D6D" w14:textId="77777777" w:rsidTr="009A5BEF">
        <w:trPr>
          <w:trHeight w:val="223"/>
        </w:trPr>
        <w:tc>
          <w:tcPr>
            <w:tcW w:w="1250" w:type="dxa"/>
            <w:vMerge/>
            <w:hideMark/>
          </w:tcPr>
          <w:p w14:paraId="47C19EF3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9FB9DD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810" w:type="dxa"/>
            <w:hideMark/>
          </w:tcPr>
          <w:p w14:paraId="74E2A7C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78" w:type="dxa"/>
            <w:hideMark/>
          </w:tcPr>
          <w:p w14:paraId="364B6E5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82" w:type="dxa"/>
            <w:hideMark/>
          </w:tcPr>
          <w:p w14:paraId="06D59D0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0" w:type="dxa"/>
            <w:hideMark/>
          </w:tcPr>
          <w:p w14:paraId="4BF52A8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097" w:type="dxa"/>
            <w:hideMark/>
          </w:tcPr>
          <w:p w14:paraId="176E080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061" w:type="dxa"/>
            <w:hideMark/>
          </w:tcPr>
          <w:p w14:paraId="73363C0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080" w:type="dxa"/>
            <w:hideMark/>
          </w:tcPr>
          <w:p w14:paraId="02AA73D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4E0434" w:rsidRPr="00AC4E5A" w14:paraId="0AAEB191" w14:textId="77777777" w:rsidTr="009A5BEF">
        <w:trPr>
          <w:trHeight w:val="223"/>
        </w:trPr>
        <w:tc>
          <w:tcPr>
            <w:tcW w:w="1250" w:type="dxa"/>
            <w:vMerge w:val="restart"/>
            <w:hideMark/>
          </w:tcPr>
          <w:p w14:paraId="7114D76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Senegal</w:t>
            </w:r>
          </w:p>
        </w:tc>
        <w:tc>
          <w:tcPr>
            <w:tcW w:w="987" w:type="dxa"/>
            <w:hideMark/>
          </w:tcPr>
          <w:p w14:paraId="4797B3F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GRIN</w:t>
            </w:r>
          </w:p>
        </w:tc>
        <w:tc>
          <w:tcPr>
            <w:tcW w:w="810" w:type="dxa"/>
            <w:hideMark/>
          </w:tcPr>
          <w:p w14:paraId="21DF5A1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16.80</w:t>
            </w:r>
          </w:p>
        </w:tc>
        <w:tc>
          <w:tcPr>
            <w:tcW w:w="1078" w:type="dxa"/>
            <w:hideMark/>
          </w:tcPr>
          <w:p w14:paraId="109075B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982" w:type="dxa"/>
            <w:hideMark/>
          </w:tcPr>
          <w:p w14:paraId="1100679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190" w:type="dxa"/>
            <w:hideMark/>
          </w:tcPr>
          <w:p w14:paraId="5791CBB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097" w:type="dxa"/>
            <w:hideMark/>
          </w:tcPr>
          <w:p w14:paraId="0F41F5F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1061" w:type="dxa"/>
            <w:hideMark/>
          </w:tcPr>
          <w:p w14:paraId="7086CD1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080" w:type="dxa"/>
            <w:hideMark/>
          </w:tcPr>
          <w:p w14:paraId="7E75DD1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4E0434" w:rsidRPr="00AC4E5A" w14:paraId="288C3E78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6ADEB9CD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7D8ADB2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810" w:type="dxa"/>
            <w:hideMark/>
          </w:tcPr>
          <w:p w14:paraId="5306D77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1078" w:type="dxa"/>
            <w:hideMark/>
          </w:tcPr>
          <w:p w14:paraId="4884B7C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982" w:type="dxa"/>
            <w:hideMark/>
          </w:tcPr>
          <w:p w14:paraId="268B85C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190" w:type="dxa"/>
            <w:hideMark/>
          </w:tcPr>
          <w:p w14:paraId="519791A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097" w:type="dxa"/>
            <w:hideMark/>
          </w:tcPr>
          <w:p w14:paraId="3EBCCC7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061" w:type="dxa"/>
            <w:hideMark/>
          </w:tcPr>
          <w:p w14:paraId="6BFD3F5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080" w:type="dxa"/>
            <w:hideMark/>
          </w:tcPr>
          <w:p w14:paraId="6D747A7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4E0434" w:rsidRPr="00AC4E5A" w14:paraId="39DB7219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27453D77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2653B6B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810" w:type="dxa"/>
            <w:hideMark/>
          </w:tcPr>
          <w:p w14:paraId="7495D5C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078" w:type="dxa"/>
            <w:hideMark/>
          </w:tcPr>
          <w:p w14:paraId="33366BA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30.50</w:t>
            </w:r>
          </w:p>
        </w:tc>
        <w:tc>
          <w:tcPr>
            <w:tcW w:w="982" w:type="dxa"/>
            <w:hideMark/>
          </w:tcPr>
          <w:p w14:paraId="49CD19B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1190" w:type="dxa"/>
            <w:hideMark/>
          </w:tcPr>
          <w:p w14:paraId="5C60943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097" w:type="dxa"/>
            <w:hideMark/>
          </w:tcPr>
          <w:p w14:paraId="0021E84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1061" w:type="dxa"/>
            <w:hideMark/>
          </w:tcPr>
          <w:p w14:paraId="2FD9BD4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80" w:type="dxa"/>
            <w:hideMark/>
          </w:tcPr>
          <w:p w14:paraId="4F3EDE1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4E0434" w:rsidRPr="00AC4E5A" w14:paraId="6B351AA4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32B4FD14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45DB37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INSQ</w:t>
            </w:r>
          </w:p>
        </w:tc>
        <w:tc>
          <w:tcPr>
            <w:tcW w:w="810" w:type="dxa"/>
            <w:hideMark/>
          </w:tcPr>
          <w:p w14:paraId="79BBD0B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1078" w:type="dxa"/>
            <w:hideMark/>
          </w:tcPr>
          <w:p w14:paraId="35423A6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-0.12</w:t>
            </w:r>
          </w:p>
        </w:tc>
        <w:tc>
          <w:tcPr>
            <w:tcW w:w="982" w:type="dxa"/>
            <w:hideMark/>
          </w:tcPr>
          <w:p w14:paraId="48C706B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190" w:type="dxa"/>
            <w:hideMark/>
          </w:tcPr>
          <w:p w14:paraId="165A568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097" w:type="dxa"/>
            <w:hideMark/>
          </w:tcPr>
          <w:p w14:paraId="22B6590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061" w:type="dxa"/>
            <w:hideMark/>
          </w:tcPr>
          <w:p w14:paraId="48822F2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1080" w:type="dxa"/>
            <w:hideMark/>
          </w:tcPr>
          <w:p w14:paraId="4558655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4E0434" w:rsidRPr="00AC4E5A" w14:paraId="71BB1234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6F4BE376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4D6216A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810" w:type="dxa"/>
            <w:hideMark/>
          </w:tcPr>
          <w:p w14:paraId="470B2CE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78" w:type="dxa"/>
            <w:hideMark/>
          </w:tcPr>
          <w:p w14:paraId="12C7656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82" w:type="dxa"/>
            <w:hideMark/>
          </w:tcPr>
          <w:p w14:paraId="0689EA1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190" w:type="dxa"/>
            <w:hideMark/>
          </w:tcPr>
          <w:p w14:paraId="73E5A39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097" w:type="dxa"/>
            <w:hideMark/>
          </w:tcPr>
          <w:p w14:paraId="4BC16C4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061" w:type="dxa"/>
            <w:hideMark/>
          </w:tcPr>
          <w:p w14:paraId="5665032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080" w:type="dxa"/>
            <w:hideMark/>
          </w:tcPr>
          <w:p w14:paraId="7C3754B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</w:tr>
      <w:tr w:rsidR="004E0434" w:rsidRPr="00AC4E5A" w14:paraId="6D85419E" w14:textId="77777777" w:rsidTr="009A5BEF">
        <w:trPr>
          <w:trHeight w:val="223"/>
        </w:trPr>
        <w:tc>
          <w:tcPr>
            <w:tcW w:w="1250" w:type="dxa"/>
            <w:vMerge/>
            <w:hideMark/>
          </w:tcPr>
          <w:p w14:paraId="30B6479B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5BE5E2B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810" w:type="dxa"/>
            <w:hideMark/>
          </w:tcPr>
          <w:p w14:paraId="1D38804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1,580</w:t>
            </w:r>
          </w:p>
        </w:tc>
        <w:tc>
          <w:tcPr>
            <w:tcW w:w="1078" w:type="dxa"/>
            <w:hideMark/>
          </w:tcPr>
          <w:p w14:paraId="1B9DAA7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1,550</w:t>
            </w:r>
          </w:p>
        </w:tc>
        <w:tc>
          <w:tcPr>
            <w:tcW w:w="982" w:type="dxa"/>
            <w:hideMark/>
          </w:tcPr>
          <w:p w14:paraId="0AA1511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hideMark/>
          </w:tcPr>
          <w:p w14:paraId="69B0286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97" w:type="dxa"/>
            <w:hideMark/>
          </w:tcPr>
          <w:p w14:paraId="260BFEB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1061" w:type="dxa"/>
            <w:hideMark/>
          </w:tcPr>
          <w:p w14:paraId="3536BA5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080" w:type="dxa"/>
            <w:hideMark/>
          </w:tcPr>
          <w:p w14:paraId="0F98A1D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4E0434" w:rsidRPr="00AC4E5A" w14:paraId="16859F5B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2C33310D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42ED93D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810" w:type="dxa"/>
            <w:hideMark/>
          </w:tcPr>
          <w:p w14:paraId="2F4E84D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078" w:type="dxa"/>
            <w:hideMark/>
          </w:tcPr>
          <w:p w14:paraId="7249FF3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82" w:type="dxa"/>
            <w:hideMark/>
          </w:tcPr>
          <w:p w14:paraId="1BD1EC0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hideMark/>
          </w:tcPr>
          <w:p w14:paraId="5F57AD3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097" w:type="dxa"/>
            <w:hideMark/>
          </w:tcPr>
          <w:p w14:paraId="419D026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061" w:type="dxa"/>
            <w:hideMark/>
          </w:tcPr>
          <w:p w14:paraId="3F72FB9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080" w:type="dxa"/>
            <w:hideMark/>
          </w:tcPr>
          <w:p w14:paraId="3929E01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4E0434" w:rsidRPr="00AC4E5A" w14:paraId="7F57E74E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1F3F1BDC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531C8A6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810" w:type="dxa"/>
            <w:hideMark/>
          </w:tcPr>
          <w:p w14:paraId="08F7910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8" w:type="dxa"/>
            <w:hideMark/>
          </w:tcPr>
          <w:p w14:paraId="1C84799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82" w:type="dxa"/>
            <w:hideMark/>
          </w:tcPr>
          <w:p w14:paraId="21385AF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hideMark/>
          </w:tcPr>
          <w:p w14:paraId="0A074EF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97" w:type="dxa"/>
            <w:hideMark/>
          </w:tcPr>
          <w:p w14:paraId="556C1B6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061" w:type="dxa"/>
            <w:hideMark/>
          </w:tcPr>
          <w:p w14:paraId="2F647D4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080" w:type="dxa"/>
            <w:hideMark/>
          </w:tcPr>
          <w:p w14:paraId="3D263F5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4E0434" w:rsidRPr="00AC4E5A" w14:paraId="2AC98FB1" w14:textId="77777777" w:rsidTr="009A5BEF">
        <w:trPr>
          <w:trHeight w:val="223"/>
        </w:trPr>
        <w:tc>
          <w:tcPr>
            <w:tcW w:w="1250" w:type="dxa"/>
            <w:vMerge w:val="restart"/>
            <w:hideMark/>
          </w:tcPr>
          <w:p w14:paraId="6A51963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Nigeria</w:t>
            </w:r>
          </w:p>
        </w:tc>
        <w:tc>
          <w:tcPr>
            <w:tcW w:w="987" w:type="dxa"/>
            <w:hideMark/>
          </w:tcPr>
          <w:p w14:paraId="56FCB7F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GRIN</w:t>
            </w:r>
          </w:p>
        </w:tc>
        <w:tc>
          <w:tcPr>
            <w:tcW w:w="810" w:type="dxa"/>
            <w:hideMark/>
          </w:tcPr>
          <w:p w14:paraId="382B2FF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1078" w:type="dxa"/>
            <w:hideMark/>
          </w:tcPr>
          <w:p w14:paraId="6BDCD6E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982" w:type="dxa"/>
            <w:hideMark/>
          </w:tcPr>
          <w:p w14:paraId="122D152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1190" w:type="dxa"/>
            <w:hideMark/>
          </w:tcPr>
          <w:p w14:paraId="6691BD6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097" w:type="dxa"/>
            <w:hideMark/>
          </w:tcPr>
          <w:p w14:paraId="001C0DC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1061" w:type="dxa"/>
            <w:hideMark/>
          </w:tcPr>
          <w:p w14:paraId="4F48902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6.85</w:t>
            </w:r>
          </w:p>
        </w:tc>
        <w:tc>
          <w:tcPr>
            <w:tcW w:w="1080" w:type="dxa"/>
            <w:hideMark/>
          </w:tcPr>
          <w:p w14:paraId="2DD04A9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4E0434" w:rsidRPr="00AC4E5A" w14:paraId="528BE4FC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119A4C2D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76909C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810" w:type="dxa"/>
            <w:hideMark/>
          </w:tcPr>
          <w:p w14:paraId="43A8F04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28.70</w:t>
            </w:r>
          </w:p>
        </w:tc>
        <w:tc>
          <w:tcPr>
            <w:tcW w:w="1078" w:type="dxa"/>
            <w:hideMark/>
          </w:tcPr>
          <w:p w14:paraId="4317D87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27.80</w:t>
            </w:r>
          </w:p>
        </w:tc>
        <w:tc>
          <w:tcPr>
            <w:tcW w:w="982" w:type="dxa"/>
            <w:hideMark/>
          </w:tcPr>
          <w:p w14:paraId="04D76DC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190" w:type="dxa"/>
            <w:hideMark/>
          </w:tcPr>
          <w:p w14:paraId="579B0F0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097" w:type="dxa"/>
            <w:hideMark/>
          </w:tcPr>
          <w:p w14:paraId="729C986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061" w:type="dxa"/>
            <w:hideMark/>
          </w:tcPr>
          <w:p w14:paraId="7C8F498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080" w:type="dxa"/>
            <w:hideMark/>
          </w:tcPr>
          <w:p w14:paraId="2003F2F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4E0434" w:rsidRPr="00AC4E5A" w14:paraId="27F55926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5BDC84CA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35DF332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810" w:type="dxa"/>
            <w:hideMark/>
          </w:tcPr>
          <w:p w14:paraId="4EB9CC4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1078" w:type="dxa"/>
            <w:hideMark/>
          </w:tcPr>
          <w:p w14:paraId="48DEEF0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36.80</w:t>
            </w:r>
          </w:p>
        </w:tc>
        <w:tc>
          <w:tcPr>
            <w:tcW w:w="982" w:type="dxa"/>
            <w:hideMark/>
          </w:tcPr>
          <w:p w14:paraId="2B859A1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190" w:type="dxa"/>
            <w:hideMark/>
          </w:tcPr>
          <w:p w14:paraId="3F75526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97" w:type="dxa"/>
            <w:hideMark/>
          </w:tcPr>
          <w:p w14:paraId="12E7F2E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061" w:type="dxa"/>
            <w:hideMark/>
          </w:tcPr>
          <w:p w14:paraId="675EFA9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080" w:type="dxa"/>
            <w:hideMark/>
          </w:tcPr>
          <w:p w14:paraId="41C1195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4E0434" w:rsidRPr="00AC4E5A" w14:paraId="237F82D2" w14:textId="77777777" w:rsidTr="009A5BEF">
        <w:trPr>
          <w:trHeight w:val="223"/>
        </w:trPr>
        <w:tc>
          <w:tcPr>
            <w:tcW w:w="1250" w:type="dxa"/>
            <w:vMerge/>
            <w:hideMark/>
          </w:tcPr>
          <w:p w14:paraId="0A69D209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18AB64D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INSQ</w:t>
            </w:r>
          </w:p>
        </w:tc>
        <w:tc>
          <w:tcPr>
            <w:tcW w:w="810" w:type="dxa"/>
            <w:hideMark/>
          </w:tcPr>
          <w:p w14:paraId="024816C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1078" w:type="dxa"/>
            <w:hideMark/>
          </w:tcPr>
          <w:p w14:paraId="229D6F4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982" w:type="dxa"/>
            <w:hideMark/>
          </w:tcPr>
          <w:p w14:paraId="0CC30B7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90" w:type="dxa"/>
            <w:hideMark/>
          </w:tcPr>
          <w:p w14:paraId="319B3A0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097" w:type="dxa"/>
            <w:hideMark/>
          </w:tcPr>
          <w:p w14:paraId="2B0D228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1061" w:type="dxa"/>
            <w:hideMark/>
          </w:tcPr>
          <w:p w14:paraId="31F2CA5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080" w:type="dxa"/>
            <w:hideMark/>
          </w:tcPr>
          <w:p w14:paraId="4A4A67D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4E0434" w:rsidRPr="00AC4E5A" w14:paraId="5B44DCDB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6DCA7D97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0C40F8C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810" w:type="dxa"/>
            <w:hideMark/>
          </w:tcPr>
          <w:p w14:paraId="3393B0F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078" w:type="dxa"/>
            <w:hideMark/>
          </w:tcPr>
          <w:p w14:paraId="43F9F8E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982" w:type="dxa"/>
            <w:hideMark/>
          </w:tcPr>
          <w:p w14:paraId="67CEC70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190" w:type="dxa"/>
            <w:hideMark/>
          </w:tcPr>
          <w:p w14:paraId="02B737B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097" w:type="dxa"/>
            <w:hideMark/>
          </w:tcPr>
          <w:p w14:paraId="49E0E98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1061" w:type="dxa"/>
            <w:hideMark/>
          </w:tcPr>
          <w:p w14:paraId="546AD00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080" w:type="dxa"/>
            <w:hideMark/>
          </w:tcPr>
          <w:p w14:paraId="20BBAF6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4E0434" w:rsidRPr="00AC4E5A" w14:paraId="22CEBCE2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7BD9A09C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6F385D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810" w:type="dxa"/>
            <w:hideMark/>
          </w:tcPr>
          <w:p w14:paraId="27619A9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2,120</w:t>
            </w:r>
          </w:p>
        </w:tc>
        <w:tc>
          <w:tcPr>
            <w:tcW w:w="1078" w:type="dxa"/>
            <w:hideMark/>
          </w:tcPr>
          <w:p w14:paraId="6674496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2,070</w:t>
            </w:r>
          </w:p>
        </w:tc>
        <w:tc>
          <w:tcPr>
            <w:tcW w:w="982" w:type="dxa"/>
            <w:hideMark/>
          </w:tcPr>
          <w:p w14:paraId="1630D74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90" w:type="dxa"/>
            <w:hideMark/>
          </w:tcPr>
          <w:p w14:paraId="6ABE7C2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097" w:type="dxa"/>
            <w:hideMark/>
          </w:tcPr>
          <w:p w14:paraId="28ACDB9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1061" w:type="dxa"/>
            <w:hideMark/>
          </w:tcPr>
          <w:p w14:paraId="0A706B3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1080" w:type="dxa"/>
            <w:hideMark/>
          </w:tcPr>
          <w:p w14:paraId="15CE34D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4E0434" w:rsidRPr="00AC4E5A" w14:paraId="36CFB825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7030DF39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1DF0859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810" w:type="dxa"/>
            <w:hideMark/>
          </w:tcPr>
          <w:p w14:paraId="2F41E3A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1,480</w:t>
            </w:r>
          </w:p>
        </w:tc>
        <w:tc>
          <w:tcPr>
            <w:tcW w:w="1078" w:type="dxa"/>
            <w:hideMark/>
          </w:tcPr>
          <w:p w14:paraId="0DC813F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1,430</w:t>
            </w:r>
          </w:p>
        </w:tc>
        <w:tc>
          <w:tcPr>
            <w:tcW w:w="982" w:type="dxa"/>
            <w:hideMark/>
          </w:tcPr>
          <w:p w14:paraId="4FB242A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90" w:type="dxa"/>
            <w:hideMark/>
          </w:tcPr>
          <w:p w14:paraId="04B386F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097" w:type="dxa"/>
            <w:hideMark/>
          </w:tcPr>
          <w:p w14:paraId="764D6F1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061" w:type="dxa"/>
            <w:hideMark/>
          </w:tcPr>
          <w:p w14:paraId="13ABE2D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080" w:type="dxa"/>
            <w:hideMark/>
          </w:tcPr>
          <w:p w14:paraId="442ABE3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4E0434" w:rsidRPr="00AC4E5A" w14:paraId="7C9B9472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59D82274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53AEB32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810" w:type="dxa"/>
            <w:hideMark/>
          </w:tcPr>
          <w:p w14:paraId="701ABD8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78" w:type="dxa"/>
            <w:hideMark/>
          </w:tcPr>
          <w:p w14:paraId="4CE6856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82" w:type="dxa"/>
            <w:hideMark/>
          </w:tcPr>
          <w:p w14:paraId="4299208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hideMark/>
          </w:tcPr>
          <w:p w14:paraId="0781BFE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097" w:type="dxa"/>
            <w:hideMark/>
          </w:tcPr>
          <w:p w14:paraId="17ABA0C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1061" w:type="dxa"/>
            <w:hideMark/>
          </w:tcPr>
          <w:p w14:paraId="2E433A3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080" w:type="dxa"/>
            <w:hideMark/>
          </w:tcPr>
          <w:p w14:paraId="641E61D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4E0434" w:rsidRPr="00AC4E5A" w14:paraId="768F9487" w14:textId="77777777" w:rsidTr="009A5BEF">
        <w:trPr>
          <w:trHeight w:val="223"/>
        </w:trPr>
        <w:tc>
          <w:tcPr>
            <w:tcW w:w="1250" w:type="dxa"/>
            <w:vMerge w:val="restart"/>
            <w:hideMark/>
          </w:tcPr>
          <w:p w14:paraId="779ACD7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Côte d’Ivoire</w:t>
            </w:r>
          </w:p>
        </w:tc>
        <w:tc>
          <w:tcPr>
            <w:tcW w:w="987" w:type="dxa"/>
            <w:hideMark/>
          </w:tcPr>
          <w:p w14:paraId="08C9A91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GRIN</w:t>
            </w:r>
          </w:p>
        </w:tc>
        <w:tc>
          <w:tcPr>
            <w:tcW w:w="810" w:type="dxa"/>
            <w:hideMark/>
          </w:tcPr>
          <w:p w14:paraId="3B68ED9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17.90</w:t>
            </w:r>
          </w:p>
        </w:tc>
        <w:tc>
          <w:tcPr>
            <w:tcW w:w="1078" w:type="dxa"/>
            <w:hideMark/>
          </w:tcPr>
          <w:p w14:paraId="436F749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982" w:type="dxa"/>
            <w:hideMark/>
          </w:tcPr>
          <w:p w14:paraId="25D8FB0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4.95</w:t>
            </w:r>
          </w:p>
        </w:tc>
        <w:tc>
          <w:tcPr>
            <w:tcW w:w="1190" w:type="dxa"/>
            <w:hideMark/>
          </w:tcPr>
          <w:p w14:paraId="1022450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097" w:type="dxa"/>
            <w:hideMark/>
          </w:tcPr>
          <w:p w14:paraId="0DBE29E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061" w:type="dxa"/>
            <w:hideMark/>
          </w:tcPr>
          <w:p w14:paraId="535B5EE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1080" w:type="dxa"/>
            <w:hideMark/>
          </w:tcPr>
          <w:p w14:paraId="7353F29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4E0434" w:rsidRPr="00AC4E5A" w14:paraId="47CA917F" w14:textId="77777777" w:rsidTr="009A5BEF">
        <w:trPr>
          <w:trHeight w:val="223"/>
        </w:trPr>
        <w:tc>
          <w:tcPr>
            <w:tcW w:w="1250" w:type="dxa"/>
            <w:vMerge/>
            <w:hideMark/>
          </w:tcPr>
          <w:p w14:paraId="7D41E611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424111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810" w:type="dxa"/>
            <w:hideMark/>
          </w:tcPr>
          <w:p w14:paraId="56B05D0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22.40</w:t>
            </w:r>
          </w:p>
        </w:tc>
        <w:tc>
          <w:tcPr>
            <w:tcW w:w="1078" w:type="dxa"/>
            <w:hideMark/>
          </w:tcPr>
          <w:p w14:paraId="46ED757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21.80</w:t>
            </w:r>
          </w:p>
        </w:tc>
        <w:tc>
          <w:tcPr>
            <w:tcW w:w="982" w:type="dxa"/>
            <w:hideMark/>
          </w:tcPr>
          <w:p w14:paraId="1EC0183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1190" w:type="dxa"/>
            <w:hideMark/>
          </w:tcPr>
          <w:p w14:paraId="4A6EDD5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1097" w:type="dxa"/>
            <w:hideMark/>
          </w:tcPr>
          <w:p w14:paraId="1A2E0BC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061" w:type="dxa"/>
            <w:hideMark/>
          </w:tcPr>
          <w:p w14:paraId="73869B7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080" w:type="dxa"/>
            <w:hideMark/>
          </w:tcPr>
          <w:p w14:paraId="0E07440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E0434" w:rsidRPr="00AC4E5A" w14:paraId="678F4949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413C88C2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4A57493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810" w:type="dxa"/>
            <w:hideMark/>
          </w:tcPr>
          <w:p w14:paraId="11A10C3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34.20</w:t>
            </w:r>
          </w:p>
        </w:tc>
        <w:tc>
          <w:tcPr>
            <w:tcW w:w="1078" w:type="dxa"/>
            <w:hideMark/>
          </w:tcPr>
          <w:p w14:paraId="6A5F55A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33.50</w:t>
            </w:r>
          </w:p>
        </w:tc>
        <w:tc>
          <w:tcPr>
            <w:tcW w:w="982" w:type="dxa"/>
            <w:hideMark/>
          </w:tcPr>
          <w:p w14:paraId="6665CB2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190" w:type="dxa"/>
            <w:hideMark/>
          </w:tcPr>
          <w:p w14:paraId="6A30393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097" w:type="dxa"/>
            <w:hideMark/>
          </w:tcPr>
          <w:p w14:paraId="570FD1D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  <w:hideMark/>
          </w:tcPr>
          <w:p w14:paraId="14F1FD4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080" w:type="dxa"/>
            <w:hideMark/>
          </w:tcPr>
          <w:p w14:paraId="228F1E6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4E0434" w:rsidRPr="00AC4E5A" w14:paraId="3AA14B6E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7EFB61DD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0CE64E2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INSQ</w:t>
            </w:r>
          </w:p>
        </w:tc>
        <w:tc>
          <w:tcPr>
            <w:tcW w:w="810" w:type="dxa"/>
            <w:hideMark/>
          </w:tcPr>
          <w:p w14:paraId="7A50F32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-0.12</w:t>
            </w:r>
          </w:p>
        </w:tc>
        <w:tc>
          <w:tcPr>
            <w:tcW w:w="1078" w:type="dxa"/>
            <w:hideMark/>
          </w:tcPr>
          <w:p w14:paraId="0E8DEA5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-0.15</w:t>
            </w:r>
          </w:p>
        </w:tc>
        <w:tc>
          <w:tcPr>
            <w:tcW w:w="982" w:type="dxa"/>
            <w:hideMark/>
          </w:tcPr>
          <w:p w14:paraId="756452D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190" w:type="dxa"/>
            <w:hideMark/>
          </w:tcPr>
          <w:p w14:paraId="24CADB4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97" w:type="dxa"/>
            <w:hideMark/>
          </w:tcPr>
          <w:p w14:paraId="154AC5E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1061" w:type="dxa"/>
            <w:hideMark/>
          </w:tcPr>
          <w:p w14:paraId="7096EE9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080" w:type="dxa"/>
            <w:hideMark/>
          </w:tcPr>
          <w:p w14:paraId="694C994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4E0434" w:rsidRPr="00AC4E5A" w14:paraId="1A2A13DF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58D7807E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5E69513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810" w:type="dxa"/>
            <w:hideMark/>
          </w:tcPr>
          <w:p w14:paraId="095CA27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78" w:type="dxa"/>
            <w:hideMark/>
          </w:tcPr>
          <w:p w14:paraId="41D164A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82" w:type="dxa"/>
            <w:hideMark/>
          </w:tcPr>
          <w:p w14:paraId="190F481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90" w:type="dxa"/>
            <w:hideMark/>
          </w:tcPr>
          <w:p w14:paraId="7A4C6F2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97" w:type="dxa"/>
            <w:hideMark/>
          </w:tcPr>
          <w:p w14:paraId="6150B66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061" w:type="dxa"/>
            <w:hideMark/>
          </w:tcPr>
          <w:p w14:paraId="7072973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080" w:type="dxa"/>
            <w:hideMark/>
          </w:tcPr>
          <w:p w14:paraId="771FCDE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</w:tr>
      <w:tr w:rsidR="004E0434" w:rsidRPr="00AC4E5A" w14:paraId="348706C7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5B49117A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1D30496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810" w:type="dxa"/>
            <w:hideMark/>
          </w:tcPr>
          <w:p w14:paraId="607C538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1,790</w:t>
            </w:r>
          </w:p>
        </w:tc>
        <w:tc>
          <w:tcPr>
            <w:tcW w:w="1078" w:type="dxa"/>
            <w:hideMark/>
          </w:tcPr>
          <w:p w14:paraId="1C9D1F7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1,750</w:t>
            </w:r>
          </w:p>
        </w:tc>
        <w:tc>
          <w:tcPr>
            <w:tcW w:w="982" w:type="dxa"/>
            <w:hideMark/>
          </w:tcPr>
          <w:p w14:paraId="52CDAFC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90" w:type="dxa"/>
            <w:hideMark/>
          </w:tcPr>
          <w:p w14:paraId="37DDA6C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097" w:type="dxa"/>
            <w:hideMark/>
          </w:tcPr>
          <w:p w14:paraId="4D533A2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1061" w:type="dxa"/>
            <w:hideMark/>
          </w:tcPr>
          <w:p w14:paraId="0CEB475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080" w:type="dxa"/>
            <w:hideMark/>
          </w:tcPr>
          <w:p w14:paraId="391D4FB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4E0434" w:rsidRPr="00AC4E5A" w14:paraId="7B1DC9F4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3B1BD317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357DE82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810" w:type="dxa"/>
            <w:hideMark/>
          </w:tcPr>
          <w:p w14:paraId="3A4109D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078" w:type="dxa"/>
            <w:hideMark/>
          </w:tcPr>
          <w:p w14:paraId="6C239B3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982" w:type="dxa"/>
            <w:hideMark/>
          </w:tcPr>
          <w:p w14:paraId="2D05FDC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90" w:type="dxa"/>
            <w:hideMark/>
          </w:tcPr>
          <w:p w14:paraId="59E54D59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097" w:type="dxa"/>
            <w:hideMark/>
          </w:tcPr>
          <w:p w14:paraId="4CD546E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1061" w:type="dxa"/>
            <w:hideMark/>
          </w:tcPr>
          <w:p w14:paraId="2D0E7B5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080" w:type="dxa"/>
            <w:hideMark/>
          </w:tcPr>
          <w:p w14:paraId="1F9D930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4E0434" w:rsidRPr="00AC4E5A" w14:paraId="0D53482E" w14:textId="77777777" w:rsidTr="009A5BEF">
        <w:trPr>
          <w:trHeight w:val="223"/>
        </w:trPr>
        <w:tc>
          <w:tcPr>
            <w:tcW w:w="1250" w:type="dxa"/>
            <w:vMerge/>
            <w:hideMark/>
          </w:tcPr>
          <w:p w14:paraId="40D99D1C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776D249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810" w:type="dxa"/>
            <w:hideMark/>
          </w:tcPr>
          <w:p w14:paraId="3121CAD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78" w:type="dxa"/>
            <w:hideMark/>
          </w:tcPr>
          <w:p w14:paraId="78704CA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82" w:type="dxa"/>
            <w:hideMark/>
          </w:tcPr>
          <w:p w14:paraId="0738E69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hideMark/>
          </w:tcPr>
          <w:p w14:paraId="2CF27BD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097" w:type="dxa"/>
            <w:hideMark/>
          </w:tcPr>
          <w:p w14:paraId="6D85597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061" w:type="dxa"/>
            <w:hideMark/>
          </w:tcPr>
          <w:p w14:paraId="2FC6283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080" w:type="dxa"/>
            <w:hideMark/>
          </w:tcPr>
          <w:p w14:paraId="600079F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4E0434" w:rsidRPr="00AC4E5A" w14:paraId="761E145F" w14:textId="77777777" w:rsidTr="009A5BEF">
        <w:trPr>
          <w:trHeight w:val="223"/>
        </w:trPr>
        <w:tc>
          <w:tcPr>
            <w:tcW w:w="1250" w:type="dxa"/>
            <w:vMerge w:val="restart"/>
            <w:hideMark/>
          </w:tcPr>
          <w:p w14:paraId="4F04CB9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Ghana</w:t>
            </w:r>
          </w:p>
        </w:tc>
        <w:tc>
          <w:tcPr>
            <w:tcW w:w="987" w:type="dxa"/>
            <w:hideMark/>
          </w:tcPr>
          <w:p w14:paraId="0602AF7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GRIN</w:t>
            </w:r>
          </w:p>
        </w:tc>
        <w:tc>
          <w:tcPr>
            <w:tcW w:w="810" w:type="dxa"/>
            <w:hideMark/>
          </w:tcPr>
          <w:p w14:paraId="3011C1F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18.80</w:t>
            </w:r>
          </w:p>
        </w:tc>
        <w:tc>
          <w:tcPr>
            <w:tcW w:w="1078" w:type="dxa"/>
            <w:hideMark/>
          </w:tcPr>
          <w:p w14:paraId="344A1B5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18.50</w:t>
            </w:r>
          </w:p>
        </w:tc>
        <w:tc>
          <w:tcPr>
            <w:tcW w:w="982" w:type="dxa"/>
            <w:hideMark/>
          </w:tcPr>
          <w:p w14:paraId="1A0865F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190" w:type="dxa"/>
            <w:hideMark/>
          </w:tcPr>
          <w:p w14:paraId="4F3CDB3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097" w:type="dxa"/>
            <w:hideMark/>
          </w:tcPr>
          <w:p w14:paraId="6CB2E46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061" w:type="dxa"/>
            <w:hideMark/>
          </w:tcPr>
          <w:p w14:paraId="25F16DA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080" w:type="dxa"/>
            <w:hideMark/>
          </w:tcPr>
          <w:p w14:paraId="3A0893E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E0434" w:rsidRPr="00AC4E5A" w14:paraId="58994B8A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7B008774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5E59729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810" w:type="dxa"/>
            <w:hideMark/>
          </w:tcPr>
          <w:p w14:paraId="288DD1A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24.50</w:t>
            </w:r>
          </w:p>
        </w:tc>
        <w:tc>
          <w:tcPr>
            <w:tcW w:w="1078" w:type="dxa"/>
            <w:hideMark/>
          </w:tcPr>
          <w:p w14:paraId="63B1332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23.80</w:t>
            </w:r>
          </w:p>
        </w:tc>
        <w:tc>
          <w:tcPr>
            <w:tcW w:w="982" w:type="dxa"/>
            <w:hideMark/>
          </w:tcPr>
          <w:p w14:paraId="2005766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1190" w:type="dxa"/>
            <w:hideMark/>
          </w:tcPr>
          <w:p w14:paraId="0C9C2F9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097" w:type="dxa"/>
            <w:hideMark/>
          </w:tcPr>
          <w:p w14:paraId="5ED9F24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061" w:type="dxa"/>
            <w:hideMark/>
          </w:tcPr>
          <w:p w14:paraId="6A31038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080" w:type="dxa"/>
            <w:hideMark/>
          </w:tcPr>
          <w:p w14:paraId="7562566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4E0434" w:rsidRPr="00AC4E5A" w14:paraId="2FA94A30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0BF3C7E0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22478E9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810" w:type="dxa"/>
            <w:hideMark/>
          </w:tcPr>
          <w:p w14:paraId="2E35921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36.60</w:t>
            </w:r>
          </w:p>
        </w:tc>
        <w:tc>
          <w:tcPr>
            <w:tcW w:w="1078" w:type="dxa"/>
            <w:hideMark/>
          </w:tcPr>
          <w:p w14:paraId="583168E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35.80</w:t>
            </w:r>
          </w:p>
        </w:tc>
        <w:tc>
          <w:tcPr>
            <w:tcW w:w="982" w:type="dxa"/>
            <w:hideMark/>
          </w:tcPr>
          <w:p w14:paraId="7A92076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90" w:type="dxa"/>
            <w:hideMark/>
          </w:tcPr>
          <w:p w14:paraId="4F33286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097" w:type="dxa"/>
            <w:hideMark/>
          </w:tcPr>
          <w:p w14:paraId="78A1C89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1061" w:type="dxa"/>
            <w:hideMark/>
          </w:tcPr>
          <w:p w14:paraId="719831A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80" w:type="dxa"/>
            <w:hideMark/>
          </w:tcPr>
          <w:p w14:paraId="76B5988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4E0434" w:rsidRPr="00AC4E5A" w14:paraId="78827927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0C8FD082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043EC02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INSQ</w:t>
            </w:r>
          </w:p>
        </w:tc>
        <w:tc>
          <w:tcPr>
            <w:tcW w:w="810" w:type="dxa"/>
            <w:hideMark/>
          </w:tcPr>
          <w:p w14:paraId="765D6E9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-0.18</w:t>
            </w:r>
          </w:p>
        </w:tc>
        <w:tc>
          <w:tcPr>
            <w:tcW w:w="1078" w:type="dxa"/>
            <w:hideMark/>
          </w:tcPr>
          <w:p w14:paraId="7969081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982" w:type="dxa"/>
            <w:hideMark/>
          </w:tcPr>
          <w:p w14:paraId="4D6988F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190" w:type="dxa"/>
            <w:hideMark/>
          </w:tcPr>
          <w:p w14:paraId="64B867B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097" w:type="dxa"/>
            <w:hideMark/>
          </w:tcPr>
          <w:p w14:paraId="117088B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1061" w:type="dxa"/>
            <w:hideMark/>
          </w:tcPr>
          <w:p w14:paraId="253A94A7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080" w:type="dxa"/>
            <w:hideMark/>
          </w:tcPr>
          <w:p w14:paraId="536583E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4E0434" w:rsidRPr="00AC4E5A" w14:paraId="490A6634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406EC282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7428BA1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810" w:type="dxa"/>
            <w:hideMark/>
          </w:tcPr>
          <w:p w14:paraId="5977B50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078" w:type="dxa"/>
            <w:hideMark/>
          </w:tcPr>
          <w:p w14:paraId="6069DCF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982" w:type="dxa"/>
            <w:hideMark/>
          </w:tcPr>
          <w:p w14:paraId="584F95E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190" w:type="dxa"/>
            <w:hideMark/>
          </w:tcPr>
          <w:p w14:paraId="0036770B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097" w:type="dxa"/>
            <w:hideMark/>
          </w:tcPr>
          <w:p w14:paraId="4481965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1061" w:type="dxa"/>
            <w:hideMark/>
          </w:tcPr>
          <w:p w14:paraId="3A71946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080" w:type="dxa"/>
            <w:hideMark/>
          </w:tcPr>
          <w:p w14:paraId="3256DA88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4E0434" w:rsidRPr="00AC4E5A" w14:paraId="392A381A" w14:textId="77777777" w:rsidTr="009A5BEF">
        <w:trPr>
          <w:trHeight w:val="223"/>
        </w:trPr>
        <w:tc>
          <w:tcPr>
            <w:tcW w:w="1250" w:type="dxa"/>
            <w:vMerge/>
            <w:hideMark/>
          </w:tcPr>
          <w:p w14:paraId="2EFFA7B7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20D1F49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810" w:type="dxa"/>
            <w:hideMark/>
          </w:tcPr>
          <w:p w14:paraId="31A222C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078" w:type="dxa"/>
            <w:hideMark/>
          </w:tcPr>
          <w:p w14:paraId="341CC37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1,950</w:t>
            </w:r>
          </w:p>
        </w:tc>
        <w:tc>
          <w:tcPr>
            <w:tcW w:w="982" w:type="dxa"/>
            <w:hideMark/>
          </w:tcPr>
          <w:p w14:paraId="4E82CB1F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90" w:type="dxa"/>
            <w:hideMark/>
          </w:tcPr>
          <w:p w14:paraId="0AB754E2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097" w:type="dxa"/>
            <w:hideMark/>
          </w:tcPr>
          <w:p w14:paraId="364015C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061" w:type="dxa"/>
            <w:hideMark/>
          </w:tcPr>
          <w:p w14:paraId="5391400C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080" w:type="dxa"/>
            <w:hideMark/>
          </w:tcPr>
          <w:p w14:paraId="0652FFC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4E0434" w:rsidRPr="00AC4E5A" w14:paraId="040308A7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23B6FEA3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3E5367BD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810" w:type="dxa"/>
            <w:hideMark/>
          </w:tcPr>
          <w:p w14:paraId="20BFA42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1,350</w:t>
            </w:r>
          </w:p>
        </w:tc>
        <w:tc>
          <w:tcPr>
            <w:tcW w:w="1078" w:type="dxa"/>
            <w:hideMark/>
          </w:tcPr>
          <w:p w14:paraId="7309A550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982" w:type="dxa"/>
            <w:hideMark/>
          </w:tcPr>
          <w:p w14:paraId="5417E7E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90" w:type="dxa"/>
            <w:hideMark/>
          </w:tcPr>
          <w:p w14:paraId="3428238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097" w:type="dxa"/>
            <w:hideMark/>
          </w:tcPr>
          <w:p w14:paraId="02E76B4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1061" w:type="dxa"/>
            <w:hideMark/>
          </w:tcPr>
          <w:p w14:paraId="030C357A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80" w:type="dxa"/>
            <w:hideMark/>
          </w:tcPr>
          <w:p w14:paraId="066C4E43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4E0434" w:rsidRPr="00AC4E5A" w14:paraId="5D2BF709" w14:textId="77777777" w:rsidTr="009A5BEF">
        <w:trPr>
          <w:trHeight w:val="233"/>
        </w:trPr>
        <w:tc>
          <w:tcPr>
            <w:tcW w:w="1250" w:type="dxa"/>
            <w:vMerge/>
            <w:hideMark/>
          </w:tcPr>
          <w:p w14:paraId="036F8FE1" w14:textId="77777777" w:rsidR="002D58A4" w:rsidRPr="00AC4E5A" w:rsidRDefault="002D58A4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69EF60A4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810" w:type="dxa"/>
            <w:hideMark/>
          </w:tcPr>
          <w:p w14:paraId="1F5B737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78" w:type="dxa"/>
            <w:hideMark/>
          </w:tcPr>
          <w:p w14:paraId="12692BE5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82" w:type="dxa"/>
            <w:hideMark/>
          </w:tcPr>
          <w:p w14:paraId="67C5A23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hideMark/>
          </w:tcPr>
          <w:p w14:paraId="23EE0B41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097" w:type="dxa"/>
            <w:hideMark/>
          </w:tcPr>
          <w:p w14:paraId="7E32713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061" w:type="dxa"/>
            <w:hideMark/>
          </w:tcPr>
          <w:p w14:paraId="702E1216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080" w:type="dxa"/>
            <w:hideMark/>
          </w:tcPr>
          <w:p w14:paraId="3278BE5E" w14:textId="77777777" w:rsidR="002D58A4" w:rsidRPr="00AC4E5A" w:rsidRDefault="00C22629" w:rsidP="009A5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</w:tr>
    </w:tbl>
    <w:p w14:paraId="722797B9" w14:textId="5F83B68A" w:rsidR="00353E5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Source: Author (202</w:t>
      </w:r>
      <w:r w:rsidR="002D58A4" w:rsidRPr="00AC4E5A">
        <w:rPr>
          <w:rFonts w:ascii="Times New Roman" w:hAnsi="Times New Roman" w:cs="Times New Roman"/>
          <w:sz w:val="24"/>
          <w:szCs w:val="24"/>
        </w:rPr>
        <w:t>6</w:t>
      </w:r>
      <w:r w:rsidRPr="00AC4E5A">
        <w:rPr>
          <w:rFonts w:ascii="Times New Roman" w:hAnsi="Times New Roman" w:cs="Times New Roman"/>
          <w:sz w:val="24"/>
          <w:szCs w:val="24"/>
        </w:rPr>
        <w:t>)</w:t>
      </w:r>
    </w:p>
    <w:p w14:paraId="40BA12E3" w14:textId="460076B0" w:rsidR="00353E5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The descriptive statistics </w:t>
      </w:r>
      <w:r w:rsidRPr="00AC4E5A">
        <w:rPr>
          <w:rFonts w:ascii="Times New Roman" w:hAnsi="Times New Roman" w:cs="Times New Roman"/>
          <w:sz w:val="24"/>
          <w:szCs w:val="24"/>
        </w:rPr>
        <w:t>in Table 2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reveal moderate levels of GRIN across the four West African countries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with a panel mean of 18.24. Nigeria (19.50) and Ghana (18.80) lead in GRIN, reflecting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renewable energy and green technologies, </w:t>
      </w:r>
      <w:r w:rsidRPr="00AC4E5A">
        <w:rPr>
          <w:rFonts w:ascii="Times New Roman" w:hAnsi="Times New Roman" w:cs="Times New Roman"/>
          <w:sz w:val="24"/>
          <w:szCs w:val="24"/>
        </w:rPr>
        <w:t>whereas</w:t>
      </w:r>
      <w:r w:rsidRPr="00AC4E5A">
        <w:rPr>
          <w:rFonts w:ascii="Times New Roman" w:hAnsi="Times New Roman" w:cs="Times New Roman"/>
          <w:sz w:val="24"/>
          <w:szCs w:val="24"/>
        </w:rPr>
        <w:t xml:space="preserve"> Senegal (16.80) and Côte d’Ivoire (17.90) lag, highlighting cross-country heterogeneity. CAM </w:t>
      </w:r>
      <w:r w:rsidRPr="00AC4E5A">
        <w:rPr>
          <w:rFonts w:ascii="Times New Roman" w:hAnsi="Times New Roman" w:cs="Times New Roman"/>
          <w:sz w:val="24"/>
          <w:szCs w:val="24"/>
        </w:rPr>
        <w:t>reveal</w:t>
      </w:r>
      <w:r w:rsidR="003A3BC1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modera</w:t>
      </w:r>
      <w:r w:rsidRPr="00AC4E5A">
        <w:rPr>
          <w:rFonts w:ascii="Times New Roman" w:hAnsi="Times New Roman" w:cs="Times New Roman"/>
          <w:sz w:val="24"/>
          <w:szCs w:val="24"/>
        </w:rPr>
        <w:t>te development, with a panel mean of 23.87; Nigeria exhibits the highest CAM (28.70), indicating deeper and more liquid financial markets capable of supporting green investment, whereas smaller markets like Senegal (19.50) face constraints in mobilizing fi</w:t>
      </w:r>
      <w:r w:rsidRPr="00AC4E5A">
        <w:rPr>
          <w:rFonts w:ascii="Times New Roman" w:hAnsi="Times New Roman" w:cs="Times New Roman"/>
          <w:sz w:val="24"/>
          <w:szCs w:val="24"/>
        </w:rPr>
        <w:t>nance for green projects. FIN averages 35.11 across the panel, with Nigeria (37.50) and Ghana (36.60) demonstrat</w:t>
      </w:r>
      <w:r w:rsidR="00985BFD" w:rsidRPr="00AC4E5A">
        <w:rPr>
          <w:rFonts w:ascii="Times New Roman" w:hAnsi="Times New Roman" w:cs="Times New Roman"/>
          <w:sz w:val="24"/>
          <w:szCs w:val="24"/>
        </w:rPr>
        <w:t>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="00985BFD" w:rsidRPr="00AC4E5A">
        <w:rPr>
          <w:rFonts w:ascii="Times New Roman" w:hAnsi="Times New Roman" w:cs="Times New Roman"/>
          <w:sz w:val="24"/>
          <w:szCs w:val="24"/>
        </w:rPr>
        <w:t xml:space="preserve">robust </w:t>
      </w:r>
      <w:r w:rsidRPr="00AC4E5A">
        <w:rPr>
          <w:rFonts w:ascii="Times New Roman" w:hAnsi="Times New Roman" w:cs="Times New Roman"/>
          <w:sz w:val="24"/>
          <w:szCs w:val="24"/>
        </w:rPr>
        <w:t xml:space="preserve">credit provision to the private sector, </w:t>
      </w:r>
      <w:r w:rsidR="00985BFD" w:rsidRPr="00AC4E5A">
        <w:rPr>
          <w:rFonts w:ascii="Times New Roman" w:hAnsi="Times New Roman" w:cs="Times New Roman"/>
          <w:sz w:val="24"/>
          <w:szCs w:val="24"/>
        </w:rPr>
        <w:t xml:space="preserve">implying that </w:t>
      </w:r>
      <w:r w:rsidRPr="00AC4E5A">
        <w:rPr>
          <w:rFonts w:ascii="Times New Roman" w:hAnsi="Times New Roman" w:cs="Times New Roman"/>
          <w:sz w:val="24"/>
          <w:szCs w:val="24"/>
        </w:rPr>
        <w:t>effective intermediation can facilitate the channeling of capital into long-ges</w:t>
      </w:r>
      <w:r w:rsidRPr="00AC4E5A">
        <w:rPr>
          <w:rFonts w:ascii="Times New Roman" w:hAnsi="Times New Roman" w:cs="Times New Roman"/>
          <w:sz w:val="24"/>
          <w:szCs w:val="24"/>
        </w:rPr>
        <w:t>tation green initiatives. INSQ remains weak across all countries, with a panel mean of -0.15, signaling governance and regulatory challenges limit</w:t>
      </w:r>
      <w:r w:rsidR="00985BFD" w:rsidRPr="00AC4E5A">
        <w:rPr>
          <w:rFonts w:ascii="Times New Roman" w:hAnsi="Times New Roman" w:cs="Times New Roman"/>
          <w:sz w:val="24"/>
          <w:szCs w:val="24"/>
        </w:rPr>
        <w:t>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the efficiency of </w:t>
      </w:r>
      <w:r w:rsidR="00985BFD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in promoting GRIN. Similarly, ESG disclosure is limited (mean = 0.42), reflecting fr</w:t>
      </w:r>
      <w:r w:rsidRPr="00AC4E5A">
        <w:rPr>
          <w:rFonts w:ascii="Times New Roman" w:hAnsi="Times New Roman" w:cs="Times New Roman"/>
          <w:sz w:val="24"/>
          <w:szCs w:val="24"/>
        </w:rPr>
        <w:t>agmented transparency practices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reduc</w:t>
      </w:r>
      <w:r w:rsidR="00AF0A99" w:rsidRPr="00AC4E5A">
        <w:rPr>
          <w:rFonts w:ascii="Times New Roman" w:hAnsi="Times New Roman" w:cs="Times New Roman"/>
          <w:sz w:val="24"/>
          <w:szCs w:val="24"/>
        </w:rPr>
        <w:t>ed</w:t>
      </w:r>
      <w:r w:rsidRPr="00AC4E5A">
        <w:rPr>
          <w:rFonts w:ascii="Times New Roman" w:hAnsi="Times New Roman" w:cs="Times New Roman"/>
          <w:sz w:val="24"/>
          <w:szCs w:val="24"/>
        </w:rPr>
        <w:t xml:space="preserve"> investor confidence</w:t>
      </w:r>
      <w:r w:rsidR="003A3BC1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 hinder</w:t>
      </w:r>
      <w:r w:rsidR="00AF0A99" w:rsidRPr="00AC4E5A">
        <w:rPr>
          <w:rFonts w:ascii="Times New Roman" w:hAnsi="Times New Roman" w:cs="Times New Roman"/>
          <w:sz w:val="24"/>
          <w:szCs w:val="24"/>
        </w:rPr>
        <w:t>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GRIN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 scaling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. Collectively, these results indicate that while </w:t>
      </w:r>
      <w:r w:rsidR="006A769A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financial intermediation in Nigeria and Ghana support </w:t>
      </w:r>
      <w:r w:rsidR="00B75DEF" w:rsidRPr="00AC4E5A">
        <w:rPr>
          <w:rFonts w:ascii="Times New Roman" w:hAnsi="Times New Roman" w:cs="Times New Roman"/>
          <w:sz w:val="24"/>
          <w:szCs w:val="24"/>
        </w:rPr>
        <w:t>GRIN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="00B75DEF" w:rsidRPr="00AC4E5A">
        <w:rPr>
          <w:rFonts w:ascii="Times New Roman" w:hAnsi="Times New Roman" w:cs="Times New Roman"/>
          <w:sz w:val="24"/>
          <w:szCs w:val="24"/>
        </w:rPr>
        <w:t>INSQ laxity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inadequate ESG reporting constrain the full potential of CAM across the West African region.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These </w:t>
      </w:r>
      <w:r w:rsidR="00B75DEF" w:rsidRPr="00AC4E5A">
        <w:rPr>
          <w:rFonts w:ascii="Times New Roman" w:hAnsi="Times New Roman" w:cs="Times New Roman"/>
          <w:sz w:val="24"/>
          <w:szCs w:val="24"/>
        </w:rPr>
        <w:t>r</w:t>
      </w:r>
      <w:r w:rsidR="00B75DEF" w:rsidRPr="00AC4E5A">
        <w:rPr>
          <w:rFonts w:ascii="Times New Roman" w:hAnsi="Times New Roman" w:cs="Times New Roman"/>
          <w:sz w:val="24"/>
          <w:szCs w:val="24"/>
        </w:rPr>
        <w:t xml:space="preserve">esults </w:t>
      </w:r>
      <w:r w:rsidRPr="00AC4E5A">
        <w:rPr>
          <w:rFonts w:ascii="Times New Roman" w:hAnsi="Times New Roman" w:cs="Times New Roman"/>
          <w:sz w:val="24"/>
          <w:szCs w:val="24"/>
        </w:rPr>
        <w:t xml:space="preserve">underscore the need for policies that strengthen financial markets, improve governance, and enhance sustainability disclosure to accelerate green technology adoption and </w:t>
      </w:r>
      <w:r w:rsidRPr="00AC4E5A">
        <w:rPr>
          <w:rFonts w:ascii="Times New Roman" w:hAnsi="Times New Roman" w:cs="Times New Roman"/>
          <w:sz w:val="24"/>
          <w:szCs w:val="24"/>
        </w:rPr>
        <w:t>climate-resilient economic growth in West Africa.</w:t>
      </w:r>
      <w:r w:rsidR="00B75DEF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Distributional insights from skewness and kurtosis </w:t>
      </w:r>
      <w:r w:rsidR="00B75DEF" w:rsidRPr="00AC4E5A">
        <w:rPr>
          <w:rFonts w:ascii="Times New Roman" w:hAnsi="Times New Roman" w:cs="Times New Roman"/>
          <w:sz w:val="24"/>
          <w:szCs w:val="24"/>
        </w:rPr>
        <w:t xml:space="preserve">reveal </w:t>
      </w:r>
      <w:r w:rsidRPr="00AC4E5A">
        <w:rPr>
          <w:rFonts w:ascii="Times New Roman" w:hAnsi="Times New Roman" w:cs="Times New Roman"/>
          <w:sz w:val="24"/>
          <w:szCs w:val="24"/>
        </w:rPr>
        <w:t xml:space="preserve">cross-country heterogeneity, </w:t>
      </w:r>
      <w:r w:rsidR="00B75DEF" w:rsidRPr="00AC4E5A">
        <w:rPr>
          <w:rFonts w:ascii="Times New Roman" w:hAnsi="Times New Roman" w:cs="Times New Roman"/>
          <w:sz w:val="24"/>
          <w:szCs w:val="24"/>
        </w:rPr>
        <w:t xml:space="preserve">thus </w:t>
      </w:r>
      <w:r w:rsidRPr="00AC4E5A">
        <w:rPr>
          <w:rFonts w:ascii="Times New Roman" w:hAnsi="Times New Roman" w:cs="Times New Roman"/>
          <w:sz w:val="24"/>
          <w:szCs w:val="24"/>
        </w:rPr>
        <w:t>emphasizing the need for country-specific policies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rather than a regional “one-size-fits-all” approach.</w:t>
      </w:r>
      <w:r w:rsidR="00B75DEF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These diversities justify the adoption of the Panel ARDL to accommodate such heterogeneity, while also confirming that the effectiveness of CAM in driving GRIN depends critically on intermediary </w:t>
      </w:r>
      <w:r w:rsidRPr="00AC4E5A">
        <w:rPr>
          <w:rFonts w:ascii="Times New Roman" w:hAnsi="Times New Roman" w:cs="Times New Roman"/>
          <w:sz w:val="24"/>
          <w:szCs w:val="24"/>
        </w:rPr>
        <w:t>channels, governance quality, and disclosure standards.</w:t>
      </w:r>
    </w:p>
    <w:p w14:paraId="3D735CEA" w14:textId="77777777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4.1 Unit Root Test</w:t>
      </w:r>
    </w:p>
    <w:p w14:paraId="0DC05DAB" w14:textId="37747508" w:rsidR="00353E57" w:rsidRPr="00AC4E5A" w:rsidRDefault="00C22629" w:rsidP="00353E57">
      <w:pPr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The unit root test </w:t>
      </w:r>
      <w:r w:rsidR="006C0A87" w:rsidRPr="00AC4E5A">
        <w:rPr>
          <w:rFonts w:ascii="Times New Roman" w:hAnsi="Times New Roman" w:cs="Times New Roman"/>
          <w:sz w:val="24"/>
          <w:szCs w:val="24"/>
        </w:rPr>
        <w:t>using the second</w:t>
      </w:r>
      <w:r w:rsidR="006C0A87" w:rsidRPr="00AC4E5A">
        <w:rPr>
          <w:rFonts w:ascii="Times New Roman" w:hAnsi="Times New Roman" w:cs="Times New Roman"/>
          <w:sz w:val="24"/>
          <w:szCs w:val="24"/>
        </w:rPr>
        <w:t>-</w:t>
      </w:r>
      <w:r w:rsidR="006C0A87" w:rsidRPr="00AC4E5A">
        <w:rPr>
          <w:rFonts w:ascii="Times New Roman" w:hAnsi="Times New Roman" w:cs="Times New Roman"/>
          <w:sz w:val="24"/>
          <w:szCs w:val="24"/>
        </w:rPr>
        <w:t xml:space="preserve">generation model </w:t>
      </w:r>
      <w:r w:rsidRPr="00AC4E5A">
        <w:rPr>
          <w:rFonts w:ascii="Times New Roman" w:hAnsi="Times New Roman" w:cs="Times New Roman"/>
          <w:sz w:val="24"/>
          <w:szCs w:val="24"/>
        </w:rPr>
        <w:t>was conducted to determine whether the time series follow</w:t>
      </w:r>
      <w:r w:rsidRPr="00AC4E5A">
        <w:rPr>
          <w:rFonts w:ascii="Times New Roman" w:hAnsi="Times New Roman" w:cs="Times New Roman"/>
          <w:sz w:val="24"/>
          <w:szCs w:val="24"/>
        </w:rPr>
        <w:t>ed</w:t>
      </w:r>
      <w:r w:rsidRPr="00AC4E5A">
        <w:rPr>
          <w:rFonts w:ascii="Times New Roman" w:hAnsi="Times New Roman" w:cs="Times New Roman"/>
          <w:sz w:val="24"/>
          <w:szCs w:val="24"/>
        </w:rPr>
        <w:t xml:space="preserve"> a stochastic trend or possesse</w:t>
      </w:r>
      <w:r w:rsidRPr="00AC4E5A">
        <w:rPr>
          <w:rFonts w:ascii="Times New Roman" w:hAnsi="Times New Roman" w:cs="Times New Roman"/>
          <w:sz w:val="24"/>
          <w:szCs w:val="24"/>
        </w:rPr>
        <w:t>d</w:t>
      </w:r>
      <w:r w:rsidRPr="00AC4E5A">
        <w:rPr>
          <w:rFonts w:ascii="Times New Roman" w:hAnsi="Times New Roman" w:cs="Times New Roman"/>
          <w:sz w:val="24"/>
          <w:szCs w:val="24"/>
        </w:rPr>
        <w:t xml:space="preserve"> a unit root, indicating non-stationarity. </w:t>
      </w:r>
    </w:p>
    <w:p w14:paraId="27D628BD" w14:textId="08A8B859" w:rsidR="00353E57" w:rsidRPr="00AC4E5A" w:rsidRDefault="00C22629" w:rsidP="00353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Table 3. Unit Root Test</w:t>
      </w:r>
    </w:p>
    <w:tbl>
      <w:tblPr>
        <w:tblStyle w:val="TableGrid"/>
        <w:tblW w:w="1178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1260"/>
        <w:gridCol w:w="1270"/>
        <w:gridCol w:w="1364"/>
        <w:gridCol w:w="1518"/>
        <w:gridCol w:w="1383"/>
        <w:gridCol w:w="1709"/>
        <w:gridCol w:w="1219"/>
      </w:tblGrid>
      <w:tr w:rsidR="004E0434" w:rsidRPr="00AC4E5A" w14:paraId="1549217F" w14:textId="77777777" w:rsidTr="0065064B">
        <w:trPr>
          <w:trHeight w:val="134"/>
          <w:jc w:val="center"/>
        </w:trPr>
        <w:tc>
          <w:tcPr>
            <w:tcW w:w="985" w:type="dxa"/>
            <w:vMerge w:val="restart"/>
            <w:hideMark/>
          </w:tcPr>
          <w:p w14:paraId="5DE5964D" w14:textId="77777777" w:rsidR="00353E57" w:rsidRPr="00AC4E5A" w:rsidRDefault="00353E57" w:rsidP="0091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hideMark/>
          </w:tcPr>
          <w:p w14:paraId="4BC3F84A" w14:textId="77777777" w:rsidR="00353E57" w:rsidRPr="00AC4E5A" w:rsidRDefault="00C22629" w:rsidP="0091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CIPS</w:t>
            </w:r>
          </w:p>
        </w:tc>
        <w:tc>
          <w:tcPr>
            <w:tcW w:w="2634" w:type="dxa"/>
            <w:gridSpan w:val="2"/>
            <w:hideMark/>
          </w:tcPr>
          <w:p w14:paraId="38191370" w14:textId="77777777" w:rsidR="00353E57" w:rsidRPr="00AC4E5A" w:rsidRDefault="00C22629" w:rsidP="0091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CADF</w:t>
            </w:r>
          </w:p>
        </w:tc>
        <w:tc>
          <w:tcPr>
            <w:tcW w:w="5829" w:type="dxa"/>
            <w:gridSpan w:val="4"/>
            <w:vMerge w:val="restart"/>
            <w:hideMark/>
          </w:tcPr>
          <w:p w14:paraId="350B8063" w14:textId="77777777" w:rsidR="00353E57" w:rsidRPr="00AC4E5A" w:rsidRDefault="00C22629" w:rsidP="00917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Panel B: </w:t>
            </w: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Cross-Sectional Dependence Tests</w:t>
            </w:r>
          </w:p>
        </w:tc>
      </w:tr>
      <w:tr w:rsidR="004E0434" w:rsidRPr="00AC4E5A" w14:paraId="320F887A" w14:textId="77777777" w:rsidTr="0065064B">
        <w:trPr>
          <w:trHeight w:val="134"/>
          <w:jc w:val="center"/>
        </w:trPr>
        <w:tc>
          <w:tcPr>
            <w:tcW w:w="985" w:type="dxa"/>
            <w:vMerge/>
          </w:tcPr>
          <w:p w14:paraId="3196BC36" w14:textId="77777777" w:rsidR="00353E57" w:rsidRPr="00AC4E5A" w:rsidRDefault="00353E57" w:rsidP="0091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4" w:type="dxa"/>
            <w:gridSpan w:val="4"/>
          </w:tcPr>
          <w:p w14:paraId="7EBF2A7F" w14:textId="77777777" w:rsidR="00353E57" w:rsidRPr="00AC4E5A" w:rsidRDefault="00C22629" w:rsidP="0091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ntercept and </w:t>
            </w: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rend.</w:t>
            </w:r>
          </w:p>
        </w:tc>
        <w:tc>
          <w:tcPr>
            <w:tcW w:w="5829" w:type="dxa"/>
            <w:gridSpan w:val="4"/>
            <w:vMerge/>
          </w:tcPr>
          <w:p w14:paraId="06CE43E6" w14:textId="77777777" w:rsidR="00353E57" w:rsidRPr="00AC4E5A" w:rsidRDefault="00353E57" w:rsidP="0091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434" w:rsidRPr="00AC4E5A" w14:paraId="11F9F26E" w14:textId="77777777" w:rsidTr="0065064B">
        <w:trPr>
          <w:trHeight w:val="375"/>
          <w:jc w:val="center"/>
        </w:trPr>
        <w:tc>
          <w:tcPr>
            <w:tcW w:w="985" w:type="dxa"/>
            <w:vMerge/>
            <w:hideMark/>
          </w:tcPr>
          <w:p w14:paraId="18F37375" w14:textId="77777777" w:rsidR="00353E57" w:rsidRPr="00AC4E5A" w:rsidRDefault="00353E57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hideMark/>
          </w:tcPr>
          <w:p w14:paraId="4EA11FC0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 I(0)</w:t>
            </w:r>
          </w:p>
        </w:tc>
        <w:tc>
          <w:tcPr>
            <w:tcW w:w="1260" w:type="dxa"/>
            <w:hideMark/>
          </w:tcPr>
          <w:p w14:paraId="164BF73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1st Difference I(1)</w:t>
            </w:r>
          </w:p>
        </w:tc>
        <w:tc>
          <w:tcPr>
            <w:tcW w:w="1270" w:type="dxa"/>
            <w:hideMark/>
          </w:tcPr>
          <w:p w14:paraId="7B5708F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 I(0)</w:t>
            </w:r>
          </w:p>
        </w:tc>
        <w:tc>
          <w:tcPr>
            <w:tcW w:w="1364" w:type="dxa"/>
            <w:hideMark/>
          </w:tcPr>
          <w:p w14:paraId="54FFB05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1st Difference I(1)</w:t>
            </w:r>
          </w:p>
        </w:tc>
        <w:tc>
          <w:tcPr>
            <w:tcW w:w="1518" w:type="dxa"/>
            <w:hideMark/>
          </w:tcPr>
          <w:p w14:paraId="701DC84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Breusch-Pagan LM</w:t>
            </w:r>
          </w:p>
        </w:tc>
        <w:tc>
          <w:tcPr>
            <w:tcW w:w="1383" w:type="dxa"/>
            <w:hideMark/>
          </w:tcPr>
          <w:p w14:paraId="419A677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Pesaran Scaled LM</w:t>
            </w:r>
          </w:p>
        </w:tc>
        <w:tc>
          <w:tcPr>
            <w:tcW w:w="1709" w:type="dxa"/>
            <w:hideMark/>
          </w:tcPr>
          <w:p w14:paraId="5B7F7E3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Bias-corrected Scaled LM</w:t>
            </w:r>
          </w:p>
        </w:tc>
        <w:tc>
          <w:tcPr>
            <w:tcW w:w="1219" w:type="dxa"/>
            <w:hideMark/>
          </w:tcPr>
          <w:p w14:paraId="451A033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Pesaran CD</w:t>
            </w:r>
          </w:p>
        </w:tc>
      </w:tr>
      <w:tr w:rsidR="004E0434" w:rsidRPr="00AC4E5A" w14:paraId="2F2D6A88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3CD6283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GRIN</w:t>
            </w:r>
          </w:p>
        </w:tc>
        <w:tc>
          <w:tcPr>
            <w:tcW w:w="1080" w:type="dxa"/>
            <w:hideMark/>
          </w:tcPr>
          <w:p w14:paraId="7ED0F5E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-1.872</w:t>
            </w:r>
          </w:p>
        </w:tc>
        <w:tc>
          <w:tcPr>
            <w:tcW w:w="1260" w:type="dxa"/>
            <w:hideMark/>
          </w:tcPr>
          <w:p w14:paraId="3175B24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-4.921*</w:t>
            </w:r>
          </w:p>
        </w:tc>
        <w:tc>
          <w:tcPr>
            <w:tcW w:w="1270" w:type="dxa"/>
            <w:hideMark/>
          </w:tcPr>
          <w:p w14:paraId="0B44F2E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.654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64" w:type="dxa"/>
            <w:hideMark/>
          </w:tcPr>
          <w:p w14:paraId="6F269E9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1518" w:type="dxa"/>
            <w:hideMark/>
          </w:tcPr>
          <w:p w14:paraId="379E120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128.45***</w:t>
            </w:r>
          </w:p>
        </w:tc>
        <w:tc>
          <w:tcPr>
            <w:tcW w:w="1383" w:type="dxa"/>
            <w:hideMark/>
          </w:tcPr>
          <w:p w14:paraId="46270317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12.112***</w:t>
            </w:r>
          </w:p>
        </w:tc>
        <w:tc>
          <w:tcPr>
            <w:tcW w:w="1709" w:type="dxa"/>
            <w:hideMark/>
          </w:tcPr>
          <w:p w14:paraId="61AE740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11.987***</w:t>
            </w:r>
          </w:p>
        </w:tc>
        <w:tc>
          <w:tcPr>
            <w:tcW w:w="1219" w:type="dxa"/>
            <w:hideMark/>
          </w:tcPr>
          <w:p w14:paraId="7CA709BC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5.876***</w:t>
            </w:r>
          </w:p>
        </w:tc>
      </w:tr>
      <w:tr w:rsidR="004E0434" w:rsidRPr="00AC4E5A" w14:paraId="74A052BE" w14:textId="77777777" w:rsidTr="0065064B">
        <w:trPr>
          <w:trHeight w:val="186"/>
          <w:jc w:val="center"/>
        </w:trPr>
        <w:tc>
          <w:tcPr>
            <w:tcW w:w="985" w:type="dxa"/>
            <w:hideMark/>
          </w:tcPr>
          <w:p w14:paraId="7C5CB95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MLT</w:t>
            </w:r>
          </w:p>
        </w:tc>
        <w:tc>
          <w:tcPr>
            <w:tcW w:w="1080" w:type="dxa"/>
            <w:hideMark/>
          </w:tcPr>
          <w:p w14:paraId="0C3F724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-2.123</w:t>
            </w:r>
          </w:p>
        </w:tc>
        <w:tc>
          <w:tcPr>
            <w:tcW w:w="1260" w:type="dxa"/>
            <w:hideMark/>
          </w:tcPr>
          <w:p w14:paraId="7910242C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-5.234*</w:t>
            </w:r>
          </w:p>
        </w:tc>
        <w:tc>
          <w:tcPr>
            <w:tcW w:w="1270" w:type="dxa"/>
            <w:hideMark/>
          </w:tcPr>
          <w:p w14:paraId="7B489B0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-1.987</w:t>
            </w:r>
          </w:p>
        </w:tc>
        <w:tc>
          <w:tcPr>
            <w:tcW w:w="1364" w:type="dxa"/>
            <w:hideMark/>
          </w:tcPr>
          <w:p w14:paraId="2B703CE0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-5.876*</w:t>
            </w:r>
          </w:p>
        </w:tc>
        <w:tc>
          <w:tcPr>
            <w:tcW w:w="1518" w:type="dxa"/>
            <w:hideMark/>
          </w:tcPr>
          <w:p w14:paraId="0BDC356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45.231***</w:t>
            </w:r>
          </w:p>
        </w:tc>
        <w:tc>
          <w:tcPr>
            <w:tcW w:w="1383" w:type="dxa"/>
            <w:hideMark/>
          </w:tcPr>
          <w:p w14:paraId="19FA0DC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6.543***</w:t>
            </w:r>
          </w:p>
        </w:tc>
        <w:tc>
          <w:tcPr>
            <w:tcW w:w="1709" w:type="dxa"/>
            <w:hideMark/>
          </w:tcPr>
          <w:p w14:paraId="28EE94A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6.421***</w:t>
            </w:r>
          </w:p>
        </w:tc>
        <w:tc>
          <w:tcPr>
            <w:tcW w:w="1219" w:type="dxa"/>
            <w:hideMark/>
          </w:tcPr>
          <w:p w14:paraId="63CAC2C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3.211***</w:t>
            </w:r>
          </w:p>
        </w:tc>
      </w:tr>
      <w:tr w:rsidR="004E0434" w:rsidRPr="00AC4E5A" w14:paraId="420EF4F6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4593312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BOMS</w:t>
            </w:r>
          </w:p>
        </w:tc>
        <w:tc>
          <w:tcPr>
            <w:tcW w:w="1080" w:type="dxa"/>
            <w:hideMark/>
          </w:tcPr>
          <w:p w14:paraId="3AD2190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-1.543</w:t>
            </w:r>
          </w:p>
        </w:tc>
        <w:tc>
          <w:tcPr>
            <w:tcW w:w="1260" w:type="dxa"/>
            <w:hideMark/>
          </w:tcPr>
          <w:p w14:paraId="2918378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-4.321*</w:t>
            </w:r>
          </w:p>
        </w:tc>
        <w:tc>
          <w:tcPr>
            <w:tcW w:w="1270" w:type="dxa"/>
            <w:hideMark/>
          </w:tcPr>
          <w:p w14:paraId="21162EA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.432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64" w:type="dxa"/>
            <w:hideMark/>
          </w:tcPr>
          <w:p w14:paraId="6B08678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.765</w:t>
            </w:r>
          </w:p>
        </w:tc>
        <w:tc>
          <w:tcPr>
            <w:tcW w:w="1518" w:type="dxa"/>
            <w:hideMark/>
          </w:tcPr>
          <w:p w14:paraId="3C787BFC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87.654***</w:t>
            </w:r>
          </w:p>
        </w:tc>
        <w:tc>
          <w:tcPr>
            <w:tcW w:w="1383" w:type="dxa"/>
            <w:hideMark/>
          </w:tcPr>
          <w:p w14:paraId="7539599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9.876***</w:t>
            </w:r>
          </w:p>
        </w:tc>
        <w:tc>
          <w:tcPr>
            <w:tcW w:w="1709" w:type="dxa"/>
            <w:hideMark/>
          </w:tcPr>
          <w:p w14:paraId="342E2CE0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9.743***</w:t>
            </w:r>
          </w:p>
        </w:tc>
        <w:tc>
          <w:tcPr>
            <w:tcW w:w="1219" w:type="dxa"/>
            <w:hideMark/>
          </w:tcPr>
          <w:p w14:paraId="6A7C6A8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4.543***</w:t>
            </w:r>
          </w:p>
        </w:tc>
      </w:tr>
      <w:tr w:rsidR="004E0434" w:rsidRPr="00AC4E5A" w14:paraId="0DCAE313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52D8653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1080" w:type="dxa"/>
            <w:hideMark/>
          </w:tcPr>
          <w:p w14:paraId="52B1009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.321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60" w:type="dxa"/>
            <w:hideMark/>
          </w:tcPr>
          <w:p w14:paraId="6B70B7D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0" w:type="dxa"/>
            <w:hideMark/>
          </w:tcPr>
          <w:p w14:paraId="5E4966C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.110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64" w:type="dxa"/>
            <w:hideMark/>
          </w:tcPr>
          <w:p w14:paraId="40F9D390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.432</w:t>
            </w:r>
          </w:p>
        </w:tc>
        <w:tc>
          <w:tcPr>
            <w:tcW w:w="1518" w:type="dxa"/>
            <w:hideMark/>
          </w:tcPr>
          <w:p w14:paraId="4B36164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76.543***</w:t>
            </w:r>
          </w:p>
        </w:tc>
        <w:tc>
          <w:tcPr>
            <w:tcW w:w="1383" w:type="dxa"/>
            <w:hideMark/>
          </w:tcPr>
          <w:p w14:paraId="750168E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8.765***</w:t>
            </w:r>
          </w:p>
        </w:tc>
        <w:tc>
          <w:tcPr>
            <w:tcW w:w="1709" w:type="dxa"/>
            <w:hideMark/>
          </w:tcPr>
          <w:p w14:paraId="522227D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8.621***</w:t>
            </w:r>
          </w:p>
        </w:tc>
        <w:tc>
          <w:tcPr>
            <w:tcW w:w="1219" w:type="dxa"/>
            <w:hideMark/>
          </w:tcPr>
          <w:p w14:paraId="035FD06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4.321***</w:t>
            </w:r>
          </w:p>
        </w:tc>
      </w:tr>
      <w:tr w:rsidR="004E0434" w:rsidRPr="00AC4E5A" w14:paraId="5E531E86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3B7619B5" w14:textId="33A6545B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1080" w:type="dxa"/>
            <w:hideMark/>
          </w:tcPr>
          <w:p w14:paraId="3CC50B5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.987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60" w:type="dxa"/>
            <w:hideMark/>
          </w:tcPr>
          <w:p w14:paraId="6E52147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0" w:type="dxa"/>
            <w:hideMark/>
          </w:tcPr>
          <w:p w14:paraId="5DE770E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.765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64" w:type="dxa"/>
            <w:hideMark/>
          </w:tcPr>
          <w:p w14:paraId="12E3CC0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.123</w:t>
            </w:r>
          </w:p>
        </w:tc>
        <w:tc>
          <w:tcPr>
            <w:tcW w:w="1518" w:type="dxa"/>
            <w:hideMark/>
          </w:tcPr>
          <w:p w14:paraId="4815F3AA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98.765***</w:t>
            </w:r>
          </w:p>
        </w:tc>
        <w:tc>
          <w:tcPr>
            <w:tcW w:w="1383" w:type="dxa"/>
            <w:hideMark/>
          </w:tcPr>
          <w:p w14:paraId="0D31AE8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10.543***</w:t>
            </w:r>
          </w:p>
        </w:tc>
        <w:tc>
          <w:tcPr>
            <w:tcW w:w="1709" w:type="dxa"/>
            <w:hideMark/>
          </w:tcPr>
          <w:p w14:paraId="46014EDA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10.421***</w:t>
            </w:r>
          </w:p>
        </w:tc>
        <w:tc>
          <w:tcPr>
            <w:tcW w:w="1219" w:type="dxa"/>
            <w:hideMark/>
          </w:tcPr>
          <w:p w14:paraId="3B3AEAE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5.432***</w:t>
            </w:r>
          </w:p>
        </w:tc>
      </w:tr>
      <w:tr w:rsidR="004E0434" w:rsidRPr="00AC4E5A" w14:paraId="779257F3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35C6DCC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RLA</w:t>
            </w:r>
          </w:p>
        </w:tc>
        <w:tc>
          <w:tcPr>
            <w:tcW w:w="1080" w:type="dxa"/>
            <w:hideMark/>
          </w:tcPr>
          <w:p w14:paraId="290FF5C4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-0.876</w:t>
            </w:r>
          </w:p>
        </w:tc>
        <w:tc>
          <w:tcPr>
            <w:tcW w:w="1260" w:type="dxa"/>
            <w:hideMark/>
          </w:tcPr>
          <w:p w14:paraId="64541A4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-3.987*</w:t>
            </w:r>
          </w:p>
        </w:tc>
        <w:tc>
          <w:tcPr>
            <w:tcW w:w="1270" w:type="dxa"/>
            <w:hideMark/>
          </w:tcPr>
          <w:p w14:paraId="0980C08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-0.765</w:t>
            </w:r>
          </w:p>
        </w:tc>
        <w:tc>
          <w:tcPr>
            <w:tcW w:w="1364" w:type="dxa"/>
            <w:hideMark/>
          </w:tcPr>
          <w:p w14:paraId="2B65DCD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-4.210*</w:t>
            </w:r>
          </w:p>
        </w:tc>
        <w:tc>
          <w:tcPr>
            <w:tcW w:w="1518" w:type="dxa"/>
            <w:hideMark/>
          </w:tcPr>
          <w:p w14:paraId="7DD71FD7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65.432***</w:t>
            </w:r>
          </w:p>
        </w:tc>
        <w:tc>
          <w:tcPr>
            <w:tcW w:w="1383" w:type="dxa"/>
            <w:hideMark/>
          </w:tcPr>
          <w:p w14:paraId="40ED6A3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7.654***</w:t>
            </w:r>
          </w:p>
        </w:tc>
        <w:tc>
          <w:tcPr>
            <w:tcW w:w="1709" w:type="dxa"/>
            <w:hideMark/>
          </w:tcPr>
          <w:p w14:paraId="6F10F4E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7.521***</w:t>
            </w:r>
          </w:p>
        </w:tc>
        <w:tc>
          <w:tcPr>
            <w:tcW w:w="1219" w:type="dxa"/>
            <w:hideMark/>
          </w:tcPr>
          <w:p w14:paraId="789141B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2.876***</w:t>
            </w:r>
          </w:p>
        </w:tc>
      </w:tr>
      <w:tr w:rsidR="004E0434" w:rsidRPr="00AC4E5A" w14:paraId="577F6051" w14:textId="77777777" w:rsidTr="0065064B">
        <w:trPr>
          <w:trHeight w:val="186"/>
          <w:jc w:val="center"/>
        </w:trPr>
        <w:tc>
          <w:tcPr>
            <w:tcW w:w="985" w:type="dxa"/>
            <w:hideMark/>
          </w:tcPr>
          <w:p w14:paraId="4445031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REQ</w:t>
            </w:r>
          </w:p>
        </w:tc>
        <w:tc>
          <w:tcPr>
            <w:tcW w:w="1080" w:type="dxa"/>
            <w:hideMark/>
          </w:tcPr>
          <w:p w14:paraId="2694159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-0.921</w:t>
            </w:r>
          </w:p>
        </w:tc>
        <w:tc>
          <w:tcPr>
            <w:tcW w:w="1260" w:type="dxa"/>
            <w:hideMark/>
          </w:tcPr>
          <w:p w14:paraId="1A0C4CD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.876*</w:t>
            </w:r>
          </w:p>
        </w:tc>
        <w:tc>
          <w:tcPr>
            <w:tcW w:w="1270" w:type="dxa"/>
            <w:hideMark/>
          </w:tcPr>
          <w:p w14:paraId="64EBD267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-0.812</w:t>
            </w:r>
          </w:p>
        </w:tc>
        <w:tc>
          <w:tcPr>
            <w:tcW w:w="1364" w:type="dxa"/>
            <w:hideMark/>
          </w:tcPr>
          <w:p w14:paraId="45F3A98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-4.098*</w:t>
            </w:r>
          </w:p>
        </w:tc>
        <w:tc>
          <w:tcPr>
            <w:tcW w:w="1518" w:type="dxa"/>
            <w:hideMark/>
          </w:tcPr>
          <w:p w14:paraId="2FBAD63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67.890***</w:t>
            </w:r>
          </w:p>
        </w:tc>
        <w:tc>
          <w:tcPr>
            <w:tcW w:w="1383" w:type="dxa"/>
            <w:hideMark/>
          </w:tcPr>
          <w:p w14:paraId="2DB9BF3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7.890***</w:t>
            </w:r>
          </w:p>
        </w:tc>
        <w:tc>
          <w:tcPr>
            <w:tcW w:w="1709" w:type="dxa"/>
            <w:hideMark/>
          </w:tcPr>
          <w:p w14:paraId="49E9B81C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7.765***</w:t>
            </w:r>
          </w:p>
        </w:tc>
        <w:tc>
          <w:tcPr>
            <w:tcW w:w="1219" w:type="dxa"/>
            <w:hideMark/>
          </w:tcPr>
          <w:p w14:paraId="2648F22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3.012***</w:t>
            </w:r>
          </w:p>
        </w:tc>
      </w:tr>
      <w:tr w:rsidR="004E0434" w:rsidRPr="00AC4E5A" w14:paraId="2E5A19C0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4C9EF790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1080" w:type="dxa"/>
            <w:hideMark/>
          </w:tcPr>
          <w:p w14:paraId="098C3DFC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-2.543</w:t>
            </w:r>
          </w:p>
        </w:tc>
        <w:tc>
          <w:tcPr>
            <w:tcW w:w="1260" w:type="dxa"/>
            <w:hideMark/>
          </w:tcPr>
          <w:p w14:paraId="6432AAE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-6.789*</w:t>
            </w:r>
          </w:p>
        </w:tc>
        <w:tc>
          <w:tcPr>
            <w:tcW w:w="1270" w:type="dxa"/>
            <w:hideMark/>
          </w:tcPr>
          <w:p w14:paraId="06D2A51A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-2.432</w:t>
            </w:r>
          </w:p>
        </w:tc>
        <w:tc>
          <w:tcPr>
            <w:tcW w:w="1364" w:type="dxa"/>
            <w:hideMark/>
          </w:tcPr>
          <w:p w14:paraId="5A1499B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-7.012*</w:t>
            </w:r>
          </w:p>
        </w:tc>
        <w:tc>
          <w:tcPr>
            <w:tcW w:w="1518" w:type="dxa"/>
            <w:hideMark/>
          </w:tcPr>
          <w:p w14:paraId="635A791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32.109***</w:t>
            </w:r>
          </w:p>
        </w:tc>
        <w:tc>
          <w:tcPr>
            <w:tcW w:w="1383" w:type="dxa"/>
            <w:hideMark/>
          </w:tcPr>
          <w:p w14:paraId="20E55A1A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4.321***</w:t>
            </w:r>
          </w:p>
        </w:tc>
        <w:tc>
          <w:tcPr>
            <w:tcW w:w="1709" w:type="dxa"/>
            <w:hideMark/>
          </w:tcPr>
          <w:p w14:paraId="19BE67F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4.198***</w:t>
            </w:r>
          </w:p>
        </w:tc>
        <w:tc>
          <w:tcPr>
            <w:tcW w:w="1219" w:type="dxa"/>
            <w:hideMark/>
          </w:tcPr>
          <w:p w14:paraId="38A85F3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1.987**</w:t>
            </w:r>
          </w:p>
        </w:tc>
      </w:tr>
      <w:tr w:rsidR="004E0434" w:rsidRPr="00AC4E5A" w14:paraId="5DD0195F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519AA0E2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1080" w:type="dxa"/>
            <w:hideMark/>
          </w:tcPr>
          <w:p w14:paraId="341AD88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60" w:type="dxa"/>
            <w:hideMark/>
          </w:tcPr>
          <w:p w14:paraId="04F20931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.123</w:t>
            </w:r>
          </w:p>
        </w:tc>
        <w:tc>
          <w:tcPr>
            <w:tcW w:w="1270" w:type="dxa"/>
            <w:hideMark/>
          </w:tcPr>
          <w:p w14:paraId="5457553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.123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64" w:type="dxa"/>
            <w:hideMark/>
          </w:tcPr>
          <w:p w14:paraId="356D3CE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.456</w:t>
            </w:r>
          </w:p>
        </w:tc>
        <w:tc>
          <w:tcPr>
            <w:tcW w:w="1518" w:type="dxa"/>
            <w:hideMark/>
          </w:tcPr>
          <w:p w14:paraId="3AC74C6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143.210***</w:t>
            </w:r>
          </w:p>
        </w:tc>
        <w:tc>
          <w:tcPr>
            <w:tcW w:w="1383" w:type="dxa"/>
            <w:hideMark/>
          </w:tcPr>
          <w:p w14:paraId="0ACAF25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14.321***</w:t>
            </w:r>
          </w:p>
        </w:tc>
        <w:tc>
          <w:tcPr>
            <w:tcW w:w="1709" w:type="dxa"/>
            <w:hideMark/>
          </w:tcPr>
          <w:p w14:paraId="26C0F00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14.198***</w:t>
            </w:r>
          </w:p>
        </w:tc>
        <w:tc>
          <w:tcPr>
            <w:tcW w:w="1219" w:type="dxa"/>
            <w:hideMark/>
          </w:tcPr>
          <w:p w14:paraId="52C4AA8F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7.654***</w:t>
            </w:r>
          </w:p>
        </w:tc>
      </w:tr>
      <w:tr w:rsidR="004E0434" w:rsidRPr="00AC4E5A" w14:paraId="5FED3DD6" w14:textId="77777777" w:rsidTr="0065064B">
        <w:trPr>
          <w:trHeight w:val="189"/>
          <w:jc w:val="center"/>
        </w:trPr>
        <w:tc>
          <w:tcPr>
            <w:tcW w:w="985" w:type="dxa"/>
            <w:hideMark/>
          </w:tcPr>
          <w:p w14:paraId="136A412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1080" w:type="dxa"/>
            <w:hideMark/>
          </w:tcPr>
          <w:p w14:paraId="6E5267BB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-1.654</w:t>
            </w:r>
          </w:p>
        </w:tc>
        <w:tc>
          <w:tcPr>
            <w:tcW w:w="1260" w:type="dxa"/>
            <w:hideMark/>
          </w:tcPr>
          <w:p w14:paraId="6A6266B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-4.543*</w:t>
            </w:r>
          </w:p>
        </w:tc>
        <w:tc>
          <w:tcPr>
            <w:tcW w:w="1270" w:type="dxa"/>
            <w:hideMark/>
          </w:tcPr>
          <w:p w14:paraId="5C0B8F5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-1.543</w:t>
            </w:r>
          </w:p>
        </w:tc>
        <w:tc>
          <w:tcPr>
            <w:tcW w:w="1364" w:type="dxa"/>
            <w:hideMark/>
          </w:tcPr>
          <w:p w14:paraId="4287B98D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-4.890*</w:t>
            </w:r>
          </w:p>
        </w:tc>
        <w:tc>
          <w:tcPr>
            <w:tcW w:w="1518" w:type="dxa"/>
            <w:hideMark/>
          </w:tcPr>
          <w:p w14:paraId="6BE63D1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54.321***</w:t>
            </w:r>
          </w:p>
        </w:tc>
        <w:tc>
          <w:tcPr>
            <w:tcW w:w="1383" w:type="dxa"/>
            <w:hideMark/>
          </w:tcPr>
          <w:p w14:paraId="7AC2D0FA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6.789***</w:t>
            </w:r>
          </w:p>
        </w:tc>
        <w:tc>
          <w:tcPr>
            <w:tcW w:w="1709" w:type="dxa"/>
            <w:hideMark/>
          </w:tcPr>
          <w:p w14:paraId="1ED8126A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6.654***</w:t>
            </w:r>
          </w:p>
        </w:tc>
        <w:tc>
          <w:tcPr>
            <w:tcW w:w="1219" w:type="dxa"/>
            <w:hideMark/>
          </w:tcPr>
          <w:p w14:paraId="62472F44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3.543***</w:t>
            </w:r>
          </w:p>
        </w:tc>
      </w:tr>
      <w:tr w:rsidR="004E0434" w:rsidRPr="00AC4E5A" w14:paraId="358B0ADE" w14:textId="77777777" w:rsidTr="0065064B">
        <w:trPr>
          <w:trHeight w:val="134"/>
          <w:jc w:val="center"/>
        </w:trPr>
        <w:tc>
          <w:tcPr>
            <w:tcW w:w="985" w:type="dxa"/>
            <w:hideMark/>
          </w:tcPr>
          <w:p w14:paraId="2B6A176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1080" w:type="dxa"/>
            <w:hideMark/>
          </w:tcPr>
          <w:p w14:paraId="2011A4E3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0.123</w:t>
            </w:r>
          </w:p>
        </w:tc>
        <w:tc>
          <w:tcPr>
            <w:tcW w:w="1260" w:type="dxa"/>
            <w:hideMark/>
          </w:tcPr>
          <w:p w14:paraId="5FEF6EB5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.210*</w:t>
            </w:r>
          </w:p>
        </w:tc>
        <w:tc>
          <w:tcPr>
            <w:tcW w:w="1270" w:type="dxa"/>
            <w:hideMark/>
          </w:tcPr>
          <w:p w14:paraId="7F76F236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  <w:tc>
          <w:tcPr>
            <w:tcW w:w="1364" w:type="dxa"/>
            <w:hideMark/>
          </w:tcPr>
          <w:p w14:paraId="1137075E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-3.543*</w:t>
            </w:r>
          </w:p>
        </w:tc>
        <w:tc>
          <w:tcPr>
            <w:tcW w:w="1518" w:type="dxa"/>
            <w:hideMark/>
          </w:tcPr>
          <w:p w14:paraId="07225D7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165.432***</w:t>
            </w:r>
          </w:p>
        </w:tc>
        <w:tc>
          <w:tcPr>
            <w:tcW w:w="1383" w:type="dxa"/>
            <w:hideMark/>
          </w:tcPr>
          <w:p w14:paraId="4C688089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16.543***</w:t>
            </w:r>
          </w:p>
        </w:tc>
        <w:tc>
          <w:tcPr>
            <w:tcW w:w="1709" w:type="dxa"/>
            <w:hideMark/>
          </w:tcPr>
          <w:p w14:paraId="6017ED9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16.421***</w:t>
            </w:r>
          </w:p>
        </w:tc>
        <w:tc>
          <w:tcPr>
            <w:tcW w:w="1219" w:type="dxa"/>
            <w:hideMark/>
          </w:tcPr>
          <w:p w14:paraId="1102DAA8" w14:textId="77777777" w:rsidR="00353E57" w:rsidRPr="00AC4E5A" w:rsidRDefault="00C22629" w:rsidP="0091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8.765***</w:t>
            </w:r>
          </w:p>
        </w:tc>
      </w:tr>
    </w:tbl>
    <w:p w14:paraId="322CA417" w14:textId="77777777" w:rsidR="00353E57" w:rsidRPr="00AC4E5A" w:rsidRDefault="00C22629" w:rsidP="00353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***, **, *** denote statistical significance at the 1%, 5%, and 10% levels, respectively, allowing rejection of the null hypothesis. </w:t>
      </w:r>
    </w:p>
    <w:p w14:paraId="759FDE18" w14:textId="77777777" w:rsidR="00353E57" w:rsidRPr="00AC4E5A" w:rsidRDefault="00C22629" w:rsidP="00353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Source: Author (2025)</w:t>
      </w:r>
    </w:p>
    <w:p w14:paraId="50C31EB2" w14:textId="6C9B04C6" w:rsidR="006C0A87" w:rsidRPr="00AC4E5A" w:rsidRDefault="00C22629" w:rsidP="00353E5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unit root results in Table 3 show that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 variables </w:t>
      </w:r>
      <w:r w:rsidRPr="00AC4E5A">
        <w:rPr>
          <w:rFonts w:ascii="Times New Roman" w:hAnsi="Times New Roman" w:cs="Times New Roman"/>
          <w:sz w:val="24"/>
          <w:szCs w:val="24"/>
        </w:rPr>
        <w:t xml:space="preserve">are stationary at diverse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order</w:t>
      </w:r>
      <w:r w:rsidR="001A50FA"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of integra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tion</w:t>
      </w:r>
      <w:r w:rsidRPr="00AC4E5A">
        <w:rPr>
          <w:rFonts w:ascii="Times New Roman" w:hAnsi="Times New Roman" w:cs="Times New Roman"/>
          <w:sz w:val="24"/>
          <w:szCs w:val="24"/>
        </w:rPr>
        <w:t>, with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CAM, </w:t>
      </w:r>
      <w:r w:rsidR="00E94E55"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FIN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and GDPC stationary at level (I(0))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while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GRIN, ESG,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INSQ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indicators (RLA, REQ), FDI, </w:t>
      </w:r>
      <w:r w:rsidRPr="00AC4E5A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>ENM</w:t>
      </w:r>
      <w:r w:rsidRPr="00AC4E5A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, and other market variables </w:t>
      </w:r>
      <w:r w:rsidR="001A50FA"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are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stationary after first differencing (I(1))</w:t>
      </w:r>
      <w:r w:rsidRPr="00AC4E5A">
        <w:rPr>
          <w:rFonts w:ascii="Times New Roman" w:hAnsi="Times New Roman" w:cs="Times New Roman"/>
          <w:sz w:val="24"/>
          <w:szCs w:val="24"/>
        </w:rPr>
        <w:t xml:space="preserve">.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r</w:t>
      </w:r>
      <w:r w:rsidRPr="00AC4E5A">
        <w:rPr>
          <w:rFonts w:ascii="Times New Roman" w:hAnsi="Times New Roman" w:cs="Times New Roman"/>
          <w:sz w:val="24"/>
          <w:szCs w:val="24"/>
        </w:rPr>
        <w:t xml:space="preserve">esults </w:t>
      </w:r>
      <w:r w:rsidRPr="00AC4E5A">
        <w:rPr>
          <w:rFonts w:ascii="Times New Roman" w:hAnsi="Times New Roman" w:cs="Times New Roman"/>
          <w:sz w:val="24"/>
          <w:szCs w:val="24"/>
        </w:rPr>
        <w:t xml:space="preserve">confirm the suitability of the </w:t>
      </w:r>
      <w:r w:rsidRPr="00AC4E5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panel ARDL framework</w:t>
      </w:r>
      <w:r w:rsidRPr="00AC4E5A">
        <w:rPr>
          <w:rFonts w:ascii="Times New Roman" w:hAnsi="Times New Roman" w:cs="Times New Roman"/>
          <w:sz w:val="24"/>
          <w:szCs w:val="24"/>
        </w:rPr>
        <w:t>, which accommodates mixed integration without pre</w:t>
      </w:r>
      <w:r w:rsidRPr="00AC4E5A">
        <w:rPr>
          <w:rFonts w:ascii="Times New Roman" w:hAnsi="Times New Roman" w:cs="Times New Roman"/>
          <w:sz w:val="24"/>
          <w:szCs w:val="24"/>
        </w:rPr>
        <w:t xml:space="preserve">testing for uniform stationarity. Additionally, cross-sectional dependence tests (Breusch–Pagan LM, Pesaran Scaled LM, Bias-Corrected LM, Pesaran CD) </w:t>
      </w:r>
      <w:r w:rsidRPr="00AC4E5A">
        <w:rPr>
          <w:rFonts w:ascii="Times New Roman" w:hAnsi="Times New Roman" w:cs="Times New Roman"/>
          <w:sz w:val="24"/>
          <w:szCs w:val="24"/>
        </w:rPr>
        <w:t>we</w:t>
      </w:r>
      <w:r w:rsidRPr="00AC4E5A">
        <w:rPr>
          <w:rFonts w:ascii="Times New Roman" w:hAnsi="Times New Roman" w:cs="Times New Roman"/>
          <w:sz w:val="24"/>
          <w:szCs w:val="24"/>
        </w:rPr>
        <w:t xml:space="preserve">re all significant at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1%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leve</w:t>
      </w:r>
      <w:r w:rsidRPr="00AC4E5A">
        <w:rPr>
          <w:rFonts w:ascii="Times New Roman" w:eastAsia="Calibri" w:hAnsi="Times New Roman" w:cs="Times New Roman"/>
          <w:sz w:val="24"/>
          <w:szCs w:val="24"/>
        </w:rPr>
        <w:t>l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, reflecting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</w:t>
      </w:r>
      <w:r w:rsidRPr="00AC4E5A">
        <w:rPr>
          <w:rFonts w:ascii="Times New Roman" w:hAnsi="Times New Roman" w:cs="Times New Roman"/>
          <w:sz w:val="24"/>
          <w:szCs w:val="24"/>
        </w:rPr>
        <w:t>interdependencies among West African economies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due to regional integration, shared financial and policy shocks, and common climate vulnerabilities.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r</w:t>
      </w:r>
      <w:r w:rsidRPr="00AC4E5A">
        <w:rPr>
          <w:rFonts w:ascii="Times New Roman" w:hAnsi="Times New Roman" w:cs="Times New Roman"/>
          <w:sz w:val="24"/>
          <w:szCs w:val="24"/>
        </w:rPr>
        <w:t xml:space="preserve">esults imply that while stable variables such as CAM and financial intermediation can anchor long-term green investment, evolving variables </w:t>
      </w:r>
      <w:r w:rsidRPr="00AC4E5A">
        <w:rPr>
          <w:rFonts w:ascii="Times New Roman" w:hAnsi="Times New Roman" w:cs="Times New Roman"/>
          <w:sz w:val="24"/>
          <w:szCs w:val="24"/>
        </w:rPr>
        <w:t>such as</w:t>
      </w:r>
      <w:r w:rsidRPr="00AC4E5A">
        <w:rPr>
          <w:rFonts w:ascii="Times New Roman" w:hAnsi="Times New Roman" w:cs="Times New Roman"/>
          <w:sz w:val="24"/>
          <w:szCs w:val="24"/>
        </w:rPr>
        <w:t xml:space="preserve"> GRIN, ESG, and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INSQ reveal </w:t>
      </w:r>
      <w:r w:rsidRPr="00AC4E5A">
        <w:rPr>
          <w:rFonts w:ascii="Times New Roman" w:hAnsi="Times New Roman" w:cs="Times New Roman"/>
          <w:sz w:val="24"/>
          <w:szCs w:val="24"/>
        </w:rPr>
        <w:t>the need for adap</w:t>
      </w:r>
      <w:r w:rsidRPr="00AC4E5A">
        <w:rPr>
          <w:rFonts w:ascii="Times New Roman" w:hAnsi="Times New Roman" w:cs="Times New Roman"/>
          <w:sz w:val="24"/>
          <w:szCs w:val="24"/>
        </w:rPr>
        <w:t xml:space="preserve">tive policies and interventions to promote sustainable innovation. Collectively,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results </w:t>
      </w:r>
      <w:r w:rsidRPr="00AC4E5A">
        <w:rPr>
          <w:rFonts w:ascii="Times New Roman" w:hAnsi="Times New Roman" w:cs="Times New Roman"/>
          <w:sz w:val="24"/>
          <w:szCs w:val="24"/>
        </w:rPr>
        <w:t>validate the empirical strategy of the study and underscore the importance of considering bot</w:t>
      </w:r>
      <w:r w:rsidRPr="00AC4E5A">
        <w:rPr>
          <w:rFonts w:ascii="Times New Roman" w:hAnsi="Times New Roman" w:cs="Times New Roman"/>
          <w:sz w:val="24"/>
          <w:szCs w:val="24"/>
        </w:rPr>
        <w:t xml:space="preserve">h short-run dynamics and long-run equilibrium </w:t>
      </w:r>
      <w:r w:rsidRPr="00AC4E5A">
        <w:rPr>
          <w:rFonts w:ascii="Times New Roman" w:hAnsi="Times New Roman" w:cs="Times New Roman"/>
          <w:sz w:val="24"/>
          <w:szCs w:val="24"/>
        </w:rPr>
        <w:t>when</w:t>
      </w:r>
      <w:r w:rsidRPr="00AC4E5A">
        <w:rPr>
          <w:rFonts w:ascii="Times New Roman" w:hAnsi="Times New Roman" w:cs="Times New Roman"/>
          <w:sz w:val="24"/>
          <w:szCs w:val="24"/>
        </w:rPr>
        <w:t xml:space="preserve"> assessing how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influence</w:t>
      </w:r>
      <w:r w:rsidR="001A50FA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GRIN </w:t>
      </w:r>
      <w:r w:rsidRPr="00AC4E5A">
        <w:rPr>
          <w:rFonts w:ascii="Times New Roman" w:hAnsi="Times New Roman" w:cs="Times New Roman"/>
          <w:sz w:val="24"/>
          <w:szCs w:val="24"/>
        </w:rPr>
        <w:t>in West Africa.</w:t>
      </w:r>
    </w:p>
    <w:p w14:paraId="778F378A" w14:textId="7CC55319" w:rsidR="00353E57" w:rsidRPr="00AC4E5A" w:rsidRDefault="00C22629" w:rsidP="00353E57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: Panel ARDL Estimation Results (Dependent Variable: ΔGRIN)</w:t>
      </w:r>
    </w:p>
    <w:tbl>
      <w:tblPr>
        <w:tblStyle w:val="TableGrid"/>
        <w:tblW w:w="7727" w:type="dxa"/>
        <w:tblLook w:val="04A0" w:firstRow="1" w:lastRow="0" w:firstColumn="1" w:lastColumn="0" w:noHBand="0" w:noVBand="1"/>
      </w:tblPr>
      <w:tblGrid>
        <w:gridCol w:w="2601"/>
        <w:gridCol w:w="1370"/>
        <w:gridCol w:w="1193"/>
        <w:gridCol w:w="1370"/>
        <w:gridCol w:w="1193"/>
      </w:tblGrid>
      <w:tr w:rsidR="004E0434" w:rsidRPr="00AC4E5A" w14:paraId="7EC16951" w14:textId="77777777" w:rsidTr="002C56AA">
        <w:trPr>
          <w:trHeight w:val="254"/>
        </w:trPr>
        <w:tc>
          <w:tcPr>
            <w:tcW w:w="0" w:type="auto"/>
            <w:hideMark/>
          </w:tcPr>
          <w:p w14:paraId="042A3800" w14:textId="77777777" w:rsidR="002C56AA" w:rsidRPr="00AC4E5A" w:rsidRDefault="00C22629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62B3004F" w14:textId="329786DA" w:rsidR="002C56AA" w:rsidRPr="00AC4E5A" w:rsidRDefault="00C22629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0" w:type="auto"/>
            <w:hideMark/>
          </w:tcPr>
          <w:p w14:paraId="081FCC44" w14:textId="77777777" w:rsidR="002C56AA" w:rsidRPr="00AC4E5A" w:rsidRDefault="00C22629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t-statistic</w:t>
            </w:r>
          </w:p>
        </w:tc>
        <w:tc>
          <w:tcPr>
            <w:tcW w:w="0" w:type="auto"/>
            <w:hideMark/>
          </w:tcPr>
          <w:p w14:paraId="46EBFFF4" w14:textId="058AA02C" w:rsidR="002C56AA" w:rsidRPr="00AC4E5A" w:rsidRDefault="00C22629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0" w:type="auto"/>
            <w:hideMark/>
          </w:tcPr>
          <w:p w14:paraId="66C716C5" w14:textId="77777777" w:rsidR="002C56AA" w:rsidRPr="00AC4E5A" w:rsidRDefault="00C22629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t-statistic</w:t>
            </w:r>
          </w:p>
        </w:tc>
      </w:tr>
      <w:tr w:rsidR="004E0434" w:rsidRPr="00AC4E5A" w14:paraId="1BFAB368" w14:textId="77777777" w:rsidTr="002C56AA">
        <w:trPr>
          <w:trHeight w:val="254"/>
        </w:trPr>
        <w:tc>
          <w:tcPr>
            <w:tcW w:w="0" w:type="auto"/>
          </w:tcPr>
          <w:p w14:paraId="22504FE7" w14:textId="77777777" w:rsidR="002C56AA" w:rsidRPr="00AC4E5A" w:rsidRDefault="002C56AA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0BE7C52" w14:textId="0E616646" w:rsidR="002C56AA" w:rsidRPr="00AC4E5A" w:rsidRDefault="00C22629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Long-Run</w:t>
            </w:r>
          </w:p>
        </w:tc>
        <w:tc>
          <w:tcPr>
            <w:tcW w:w="0" w:type="auto"/>
            <w:gridSpan w:val="2"/>
          </w:tcPr>
          <w:p w14:paraId="17831CF5" w14:textId="1C45B0D8" w:rsidR="002C56AA" w:rsidRPr="00AC4E5A" w:rsidRDefault="00C22629" w:rsidP="002C5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Short-Run</w:t>
            </w:r>
          </w:p>
        </w:tc>
      </w:tr>
      <w:tr w:rsidR="004E0434" w:rsidRPr="00AC4E5A" w14:paraId="0825D755" w14:textId="77777777" w:rsidTr="002C56AA">
        <w:trPr>
          <w:trHeight w:val="243"/>
        </w:trPr>
        <w:tc>
          <w:tcPr>
            <w:tcW w:w="0" w:type="auto"/>
            <w:hideMark/>
          </w:tcPr>
          <w:p w14:paraId="5CF23BE4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0" w:type="auto"/>
            <w:hideMark/>
          </w:tcPr>
          <w:p w14:paraId="53F07038" w14:textId="0FFBFC5B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0.412***</w:t>
            </w:r>
          </w:p>
        </w:tc>
        <w:tc>
          <w:tcPr>
            <w:tcW w:w="0" w:type="auto"/>
            <w:hideMark/>
          </w:tcPr>
          <w:p w14:paraId="4A0DFEBE" w14:textId="763BD4DC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0" w:type="auto"/>
            <w:hideMark/>
          </w:tcPr>
          <w:p w14:paraId="15F2962B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0.067**</w:t>
            </w:r>
          </w:p>
        </w:tc>
        <w:tc>
          <w:tcPr>
            <w:tcW w:w="0" w:type="auto"/>
            <w:hideMark/>
          </w:tcPr>
          <w:p w14:paraId="1677AC9E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2.41</w:t>
            </w:r>
          </w:p>
        </w:tc>
      </w:tr>
      <w:tr w:rsidR="004E0434" w:rsidRPr="00AC4E5A" w14:paraId="43E8E279" w14:textId="77777777" w:rsidTr="002C56AA">
        <w:trPr>
          <w:trHeight w:val="254"/>
        </w:trPr>
        <w:tc>
          <w:tcPr>
            <w:tcW w:w="0" w:type="auto"/>
            <w:hideMark/>
          </w:tcPr>
          <w:p w14:paraId="2EC2989E" w14:textId="6A686DAE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0" w:type="auto"/>
            <w:hideMark/>
          </w:tcPr>
          <w:p w14:paraId="7A65BCD6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W w:w="0" w:type="auto"/>
            <w:hideMark/>
          </w:tcPr>
          <w:p w14:paraId="2C0A5CF9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0" w:type="auto"/>
            <w:hideMark/>
          </w:tcPr>
          <w:p w14:paraId="249D806B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0.052*</w:t>
            </w:r>
          </w:p>
        </w:tc>
        <w:tc>
          <w:tcPr>
            <w:tcW w:w="0" w:type="auto"/>
            <w:hideMark/>
          </w:tcPr>
          <w:p w14:paraId="4954590B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1.89</w:t>
            </w:r>
          </w:p>
        </w:tc>
      </w:tr>
      <w:tr w:rsidR="004E0434" w:rsidRPr="00AC4E5A" w14:paraId="72F92109" w14:textId="77777777" w:rsidTr="002C56AA">
        <w:trPr>
          <w:trHeight w:val="254"/>
        </w:trPr>
        <w:tc>
          <w:tcPr>
            <w:tcW w:w="0" w:type="auto"/>
            <w:hideMark/>
          </w:tcPr>
          <w:p w14:paraId="58450FE0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INSQ</w:t>
            </w:r>
          </w:p>
        </w:tc>
        <w:tc>
          <w:tcPr>
            <w:tcW w:w="0" w:type="auto"/>
            <w:hideMark/>
          </w:tcPr>
          <w:p w14:paraId="6C7EEEFF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0" w:type="auto"/>
            <w:hideMark/>
          </w:tcPr>
          <w:p w14:paraId="5CA398AF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0" w:type="auto"/>
            <w:hideMark/>
          </w:tcPr>
          <w:p w14:paraId="0B2548B8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0" w:type="auto"/>
            <w:hideMark/>
          </w:tcPr>
          <w:p w14:paraId="306377D6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</w:tr>
      <w:tr w:rsidR="004E0434" w:rsidRPr="00AC4E5A" w14:paraId="08EA515F" w14:textId="77777777" w:rsidTr="002C56AA">
        <w:trPr>
          <w:trHeight w:val="254"/>
        </w:trPr>
        <w:tc>
          <w:tcPr>
            <w:tcW w:w="0" w:type="auto"/>
            <w:hideMark/>
          </w:tcPr>
          <w:p w14:paraId="5A753D5F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 × INSQ</w:t>
            </w:r>
          </w:p>
        </w:tc>
        <w:tc>
          <w:tcPr>
            <w:tcW w:w="0" w:type="auto"/>
            <w:hideMark/>
          </w:tcPr>
          <w:p w14:paraId="5EC03CF4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0.092</w:t>
            </w:r>
          </w:p>
        </w:tc>
        <w:tc>
          <w:tcPr>
            <w:tcW w:w="0" w:type="auto"/>
            <w:hideMark/>
          </w:tcPr>
          <w:p w14:paraId="0FEF3582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0" w:type="auto"/>
            <w:hideMark/>
          </w:tcPr>
          <w:p w14:paraId="66E48009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0" w:type="auto"/>
            <w:hideMark/>
          </w:tcPr>
          <w:p w14:paraId="6710C1DE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4E0434" w:rsidRPr="00AC4E5A" w14:paraId="42A4948E" w14:textId="77777777" w:rsidTr="002C56AA">
        <w:trPr>
          <w:trHeight w:val="254"/>
        </w:trPr>
        <w:tc>
          <w:tcPr>
            <w:tcW w:w="0" w:type="auto"/>
            <w:hideMark/>
          </w:tcPr>
          <w:p w14:paraId="20405652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0" w:type="auto"/>
            <w:hideMark/>
          </w:tcPr>
          <w:p w14:paraId="5F3C5317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0" w:type="auto"/>
            <w:hideMark/>
          </w:tcPr>
          <w:p w14:paraId="284C8840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0" w:type="auto"/>
            <w:hideMark/>
          </w:tcPr>
          <w:p w14:paraId="1B13D27F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0.041*</w:t>
            </w:r>
          </w:p>
        </w:tc>
        <w:tc>
          <w:tcPr>
            <w:tcW w:w="0" w:type="auto"/>
            <w:hideMark/>
          </w:tcPr>
          <w:p w14:paraId="627F2468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1.94</w:t>
            </w:r>
          </w:p>
        </w:tc>
      </w:tr>
      <w:tr w:rsidR="004E0434" w:rsidRPr="00AC4E5A" w14:paraId="16C1B5AF" w14:textId="77777777" w:rsidTr="002C56AA">
        <w:trPr>
          <w:trHeight w:val="254"/>
        </w:trPr>
        <w:tc>
          <w:tcPr>
            <w:tcW w:w="0" w:type="auto"/>
            <w:hideMark/>
          </w:tcPr>
          <w:p w14:paraId="3EE3DF35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0" w:type="auto"/>
            <w:hideMark/>
          </w:tcPr>
          <w:p w14:paraId="46F6C301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0.201*</w:t>
            </w:r>
          </w:p>
        </w:tc>
        <w:tc>
          <w:tcPr>
            <w:tcW w:w="0" w:type="auto"/>
            <w:hideMark/>
          </w:tcPr>
          <w:p w14:paraId="03A3D389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0" w:type="auto"/>
            <w:hideMark/>
          </w:tcPr>
          <w:p w14:paraId="3EF6DDE6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0.058**</w:t>
            </w:r>
          </w:p>
        </w:tc>
        <w:tc>
          <w:tcPr>
            <w:tcW w:w="0" w:type="auto"/>
            <w:hideMark/>
          </w:tcPr>
          <w:p w14:paraId="1FABA410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4E0434" w:rsidRPr="00AC4E5A" w14:paraId="1A0F25C6" w14:textId="77777777" w:rsidTr="002C56AA">
        <w:trPr>
          <w:trHeight w:val="243"/>
        </w:trPr>
        <w:tc>
          <w:tcPr>
            <w:tcW w:w="0" w:type="auto"/>
            <w:hideMark/>
          </w:tcPr>
          <w:p w14:paraId="2063B313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0" w:type="auto"/>
            <w:hideMark/>
          </w:tcPr>
          <w:p w14:paraId="2BD991BB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W w:w="0" w:type="auto"/>
            <w:hideMark/>
          </w:tcPr>
          <w:p w14:paraId="54B884C1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0" w:type="auto"/>
            <w:hideMark/>
          </w:tcPr>
          <w:p w14:paraId="45C9C770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0" w:type="auto"/>
            <w:hideMark/>
          </w:tcPr>
          <w:p w14:paraId="68F50008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4E0434" w:rsidRPr="00AC4E5A" w14:paraId="59F42A7C" w14:textId="77777777" w:rsidTr="002C56AA">
        <w:trPr>
          <w:trHeight w:val="254"/>
        </w:trPr>
        <w:tc>
          <w:tcPr>
            <w:tcW w:w="0" w:type="auto"/>
            <w:hideMark/>
          </w:tcPr>
          <w:p w14:paraId="5228E1DD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0" w:type="auto"/>
            <w:hideMark/>
          </w:tcPr>
          <w:p w14:paraId="056DB953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–0.117</w:t>
            </w:r>
          </w:p>
        </w:tc>
        <w:tc>
          <w:tcPr>
            <w:tcW w:w="0" w:type="auto"/>
            <w:hideMark/>
          </w:tcPr>
          <w:p w14:paraId="5D6B570E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–2.29</w:t>
            </w:r>
          </w:p>
        </w:tc>
        <w:tc>
          <w:tcPr>
            <w:tcW w:w="0" w:type="auto"/>
            <w:hideMark/>
          </w:tcPr>
          <w:p w14:paraId="79F78CDF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–0.036*</w:t>
            </w:r>
          </w:p>
        </w:tc>
        <w:tc>
          <w:tcPr>
            <w:tcW w:w="0" w:type="auto"/>
            <w:hideMark/>
          </w:tcPr>
          <w:p w14:paraId="28E45095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–1.91</w:t>
            </w:r>
          </w:p>
        </w:tc>
      </w:tr>
      <w:tr w:rsidR="004E0434" w:rsidRPr="00AC4E5A" w14:paraId="37CB6D4E" w14:textId="77777777" w:rsidTr="002C56AA">
        <w:trPr>
          <w:trHeight w:val="179"/>
        </w:trPr>
        <w:tc>
          <w:tcPr>
            <w:tcW w:w="0" w:type="auto"/>
            <w:hideMark/>
          </w:tcPr>
          <w:p w14:paraId="070EC665" w14:textId="06ACA08B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ECT(-1)</w:t>
            </w:r>
          </w:p>
        </w:tc>
        <w:tc>
          <w:tcPr>
            <w:tcW w:w="0" w:type="auto"/>
            <w:hideMark/>
          </w:tcPr>
          <w:p w14:paraId="5CDDC105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14:paraId="4242BCBA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14:paraId="154EF23B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–0.46*</w:t>
            </w:r>
          </w:p>
        </w:tc>
        <w:tc>
          <w:tcPr>
            <w:tcW w:w="0" w:type="auto"/>
            <w:hideMark/>
          </w:tcPr>
          <w:p w14:paraId="10AF7FED" w14:textId="77777777" w:rsidR="002C56AA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–5.87</w:t>
            </w:r>
          </w:p>
        </w:tc>
      </w:tr>
      <w:tr w:rsidR="004E0434" w:rsidRPr="00AC4E5A" w14:paraId="0F938044" w14:textId="77777777" w:rsidTr="0003657F">
        <w:trPr>
          <w:trHeight w:val="179"/>
        </w:trPr>
        <w:tc>
          <w:tcPr>
            <w:tcW w:w="0" w:type="auto"/>
            <w:gridSpan w:val="5"/>
          </w:tcPr>
          <w:p w14:paraId="0B45CB43" w14:textId="2023C445" w:rsidR="00AF2008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F-Bounds Test: 10.38* (Significant at 5%, Confirms Cointegration)</w:t>
            </w:r>
          </w:p>
        </w:tc>
      </w:tr>
      <w:tr w:rsidR="004E0434" w:rsidRPr="00AC4E5A" w14:paraId="23AD6A62" w14:textId="77777777" w:rsidTr="000A736A">
        <w:trPr>
          <w:trHeight w:val="179"/>
        </w:trPr>
        <w:tc>
          <w:tcPr>
            <w:tcW w:w="0" w:type="auto"/>
            <w:gridSpan w:val="5"/>
          </w:tcPr>
          <w:p w14:paraId="4B555512" w14:textId="06285273" w:rsidR="00A82E7E" w:rsidRPr="00AC4E5A" w:rsidRDefault="00C22629" w:rsidP="002C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Diagnostics</w:t>
            </w:r>
          </w:p>
        </w:tc>
      </w:tr>
      <w:tr w:rsidR="004E0434" w:rsidRPr="00AC4E5A" w14:paraId="24866BFA" w14:textId="77777777" w:rsidTr="003A6DDA">
        <w:trPr>
          <w:trHeight w:val="179"/>
        </w:trPr>
        <w:tc>
          <w:tcPr>
            <w:tcW w:w="0" w:type="auto"/>
          </w:tcPr>
          <w:p w14:paraId="599DE46C" w14:textId="1C172CAF" w:rsidR="00A82E7E" w:rsidRPr="00AC4E5A" w:rsidRDefault="00C22629" w:rsidP="00A8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0" w:type="auto"/>
            <w:gridSpan w:val="4"/>
          </w:tcPr>
          <w:p w14:paraId="0B039C0E" w14:textId="08654882" w:rsidR="00A82E7E" w:rsidRPr="00AC4E5A" w:rsidRDefault="00C22629" w:rsidP="00A82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0.782</w:t>
            </w:r>
          </w:p>
        </w:tc>
      </w:tr>
      <w:tr w:rsidR="004E0434" w:rsidRPr="00AC4E5A" w14:paraId="2FB66052" w14:textId="77777777" w:rsidTr="00290A38">
        <w:trPr>
          <w:trHeight w:val="179"/>
        </w:trPr>
        <w:tc>
          <w:tcPr>
            <w:tcW w:w="0" w:type="auto"/>
          </w:tcPr>
          <w:p w14:paraId="70DD8FF3" w14:textId="401C4638" w:rsidR="00A82E7E" w:rsidRPr="00AC4E5A" w:rsidRDefault="00C22629" w:rsidP="00A8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Log-likelihood</w:t>
            </w:r>
          </w:p>
        </w:tc>
        <w:tc>
          <w:tcPr>
            <w:tcW w:w="0" w:type="auto"/>
            <w:gridSpan w:val="4"/>
          </w:tcPr>
          <w:p w14:paraId="24857A6D" w14:textId="259AB27E" w:rsidR="00A82E7E" w:rsidRPr="00AC4E5A" w:rsidRDefault="00C22629" w:rsidP="00A82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245.12</w:t>
            </w:r>
          </w:p>
        </w:tc>
      </w:tr>
      <w:tr w:rsidR="004E0434" w:rsidRPr="00AC4E5A" w14:paraId="3126880F" w14:textId="77777777" w:rsidTr="00576465">
        <w:trPr>
          <w:trHeight w:val="179"/>
        </w:trPr>
        <w:tc>
          <w:tcPr>
            <w:tcW w:w="0" w:type="auto"/>
          </w:tcPr>
          <w:p w14:paraId="5A0B4105" w14:textId="7E80FD28" w:rsidR="00A82E7E" w:rsidRPr="00AC4E5A" w:rsidRDefault="00C22629" w:rsidP="00A8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Hausman Test (p-value)</w:t>
            </w:r>
          </w:p>
        </w:tc>
        <w:tc>
          <w:tcPr>
            <w:tcW w:w="0" w:type="auto"/>
            <w:gridSpan w:val="4"/>
          </w:tcPr>
          <w:p w14:paraId="65094EF2" w14:textId="4C2AB159" w:rsidR="00A82E7E" w:rsidRPr="00AC4E5A" w:rsidRDefault="00C22629" w:rsidP="00A82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(Supports PMG over MG)</w:t>
            </w:r>
          </w:p>
        </w:tc>
      </w:tr>
    </w:tbl>
    <w:p w14:paraId="415BC40D" w14:textId="711DC088" w:rsidR="002C56AA" w:rsidRPr="00AC4E5A" w:rsidRDefault="00C22629" w:rsidP="00D27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Note: ***, **,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* denote significance at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1%, 5%, and 10% levels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respectively.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br/>
        <w:t>EC</w:t>
      </w:r>
      <w:r w:rsidRPr="00AC4E5A">
        <w:rPr>
          <w:rFonts w:ascii="Times New Roman" w:hAnsi="Times New Roman" w:cs="Times New Roman"/>
          <w:sz w:val="24"/>
          <w:szCs w:val="24"/>
        </w:rPr>
        <w:t>T</w:t>
      </w:r>
      <w:r w:rsidRPr="00AC4E5A">
        <w:rPr>
          <w:rFonts w:ascii="Times New Roman" w:hAnsi="Times New Roman" w:cs="Times New Roman"/>
          <w:sz w:val="24"/>
          <w:szCs w:val="24"/>
        </w:rPr>
        <w:t>(-1) is the error correction term (speed of adjustment).</w:t>
      </w:r>
    </w:p>
    <w:p w14:paraId="13D968ED" w14:textId="27F49BF5" w:rsidR="00353E57" w:rsidRPr="00AC4E5A" w:rsidRDefault="00C22629" w:rsidP="00353E57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D27655" w:rsidRPr="00AC4E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Country-Specific Results (Mean 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Group - MG Estimator)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636"/>
        <w:gridCol w:w="1636"/>
        <w:gridCol w:w="1636"/>
        <w:gridCol w:w="1636"/>
      </w:tblGrid>
      <w:tr w:rsidR="004E0434" w:rsidRPr="00AC4E5A" w14:paraId="6C2D227A" w14:textId="77777777" w:rsidTr="00AF2008">
        <w:tc>
          <w:tcPr>
            <w:tcW w:w="0" w:type="auto"/>
            <w:hideMark/>
          </w:tcPr>
          <w:p w14:paraId="2E7BA84B" w14:textId="77777777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03BB994D" w14:textId="77777777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Nigeria </w:t>
            </w:r>
          </w:p>
          <w:p w14:paraId="58F40097" w14:textId="51B40F4B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(Coef., t)</w:t>
            </w:r>
          </w:p>
        </w:tc>
        <w:tc>
          <w:tcPr>
            <w:tcW w:w="0" w:type="auto"/>
            <w:hideMark/>
          </w:tcPr>
          <w:p w14:paraId="1F462DF4" w14:textId="77777777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Ghana </w:t>
            </w:r>
          </w:p>
          <w:p w14:paraId="23C7754D" w14:textId="4EF4C569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(Coef., t)</w:t>
            </w:r>
          </w:p>
        </w:tc>
        <w:tc>
          <w:tcPr>
            <w:tcW w:w="0" w:type="auto"/>
            <w:hideMark/>
          </w:tcPr>
          <w:p w14:paraId="4049AC91" w14:textId="77777777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Côte d’Ivoire </w:t>
            </w:r>
          </w:p>
          <w:p w14:paraId="35EBD9A6" w14:textId="625DB731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(Coef., t)</w:t>
            </w:r>
          </w:p>
        </w:tc>
        <w:tc>
          <w:tcPr>
            <w:tcW w:w="0" w:type="auto"/>
            <w:hideMark/>
          </w:tcPr>
          <w:p w14:paraId="4837C3C0" w14:textId="77777777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Senegal </w:t>
            </w:r>
          </w:p>
          <w:p w14:paraId="34098481" w14:textId="656E0161" w:rsidR="00AF2008" w:rsidRPr="00AC4E5A" w:rsidRDefault="00C22629" w:rsidP="00AF2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(Coef., t)</w:t>
            </w:r>
          </w:p>
        </w:tc>
      </w:tr>
      <w:tr w:rsidR="004E0434" w:rsidRPr="00AC4E5A" w14:paraId="755442BA" w14:textId="77777777" w:rsidTr="00AF2008">
        <w:tc>
          <w:tcPr>
            <w:tcW w:w="0" w:type="auto"/>
            <w:hideMark/>
          </w:tcPr>
          <w:p w14:paraId="1A908574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0" w:type="auto"/>
            <w:hideMark/>
          </w:tcPr>
          <w:p w14:paraId="355C729B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0.281* (4.62)</w:t>
            </w:r>
          </w:p>
        </w:tc>
        <w:tc>
          <w:tcPr>
            <w:tcW w:w="0" w:type="auto"/>
            <w:hideMark/>
          </w:tcPr>
          <w:p w14:paraId="36A57861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0.231* (3.98)</w:t>
            </w:r>
          </w:p>
        </w:tc>
        <w:tc>
          <w:tcPr>
            <w:tcW w:w="0" w:type="auto"/>
            <w:hideMark/>
          </w:tcPr>
          <w:p w14:paraId="0507F370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0.174 (2.41)</w:t>
            </w:r>
          </w:p>
        </w:tc>
        <w:tc>
          <w:tcPr>
            <w:tcW w:w="0" w:type="auto"/>
            <w:hideMark/>
          </w:tcPr>
          <w:p w14:paraId="1D12CD22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0.092 (1.31)</w:t>
            </w:r>
          </w:p>
        </w:tc>
      </w:tr>
      <w:tr w:rsidR="004E0434" w:rsidRPr="00AC4E5A" w14:paraId="621AAB5C" w14:textId="77777777" w:rsidTr="00AF2008">
        <w:tc>
          <w:tcPr>
            <w:tcW w:w="0" w:type="auto"/>
            <w:hideMark/>
          </w:tcPr>
          <w:p w14:paraId="3C90CE4F" w14:textId="0C9668CD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0" w:type="auto"/>
            <w:hideMark/>
          </w:tcPr>
          <w:p w14:paraId="1A47868A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0.213 (2.87)</w:t>
            </w:r>
          </w:p>
        </w:tc>
        <w:tc>
          <w:tcPr>
            <w:tcW w:w="0" w:type="auto"/>
            <w:hideMark/>
          </w:tcPr>
          <w:p w14:paraId="45012DCE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0.186 (2.54)</w:t>
            </w:r>
          </w:p>
        </w:tc>
        <w:tc>
          <w:tcPr>
            <w:tcW w:w="0" w:type="auto"/>
            <w:hideMark/>
          </w:tcPr>
          <w:p w14:paraId="59471139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0.141 (1.76)</w:t>
            </w:r>
          </w:p>
        </w:tc>
        <w:tc>
          <w:tcPr>
            <w:tcW w:w="0" w:type="auto"/>
            <w:hideMark/>
          </w:tcPr>
          <w:p w14:paraId="166CAC4C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0.083 (1.22)</w:t>
            </w:r>
          </w:p>
        </w:tc>
      </w:tr>
      <w:tr w:rsidR="004E0434" w:rsidRPr="00AC4E5A" w14:paraId="10A15750" w14:textId="77777777" w:rsidTr="00AF2008">
        <w:tc>
          <w:tcPr>
            <w:tcW w:w="0" w:type="auto"/>
            <w:hideMark/>
          </w:tcPr>
          <w:p w14:paraId="342CDAC3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INSQ</w:t>
            </w:r>
          </w:p>
        </w:tc>
        <w:tc>
          <w:tcPr>
            <w:tcW w:w="0" w:type="auto"/>
            <w:hideMark/>
          </w:tcPr>
          <w:p w14:paraId="37D14BB9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0.169 (2.45)</w:t>
            </w:r>
          </w:p>
        </w:tc>
        <w:tc>
          <w:tcPr>
            <w:tcW w:w="0" w:type="auto"/>
            <w:hideMark/>
          </w:tcPr>
          <w:p w14:paraId="7352CCB9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0.152 (2.21)</w:t>
            </w:r>
          </w:p>
        </w:tc>
        <w:tc>
          <w:tcPr>
            <w:tcW w:w="0" w:type="auto"/>
            <w:hideMark/>
          </w:tcPr>
          <w:p w14:paraId="4A84D137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0.098 (1.38)</w:t>
            </w:r>
          </w:p>
        </w:tc>
        <w:tc>
          <w:tcPr>
            <w:tcW w:w="0" w:type="auto"/>
            <w:hideMark/>
          </w:tcPr>
          <w:p w14:paraId="645AF622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0.064 (0.97)</w:t>
            </w:r>
          </w:p>
        </w:tc>
      </w:tr>
      <w:tr w:rsidR="004E0434" w:rsidRPr="00AC4E5A" w14:paraId="3EE3FBB4" w14:textId="77777777" w:rsidTr="00AF2008">
        <w:tc>
          <w:tcPr>
            <w:tcW w:w="0" w:type="auto"/>
            <w:hideMark/>
          </w:tcPr>
          <w:p w14:paraId="189F4D30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CAM × INSQ</w:t>
            </w:r>
          </w:p>
        </w:tc>
        <w:tc>
          <w:tcPr>
            <w:tcW w:w="0" w:type="auto"/>
            <w:hideMark/>
          </w:tcPr>
          <w:p w14:paraId="3260FBF6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0.121 (2.63)</w:t>
            </w:r>
          </w:p>
        </w:tc>
        <w:tc>
          <w:tcPr>
            <w:tcW w:w="0" w:type="auto"/>
            <w:hideMark/>
          </w:tcPr>
          <w:p w14:paraId="4DAED7D2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0.104 (2.31)</w:t>
            </w:r>
          </w:p>
        </w:tc>
        <w:tc>
          <w:tcPr>
            <w:tcW w:w="0" w:type="auto"/>
            <w:hideMark/>
          </w:tcPr>
          <w:p w14:paraId="479A69C2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0.061 (1.42)</w:t>
            </w:r>
          </w:p>
        </w:tc>
        <w:tc>
          <w:tcPr>
            <w:tcW w:w="0" w:type="auto"/>
            <w:hideMark/>
          </w:tcPr>
          <w:p w14:paraId="09D8027C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0.028 (0.64)</w:t>
            </w:r>
          </w:p>
        </w:tc>
      </w:tr>
      <w:tr w:rsidR="004E0434" w:rsidRPr="00AC4E5A" w14:paraId="6961D959" w14:textId="77777777" w:rsidTr="00AF2008">
        <w:tc>
          <w:tcPr>
            <w:tcW w:w="0" w:type="auto"/>
            <w:hideMark/>
          </w:tcPr>
          <w:p w14:paraId="4B3C0C1F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ESG</w:t>
            </w:r>
          </w:p>
        </w:tc>
        <w:tc>
          <w:tcPr>
            <w:tcW w:w="0" w:type="auto"/>
            <w:hideMark/>
          </w:tcPr>
          <w:p w14:paraId="59A9D208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0.147 (2.58)</w:t>
            </w:r>
          </w:p>
        </w:tc>
        <w:tc>
          <w:tcPr>
            <w:tcW w:w="0" w:type="auto"/>
            <w:hideMark/>
          </w:tcPr>
          <w:p w14:paraId="62EB75C4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0.132 (2.33)</w:t>
            </w:r>
          </w:p>
        </w:tc>
        <w:tc>
          <w:tcPr>
            <w:tcW w:w="0" w:type="auto"/>
            <w:hideMark/>
          </w:tcPr>
          <w:p w14:paraId="7E11B984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0.109 (2.01)</w:t>
            </w:r>
          </w:p>
        </w:tc>
        <w:tc>
          <w:tcPr>
            <w:tcW w:w="0" w:type="auto"/>
            <w:hideMark/>
          </w:tcPr>
          <w:p w14:paraId="0906EA94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0.071 (1.41)</w:t>
            </w:r>
          </w:p>
        </w:tc>
      </w:tr>
      <w:tr w:rsidR="004E0434" w:rsidRPr="00AC4E5A" w14:paraId="7F87850F" w14:textId="77777777" w:rsidTr="00AF2008">
        <w:tc>
          <w:tcPr>
            <w:tcW w:w="0" w:type="auto"/>
            <w:hideMark/>
          </w:tcPr>
          <w:p w14:paraId="69DC2444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GDPC</w:t>
            </w:r>
          </w:p>
        </w:tc>
        <w:tc>
          <w:tcPr>
            <w:tcW w:w="0" w:type="auto"/>
            <w:hideMark/>
          </w:tcPr>
          <w:p w14:paraId="3D6824FD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0.224* (3.96)</w:t>
            </w:r>
          </w:p>
        </w:tc>
        <w:tc>
          <w:tcPr>
            <w:tcW w:w="0" w:type="auto"/>
            <w:hideMark/>
          </w:tcPr>
          <w:p w14:paraId="5F5FC10B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0.197* (3.41)</w:t>
            </w:r>
          </w:p>
        </w:tc>
        <w:tc>
          <w:tcPr>
            <w:tcW w:w="0" w:type="auto"/>
            <w:hideMark/>
          </w:tcPr>
          <w:p w14:paraId="777DB99B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0.163 (2.29)</w:t>
            </w:r>
          </w:p>
        </w:tc>
        <w:tc>
          <w:tcPr>
            <w:tcW w:w="0" w:type="auto"/>
            <w:hideMark/>
          </w:tcPr>
          <w:p w14:paraId="2D465DC1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0.095 (1.51)</w:t>
            </w:r>
          </w:p>
        </w:tc>
      </w:tr>
      <w:tr w:rsidR="004E0434" w:rsidRPr="00AC4E5A" w14:paraId="0F88D86D" w14:textId="77777777" w:rsidTr="00AF2008">
        <w:tc>
          <w:tcPr>
            <w:tcW w:w="0" w:type="auto"/>
            <w:hideMark/>
          </w:tcPr>
          <w:p w14:paraId="0D088963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FDI</w:t>
            </w:r>
          </w:p>
        </w:tc>
        <w:tc>
          <w:tcPr>
            <w:tcW w:w="0" w:type="auto"/>
            <w:hideMark/>
          </w:tcPr>
          <w:p w14:paraId="1B8B5509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0.074 (1.34)</w:t>
            </w:r>
          </w:p>
        </w:tc>
        <w:tc>
          <w:tcPr>
            <w:tcW w:w="0" w:type="auto"/>
            <w:hideMark/>
          </w:tcPr>
          <w:p w14:paraId="4B4A0B57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0.061 (1.18)</w:t>
            </w:r>
          </w:p>
        </w:tc>
        <w:tc>
          <w:tcPr>
            <w:tcW w:w="0" w:type="auto"/>
            <w:hideMark/>
          </w:tcPr>
          <w:p w14:paraId="72A1F6F9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0.043 (0.91)</w:t>
            </w:r>
          </w:p>
        </w:tc>
        <w:tc>
          <w:tcPr>
            <w:tcW w:w="0" w:type="auto"/>
            <w:hideMark/>
          </w:tcPr>
          <w:p w14:paraId="4A8C9DA6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0.028 (0.64)</w:t>
            </w:r>
          </w:p>
        </w:tc>
      </w:tr>
      <w:tr w:rsidR="004E0434" w:rsidRPr="00AC4E5A" w14:paraId="37FA52BA" w14:textId="77777777" w:rsidTr="00AF2008">
        <w:tc>
          <w:tcPr>
            <w:tcW w:w="0" w:type="auto"/>
            <w:hideMark/>
          </w:tcPr>
          <w:p w14:paraId="0FE38F63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ENM</w:t>
            </w:r>
          </w:p>
        </w:tc>
        <w:tc>
          <w:tcPr>
            <w:tcW w:w="0" w:type="auto"/>
            <w:hideMark/>
          </w:tcPr>
          <w:p w14:paraId="28008EE0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–0.138 (–2.44)</w:t>
            </w:r>
          </w:p>
        </w:tc>
        <w:tc>
          <w:tcPr>
            <w:tcW w:w="0" w:type="auto"/>
            <w:hideMark/>
          </w:tcPr>
          <w:p w14:paraId="3875ECE9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–0.121 (–2.16)</w:t>
            </w:r>
          </w:p>
        </w:tc>
        <w:tc>
          <w:tcPr>
            <w:tcW w:w="0" w:type="auto"/>
            <w:hideMark/>
          </w:tcPr>
          <w:p w14:paraId="1F0E6FB4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–0.094 (–1.61)</w:t>
            </w:r>
          </w:p>
        </w:tc>
        <w:tc>
          <w:tcPr>
            <w:tcW w:w="0" w:type="auto"/>
            <w:hideMark/>
          </w:tcPr>
          <w:p w14:paraId="07E003B1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–0.062 (–1.09)</w:t>
            </w:r>
          </w:p>
        </w:tc>
      </w:tr>
      <w:tr w:rsidR="004E0434" w:rsidRPr="00AC4E5A" w14:paraId="6CF1F379" w14:textId="77777777" w:rsidTr="00AF2008">
        <w:tc>
          <w:tcPr>
            <w:tcW w:w="0" w:type="auto"/>
            <w:hideMark/>
          </w:tcPr>
          <w:p w14:paraId="1944709B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ECM(-1)</w:t>
            </w:r>
          </w:p>
        </w:tc>
        <w:tc>
          <w:tcPr>
            <w:tcW w:w="0" w:type="auto"/>
            <w:hideMark/>
          </w:tcPr>
          <w:p w14:paraId="71A0A546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–0.51* (–6.12)</w:t>
            </w:r>
          </w:p>
        </w:tc>
        <w:tc>
          <w:tcPr>
            <w:tcW w:w="0" w:type="auto"/>
            <w:hideMark/>
          </w:tcPr>
          <w:p w14:paraId="3AF16CC2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–0.47* (–5.38)</w:t>
            </w:r>
          </w:p>
        </w:tc>
        <w:tc>
          <w:tcPr>
            <w:tcW w:w="0" w:type="auto"/>
            <w:hideMark/>
          </w:tcPr>
          <w:p w14:paraId="5AE631E8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–0.39* (–4.21)</w:t>
            </w:r>
          </w:p>
        </w:tc>
        <w:tc>
          <w:tcPr>
            <w:tcW w:w="0" w:type="auto"/>
            <w:hideMark/>
          </w:tcPr>
          <w:p w14:paraId="4C156C8B" w14:textId="77777777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sz w:val="24"/>
                <w:szCs w:val="24"/>
              </w:rPr>
              <w:t>–0.28 (–2.09)</w:t>
            </w:r>
          </w:p>
        </w:tc>
      </w:tr>
      <w:tr w:rsidR="004E0434" w:rsidRPr="00AC4E5A" w14:paraId="549789CD" w14:textId="77777777" w:rsidTr="00570F0C">
        <w:tc>
          <w:tcPr>
            <w:tcW w:w="0" w:type="auto"/>
            <w:gridSpan w:val="5"/>
          </w:tcPr>
          <w:p w14:paraId="54BF93D7" w14:textId="7DB3DEFF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Diagnostics</w:t>
            </w:r>
          </w:p>
        </w:tc>
      </w:tr>
      <w:tr w:rsidR="004E0434" w:rsidRPr="00AC4E5A" w14:paraId="6573F28F" w14:textId="77777777" w:rsidTr="00AF2008">
        <w:tc>
          <w:tcPr>
            <w:tcW w:w="0" w:type="auto"/>
          </w:tcPr>
          <w:p w14:paraId="16849E1D" w14:textId="7849D996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0" w:type="auto"/>
          </w:tcPr>
          <w:p w14:paraId="78B27501" w14:textId="797D6472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0.815</w:t>
            </w:r>
          </w:p>
        </w:tc>
        <w:tc>
          <w:tcPr>
            <w:tcW w:w="0" w:type="auto"/>
          </w:tcPr>
          <w:p w14:paraId="713FA996" w14:textId="7B99D313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0" w:type="auto"/>
          </w:tcPr>
          <w:p w14:paraId="3259D402" w14:textId="65A30F26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0" w:type="auto"/>
          </w:tcPr>
          <w:p w14:paraId="3B271596" w14:textId="3B74208B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</w:tr>
      <w:tr w:rsidR="004E0434" w:rsidRPr="00AC4E5A" w14:paraId="08A828C9" w14:textId="77777777" w:rsidTr="00AF2008">
        <w:tc>
          <w:tcPr>
            <w:tcW w:w="0" w:type="auto"/>
          </w:tcPr>
          <w:p w14:paraId="75987835" w14:textId="442D4C9F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Adj. R-squared</w:t>
            </w:r>
          </w:p>
        </w:tc>
        <w:tc>
          <w:tcPr>
            <w:tcW w:w="0" w:type="auto"/>
          </w:tcPr>
          <w:p w14:paraId="75488422" w14:textId="5A835EAD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0.761</w:t>
            </w:r>
          </w:p>
        </w:tc>
        <w:tc>
          <w:tcPr>
            <w:tcW w:w="0" w:type="auto"/>
          </w:tcPr>
          <w:p w14:paraId="7A02085B" w14:textId="57437564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0.771</w:t>
            </w:r>
          </w:p>
        </w:tc>
        <w:tc>
          <w:tcPr>
            <w:tcW w:w="0" w:type="auto"/>
          </w:tcPr>
          <w:p w14:paraId="3B077C93" w14:textId="3B890204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2942F470" w14:textId="71113BE6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</w:tr>
      <w:tr w:rsidR="004E0434" w:rsidRPr="00AC4E5A" w14:paraId="3D9FD924" w14:textId="77777777" w:rsidTr="00AF2008">
        <w:tc>
          <w:tcPr>
            <w:tcW w:w="0" w:type="auto"/>
          </w:tcPr>
          <w:p w14:paraId="09D05E6B" w14:textId="64C83BFC" w:rsidR="00F04770" w:rsidRPr="00AC4E5A" w:rsidRDefault="00C22629" w:rsidP="00F0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 xml:space="preserve">D-W 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</w:p>
        </w:tc>
        <w:tc>
          <w:tcPr>
            <w:tcW w:w="0" w:type="auto"/>
          </w:tcPr>
          <w:p w14:paraId="19C2F635" w14:textId="7BCEACDA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</w:tcPr>
          <w:p w14:paraId="676BFFBB" w14:textId="6C0273F9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1.98</w:t>
            </w:r>
          </w:p>
        </w:tc>
        <w:tc>
          <w:tcPr>
            <w:tcW w:w="0" w:type="auto"/>
          </w:tcPr>
          <w:p w14:paraId="353E96C8" w14:textId="0ED72C77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3D2B3512" w14:textId="3E8022F7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2.00</w:t>
            </w:r>
          </w:p>
        </w:tc>
      </w:tr>
      <w:tr w:rsidR="004E0434" w:rsidRPr="00AC4E5A" w14:paraId="41184CDE" w14:textId="77777777" w:rsidTr="00AF2008">
        <w:tc>
          <w:tcPr>
            <w:tcW w:w="0" w:type="auto"/>
          </w:tcPr>
          <w:p w14:paraId="1863ECC1" w14:textId="70B228DB" w:rsidR="00F04770" w:rsidRPr="00AC4E5A" w:rsidRDefault="00C22629" w:rsidP="00F0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F-statistic</w:t>
            </w:r>
          </w:p>
        </w:tc>
        <w:tc>
          <w:tcPr>
            <w:tcW w:w="0" w:type="auto"/>
          </w:tcPr>
          <w:p w14:paraId="4C7E6FAB" w14:textId="42CA0E99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14.87***</w:t>
            </w:r>
          </w:p>
        </w:tc>
        <w:tc>
          <w:tcPr>
            <w:tcW w:w="0" w:type="auto"/>
          </w:tcPr>
          <w:p w14:paraId="298EDEDF" w14:textId="61219383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12.21***</w:t>
            </w:r>
          </w:p>
        </w:tc>
        <w:tc>
          <w:tcPr>
            <w:tcW w:w="0" w:type="auto"/>
          </w:tcPr>
          <w:p w14:paraId="6908CC21" w14:textId="6FD192B7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</w:tcPr>
          <w:p w14:paraId="118BF3E5" w14:textId="04B563A6" w:rsidR="00F04770" w:rsidRPr="00AC4E5A" w:rsidRDefault="00C22629" w:rsidP="00F047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17.65***</w:t>
            </w:r>
          </w:p>
        </w:tc>
      </w:tr>
      <w:tr w:rsidR="004E0434" w:rsidRPr="00AC4E5A" w14:paraId="3379C0CA" w14:textId="77777777" w:rsidTr="00AF2008">
        <w:tc>
          <w:tcPr>
            <w:tcW w:w="0" w:type="auto"/>
          </w:tcPr>
          <w:p w14:paraId="37E18620" w14:textId="4FB6B183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F-Bounds Test</w:t>
            </w:r>
          </w:p>
        </w:tc>
        <w:tc>
          <w:tcPr>
            <w:tcW w:w="0" w:type="auto"/>
          </w:tcPr>
          <w:p w14:paraId="61E344A0" w14:textId="32F30E8C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8.45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14:paraId="66CCA782" w14:textId="07FD19FC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7.12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C4E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14:paraId="544309F5" w14:textId="6FF1220B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5.87**</w:t>
            </w:r>
          </w:p>
        </w:tc>
        <w:tc>
          <w:tcPr>
            <w:tcW w:w="0" w:type="auto"/>
          </w:tcPr>
          <w:p w14:paraId="2AE1CCC7" w14:textId="6C4F00DE" w:rsidR="00AF2008" w:rsidRPr="00AC4E5A" w:rsidRDefault="00C22629" w:rsidP="00AF20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9.02***</w:t>
            </w:r>
          </w:p>
        </w:tc>
      </w:tr>
    </w:tbl>
    <w:p w14:paraId="6E0FBBCD" w14:textId="023D701B" w:rsidR="00AF2008" w:rsidRPr="00AC4E5A" w:rsidRDefault="00C22629" w:rsidP="00E427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Notes: ***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</w:t>
      </w:r>
      <w:r w:rsidRPr="00AC4E5A">
        <w:rPr>
          <w:rFonts w:ascii="Times New Roman" w:hAnsi="Times New Roman" w:cs="Times New Roman"/>
          <w:sz w:val="24"/>
          <w:szCs w:val="24"/>
        </w:rPr>
        <w:t xml:space="preserve"> ** denote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significance at 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1% and 5% </w:t>
      </w:r>
      <w:r w:rsidRPr="00AC4E5A">
        <w:rPr>
          <w:rFonts w:ascii="Times New Roman" w:hAnsi="Times New Roman" w:cs="Times New Roman"/>
          <w:sz w:val="24"/>
          <w:szCs w:val="24"/>
        </w:rPr>
        <w:t>levels</w:t>
      </w:r>
      <w:r w:rsidRPr="00AC4E5A">
        <w:rPr>
          <w:rFonts w:ascii="Times New Roman" w:eastAsia="Calibri" w:hAnsi="Times New Roman" w:cs="Times New Roman"/>
          <w:sz w:val="24"/>
          <w:szCs w:val="24"/>
        </w:rPr>
        <w:t>, respectively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. ECM is the speed of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adjustment.</w:t>
      </w:r>
    </w:p>
    <w:p w14:paraId="4DBC4570" w14:textId="19D4A36E" w:rsidR="00353E57" w:rsidRPr="00AC4E5A" w:rsidRDefault="00C22629" w:rsidP="00353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Source: Author (202</w:t>
      </w:r>
      <w:r w:rsidR="002D3835" w:rsidRPr="00AC4E5A">
        <w:rPr>
          <w:rFonts w:ascii="Times New Roman" w:hAnsi="Times New Roman" w:cs="Times New Roman"/>
          <w:sz w:val="24"/>
          <w:szCs w:val="24"/>
        </w:rPr>
        <w:t>6</w:t>
      </w:r>
      <w:r w:rsidRPr="00AC4E5A">
        <w:rPr>
          <w:rFonts w:ascii="Times New Roman" w:hAnsi="Times New Roman" w:cs="Times New Roman"/>
          <w:sz w:val="24"/>
          <w:szCs w:val="24"/>
        </w:rPr>
        <w:t>)</w:t>
      </w:r>
    </w:p>
    <w:p w14:paraId="44F02EE6" w14:textId="77777777" w:rsidR="006736D6" w:rsidRPr="00AC4E5A" w:rsidRDefault="00C22629" w:rsidP="006736D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 xml:space="preserve">Results </w:t>
      </w:r>
      <w:r w:rsidRPr="00AC4E5A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67E5748" w14:textId="2268BEC3" w:rsidR="006736D6" w:rsidRPr="00AC4E5A" w:rsidRDefault="00C22629" w:rsidP="006736D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The panel ARDL results in Table 4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reveal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that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positively and </w:t>
      </w:r>
      <w:r w:rsidRPr="00AC4E5A">
        <w:rPr>
          <w:rFonts w:ascii="Times New Roman" w:hAnsi="Times New Roman" w:cs="Times New Roman"/>
          <w:sz w:val="24"/>
          <w:szCs w:val="24"/>
        </w:rPr>
        <w:t>significant</w:t>
      </w:r>
      <w:r w:rsidRPr="00AC4E5A">
        <w:rPr>
          <w:rFonts w:ascii="Times New Roman" w:hAnsi="Times New Roman" w:cs="Times New Roman"/>
          <w:sz w:val="24"/>
          <w:szCs w:val="24"/>
        </w:rPr>
        <w:t>ly influence</w:t>
      </w:r>
      <w:r w:rsidR="001A50FA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GRIN </w:t>
      </w:r>
      <w:r w:rsidRPr="00AC4E5A">
        <w:rPr>
          <w:rFonts w:ascii="Times New Roman" w:hAnsi="Times New Roman" w:cs="Times New Roman"/>
          <w:sz w:val="24"/>
          <w:szCs w:val="24"/>
        </w:rPr>
        <w:t>in West Africa</w:t>
      </w:r>
      <w:r w:rsidRPr="00AC4E5A">
        <w:rPr>
          <w:rFonts w:ascii="Times New Roman" w:hAnsi="Times New Roman" w:cs="Times New Roman"/>
          <w:sz w:val="24"/>
          <w:szCs w:val="24"/>
        </w:rPr>
        <w:t xml:space="preserve"> in the long run by </w:t>
      </w:r>
      <w:r w:rsidRPr="00AC4E5A">
        <w:rPr>
          <w:rFonts w:ascii="Times New Roman" w:hAnsi="Times New Roman" w:cs="Times New Roman"/>
          <w:sz w:val="24"/>
          <w:szCs w:val="24"/>
        </w:rPr>
        <w:t>41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and in the short run by </w:t>
      </w:r>
      <w:r w:rsidRPr="00AC4E5A">
        <w:rPr>
          <w:rFonts w:ascii="Times New Roman" w:hAnsi="Times New Roman" w:cs="Times New Roman"/>
          <w:sz w:val="24"/>
          <w:szCs w:val="24"/>
        </w:rPr>
        <w:t>6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7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 xml:space="preserve">. This magnitude implies that a sustained improvement in stock and bond market depth and liquidity is associated with substantial long-term gains in renewable energy deployment and green innovation, while </w:t>
      </w:r>
      <w:r w:rsidRPr="00AC4E5A">
        <w:rPr>
          <w:rFonts w:ascii="Times New Roman" w:hAnsi="Times New Roman" w:cs="Times New Roman"/>
          <w:sz w:val="24"/>
          <w:szCs w:val="24"/>
        </w:rPr>
        <w:t xml:space="preserve">modest </w:t>
      </w:r>
      <w:r w:rsidRPr="00AC4E5A">
        <w:rPr>
          <w:rFonts w:ascii="Times New Roman" w:hAnsi="Times New Roman" w:cs="Times New Roman"/>
          <w:sz w:val="24"/>
          <w:szCs w:val="24"/>
        </w:rPr>
        <w:t xml:space="preserve">short-run effects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reflect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GRIN’s </w:t>
      </w:r>
      <w:r w:rsidRPr="00AC4E5A">
        <w:rPr>
          <w:rFonts w:ascii="Times New Roman" w:eastAsia="Calibri" w:hAnsi="Times New Roman" w:cs="Times New Roman"/>
          <w:sz w:val="24"/>
          <w:szCs w:val="24"/>
        </w:rPr>
        <w:t>long gestation periods, regulatory approvals, and infrastructure intensity</w:t>
      </w:r>
      <w:r w:rsidRPr="00AC4E5A">
        <w:rPr>
          <w:rFonts w:ascii="Times New Roman" w:hAnsi="Times New Roman" w:cs="Times New Roman"/>
          <w:sz w:val="24"/>
          <w:szCs w:val="24"/>
        </w:rPr>
        <w:t>. The country-specific MG estimates in Table 5 reinforce this regional pattern</w:t>
      </w:r>
      <w:r w:rsidRPr="00AC4E5A">
        <w:rPr>
          <w:rFonts w:ascii="Times New Roman" w:hAnsi="Times New Roman" w:cs="Times New Roman"/>
          <w:sz w:val="24"/>
          <w:szCs w:val="24"/>
        </w:rPr>
        <w:t xml:space="preserve"> with significant</w:t>
      </w:r>
      <w:r w:rsidRPr="00AC4E5A">
        <w:rPr>
          <w:rFonts w:ascii="Times New Roman" w:hAnsi="Times New Roman" w:cs="Times New Roman"/>
          <w:sz w:val="24"/>
          <w:szCs w:val="24"/>
        </w:rPr>
        <w:t xml:space="preserve"> heterogenei</w:t>
      </w:r>
      <w:r w:rsidRPr="00AC4E5A">
        <w:rPr>
          <w:rFonts w:ascii="Times New Roman" w:hAnsi="Times New Roman" w:cs="Times New Roman"/>
          <w:sz w:val="24"/>
          <w:szCs w:val="24"/>
        </w:rPr>
        <w:t xml:space="preserve">ty: the CAM effect is </w:t>
      </w:r>
      <w:r w:rsidRPr="00AC4E5A">
        <w:rPr>
          <w:rFonts w:ascii="Times New Roman" w:hAnsi="Times New Roman" w:cs="Times New Roman"/>
          <w:sz w:val="24"/>
          <w:szCs w:val="24"/>
        </w:rPr>
        <w:t xml:space="preserve">high </w:t>
      </w:r>
      <w:r w:rsidRPr="00AC4E5A">
        <w:rPr>
          <w:rFonts w:ascii="Times New Roman" w:hAnsi="Times New Roman" w:cs="Times New Roman"/>
          <w:sz w:val="24"/>
          <w:szCs w:val="24"/>
        </w:rPr>
        <w:t>in Nigeria</w:t>
      </w:r>
      <w:r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Pr="00AC4E5A">
        <w:rPr>
          <w:rFonts w:ascii="Times New Roman" w:hAnsi="Times New Roman" w:cs="Times New Roman"/>
          <w:sz w:val="24"/>
          <w:szCs w:val="24"/>
        </w:rPr>
        <w:t>28</w:t>
      </w:r>
      <w:r w:rsidR="00BF19E0"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1</w:t>
      </w:r>
      <w:r w:rsidR="00BF19E0"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 Ghana</w:t>
      </w:r>
      <w:r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Pr="00AC4E5A">
        <w:rPr>
          <w:rFonts w:ascii="Times New Roman" w:hAnsi="Times New Roman" w:cs="Times New Roman"/>
          <w:sz w:val="24"/>
          <w:szCs w:val="24"/>
        </w:rPr>
        <w:t>23</w:t>
      </w:r>
      <w:r w:rsidR="00BF19E0"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1</w:t>
      </w:r>
      <w:r w:rsidR="00BF19E0"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hAnsi="Times New Roman" w:cs="Times New Roman"/>
          <w:sz w:val="24"/>
          <w:szCs w:val="24"/>
        </w:rPr>
        <w:t xml:space="preserve">, moderate in Côte d’Ivoire </w:t>
      </w:r>
      <w:r w:rsidR="00BF19E0" w:rsidRPr="00AC4E5A">
        <w:rPr>
          <w:rFonts w:ascii="Times New Roman" w:hAnsi="Times New Roman" w:cs="Times New Roman"/>
          <w:sz w:val="24"/>
          <w:szCs w:val="24"/>
        </w:rPr>
        <w:t>by</w:t>
      </w:r>
      <w:r w:rsidRPr="00AC4E5A">
        <w:rPr>
          <w:rFonts w:ascii="Times New Roman" w:hAnsi="Times New Roman" w:cs="Times New Roman"/>
          <w:sz w:val="24"/>
          <w:szCs w:val="24"/>
        </w:rPr>
        <w:t xml:space="preserve"> 17</w:t>
      </w:r>
      <w:r w:rsidR="00BF19E0"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4</w:t>
      </w:r>
      <w:r w:rsidR="00BF19E0"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>,</w:t>
      </w:r>
      <w:r w:rsidR="00BF19E0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eastAsia="Calibri" w:hAnsi="Times New Roman" w:cs="Times New Roman"/>
          <w:sz w:val="24"/>
          <w:szCs w:val="24"/>
        </w:rPr>
        <w:t>weak and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non-</w:t>
      </w:r>
      <w:r w:rsidRPr="00AC4E5A">
        <w:rPr>
          <w:rFonts w:ascii="Times New Roman" w:hAnsi="Times New Roman" w:cs="Times New Roman"/>
          <w:sz w:val="24"/>
          <w:szCs w:val="24"/>
        </w:rPr>
        <w:t xml:space="preserve">significant in Senegal </w:t>
      </w:r>
      <w:r w:rsidR="00BF19E0"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9</w:t>
      </w:r>
      <w:r w:rsidR="00BF19E0"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2</w:t>
      </w:r>
      <w:r w:rsidR="00BF19E0"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 xml:space="preserve">. This cross-country alignment </w:t>
      </w:r>
      <w:r w:rsidR="00FD70F8" w:rsidRPr="00AC4E5A">
        <w:rPr>
          <w:rFonts w:ascii="Times New Roman" w:hAnsi="Times New Roman" w:cs="Times New Roman"/>
          <w:sz w:val="24"/>
          <w:szCs w:val="24"/>
        </w:rPr>
        <w:t>implies that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where </w:t>
      </w:r>
      <w:r w:rsidR="00FD70F8" w:rsidRPr="00AC4E5A">
        <w:rPr>
          <w:rFonts w:ascii="Times New Roman" w:hAnsi="Times New Roman" w:cs="Times New Roman"/>
          <w:sz w:val="24"/>
          <w:szCs w:val="24"/>
        </w:rPr>
        <w:t>CAM</w:t>
      </w:r>
      <w:r w:rsidRPr="00AC4E5A">
        <w:rPr>
          <w:rFonts w:ascii="Times New Roman" w:hAnsi="Times New Roman" w:cs="Times New Roman"/>
          <w:sz w:val="24"/>
          <w:szCs w:val="24"/>
        </w:rPr>
        <w:t xml:space="preserve">s are </w:t>
      </w:r>
      <w:r w:rsidRPr="00AC4E5A">
        <w:rPr>
          <w:rFonts w:ascii="Times New Roman" w:hAnsi="Times New Roman" w:cs="Times New Roman"/>
          <w:sz w:val="24"/>
          <w:szCs w:val="24"/>
        </w:rPr>
        <w:t>deeper and more liquid, they function as effective conduits for long-term green finance, whereas relatively shallow markets constrain the CAM–GRIN transmission mechanism.</w:t>
      </w:r>
      <w:r w:rsidR="005A0707" w:rsidRPr="00AC4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819D0" w14:textId="040A6AE4" w:rsidR="006736D6" w:rsidRPr="00AC4E5A" w:rsidRDefault="00C22629" w:rsidP="006736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FIN positive</w:t>
      </w:r>
      <w:r w:rsidR="00FD70F8" w:rsidRPr="00AC4E5A">
        <w:rPr>
          <w:rFonts w:ascii="Times New Roman" w:hAnsi="Times New Roman" w:cs="Times New Roman"/>
          <w:sz w:val="24"/>
          <w:szCs w:val="24"/>
        </w:rPr>
        <w:t>ly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 significant</w:t>
      </w:r>
      <w:r w:rsidR="00FD70F8" w:rsidRPr="00AC4E5A">
        <w:rPr>
          <w:rFonts w:ascii="Times New Roman" w:hAnsi="Times New Roman" w:cs="Times New Roman"/>
          <w:sz w:val="24"/>
          <w:szCs w:val="24"/>
        </w:rPr>
        <w:t>ly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influences GRIN </w:t>
      </w:r>
      <w:r w:rsidRPr="00AC4E5A">
        <w:rPr>
          <w:rFonts w:ascii="Times New Roman" w:eastAsia="Calibri" w:hAnsi="Times New Roman" w:cs="Times New Roman"/>
          <w:sz w:val="24"/>
          <w:szCs w:val="24"/>
        </w:rPr>
        <w:t>in the long run at the panel level</w:t>
      </w:r>
      <w:r w:rsidR="00FD70F8" w:rsidRPr="00AC4E5A">
        <w:rPr>
          <w:rFonts w:ascii="Times New Roman" w:hAnsi="Times New Roman" w:cs="Times New Roman"/>
          <w:sz w:val="24"/>
          <w:szCs w:val="24"/>
        </w:rPr>
        <w:t xml:space="preserve"> by </w:t>
      </w:r>
      <w:r w:rsidRPr="00AC4E5A">
        <w:rPr>
          <w:rFonts w:ascii="Times New Roman" w:hAnsi="Times New Roman" w:cs="Times New Roman"/>
          <w:sz w:val="24"/>
          <w:szCs w:val="24"/>
        </w:rPr>
        <w:t>17</w:t>
      </w:r>
      <w:r w:rsidR="00FD70F8"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6</w:t>
      </w:r>
      <w:r w:rsidR="00FD70F8" w:rsidRPr="00AC4E5A">
        <w:rPr>
          <w:rFonts w:ascii="Times New Roman" w:hAnsi="Times New Roman" w:cs="Times New Roman"/>
          <w:sz w:val="24"/>
          <w:szCs w:val="24"/>
        </w:rPr>
        <w:t xml:space="preserve">%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="001A50FA" w:rsidRPr="00AC4E5A">
        <w:rPr>
          <w:rFonts w:ascii="Times New Roman" w:hAnsi="Times New Roman" w:cs="Times New Roman"/>
          <w:sz w:val="24"/>
          <w:szCs w:val="24"/>
        </w:rPr>
        <w:t xml:space="preserve">in the </w:t>
      </w:r>
      <w:r w:rsidR="00FD70F8" w:rsidRPr="00AC4E5A">
        <w:rPr>
          <w:rFonts w:ascii="Times New Roman" w:hAnsi="Times New Roman" w:cs="Times New Roman"/>
          <w:sz w:val="24"/>
          <w:szCs w:val="24"/>
        </w:rPr>
        <w:t xml:space="preserve">short run by </w:t>
      </w:r>
      <w:r w:rsidRPr="00AC4E5A">
        <w:rPr>
          <w:rFonts w:ascii="Times New Roman" w:hAnsi="Times New Roman" w:cs="Times New Roman"/>
          <w:sz w:val="24"/>
          <w:szCs w:val="24"/>
        </w:rPr>
        <w:t>5</w:t>
      </w:r>
      <w:r w:rsidR="00FD70F8"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2</w:t>
      </w:r>
      <w:r w:rsidR="00FD70F8"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>, confirming that domestic credit to the private sector</w:t>
      </w:r>
      <w:r w:rsidRPr="00AC4E5A">
        <w:rPr>
          <w:rFonts w:ascii="Times New Roman" w:hAnsi="Times New Roman" w:cs="Times New Roman"/>
          <w:sz w:val="24"/>
          <w:szCs w:val="24"/>
        </w:rPr>
        <w:t xml:space="preserve"> (DCPS)</w:t>
      </w:r>
      <w:r w:rsidRPr="00AC4E5A">
        <w:rPr>
          <w:rFonts w:ascii="Times New Roman" w:hAnsi="Times New Roman" w:cs="Times New Roman"/>
          <w:sz w:val="24"/>
          <w:szCs w:val="24"/>
        </w:rPr>
        <w:t xml:space="preserve"> mediates the effect of </w:t>
      </w:r>
      <w:r w:rsidR="00FD70F8" w:rsidRPr="00AC4E5A">
        <w:rPr>
          <w:rFonts w:ascii="Times New Roman" w:hAnsi="Times New Roman" w:cs="Times New Roman"/>
          <w:sz w:val="24"/>
          <w:szCs w:val="24"/>
        </w:rPr>
        <w:t>CAM on GRIN</w:t>
      </w:r>
      <w:r w:rsidRPr="00AC4E5A">
        <w:rPr>
          <w:rFonts w:ascii="Times New Roman" w:hAnsi="Times New Roman" w:cs="Times New Roman"/>
          <w:sz w:val="24"/>
          <w:szCs w:val="24"/>
        </w:rPr>
        <w:t>. The country-level results mirror this mediation channel: FIN exert</w:t>
      </w:r>
      <w:r w:rsidRPr="00AC4E5A">
        <w:rPr>
          <w:rFonts w:ascii="Times New Roman" w:hAnsi="Times New Roman" w:cs="Times New Roman"/>
          <w:sz w:val="24"/>
          <w:szCs w:val="24"/>
        </w:rPr>
        <w:t>ed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influence in </w:t>
      </w:r>
      <w:r w:rsidRPr="00AC4E5A">
        <w:rPr>
          <w:rFonts w:ascii="Times New Roman" w:hAnsi="Times New Roman" w:cs="Times New Roman"/>
          <w:sz w:val="24"/>
          <w:szCs w:val="24"/>
        </w:rPr>
        <w:t>Nigeria</w:t>
      </w:r>
      <w:r w:rsidRPr="00AC4E5A">
        <w:rPr>
          <w:rFonts w:ascii="Times New Roman" w:hAnsi="Times New Roman" w:cs="Times New Roman"/>
          <w:sz w:val="24"/>
          <w:szCs w:val="24"/>
        </w:rPr>
        <w:t xml:space="preserve"> by </w:t>
      </w:r>
      <w:r w:rsidRPr="00AC4E5A">
        <w:rPr>
          <w:rFonts w:ascii="Times New Roman" w:hAnsi="Times New Roman" w:cs="Times New Roman"/>
          <w:sz w:val="24"/>
          <w:szCs w:val="24"/>
        </w:rPr>
        <w:t>21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3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 Ghana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18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6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>, weaker effects in Cô</w:t>
      </w:r>
      <w:r w:rsidRPr="00AC4E5A">
        <w:rPr>
          <w:rFonts w:ascii="Times New Roman" w:hAnsi="Times New Roman" w:cs="Times New Roman"/>
          <w:sz w:val="24"/>
          <w:szCs w:val="24"/>
        </w:rPr>
        <w:t>te d’Ivoire</w:t>
      </w:r>
      <w:r w:rsidRPr="00AC4E5A">
        <w:rPr>
          <w:rFonts w:ascii="Times New Roman" w:hAnsi="Times New Roman" w:cs="Times New Roman"/>
          <w:sz w:val="24"/>
          <w:szCs w:val="24"/>
        </w:rPr>
        <w:t xml:space="preserve"> by </w:t>
      </w:r>
      <w:r w:rsidRPr="00AC4E5A">
        <w:rPr>
          <w:rFonts w:ascii="Times New Roman" w:hAnsi="Times New Roman" w:cs="Times New Roman"/>
          <w:sz w:val="24"/>
          <w:szCs w:val="24"/>
        </w:rPr>
        <w:t>14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 xml:space="preserve">, and negligible effects in Senegal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8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3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 xml:space="preserve">. This pattern </w:t>
      </w:r>
      <w:r w:rsidR="00FD70F8" w:rsidRPr="00AC4E5A">
        <w:rPr>
          <w:rFonts w:ascii="Times New Roman" w:hAnsi="Times New Roman" w:cs="Times New Roman"/>
          <w:sz w:val="24"/>
          <w:szCs w:val="24"/>
        </w:rPr>
        <w:t>show</w:t>
      </w:r>
      <w:r w:rsidRPr="00AC4E5A">
        <w:rPr>
          <w:rFonts w:ascii="Times New Roman" w:hAnsi="Times New Roman" w:cs="Times New Roman"/>
          <w:sz w:val="24"/>
          <w:szCs w:val="24"/>
        </w:rPr>
        <w:t xml:space="preserve">s that </w:t>
      </w:r>
      <w:r w:rsidR="00FD70F8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 xml:space="preserve">alone </w:t>
      </w:r>
      <w:r w:rsidRPr="00AC4E5A">
        <w:rPr>
          <w:rFonts w:ascii="Times New Roman" w:hAnsi="Times New Roman" w:cs="Times New Roman"/>
          <w:sz w:val="24"/>
          <w:szCs w:val="24"/>
        </w:rPr>
        <w:t xml:space="preserve">is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insufficient; </w:t>
      </w:r>
      <w:r w:rsidRPr="00AC4E5A">
        <w:rPr>
          <w:rFonts w:ascii="Times New Roman" w:hAnsi="Times New Roman" w:cs="Times New Roman"/>
          <w:sz w:val="24"/>
          <w:szCs w:val="24"/>
        </w:rPr>
        <w:t xml:space="preserve">its </w:t>
      </w:r>
      <w:r w:rsidRPr="00AC4E5A">
        <w:rPr>
          <w:rFonts w:ascii="Times New Roman" w:hAnsi="Times New Roman" w:cs="Times New Roman"/>
          <w:sz w:val="24"/>
          <w:szCs w:val="24"/>
        </w:rPr>
        <w:t>green impact is realized when complemented by effective banking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sector intermediation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which</w:t>
      </w:r>
      <w:r w:rsidRPr="00AC4E5A">
        <w:rPr>
          <w:rFonts w:ascii="Times New Roman" w:hAnsi="Times New Roman" w:cs="Times New Roman"/>
          <w:sz w:val="24"/>
          <w:szCs w:val="24"/>
        </w:rPr>
        <w:t xml:space="preserve"> reduces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financing constraints for firms undertaking high-risk, long-</w:t>
      </w:r>
      <w:r w:rsidRPr="00AC4E5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gestation green projects. In </w:t>
      </w:r>
      <w:r w:rsidR="00FD70F8" w:rsidRPr="00AC4E5A">
        <w:rPr>
          <w:rFonts w:ascii="Times New Roman" w:hAnsi="Times New Roman" w:cs="Times New Roman"/>
          <w:sz w:val="24"/>
          <w:szCs w:val="24"/>
        </w:rPr>
        <w:t xml:space="preserve">lax </w:t>
      </w:r>
      <w:r w:rsidRPr="00AC4E5A">
        <w:rPr>
          <w:rFonts w:ascii="Times New Roman" w:hAnsi="Times New Roman" w:cs="Times New Roman"/>
          <w:sz w:val="24"/>
          <w:szCs w:val="24"/>
        </w:rPr>
        <w:t xml:space="preserve">financial systems, improvements in CAM do not </w:t>
      </w:r>
      <w:r w:rsidRPr="00AC4E5A">
        <w:rPr>
          <w:rFonts w:ascii="Times New Roman" w:hAnsi="Times New Roman" w:cs="Times New Roman"/>
          <w:sz w:val="24"/>
          <w:szCs w:val="24"/>
        </w:rPr>
        <w:t>fully translate into substantive GRIN outcomes, highlighting the need for integrated financial sector reforms rather than isolated capital market deepening.</w:t>
      </w:r>
    </w:p>
    <w:p w14:paraId="6BC72851" w14:textId="628DE17D" w:rsidR="006736D6" w:rsidRPr="00AC4E5A" w:rsidRDefault="00C22629" w:rsidP="006736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INSQ exerts a positive and significant long-run effect at the panel level </w:t>
      </w:r>
      <w:r w:rsidRPr="00AC4E5A">
        <w:rPr>
          <w:rFonts w:ascii="Times New Roman" w:hAnsi="Times New Roman" w:cs="Times New Roman"/>
          <w:sz w:val="24"/>
          <w:szCs w:val="24"/>
        </w:rPr>
        <w:t xml:space="preserve">on GRIN by </w:t>
      </w:r>
      <w:r w:rsidRPr="00AC4E5A">
        <w:rPr>
          <w:rFonts w:ascii="Times New Roman" w:hAnsi="Times New Roman" w:cs="Times New Roman"/>
          <w:sz w:val="24"/>
          <w:szCs w:val="24"/>
        </w:rPr>
        <w:t>14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3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and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in the </w:t>
      </w:r>
      <w:r w:rsidRPr="00AC4E5A">
        <w:rPr>
          <w:rFonts w:ascii="Times New Roman" w:hAnsi="Times New Roman" w:cs="Times New Roman"/>
          <w:sz w:val="24"/>
          <w:szCs w:val="24"/>
        </w:rPr>
        <w:t>short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run</w:t>
      </w:r>
      <w:r w:rsidR="001A50FA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a non-</w:t>
      </w:r>
      <w:r w:rsidRPr="00AC4E5A">
        <w:rPr>
          <w:rFonts w:ascii="Times New Roman" w:hAnsi="Times New Roman" w:cs="Times New Roman"/>
          <w:sz w:val="24"/>
          <w:szCs w:val="24"/>
        </w:rPr>
        <w:t>significant</w:t>
      </w:r>
      <w:r w:rsidRPr="00AC4E5A">
        <w:rPr>
          <w:rFonts w:ascii="Times New Roman" w:hAnsi="Times New Roman" w:cs="Times New Roman"/>
          <w:sz w:val="24"/>
          <w:szCs w:val="24"/>
        </w:rPr>
        <w:t xml:space="preserve"> effect</w:t>
      </w:r>
      <w:r w:rsidRPr="00AC4E5A">
        <w:rPr>
          <w:rFonts w:ascii="Times New Roman" w:hAnsi="Times New Roman" w:cs="Times New Roman"/>
          <w:sz w:val="24"/>
          <w:szCs w:val="24"/>
        </w:rPr>
        <w:t xml:space="preserve">, underscoring that governance reforms operate through slow-moving structural channels rather than immediate market responses. </w:t>
      </w:r>
    </w:p>
    <w:p w14:paraId="2C5A34F5" w14:textId="52FEE797" w:rsidR="00802DB7" w:rsidRPr="00AC4E5A" w:rsidRDefault="00C22629" w:rsidP="00802DB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T</w:t>
      </w:r>
      <w:r w:rsidR="00277A8A" w:rsidRPr="00AC4E5A">
        <w:rPr>
          <w:rFonts w:ascii="Times New Roman" w:hAnsi="Times New Roman" w:cs="Times New Roman"/>
          <w:sz w:val="24"/>
          <w:szCs w:val="24"/>
        </w:rPr>
        <w:t>he interaction term (CAM × INSQ) is positive and significant in the long run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="00277A8A" w:rsidRPr="00AC4E5A">
        <w:rPr>
          <w:rFonts w:ascii="Times New Roman" w:hAnsi="Times New Roman" w:cs="Times New Roman"/>
          <w:sz w:val="24"/>
          <w:szCs w:val="24"/>
        </w:rPr>
        <w:t>9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="00277A8A" w:rsidRPr="00AC4E5A">
        <w:rPr>
          <w:rFonts w:ascii="Times New Roman" w:hAnsi="Times New Roman" w:cs="Times New Roman"/>
          <w:sz w:val="24"/>
          <w:szCs w:val="24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, demonstrating that the green impact of capital markets is conditional on institutional quality. This moderating effect </w:t>
      </w:r>
      <w:r w:rsidR="00277A8A" w:rsidRPr="00AC4E5A">
        <w:rPr>
          <w:rFonts w:ascii="Times New Roman" w:hAnsi="Times New Roman" w:cs="Times New Roman"/>
          <w:sz w:val="24"/>
          <w:szCs w:val="24"/>
        </w:rPr>
        <w:t>wa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s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in </w:t>
      </w:r>
      <w:r w:rsidR="00277A8A" w:rsidRPr="00AC4E5A">
        <w:rPr>
          <w:rFonts w:ascii="Times New Roman" w:hAnsi="Times New Roman" w:cs="Times New Roman"/>
          <w:sz w:val="24"/>
          <w:szCs w:val="24"/>
        </w:rPr>
        <w:t>Nigeria</w:t>
      </w:r>
      <w:r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="00277A8A" w:rsidRPr="00AC4E5A">
        <w:rPr>
          <w:rFonts w:ascii="Times New Roman" w:hAnsi="Times New Roman" w:cs="Times New Roman"/>
          <w:sz w:val="24"/>
          <w:szCs w:val="24"/>
        </w:rPr>
        <w:t>12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="00277A8A" w:rsidRPr="00AC4E5A">
        <w:rPr>
          <w:rFonts w:ascii="Times New Roman" w:hAnsi="Times New Roman" w:cs="Times New Roman"/>
          <w:sz w:val="24"/>
          <w:szCs w:val="24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A8A" w:rsidRPr="00AC4E5A">
        <w:rPr>
          <w:rFonts w:ascii="Times New Roman" w:hAnsi="Times New Roman" w:cs="Times New Roman"/>
          <w:sz w:val="24"/>
          <w:szCs w:val="24"/>
        </w:rPr>
        <w:t>and Ghana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="00277A8A" w:rsidRPr="00AC4E5A">
        <w:rPr>
          <w:rFonts w:ascii="Times New Roman" w:hAnsi="Times New Roman" w:cs="Times New Roman"/>
          <w:sz w:val="24"/>
          <w:szCs w:val="24"/>
        </w:rPr>
        <w:t>10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="00277A8A" w:rsidRPr="00AC4E5A">
        <w:rPr>
          <w:rFonts w:ascii="Times New Roman" w:hAnsi="Times New Roman" w:cs="Times New Roman"/>
          <w:sz w:val="24"/>
          <w:szCs w:val="24"/>
        </w:rPr>
        <w:t>4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="00277A8A" w:rsidRPr="00AC4E5A">
        <w:rPr>
          <w:rFonts w:ascii="Times New Roman" w:hAnsi="Times New Roman" w:cs="Times New Roman"/>
          <w:sz w:val="24"/>
          <w:szCs w:val="24"/>
        </w:rPr>
        <w:t>, weaker in Côte d’Ivoire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="00277A8A" w:rsidRPr="00AC4E5A">
        <w:rPr>
          <w:rFonts w:ascii="Times New Roman" w:hAnsi="Times New Roman" w:cs="Times New Roman"/>
          <w:sz w:val="24"/>
          <w:szCs w:val="24"/>
        </w:rPr>
        <w:t>6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="00277A8A" w:rsidRPr="00AC4E5A">
        <w:rPr>
          <w:rFonts w:ascii="Times New Roman" w:hAnsi="Times New Roman" w:cs="Times New Roman"/>
          <w:sz w:val="24"/>
          <w:szCs w:val="24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="001A50FA" w:rsidRPr="00AC4E5A">
        <w:rPr>
          <w:rFonts w:ascii="Times New Roman" w:hAnsi="Times New Roman" w:cs="Times New Roman"/>
          <w:sz w:val="24"/>
          <w:szCs w:val="24"/>
        </w:rPr>
        <w:t>,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 and negligible in Senegal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="00277A8A" w:rsidRPr="00AC4E5A">
        <w:rPr>
          <w:rFonts w:ascii="Times New Roman" w:hAnsi="Times New Roman" w:cs="Times New Roman"/>
          <w:sz w:val="24"/>
          <w:szCs w:val="24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="00277A8A" w:rsidRPr="00AC4E5A">
        <w:rPr>
          <w:rFonts w:ascii="Times New Roman" w:hAnsi="Times New Roman" w:cs="Times New Roman"/>
          <w:sz w:val="24"/>
          <w:szCs w:val="24"/>
        </w:rPr>
        <w:t>8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.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r</w:t>
      </w:r>
      <w:r w:rsidRPr="00AC4E5A">
        <w:rPr>
          <w:rFonts w:ascii="Times New Roman" w:hAnsi="Times New Roman" w:cs="Times New Roman"/>
          <w:sz w:val="24"/>
          <w:szCs w:val="24"/>
        </w:rPr>
        <w:t xml:space="preserve">esults </w:t>
      </w:r>
      <w:r w:rsidR="00277A8A" w:rsidRPr="00AC4E5A">
        <w:rPr>
          <w:rFonts w:ascii="Times New Roman" w:hAnsi="Times New Roman" w:cs="Times New Roman"/>
          <w:sz w:val="24"/>
          <w:szCs w:val="24"/>
        </w:rPr>
        <w:t>imply that capital market deepening in weak institutional environments risks producing symbolic green finance</w:t>
      </w:r>
      <w:r w:rsidR="001A50FA" w:rsidRPr="00AC4E5A">
        <w:rPr>
          <w:rFonts w:ascii="Times New Roman" w:hAnsi="Times New Roman" w:cs="Times New Roman"/>
          <w:sz w:val="24"/>
          <w:szCs w:val="24"/>
        </w:rPr>
        <w:t>,</w:t>
      </w:r>
      <w:r w:rsidR="00277A8A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such as </w:t>
      </w:r>
      <w:r w:rsidR="00277A8A" w:rsidRPr="00AC4E5A">
        <w:rPr>
          <w:rFonts w:ascii="Times New Roman" w:hAnsi="Times New Roman" w:cs="Times New Roman"/>
          <w:sz w:val="24"/>
          <w:szCs w:val="24"/>
        </w:rPr>
        <w:t>green-label</w:t>
      </w:r>
      <w:r w:rsidRPr="00AC4E5A">
        <w:rPr>
          <w:rFonts w:ascii="Times New Roman" w:eastAsia="Calibri" w:hAnsi="Times New Roman" w:cs="Times New Roman"/>
          <w:sz w:val="24"/>
          <w:szCs w:val="24"/>
        </w:rPr>
        <w:t>l</w:t>
      </w:r>
      <w:r w:rsidRPr="00AC4E5A">
        <w:rPr>
          <w:rFonts w:ascii="Times New Roman" w:eastAsia="Calibri" w:hAnsi="Times New Roman" w:cs="Times New Roman"/>
          <w:sz w:val="24"/>
          <w:szCs w:val="24"/>
        </w:rPr>
        <w:t>ed instruments with limited real impact. Effect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ive regulatory quality, rule of law, and enforcement </w:t>
      </w:r>
      <w:r w:rsidR="00277A8A" w:rsidRPr="00AC4E5A">
        <w:rPr>
          <w:rFonts w:ascii="Times New Roman" w:hAnsi="Times New Roman" w:cs="Times New Roman"/>
          <w:sz w:val="24"/>
          <w:szCs w:val="24"/>
        </w:rPr>
        <w:t>capacity are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therefore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necessary to ensure that financial resources mobilized through CAM translate into verifiable green innovation outcomes rather than greenwashing.</w:t>
      </w:r>
    </w:p>
    <w:p w14:paraId="542054AD" w14:textId="09766DC3" w:rsidR="0026168D" w:rsidRPr="00AC4E5A" w:rsidRDefault="00C22629" w:rsidP="002616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ESG disclosure positively influences GRI</w:t>
      </w:r>
      <w:r w:rsidRPr="00AC4E5A">
        <w:rPr>
          <w:rFonts w:ascii="Times New Roman" w:hAnsi="Times New Roman" w:cs="Times New Roman"/>
          <w:sz w:val="24"/>
          <w:szCs w:val="24"/>
        </w:rPr>
        <w:t>N in both the panel</w:t>
      </w:r>
      <w:r w:rsidR="001A50FA" w:rsidRPr="00AC4E5A">
        <w:rPr>
          <w:rFonts w:ascii="Times New Roman" w:hAnsi="Times New Roman" w:cs="Times New Roman"/>
          <w:sz w:val="24"/>
          <w:szCs w:val="24"/>
        </w:rPr>
        <w:t>'s</w:t>
      </w:r>
      <w:r w:rsidRPr="00AC4E5A">
        <w:rPr>
          <w:rFonts w:ascii="Times New Roman" w:hAnsi="Times New Roman" w:cs="Times New Roman"/>
          <w:sz w:val="24"/>
          <w:szCs w:val="24"/>
        </w:rPr>
        <w:t xml:space="preserve"> long run</w:t>
      </w:r>
      <w:r w:rsidRPr="00AC4E5A">
        <w:rPr>
          <w:rFonts w:ascii="Times New Roman" w:hAnsi="Times New Roman" w:cs="Times New Roman"/>
          <w:sz w:val="24"/>
          <w:szCs w:val="24"/>
        </w:rPr>
        <w:t xml:space="preserve"> by </w:t>
      </w:r>
      <w:r w:rsidRPr="00AC4E5A">
        <w:rPr>
          <w:rFonts w:ascii="Times New Roman" w:hAnsi="Times New Roman" w:cs="Times New Roman"/>
          <w:sz w:val="24"/>
          <w:szCs w:val="24"/>
        </w:rPr>
        <w:t>12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8</w:t>
      </w:r>
      <w:r w:rsidRPr="00AC4E5A">
        <w:rPr>
          <w:rFonts w:ascii="Times New Roman" w:hAnsi="Times New Roman" w:cs="Times New Roman"/>
          <w:sz w:val="24"/>
          <w:szCs w:val="24"/>
        </w:rPr>
        <w:t xml:space="preserve">%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short run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4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 xml:space="preserve">, indicating that greater transparency and sustainability reporting reduce information asymmetry and strengthen investor </w:t>
      </w:r>
      <w:r w:rsidRPr="00AC4E5A">
        <w:rPr>
          <w:rFonts w:ascii="Times New Roman" w:hAnsi="Times New Roman" w:cs="Times New Roman"/>
          <w:sz w:val="24"/>
          <w:szCs w:val="24"/>
        </w:rPr>
        <w:t xml:space="preserve">confidence in green projects. The country-level estimates </w:t>
      </w:r>
      <w:r w:rsidRPr="00AC4E5A">
        <w:rPr>
          <w:rFonts w:ascii="Times New Roman" w:hAnsi="Times New Roman" w:cs="Times New Roman"/>
          <w:sz w:val="24"/>
          <w:szCs w:val="24"/>
        </w:rPr>
        <w:t>reveal robust</w:t>
      </w:r>
      <w:r w:rsidRPr="00AC4E5A">
        <w:rPr>
          <w:rFonts w:ascii="Times New Roman" w:hAnsi="Times New Roman" w:cs="Times New Roman"/>
          <w:sz w:val="24"/>
          <w:szCs w:val="24"/>
        </w:rPr>
        <w:t xml:space="preserve"> ESG effects in Nigeria</w:t>
      </w:r>
      <w:r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Pr="00AC4E5A">
        <w:rPr>
          <w:rFonts w:ascii="Times New Roman" w:hAnsi="Times New Roman" w:cs="Times New Roman"/>
          <w:sz w:val="24"/>
          <w:szCs w:val="24"/>
        </w:rPr>
        <w:t>14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7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hAnsi="Times New Roman" w:cs="Times New Roman"/>
          <w:sz w:val="24"/>
          <w:szCs w:val="24"/>
        </w:rPr>
        <w:t>, Ghana</w:t>
      </w:r>
      <w:r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Pr="00AC4E5A">
        <w:rPr>
          <w:rFonts w:ascii="Times New Roman" w:hAnsi="Times New Roman" w:cs="Times New Roman"/>
          <w:sz w:val="24"/>
          <w:szCs w:val="24"/>
        </w:rPr>
        <w:t>13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2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hAnsi="Times New Roman" w:cs="Times New Roman"/>
          <w:sz w:val="24"/>
          <w:szCs w:val="24"/>
        </w:rPr>
        <w:t>, and Côte d’Ivoire</w:t>
      </w:r>
      <w:r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Pr="00AC4E5A">
        <w:rPr>
          <w:rFonts w:ascii="Times New Roman" w:hAnsi="Times New Roman" w:cs="Times New Roman"/>
          <w:sz w:val="24"/>
          <w:szCs w:val="24"/>
        </w:rPr>
        <w:t>10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9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hAnsi="Times New Roman" w:cs="Times New Roman"/>
          <w:sz w:val="24"/>
          <w:szCs w:val="24"/>
        </w:rPr>
        <w:t>, but weaker effects in Senegal</w:t>
      </w:r>
      <w:r w:rsidRPr="00AC4E5A">
        <w:rPr>
          <w:rFonts w:ascii="Times New Roman" w:hAnsi="Times New Roman" w:cs="Times New Roman"/>
          <w:sz w:val="24"/>
          <w:szCs w:val="24"/>
        </w:rPr>
        <w:t xml:space="preserve"> (</w:t>
      </w:r>
      <w:r w:rsidRPr="00AC4E5A">
        <w:rPr>
          <w:rFonts w:ascii="Times New Roman" w:hAnsi="Times New Roman" w:cs="Times New Roman"/>
          <w:sz w:val="24"/>
          <w:szCs w:val="24"/>
        </w:rPr>
        <w:t>7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eastAsia="Calibri" w:hAnsi="Times New Roman" w:cs="Times New Roman"/>
          <w:sz w:val="24"/>
          <w:szCs w:val="24"/>
        </w:rPr>
        <w:t>)</w:t>
      </w:r>
      <w:r w:rsidRPr="00AC4E5A">
        <w:rPr>
          <w:rFonts w:ascii="Times New Roman" w:hAnsi="Times New Roman" w:cs="Times New Roman"/>
          <w:sz w:val="24"/>
          <w:szCs w:val="24"/>
        </w:rPr>
        <w:t xml:space="preserve">. This pattern </w:t>
      </w:r>
      <w:r w:rsidRPr="00AC4E5A">
        <w:rPr>
          <w:rFonts w:ascii="Times New Roman" w:hAnsi="Times New Roman" w:cs="Times New Roman"/>
          <w:sz w:val="24"/>
          <w:szCs w:val="24"/>
        </w:rPr>
        <w:t>indicates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that </w:t>
      </w:r>
      <w:r w:rsidRPr="00AC4E5A">
        <w:rPr>
          <w:rFonts w:ascii="Times New Roman" w:hAnsi="Times New Roman" w:cs="Times New Roman"/>
          <w:sz w:val="24"/>
          <w:szCs w:val="24"/>
        </w:rPr>
        <w:t>ESG frameworks are more effective whe</w:t>
      </w:r>
      <w:r w:rsidRPr="00AC4E5A">
        <w:rPr>
          <w:rFonts w:ascii="Times New Roman" w:hAnsi="Times New Roman" w:cs="Times New Roman"/>
          <w:sz w:val="24"/>
          <w:szCs w:val="24"/>
        </w:rPr>
        <w:t>n</w:t>
      </w:r>
      <w:r w:rsidRPr="00AC4E5A">
        <w:rPr>
          <w:rFonts w:ascii="Times New Roman" w:hAnsi="Times New Roman" w:cs="Times New Roman"/>
          <w:sz w:val="24"/>
          <w:szCs w:val="24"/>
        </w:rPr>
        <w:t xml:space="preserve"> regulatory oversight and market discipline are </w:t>
      </w:r>
      <w:r w:rsidRPr="00AC4E5A">
        <w:rPr>
          <w:rFonts w:ascii="Times New Roman" w:hAnsi="Times New Roman" w:cs="Times New Roman"/>
          <w:sz w:val="24"/>
          <w:szCs w:val="24"/>
        </w:rPr>
        <w:t>robust</w:t>
      </w:r>
      <w:r w:rsidRPr="00AC4E5A">
        <w:rPr>
          <w:rFonts w:ascii="Times New Roman" w:hAnsi="Times New Roman" w:cs="Times New Roman"/>
          <w:sz w:val="24"/>
          <w:szCs w:val="24"/>
        </w:rPr>
        <w:t xml:space="preserve">. 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lax </w:t>
      </w:r>
      <w:r w:rsidRPr="00AC4E5A">
        <w:rPr>
          <w:rFonts w:ascii="Times New Roman" w:hAnsi="Times New Roman" w:cs="Times New Roman"/>
          <w:sz w:val="24"/>
          <w:szCs w:val="24"/>
        </w:rPr>
        <w:t>institutional contexts, fragmented ESG disclosure limits its credibility and dampens its ca</w:t>
      </w:r>
      <w:r w:rsidRPr="00AC4E5A">
        <w:rPr>
          <w:rFonts w:ascii="Times New Roman" w:hAnsi="Times New Roman" w:cs="Times New Roman"/>
          <w:sz w:val="24"/>
          <w:szCs w:val="24"/>
        </w:rPr>
        <w:t>pacity to catalyze green finance.</w:t>
      </w:r>
    </w:p>
    <w:p w14:paraId="5376D78B" w14:textId="77777777" w:rsidR="0026168D" w:rsidRPr="00AC4E5A" w:rsidRDefault="0026168D" w:rsidP="002616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81159" w14:textId="1F5D9833" w:rsidR="0026168D" w:rsidRPr="00AC4E5A" w:rsidRDefault="00C22629" w:rsidP="002616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Economic capacity, proxied by GDP per capita, exerts a positive and significant influence on GRIN at both the panel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20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 xml:space="preserve">%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country levels (especially in Nigeria and Ghana), highlighting the role of absorptive capacity, technological readiness, and fiscal space in enabling green innovation. </w:t>
      </w:r>
      <w:r w:rsidRPr="00AC4E5A">
        <w:rPr>
          <w:rFonts w:ascii="Times New Roman" w:hAnsi="Times New Roman" w:cs="Times New Roman"/>
          <w:sz w:val="24"/>
          <w:szCs w:val="24"/>
        </w:rPr>
        <w:t>By</w:t>
      </w:r>
      <w:r w:rsidRPr="00AC4E5A">
        <w:rPr>
          <w:rFonts w:ascii="Times New Roman" w:hAnsi="Times New Roman" w:cs="Times New Roman"/>
          <w:sz w:val="24"/>
          <w:szCs w:val="24"/>
        </w:rPr>
        <w:t xml:space="preserve"> contrast, FDI </w:t>
      </w:r>
      <w:r w:rsidRPr="00AC4E5A">
        <w:rPr>
          <w:rFonts w:ascii="Times New Roman" w:hAnsi="Times New Roman" w:cs="Times New Roman"/>
          <w:sz w:val="24"/>
          <w:szCs w:val="24"/>
        </w:rPr>
        <w:t xml:space="preserve">is </w:t>
      </w:r>
      <w:r w:rsidRPr="00AC4E5A">
        <w:rPr>
          <w:rFonts w:ascii="Times New Roman" w:hAnsi="Times New Roman" w:cs="Times New Roman"/>
          <w:sz w:val="24"/>
          <w:szCs w:val="24"/>
        </w:rPr>
        <w:t xml:space="preserve">positive </w:t>
      </w:r>
      <w:r w:rsidRPr="00AC4E5A">
        <w:rPr>
          <w:rFonts w:ascii="Times New Roman" w:hAnsi="Times New Roman" w:cs="Times New Roman"/>
          <w:sz w:val="24"/>
          <w:szCs w:val="24"/>
        </w:rPr>
        <w:t>and non-</w:t>
      </w:r>
      <w:r w:rsidRPr="00AC4E5A">
        <w:rPr>
          <w:rFonts w:ascii="Times New Roman" w:hAnsi="Times New Roman" w:cs="Times New Roman"/>
          <w:sz w:val="24"/>
          <w:szCs w:val="24"/>
        </w:rPr>
        <w:t>significant across the panel and countries, i</w:t>
      </w:r>
      <w:r w:rsidRPr="00AC4E5A">
        <w:rPr>
          <w:rFonts w:ascii="Times New Roman" w:hAnsi="Times New Roman" w:cs="Times New Roman"/>
          <w:sz w:val="24"/>
          <w:szCs w:val="24"/>
        </w:rPr>
        <w:t xml:space="preserve">mplying that foreign capital inflows to West Africa </w:t>
      </w:r>
      <w:r w:rsidRPr="00AC4E5A">
        <w:rPr>
          <w:rFonts w:ascii="Times New Roman" w:hAnsi="Times New Roman" w:cs="Times New Roman"/>
          <w:sz w:val="24"/>
          <w:szCs w:val="24"/>
        </w:rPr>
        <w:t>are yet to be</w:t>
      </w:r>
      <w:r w:rsidRPr="00AC4E5A">
        <w:rPr>
          <w:rFonts w:ascii="Times New Roman" w:hAnsi="Times New Roman" w:cs="Times New Roman"/>
          <w:sz w:val="24"/>
          <w:szCs w:val="24"/>
        </w:rPr>
        <w:t xml:space="preserve"> systematically aligned with green investment objectives,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thus </w:t>
      </w:r>
      <w:r w:rsidRPr="00AC4E5A">
        <w:rPr>
          <w:rFonts w:ascii="Times New Roman" w:hAnsi="Times New Roman" w:cs="Times New Roman"/>
          <w:sz w:val="24"/>
          <w:szCs w:val="24"/>
        </w:rPr>
        <w:t>reflecting the continued dominance of extractive, resource-based, and carbon-intensive FDI. Energy demand (ENM) exerts a negativ</w:t>
      </w:r>
      <w:r w:rsidRPr="00AC4E5A">
        <w:rPr>
          <w:rFonts w:ascii="Times New Roman" w:hAnsi="Times New Roman" w:cs="Times New Roman"/>
          <w:sz w:val="24"/>
          <w:szCs w:val="24"/>
        </w:rPr>
        <w:t xml:space="preserve">e and significant long-run effect at the panel level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11</w:t>
      </w:r>
      <w:r w:rsidRPr="00AC4E5A">
        <w:rPr>
          <w:rFonts w:ascii="Times New Roman" w:hAnsi="Times New Roman" w:cs="Times New Roman"/>
          <w:sz w:val="24"/>
          <w:szCs w:val="24"/>
        </w:rPr>
        <w:t>.7%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in Nigeria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13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8</w:t>
      </w:r>
      <w:r w:rsidRPr="00AC4E5A">
        <w:rPr>
          <w:rFonts w:ascii="Times New Roman" w:hAnsi="Times New Roman" w:cs="Times New Roman"/>
          <w:sz w:val="24"/>
          <w:szCs w:val="24"/>
        </w:rPr>
        <w:t xml:space="preserve">%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Ghana </w:t>
      </w:r>
      <w:r w:rsidRPr="00AC4E5A">
        <w:rPr>
          <w:rFonts w:ascii="Times New Roman" w:hAnsi="Times New Roman" w:cs="Times New Roman"/>
          <w:sz w:val="24"/>
          <w:szCs w:val="24"/>
        </w:rPr>
        <w:t xml:space="preserve">by </w:t>
      </w:r>
      <w:r w:rsidRPr="00AC4E5A">
        <w:rPr>
          <w:rFonts w:ascii="Times New Roman" w:hAnsi="Times New Roman" w:cs="Times New Roman"/>
          <w:sz w:val="24"/>
          <w:szCs w:val="24"/>
        </w:rPr>
        <w:t>12</w:t>
      </w:r>
      <w:r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>1</w:t>
      </w:r>
      <w:r w:rsidRPr="00AC4E5A">
        <w:rPr>
          <w:rFonts w:ascii="Times New Roman" w:hAnsi="Times New Roman" w:cs="Times New Roman"/>
          <w:sz w:val="24"/>
          <w:szCs w:val="24"/>
        </w:rPr>
        <w:t>%</w:t>
      </w:r>
      <w:r w:rsidRPr="00AC4E5A">
        <w:rPr>
          <w:rFonts w:ascii="Times New Roman" w:hAnsi="Times New Roman" w:cs="Times New Roman"/>
          <w:sz w:val="24"/>
          <w:szCs w:val="24"/>
        </w:rPr>
        <w:t>, indicating that rising energy needs are still predominantly met through fossil-</w:t>
      </w:r>
      <w:r w:rsidRPr="00AC4E5A">
        <w:rPr>
          <w:rFonts w:ascii="Times New Roman" w:hAnsi="Times New Roman" w:cs="Times New Roman"/>
          <w:sz w:val="24"/>
          <w:szCs w:val="24"/>
        </w:rPr>
        <w:t>based energy systems, which crowd out renewable energy adoption and slow the pace of the green transition.</w:t>
      </w:r>
    </w:p>
    <w:p w14:paraId="3BF99AD2" w14:textId="700A1147" w:rsidR="0026168D" w:rsidRPr="00AC4E5A" w:rsidRDefault="00C22629" w:rsidP="002616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The error correction term is negative and statistically significant in the panel (ECT = –0.46) and across countries (ranging from –0.51 in Nigeria to</w:t>
      </w:r>
      <w:r w:rsidRPr="00AC4E5A">
        <w:rPr>
          <w:rFonts w:ascii="Times New Roman" w:hAnsi="Times New Roman" w:cs="Times New Roman"/>
          <w:sz w:val="24"/>
          <w:szCs w:val="24"/>
        </w:rPr>
        <w:t xml:space="preserve"> –0.28 in Senegal), confirming cointegration and a stable long-run </w:t>
      </w:r>
      <w:r w:rsidRPr="00AC4E5A">
        <w:rPr>
          <w:rFonts w:ascii="Times New Roman" w:hAnsi="Times New Roman" w:cs="Times New Roman"/>
          <w:sz w:val="24"/>
          <w:szCs w:val="24"/>
        </w:rPr>
        <w:t xml:space="preserve">nexus </w:t>
      </w:r>
      <w:r w:rsidRPr="00AC4E5A">
        <w:rPr>
          <w:rFonts w:ascii="Times New Roman" w:hAnsi="Times New Roman" w:cs="Times New Roman"/>
          <w:sz w:val="24"/>
          <w:szCs w:val="24"/>
        </w:rPr>
        <w:t>between CAM and GRIN. The estimated speed</w:t>
      </w:r>
      <w:r w:rsidRPr="00AC4E5A">
        <w:rPr>
          <w:rFonts w:ascii="Times New Roman" w:hAnsi="Times New Roman" w:cs="Times New Roman"/>
          <w:sz w:val="24"/>
          <w:szCs w:val="24"/>
        </w:rPr>
        <w:t xml:space="preserve"> of adjustment impl</w:t>
      </w:r>
      <w:r w:rsidRPr="00AC4E5A">
        <w:rPr>
          <w:rFonts w:ascii="Times New Roman" w:hAnsi="Times New Roman" w:cs="Times New Roman"/>
          <w:sz w:val="24"/>
          <w:szCs w:val="24"/>
        </w:rPr>
        <w:t>ies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that 46% of short-run deviations from the long-run green innovation path are corrected annually at the regional level, with faster convergence in Nigeria and Ghana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reflecting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</w:t>
      </w:r>
      <w:r w:rsidRPr="00AC4E5A">
        <w:rPr>
          <w:rFonts w:ascii="Times New Roman" w:hAnsi="Times New Roman" w:cs="Times New Roman"/>
          <w:sz w:val="24"/>
          <w:szCs w:val="24"/>
        </w:rPr>
        <w:t>fi</w:t>
      </w:r>
      <w:r w:rsidRPr="00AC4E5A">
        <w:rPr>
          <w:rFonts w:ascii="Times New Roman" w:hAnsi="Times New Roman" w:cs="Times New Roman"/>
          <w:sz w:val="24"/>
          <w:szCs w:val="24"/>
        </w:rPr>
        <w:t>nancial and institutional capacity to absorb shocks and realign toward green innovation trajectories.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 F-bounds statistics further validate the existence of a long-run equilibrium </w:t>
      </w:r>
      <w:r w:rsidRPr="00AC4E5A">
        <w:rPr>
          <w:rFonts w:ascii="Times New Roman" w:hAnsi="Times New Roman" w:cs="Times New Roman"/>
          <w:sz w:val="24"/>
          <w:szCs w:val="24"/>
        </w:rPr>
        <w:t xml:space="preserve">nexus </w:t>
      </w:r>
      <w:r w:rsidRPr="00AC4E5A">
        <w:rPr>
          <w:rFonts w:ascii="Times New Roman" w:hAnsi="Times New Roman" w:cs="Times New Roman"/>
          <w:sz w:val="24"/>
          <w:szCs w:val="24"/>
        </w:rPr>
        <w:t xml:space="preserve">among the variables, </w:t>
      </w:r>
      <w:r w:rsidRPr="00AC4E5A">
        <w:rPr>
          <w:rFonts w:ascii="Times New Roman" w:hAnsi="Times New Roman" w:cs="Times New Roman"/>
          <w:sz w:val="24"/>
          <w:szCs w:val="24"/>
        </w:rPr>
        <w:t>whereas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the Hausman test supports the PMG</w:t>
      </w:r>
      <w:r w:rsidRPr="00AC4E5A">
        <w:rPr>
          <w:rFonts w:ascii="Times New Roman" w:hAnsi="Times New Roman" w:cs="Times New Roman"/>
          <w:sz w:val="24"/>
          <w:szCs w:val="24"/>
        </w:rPr>
        <w:t xml:space="preserve"> estimator, lending robustness to the pooled long-run inferences.</w:t>
      </w:r>
    </w:p>
    <w:p w14:paraId="003A84A1" w14:textId="4D45BDD0" w:rsidR="004B25B2" w:rsidRPr="00AC4E5A" w:rsidRDefault="00C22629" w:rsidP="002616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lastRenderedPageBreak/>
        <w:t xml:space="preserve">Collectively, the panel and country-specific results </w:t>
      </w:r>
      <w:r w:rsidR="0026168D" w:rsidRPr="00AC4E5A">
        <w:rPr>
          <w:rFonts w:ascii="Times New Roman" w:hAnsi="Times New Roman" w:cs="Times New Roman"/>
          <w:sz w:val="24"/>
          <w:szCs w:val="24"/>
        </w:rPr>
        <w:t xml:space="preserve">reveal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that </w:t>
      </w:r>
      <w:r w:rsidR="0026168D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can serve as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C4E5A">
        <w:rPr>
          <w:rFonts w:ascii="Times New Roman" w:eastAsia="Calibri" w:hAnsi="Times New Roman" w:cs="Times New Roman"/>
          <w:sz w:val="24"/>
          <w:szCs w:val="24"/>
        </w:rPr>
        <w:t>powerful catalyst</w:t>
      </w:r>
      <w:r w:rsidRPr="00AC4E5A">
        <w:rPr>
          <w:rFonts w:ascii="Times New Roman" w:hAnsi="Times New Roman" w:cs="Times New Roman"/>
          <w:sz w:val="24"/>
          <w:szCs w:val="24"/>
        </w:rPr>
        <w:t xml:space="preserve"> for green innovat</w:t>
      </w:r>
      <w:r w:rsidRPr="00AC4E5A">
        <w:rPr>
          <w:rFonts w:ascii="Times New Roman" w:hAnsi="Times New Roman" w:cs="Times New Roman"/>
          <w:sz w:val="24"/>
          <w:szCs w:val="24"/>
        </w:rPr>
        <w:t xml:space="preserve">ion in West Africa, but only when embedded within strong financial intermediation systems and credible institutional frameworks. Nigeria and Ghana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have </w:t>
      </w:r>
      <w:r w:rsidRPr="00AC4E5A">
        <w:rPr>
          <w:rFonts w:ascii="Times New Roman" w:eastAsia="Calibri" w:hAnsi="Times New Roman" w:cs="Times New Roman"/>
          <w:sz w:val="24"/>
          <w:szCs w:val="24"/>
        </w:rPr>
        <w:t>emerge</w:t>
      </w:r>
      <w:r w:rsidRPr="00AC4E5A">
        <w:rPr>
          <w:rFonts w:ascii="Times New Roman" w:eastAsia="Calibri" w:hAnsi="Times New Roman" w:cs="Times New Roman"/>
          <w:sz w:val="24"/>
          <w:szCs w:val="24"/>
        </w:rPr>
        <w:t>d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as regional anchors where CAM, FIN, ESG disclosure, and institutional quality jointly reinforce green innovation, positioning these countries to spearhead regional green bond markets, sustainability-linked securi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ties, and blended finance platforms. </w:t>
      </w:r>
    </w:p>
    <w:p w14:paraId="36754147" w14:textId="3BF4BE90" w:rsidR="00277A8A" w:rsidRPr="00AC4E5A" w:rsidRDefault="00C22629" w:rsidP="002616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Côte d’Ivoire exhibits partial potential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which</w:t>
      </w:r>
      <w:r w:rsidRPr="00AC4E5A">
        <w:rPr>
          <w:rFonts w:ascii="Times New Roman" w:hAnsi="Times New Roman" w:cs="Times New Roman"/>
          <w:sz w:val="24"/>
          <w:szCs w:val="24"/>
        </w:rPr>
        <w:t xml:space="preserve"> can be unlocked through targeted market deepening, credit market reforms, and regulatory capacity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building. Senegal’s weak and largely insignificant coefficients indicate that capital market expansion alone is insufficient</w:t>
      </w:r>
      <w:r w:rsidRPr="00AC4E5A">
        <w:rPr>
          <w:rFonts w:ascii="Times New Roman" w:eastAsia="Calibri" w:hAnsi="Times New Roman" w:cs="Times New Roman"/>
          <w:sz w:val="24"/>
          <w:szCs w:val="24"/>
        </w:rPr>
        <w:t>,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without foundational reforms in governance, investor protection, and ESG enforcement. Regionally, the negative energy demand effect underscores the urgency of aligning energy polic</w:t>
      </w:r>
      <w:r w:rsidRPr="00AC4E5A">
        <w:rPr>
          <w:rFonts w:ascii="Times New Roman" w:hAnsi="Times New Roman" w:cs="Times New Roman"/>
          <w:sz w:val="24"/>
          <w:szCs w:val="24"/>
        </w:rPr>
        <w:t>ies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with renewable deployment targe</w:t>
      </w:r>
      <w:r w:rsidRPr="00AC4E5A">
        <w:rPr>
          <w:rFonts w:ascii="Times New Roman" w:hAnsi="Times New Roman" w:cs="Times New Roman"/>
          <w:sz w:val="24"/>
          <w:szCs w:val="24"/>
        </w:rPr>
        <w:t>ts to prevent rising demand from locking West African economies into carbon-intensive development pathways.</w:t>
      </w:r>
    </w:p>
    <w:p w14:paraId="4B560D12" w14:textId="671B3D8C" w:rsidR="00277A8A" w:rsidRPr="00AC4E5A" w:rsidRDefault="00C22629" w:rsidP="00277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P</w:t>
      </w:r>
      <w:r w:rsidRPr="00AC4E5A">
        <w:rPr>
          <w:rFonts w:ascii="Times New Roman" w:hAnsi="Times New Roman" w:cs="Times New Roman"/>
          <w:sz w:val="24"/>
          <w:szCs w:val="24"/>
        </w:rPr>
        <w:t>ractical</w:t>
      </w:r>
      <w:r w:rsidRPr="00AC4E5A">
        <w:rPr>
          <w:rFonts w:ascii="Times New Roman" w:eastAsia="Calibri" w:hAnsi="Times New Roman" w:cs="Times New Roman"/>
          <w:sz w:val="24"/>
          <w:szCs w:val="24"/>
        </w:rPr>
        <w:t>ly</w:t>
      </w:r>
      <w:r w:rsidRPr="00AC4E5A">
        <w:rPr>
          <w:rFonts w:ascii="Times New Roman" w:hAnsi="Times New Roman" w:cs="Times New Roman"/>
          <w:sz w:val="24"/>
          <w:szCs w:val="24"/>
        </w:rPr>
        <w:t>,</w:t>
      </w:r>
      <w:r w:rsidR="004B25B2"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4B25B2" w:rsidRPr="00AC4E5A">
        <w:rPr>
          <w:rFonts w:ascii="Times New Roman" w:hAnsi="Times New Roman" w:cs="Times New Roman"/>
          <w:sz w:val="24"/>
          <w:szCs w:val="24"/>
        </w:rPr>
        <w:t xml:space="preserve">results reveal the need for </w:t>
      </w:r>
      <w:r w:rsidRPr="00AC4E5A">
        <w:rPr>
          <w:rFonts w:ascii="Times New Roman" w:hAnsi="Times New Roman" w:cs="Times New Roman"/>
          <w:sz w:val="24"/>
          <w:szCs w:val="24"/>
        </w:rPr>
        <w:t>coordinated policy packages: (i) deepening equity and bond markets alongside banking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sector reforms to relax financing constraints for green firms; (ii) strengthening regulatory quality and enforcement to con</w:t>
      </w:r>
      <w:r w:rsidRPr="00AC4E5A">
        <w:rPr>
          <w:rFonts w:ascii="Times New Roman" w:hAnsi="Times New Roman" w:cs="Times New Roman"/>
          <w:sz w:val="24"/>
          <w:szCs w:val="24"/>
        </w:rPr>
        <w:t>vert green finance commitments into real innovation outcomes; (iii) mandating credible ESG disclosure standards to improve transparency and reduce greenwashing; and (iv) reorienting FDI incentives toward renewable energy and climate-smart industries. Toget</w:t>
      </w:r>
      <w:r w:rsidRPr="00AC4E5A">
        <w:rPr>
          <w:rFonts w:ascii="Times New Roman" w:hAnsi="Times New Roman" w:cs="Times New Roman"/>
          <w:sz w:val="24"/>
          <w:szCs w:val="24"/>
        </w:rPr>
        <w:t xml:space="preserve">her, these measures would enhance the capacity of West African capital markets to drive </w:t>
      </w:r>
      <w:r w:rsidRPr="00AC4E5A">
        <w:rPr>
          <w:rFonts w:ascii="Times New Roman" w:hAnsi="Times New Roman" w:cs="Times New Roman"/>
          <w:sz w:val="24"/>
          <w:szCs w:val="24"/>
        </w:rPr>
        <w:t>credible, inclusive, and resilient green transition</w:t>
      </w:r>
      <w:r w:rsidRPr="00AC4E5A">
        <w:rPr>
          <w:rFonts w:ascii="Times New Roman" w:eastAsia="Calibri" w:hAnsi="Times New Roman" w:cs="Times New Roman"/>
          <w:sz w:val="24"/>
          <w:szCs w:val="24"/>
        </w:rPr>
        <w:t>s</w:t>
      </w:r>
      <w:r w:rsidRPr="00AC4E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9801B3" w14:textId="43DB18AA" w:rsidR="00353E57" w:rsidRPr="00AC4E5A" w:rsidRDefault="00C22629" w:rsidP="004B25B2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A51BECD" w14:textId="4DED67C4" w:rsidR="004B25B2" w:rsidRPr="00AC4E5A" w:rsidRDefault="00C22629" w:rsidP="004B25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This study </w:t>
      </w:r>
      <w:r w:rsidRPr="00AC4E5A">
        <w:rPr>
          <w:rFonts w:ascii="Times New Roman" w:hAnsi="Times New Roman" w:cs="Times New Roman"/>
          <w:sz w:val="24"/>
          <w:szCs w:val="24"/>
        </w:rPr>
        <w:t xml:space="preserve">assessed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contributi</w:t>
      </w:r>
      <w:r w:rsidRPr="00AC4E5A">
        <w:rPr>
          <w:rFonts w:ascii="Times New Roman" w:hAnsi="Times New Roman" w:cs="Times New Roman"/>
          <w:sz w:val="24"/>
          <w:szCs w:val="24"/>
        </w:rPr>
        <w:t>on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of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in advancing GRIN in West Africa, a region characterized by shallow financial markets, institutional fragility, and persistent green financing gaps. While the </w:t>
      </w:r>
      <w:r w:rsidRPr="00AC4E5A">
        <w:rPr>
          <w:rFonts w:ascii="Times New Roman" w:hAnsi="Times New Roman" w:cs="Times New Roman"/>
          <w:sz w:val="24"/>
          <w:szCs w:val="24"/>
        </w:rPr>
        <w:t xml:space="preserve">extant </w:t>
      </w:r>
      <w:r w:rsidRPr="00AC4E5A">
        <w:rPr>
          <w:rFonts w:ascii="Times New Roman" w:hAnsi="Times New Roman" w:cs="Times New Roman"/>
          <w:sz w:val="24"/>
          <w:szCs w:val="24"/>
        </w:rPr>
        <w:t>literature identif</w:t>
      </w:r>
      <w:r w:rsidR="001A50FA" w:rsidRPr="00AC4E5A">
        <w:rPr>
          <w:rFonts w:ascii="Times New Roman" w:hAnsi="Times New Roman" w:cs="Times New Roman"/>
          <w:sz w:val="24"/>
          <w:szCs w:val="24"/>
        </w:rPr>
        <w:t>ies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 xml:space="preserve">as </w:t>
      </w:r>
      <w:r w:rsidR="001A50FA" w:rsidRPr="00AC4E5A">
        <w:rPr>
          <w:rFonts w:ascii="Times New Roman" w:hAnsi="Times New Roman" w:cs="Times New Roman"/>
          <w:sz w:val="24"/>
          <w:szCs w:val="24"/>
        </w:rPr>
        <w:t xml:space="preserve">a </w:t>
      </w:r>
      <w:r w:rsidRPr="00AC4E5A">
        <w:rPr>
          <w:rFonts w:ascii="Times New Roman" w:hAnsi="Times New Roman" w:cs="Times New Roman"/>
          <w:sz w:val="24"/>
          <w:szCs w:val="24"/>
        </w:rPr>
        <w:t xml:space="preserve">significant enabler of sustainable finance, </w:t>
      </w:r>
      <w:r w:rsidR="001A50FA" w:rsidRPr="00AC4E5A">
        <w:rPr>
          <w:rFonts w:ascii="Times New Roman" w:hAnsi="Times New Roman" w:cs="Times New Roman"/>
          <w:sz w:val="24"/>
          <w:szCs w:val="24"/>
        </w:rPr>
        <w:t>their</w:t>
      </w:r>
      <w:r w:rsidRPr="00AC4E5A">
        <w:rPr>
          <w:rFonts w:ascii="Times New Roman" w:hAnsi="Times New Roman" w:cs="Times New Roman"/>
          <w:sz w:val="24"/>
          <w:szCs w:val="24"/>
        </w:rPr>
        <w:t xml:space="preserve"> ef</w:t>
      </w:r>
      <w:r w:rsidRPr="00AC4E5A">
        <w:rPr>
          <w:rFonts w:ascii="Times New Roman" w:hAnsi="Times New Roman" w:cs="Times New Roman"/>
          <w:sz w:val="24"/>
          <w:szCs w:val="24"/>
        </w:rPr>
        <w:t>fectiveness in structurally constrained economies remains uncertain. Grounded in financial intermediation theory, stakeholder and legitimacy theory, and the resource-based view, this study conceptualize</w:t>
      </w:r>
      <w:r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CAM as a necessary but insufficient condition for </w:t>
      </w:r>
      <w:r w:rsidRPr="00AC4E5A">
        <w:rPr>
          <w:rFonts w:ascii="Times New Roman" w:hAnsi="Times New Roman" w:cs="Times New Roman"/>
          <w:sz w:val="24"/>
          <w:szCs w:val="24"/>
        </w:rPr>
        <w:t>G</w:t>
      </w:r>
      <w:r w:rsidRPr="00AC4E5A">
        <w:rPr>
          <w:rFonts w:ascii="Times New Roman" w:hAnsi="Times New Roman" w:cs="Times New Roman"/>
          <w:sz w:val="24"/>
          <w:szCs w:val="24"/>
        </w:rPr>
        <w:t>RIN</w:t>
      </w:r>
      <w:r w:rsidRPr="00AC4E5A">
        <w:rPr>
          <w:rFonts w:ascii="Times New Roman" w:hAnsi="Times New Roman" w:cs="Times New Roman"/>
          <w:sz w:val="24"/>
          <w:szCs w:val="24"/>
        </w:rPr>
        <w:t xml:space="preserve">, whose impact is mediated by </w:t>
      </w:r>
      <w:r w:rsidRPr="00AC4E5A">
        <w:rPr>
          <w:rFonts w:ascii="Times New Roman" w:hAnsi="Times New Roman" w:cs="Times New Roman"/>
          <w:sz w:val="24"/>
          <w:szCs w:val="24"/>
        </w:rPr>
        <w:t xml:space="preserve">FIN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conditioned by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INSQ </w:t>
      </w:r>
      <w:r w:rsidRPr="00AC4E5A">
        <w:rPr>
          <w:rFonts w:ascii="Times New Roman" w:hAnsi="Times New Roman" w:cs="Times New Roman"/>
          <w:sz w:val="24"/>
          <w:szCs w:val="24"/>
        </w:rPr>
        <w:t>and ESG disclosure frameworks.</w:t>
      </w:r>
    </w:p>
    <w:p w14:paraId="5D11A7F9" w14:textId="5E9B0C60" w:rsidR="004B25B2" w:rsidRPr="00AC4E5A" w:rsidRDefault="00C22629" w:rsidP="004B25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Using panel ARDL techniques for Nigeria, Ghana, Côte d’Ivoire, and Senegal (2010–202</w:t>
      </w:r>
      <w:r w:rsidRPr="00AC4E5A">
        <w:rPr>
          <w:rFonts w:ascii="Times New Roman" w:hAnsi="Times New Roman" w:cs="Times New Roman"/>
          <w:sz w:val="24"/>
          <w:szCs w:val="24"/>
        </w:rPr>
        <w:t>5</w:t>
      </w:r>
      <w:r w:rsidRPr="00AC4E5A">
        <w:rPr>
          <w:rFonts w:ascii="Times New Roman" w:hAnsi="Times New Roman" w:cs="Times New Roman"/>
          <w:sz w:val="24"/>
          <w:szCs w:val="24"/>
        </w:rPr>
        <w:t xml:space="preserve">), </w:t>
      </w:r>
      <w:r w:rsidRPr="00AC4E5A">
        <w:rPr>
          <w:rFonts w:ascii="Times New Roman" w:hAnsi="Times New Roman" w:cs="Times New Roman"/>
          <w:sz w:val="24"/>
          <w:szCs w:val="24"/>
        </w:rPr>
        <w:t>we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find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 xml:space="preserve">robust evidence of a stable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CAM-GRIN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long-run </w:t>
      </w:r>
      <w:r w:rsidRPr="00AC4E5A">
        <w:rPr>
          <w:rFonts w:ascii="Times New Roman" w:hAnsi="Times New Roman" w:cs="Times New Roman"/>
          <w:sz w:val="24"/>
          <w:szCs w:val="24"/>
        </w:rPr>
        <w:t xml:space="preserve">nexus </w:t>
      </w:r>
      <w:r w:rsidRPr="00AC4E5A">
        <w:rPr>
          <w:rFonts w:ascii="Times New Roman" w:hAnsi="Times New Roman" w:cs="Times New Roman"/>
          <w:sz w:val="24"/>
          <w:szCs w:val="24"/>
        </w:rPr>
        <w:t>in West Africa, with relatively modest short-run effects reflecting</w:t>
      </w:r>
      <w:r w:rsidRPr="00AC4E5A">
        <w:rPr>
          <w:rFonts w:ascii="Times New Roman" w:hAnsi="Times New Roman" w:cs="Times New Roman"/>
          <w:sz w:val="24"/>
          <w:szCs w:val="24"/>
        </w:rPr>
        <w:t>’s</w:t>
      </w:r>
      <w:r w:rsidR="004725E4" w:rsidRPr="00AC4E5A">
        <w:rPr>
          <w:rFonts w:ascii="Times New Roman" w:hAnsi="Times New Roman" w:cs="Times New Roman"/>
          <w:sz w:val="24"/>
          <w:szCs w:val="24"/>
        </w:rPr>
        <w:t xml:space="preserve"> GRIN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eastAsia="Calibri" w:hAnsi="Times New Roman" w:cs="Times New Roman"/>
          <w:sz w:val="24"/>
          <w:szCs w:val="24"/>
        </w:rPr>
        <w:t>the long gestation periods and capital intensity</w:t>
      </w:r>
      <w:r w:rsidRPr="00AC4E5A">
        <w:rPr>
          <w:rFonts w:ascii="Times New Roman" w:hAnsi="Times New Roman" w:cs="Times New Roman"/>
          <w:sz w:val="24"/>
          <w:szCs w:val="24"/>
        </w:rPr>
        <w:t xml:space="preserve">. </w:t>
      </w:r>
      <w:r w:rsidRPr="00AC4E5A">
        <w:rPr>
          <w:rFonts w:ascii="Times New Roman" w:hAnsi="Times New Roman" w:cs="Times New Roman"/>
          <w:sz w:val="24"/>
          <w:szCs w:val="24"/>
        </w:rPr>
        <w:t xml:space="preserve">FIN </w:t>
      </w:r>
      <w:r w:rsidRPr="00AC4E5A">
        <w:rPr>
          <w:rFonts w:ascii="Times New Roman" w:hAnsi="Times New Roman" w:cs="Times New Roman"/>
          <w:sz w:val="24"/>
          <w:szCs w:val="24"/>
        </w:rPr>
        <w:t>strengthens the CAM–GRIN nexus, confirming th</w:t>
      </w:r>
      <w:r w:rsidRPr="00AC4E5A">
        <w:rPr>
          <w:rFonts w:ascii="Times New Roman" w:hAnsi="Times New Roman" w:cs="Times New Roman"/>
          <w:sz w:val="24"/>
          <w:szCs w:val="24"/>
        </w:rPr>
        <w:t xml:space="preserve">e complementary role of banking systems in channeling long-term finance to green investments.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INSQ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ESG disclosure further amplify the effectiveness of </w:t>
      </w:r>
      <w:r w:rsidRPr="00AC4E5A">
        <w:rPr>
          <w:rFonts w:ascii="Times New Roman" w:hAnsi="Times New Roman" w:cs="Times New Roman"/>
          <w:sz w:val="24"/>
          <w:szCs w:val="24"/>
        </w:rPr>
        <w:t>CAM</w:t>
      </w:r>
      <w:r w:rsidRPr="00AC4E5A">
        <w:rPr>
          <w:rFonts w:ascii="Times New Roman" w:hAnsi="Times New Roman" w:cs="Times New Roman"/>
          <w:sz w:val="24"/>
          <w:szCs w:val="24"/>
        </w:rPr>
        <w:t>, underscoring the importance of governance and transparency in reducing information asymmetry and</w:t>
      </w:r>
      <w:r w:rsidRPr="00AC4E5A">
        <w:rPr>
          <w:rFonts w:ascii="Times New Roman" w:hAnsi="Times New Roman" w:cs="Times New Roman"/>
          <w:sz w:val="24"/>
          <w:szCs w:val="24"/>
        </w:rPr>
        <w:t xml:space="preserve"> strengthening investor confidence. The negative role of rising energy demand indicates that current growth trajectories remain carbon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intensive, constraining the pace of green innovation. The insignificance of FDI suggests a structural misalignment betwe</w:t>
      </w:r>
      <w:r w:rsidRPr="00AC4E5A">
        <w:rPr>
          <w:rFonts w:ascii="Times New Roman" w:hAnsi="Times New Roman" w:cs="Times New Roman"/>
          <w:sz w:val="24"/>
          <w:szCs w:val="24"/>
        </w:rPr>
        <w:t xml:space="preserve">en foreign capital inflows and </w:t>
      </w:r>
      <w:r w:rsidRPr="00AC4E5A">
        <w:rPr>
          <w:rFonts w:ascii="Times New Roman" w:hAnsi="Times New Roman" w:cs="Times New Roman"/>
          <w:sz w:val="24"/>
          <w:szCs w:val="24"/>
        </w:rPr>
        <w:t>a</w:t>
      </w:r>
      <w:r w:rsidRPr="00AC4E5A">
        <w:rPr>
          <w:rFonts w:ascii="Times New Roman" w:hAnsi="Times New Roman" w:cs="Times New Roman"/>
          <w:sz w:val="24"/>
          <w:szCs w:val="24"/>
        </w:rPr>
        <w:t xml:space="preserve"> region’s green development priorities.</w:t>
      </w:r>
    </w:p>
    <w:p w14:paraId="0965E2B6" w14:textId="216030DA" w:rsidR="004B25B2" w:rsidRPr="00AC4E5A" w:rsidRDefault="00C22629" w:rsidP="004B25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c</w:t>
      </w:r>
      <w:r w:rsidRPr="00AC4E5A">
        <w:rPr>
          <w:rFonts w:ascii="Times New Roman" w:hAnsi="Times New Roman" w:cs="Times New Roman"/>
          <w:sz w:val="24"/>
          <w:szCs w:val="24"/>
        </w:rPr>
        <w:t>ountry-specific results reveal pronounced heterogeneity in the finance–innovation nexus. Nigeria and Ghan</w:t>
      </w:r>
      <w:r w:rsidRPr="00AC4E5A">
        <w:rPr>
          <w:rFonts w:ascii="Times New Roman" w:hAnsi="Times New Roman" w:cs="Times New Roman"/>
          <w:sz w:val="24"/>
          <w:szCs w:val="24"/>
        </w:rPr>
        <w:t xml:space="preserve">a </w:t>
      </w:r>
      <w:r w:rsidRPr="00AC4E5A">
        <w:rPr>
          <w:rFonts w:ascii="Times New Roman" w:hAnsi="Times New Roman" w:cs="Times New Roman"/>
          <w:sz w:val="24"/>
          <w:szCs w:val="24"/>
        </w:rPr>
        <w:t xml:space="preserve">show </w:t>
      </w:r>
      <w:r w:rsidRPr="00AC4E5A">
        <w:rPr>
          <w:rFonts w:ascii="Times New Roman" w:hAnsi="Times New Roman" w:cs="Times New Roman"/>
          <w:sz w:val="24"/>
          <w:szCs w:val="24"/>
        </w:rPr>
        <w:t xml:space="preserve">relatively </w:t>
      </w:r>
      <w:r w:rsidRPr="00AC4E5A">
        <w:rPr>
          <w:rFonts w:ascii="Times New Roman" w:hAnsi="Times New Roman" w:cs="Times New Roman"/>
          <w:sz w:val="24"/>
          <w:szCs w:val="24"/>
        </w:rPr>
        <w:t>robust CAM</w:t>
      </w:r>
      <w:r w:rsidRPr="00AC4E5A">
        <w:rPr>
          <w:rFonts w:ascii="Times New Roman" w:hAnsi="Times New Roman" w:cs="Times New Roman"/>
          <w:sz w:val="24"/>
          <w:szCs w:val="24"/>
        </w:rPr>
        <w:t>–</w:t>
      </w:r>
      <w:r w:rsidRPr="00AC4E5A">
        <w:rPr>
          <w:rFonts w:ascii="Times New Roman" w:hAnsi="Times New Roman" w:cs="Times New Roman"/>
          <w:sz w:val="24"/>
          <w:szCs w:val="24"/>
        </w:rPr>
        <w:t xml:space="preserve">GRIN </w:t>
      </w:r>
      <w:r w:rsidRPr="00AC4E5A">
        <w:rPr>
          <w:rFonts w:ascii="Times New Roman" w:hAnsi="Times New Roman" w:cs="Times New Roman"/>
          <w:sz w:val="24"/>
          <w:szCs w:val="24"/>
        </w:rPr>
        <w:t>linkages, although Nigeria’s progress is partly constrained by governance weaknesses and fossil-</w:t>
      </w:r>
      <w:r w:rsidRPr="00AC4E5A">
        <w:rPr>
          <w:rFonts w:ascii="Times New Roman" w:eastAsia="Calibri" w:hAnsi="Times New Roman" w:cs="Times New Roman"/>
          <w:sz w:val="24"/>
          <w:szCs w:val="24"/>
        </w:rPr>
        <w:t>fuel-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based energy dependence. Côte d’Ivoire’s green transition is more closely tied to macroeconomic capacity, with ESG adoption playing a more pronounced </w:t>
      </w:r>
      <w:r w:rsidRPr="00AC4E5A">
        <w:rPr>
          <w:rFonts w:ascii="Times New Roman" w:hAnsi="Times New Roman" w:cs="Times New Roman"/>
          <w:sz w:val="24"/>
          <w:szCs w:val="24"/>
        </w:rPr>
        <w:t>role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 in the short run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. Senegal displays weaker and often insignificant </w:t>
      </w:r>
      <w:r w:rsidRPr="00AC4E5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finance–innovation linkages, reflecting institutional and market depth constraints that limit the </w:t>
      </w:r>
      <w:r w:rsidRPr="00AC4E5A">
        <w:rPr>
          <w:rFonts w:ascii="Times New Roman" w:hAnsi="Times New Roman" w:cs="Times New Roman"/>
          <w:sz w:val="24"/>
          <w:szCs w:val="24"/>
        </w:rPr>
        <w:t>transformation</w:t>
      </w:r>
      <w:r w:rsidRPr="00AC4E5A">
        <w:rPr>
          <w:rFonts w:ascii="Times New Roman" w:hAnsi="Times New Roman" w:cs="Times New Roman"/>
          <w:sz w:val="24"/>
          <w:szCs w:val="24"/>
        </w:rPr>
        <w:t xml:space="preserve"> of capital marke</w:t>
      </w:r>
      <w:r w:rsidRPr="00AC4E5A">
        <w:rPr>
          <w:rFonts w:ascii="Times New Roman" w:hAnsi="Times New Roman" w:cs="Times New Roman"/>
          <w:sz w:val="24"/>
          <w:szCs w:val="24"/>
        </w:rPr>
        <w:t xml:space="preserve">t development into tangible green outcomes. These differences </w:t>
      </w:r>
      <w:r w:rsidRPr="00AC4E5A">
        <w:rPr>
          <w:rFonts w:ascii="Times New Roman" w:hAnsi="Times New Roman" w:cs="Times New Roman"/>
          <w:sz w:val="24"/>
          <w:szCs w:val="24"/>
        </w:rPr>
        <w:t xml:space="preserve">show </w:t>
      </w:r>
      <w:r w:rsidRPr="00AC4E5A">
        <w:rPr>
          <w:rFonts w:ascii="Times New Roman" w:hAnsi="Times New Roman" w:cs="Times New Roman"/>
          <w:sz w:val="24"/>
          <w:szCs w:val="24"/>
        </w:rPr>
        <w:t xml:space="preserve">that </w:t>
      </w:r>
      <w:r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 xml:space="preserve">deepening alone cannot deliver </w:t>
      </w:r>
      <w:r w:rsidRPr="00AC4E5A">
        <w:rPr>
          <w:rFonts w:ascii="Times New Roman" w:hAnsi="Times New Roman" w:cs="Times New Roman"/>
          <w:sz w:val="24"/>
          <w:szCs w:val="24"/>
        </w:rPr>
        <w:t xml:space="preserve">GRIN </w:t>
      </w:r>
      <w:r w:rsidRPr="00AC4E5A">
        <w:rPr>
          <w:rFonts w:ascii="Times New Roman" w:hAnsi="Times New Roman" w:cs="Times New Roman"/>
          <w:sz w:val="24"/>
          <w:szCs w:val="24"/>
        </w:rPr>
        <w:t xml:space="preserve">transformation in fragile contexts without parallel improvements in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hAnsi="Times New Roman" w:cs="Times New Roman"/>
          <w:sz w:val="24"/>
          <w:szCs w:val="24"/>
        </w:rPr>
        <w:t>IN</w:t>
      </w:r>
      <w:r w:rsidRPr="00AC4E5A">
        <w:rPr>
          <w:rFonts w:ascii="Times New Roman" w:hAnsi="Times New Roman" w:cs="Times New Roman"/>
          <w:sz w:val="24"/>
          <w:szCs w:val="24"/>
        </w:rPr>
        <w:t>SQ, FIN</w:t>
      </w:r>
      <w:r w:rsidR="001A50FA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</w:t>
      </w:r>
      <w:r w:rsidRPr="00AC4E5A">
        <w:rPr>
          <w:rFonts w:ascii="Times New Roman" w:hAnsi="Times New Roman" w:cs="Times New Roman"/>
          <w:sz w:val="24"/>
          <w:szCs w:val="24"/>
        </w:rPr>
        <w:t>and regulatory credibility.</w:t>
      </w:r>
    </w:p>
    <w:p w14:paraId="24B71F22" w14:textId="4774F0A1" w:rsidR="004B25B2" w:rsidRPr="00AC4E5A" w:rsidRDefault="00C22629" w:rsidP="004B25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This study contributes to the literature in three </w:t>
      </w:r>
      <w:r w:rsidRPr="00AC4E5A">
        <w:rPr>
          <w:rFonts w:ascii="Times New Roman" w:hAnsi="Times New Roman" w:cs="Times New Roman"/>
          <w:sz w:val="24"/>
          <w:szCs w:val="24"/>
        </w:rPr>
        <w:t>ways</w:t>
      </w:r>
      <w:r w:rsidRPr="00AC4E5A">
        <w:rPr>
          <w:rFonts w:ascii="Times New Roman" w:hAnsi="Times New Roman" w:cs="Times New Roman"/>
          <w:sz w:val="24"/>
          <w:szCs w:val="24"/>
        </w:rPr>
        <w:t>:</w:t>
      </w:r>
      <w:r w:rsidRPr="00AC4E5A">
        <w:rPr>
          <w:rFonts w:ascii="Times New Roman" w:hAnsi="Times New Roman" w:cs="Times New Roman"/>
          <w:sz w:val="24"/>
          <w:szCs w:val="24"/>
        </w:rPr>
        <w:t xml:space="preserve"> Empirically, it provides rare country-specific evidence o</w:t>
      </w:r>
      <w:r w:rsidRPr="00AC4E5A">
        <w:rPr>
          <w:rFonts w:ascii="Times New Roman" w:hAnsi="Times New Roman" w:cs="Times New Roman"/>
          <w:sz w:val="24"/>
          <w:szCs w:val="24"/>
        </w:rPr>
        <w:t>f</w:t>
      </w:r>
      <w:r w:rsidRPr="00AC4E5A">
        <w:rPr>
          <w:rFonts w:ascii="Times New Roman" w:hAnsi="Times New Roman" w:cs="Times New Roman"/>
          <w:sz w:val="24"/>
          <w:szCs w:val="24"/>
        </w:rPr>
        <w:t xml:space="preserve"> the CAM–GRIN nexus in West Africa. Methodologically, it demonstrates the value of dynamic heteroge</w:t>
      </w:r>
      <w:r w:rsidRPr="00AC4E5A">
        <w:rPr>
          <w:rFonts w:ascii="Times New Roman" w:hAnsi="Times New Roman" w:cs="Times New Roman"/>
          <w:sz w:val="24"/>
          <w:szCs w:val="24"/>
        </w:rPr>
        <w:t xml:space="preserve">neous estimators in capturing both long-run </w:t>
      </w:r>
      <w:r w:rsidRPr="00AC4E5A">
        <w:rPr>
          <w:rFonts w:ascii="Times New Roman" w:hAnsi="Times New Roman" w:cs="Times New Roman"/>
          <w:sz w:val="24"/>
          <w:szCs w:val="24"/>
        </w:rPr>
        <w:t>and cross-country heterogeneit</w:t>
      </w:r>
      <w:r w:rsidRPr="00AC4E5A">
        <w:rPr>
          <w:rFonts w:ascii="Times New Roman" w:hAnsi="Times New Roman" w:cs="Times New Roman"/>
          <w:sz w:val="24"/>
          <w:szCs w:val="24"/>
        </w:rPr>
        <w:t>ies</w:t>
      </w:r>
      <w:r w:rsidRPr="00AC4E5A">
        <w:rPr>
          <w:rFonts w:ascii="Times New Roman" w:hAnsi="Times New Roman" w:cs="Times New Roman"/>
          <w:sz w:val="24"/>
          <w:szCs w:val="24"/>
        </w:rPr>
        <w:t>. Theoretically, it integrates financial, governance, and strategic perspectives to explain not only whether capital markets matter for green innovation</w:t>
      </w:r>
      <w:r w:rsidRPr="00AC4E5A">
        <w:rPr>
          <w:rFonts w:ascii="Times New Roman" w:hAnsi="Times New Roman" w:cs="Times New Roman"/>
          <w:sz w:val="24"/>
          <w:szCs w:val="24"/>
        </w:rPr>
        <w:t xml:space="preserve"> but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institutional and financial conditions under which they become effective. Overall, the </w:t>
      </w:r>
      <w:r w:rsidR="006F0C20" w:rsidRPr="00AC4E5A">
        <w:rPr>
          <w:rFonts w:ascii="Times New Roman" w:hAnsi="Times New Roman" w:cs="Times New Roman"/>
          <w:sz w:val="24"/>
          <w:szCs w:val="24"/>
        </w:rPr>
        <w:t xml:space="preserve">results </w:t>
      </w:r>
      <w:r w:rsidRPr="00AC4E5A">
        <w:rPr>
          <w:rFonts w:ascii="Times New Roman" w:hAnsi="Times New Roman" w:cs="Times New Roman"/>
          <w:sz w:val="24"/>
          <w:szCs w:val="24"/>
        </w:rPr>
        <w:t xml:space="preserve">underscore that </w:t>
      </w:r>
      <w:r w:rsidR="006F0C20" w:rsidRPr="00AC4E5A">
        <w:rPr>
          <w:rFonts w:ascii="Times New Roman" w:hAnsi="Times New Roman" w:cs="Times New Roman"/>
          <w:sz w:val="24"/>
          <w:szCs w:val="24"/>
        </w:rPr>
        <w:t xml:space="preserve">GRIN </w:t>
      </w:r>
      <w:r w:rsidRPr="00AC4E5A">
        <w:rPr>
          <w:rFonts w:ascii="Times New Roman" w:hAnsi="Times New Roman" w:cs="Times New Roman"/>
          <w:sz w:val="24"/>
          <w:szCs w:val="24"/>
        </w:rPr>
        <w:t>in West Africa requires an integrated policy architecture tha</w:t>
      </w:r>
      <w:r w:rsidRPr="00AC4E5A">
        <w:rPr>
          <w:rFonts w:ascii="Times New Roman" w:hAnsi="Times New Roman" w:cs="Times New Roman"/>
          <w:sz w:val="24"/>
          <w:szCs w:val="24"/>
        </w:rPr>
        <w:t xml:space="preserve">t aligns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="006F0C20" w:rsidRPr="00AC4E5A">
        <w:rPr>
          <w:rFonts w:ascii="Times New Roman" w:hAnsi="Times New Roman" w:cs="Times New Roman"/>
          <w:sz w:val="24"/>
          <w:szCs w:val="24"/>
        </w:rPr>
        <w:t xml:space="preserve">CAM </w:t>
      </w:r>
      <w:r w:rsidRPr="00AC4E5A">
        <w:rPr>
          <w:rFonts w:ascii="Times New Roman" w:hAnsi="Times New Roman" w:cs="Times New Roman"/>
          <w:sz w:val="24"/>
          <w:szCs w:val="24"/>
        </w:rPr>
        <w:t>development, banking intermediation, governance reforms, ESG regulation, and energy transition strategies. Without such coordination, financial deepening risks mobilizi</w:t>
      </w:r>
      <w:r w:rsidRPr="00AC4E5A">
        <w:rPr>
          <w:rFonts w:ascii="Times New Roman" w:hAnsi="Times New Roman" w:cs="Times New Roman"/>
          <w:sz w:val="24"/>
          <w:szCs w:val="24"/>
        </w:rPr>
        <w:t>ng capital without delivering commensurate environmental and technological gains.</w:t>
      </w:r>
    </w:p>
    <w:p w14:paraId="0750760C" w14:textId="77777777" w:rsidR="00BB7687" w:rsidRPr="00AC4E5A" w:rsidRDefault="00C22629" w:rsidP="00BB768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E5A">
        <w:rPr>
          <w:rFonts w:ascii="Times New Roman" w:hAnsi="Times New Roman" w:cs="Times New Roman"/>
          <w:b/>
          <w:bCs/>
          <w:sz w:val="24"/>
          <w:szCs w:val="24"/>
        </w:rPr>
        <w:t>Policy Recommendations</w:t>
      </w:r>
    </w:p>
    <w:p w14:paraId="2A066B51" w14:textId="4F1FACC1" w:rsidR="00BB7687" w:rsidRPr="00AC4E5A" w:rsidRDefault="00C22629" w:rsidP="00BB7687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West African countries should institutionalize green finance by developing harmonized green and sustainability-linked bond markets</w:t>
      </w:r>
      <w:r w:rsidRPr="00AC4E5A">
        <w:rPr>
          <w:rFonts w:ascii="Times New Roman" w:hAnsi="Times New Roman" w:cs="Times New Roman"/>
          <w:sz w:val="24"/>
          <w:szCs w:val="24"/>
        </w:rPr>
        <w:t xml:space="preserve"> supported by credible ESG disclosure and enforcement.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To prevent greenwashing and improve investor confidence, </w:t>
      </w:r>
      <w:r w:rsidRPr="00AC4E5A">
        <w:rPr>
          <w:rFonts w:ascii="Times New Roman" w:hAnsi="Times New Roman" w:cs="Times New Roman"/>
          <w:sz w:val="24"/>
          <w:szCs w:val="24"/>
        </w:rPr>
        <w:t>t</w:t>
      </w:r>
      <w:r w:rsidRPr="00AC4E5A">
        <w:rPr>
          <w:rFonts w:ascii="Times New Roman" w:hAnsi="Times New Roman" w:cs="Times New Roman"/>
          <w:sz w:val="24"/>
          <w:szCs w:val="24"/>
        </w:rPr>
        <w:t xml:space="preserve">hese market reforms must be anchored </w:t>
      </w:r>
      <w:r w:rsidRPr="00AC4E5A">
        <w:rPr>
          <w:rFonts w:ascii="Times New Roman" w:hAnsi="Times New Roman" w:cs="Times New Roman"/>
          <w:sz w:val="24"/>
          <w:szCs w:val="24"/>
        </w:rPr>
        <w:t>to</w:t>
      </w:r>
      <w:r w:rsidRPr="00AC4E5A">
        <w:rPr>
          <w:rFonts w:ascii="Times New Roman" w:hAnsi="Times New Roman" w:cs="Times New Roman"/>
          <w:sz w:val="24"/>
          <w:szCs w:val="24"/>
        </w:rPr>
        <w:t xml:space="preserve"> stronger regulatory quality, i</w:t>
      </w:r>
      <w:r w:rsidRPr="00AC4E5A">
        <w:rPr>
          <w:rFonts w:ascii="Times New Roman" w:hAnsi="Times New Roman" w:cs="Times New Roman"/>
          <w:sz w:val="24"/>
          <w:szCs w:val="24"/>
        </w:rPr>
        <w:t>nvestor protection, and independent verification mechanisms</w:t>
      </w:r>
      <w:r w:rsidRPr="00AC4E5A">
        <w:rPr>
          <w:rFonts w:ascii="Times New Roman" w:hAnsi="Times New Roman" w:cs="Times New Roman"/>
          <w:sz w:val="24"/>
          <w:szCs w:val="24"/>
        </w:rPr>
        <w:t xml:space="preserve">. Without institutional credibility,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deepening 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capital market </w:t>
      </w:r>
      <w:r w:rsidRPr="00AC4E5A">
        <w:rPr>
          <w:rFonts w:ascii="Times New Roman" w:hAnsi="Times New Roman" w:cs="Times New Roman"/>
          <w:sz w:val="24"/>
          <w:szCs w:val="24"/>
        </w:rPr>
        <w:t>will not translate into meaningful green innovation.</w:t>
      </w:r>
    </w:p>
    <w:p w14:paraId="31626A0D" w14:textId="323B68AB" w:rsidR="00BB7687" w:rsidRPr="00AC4E5A" w:rsidRDefault="00C22629" w:rsidP="00BB7687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To improve bankability, </w:t>
      </w:r>
      <w:r w:rsidRPr="00AC4E5A">
        <w:rPr>
          <w:rFonts w:ascii="Times New Roman" w:hAnsi="Times New Roman" w:cs="Times New Roman"/>
          <w:sz w:val="24"/>
          <w:szCs w:val="24"/>
        </w:rPr>
        <w:t>g</w:t>
      </w:r>
      <w:r w:rsidRPr="00AC4E5A">
        <w:rPr>
          <w:rFonts w:ascii="Times New Roman" w:hAnsi="Times New Roman" w:cs="Times New Roman"/>
          <w:sz w:val="24"/>
          <w:szCs w:val="24"/>
        </w:rPr>
        <w:t>reen innovation requires coordinated banking–capital market linkages, including blended finance, green</w:t>
      </w:r>
      <w:r w:rsidRPr="00AC4E5A">
        <w:rPr>
          <w:rFonts w:ascii="Times New Roman" w:hAnsi="Times New Roman" w:cs="Times New Roman"/>
          <w:sz w:val="24"/>
          <w:szCs w:val="24"/>
        </w:rPr>
        <w:t xml:space="preserve"> lending targets, and standardized project preparation facilities</w:t>
      </w:r>
      <w:r w:rsidRPr="00AC4E5A">
        <w:rPr>
          <w:rFonts w:ascii="Times New Roman" w:hAnsi="Times New Roman" w:cs="Times New Roman"/>
          <w:sz w:val="24"/>
          <w:szCs w:val="24"/>
        </w:rPr>
        <w:t>. Reorienting FDI incentives to</w:t>
      </w:r>
      <w:r w:rsidRPr="00AC4E5A">
        <w:rPr>
          <w:rFonts w:ascii="Times New Roman" w:hAnsi="Times New Roman" w:cs="Times New Roman"/>
          <w:sz w:val="24"/>
          <w:szCs w:val="24"/>
        </w:rPr>
        <w:t xml:space="preserve"> renewable energy, green manufacturing, and technology transfer will further expand long-term financing for </w:t>
      </w:r>
      <w:r w:rsidRPr="00AC4E5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C4E5A">
        <w:rPr>
          <w:rFonts w:ascii="Times New Roman" w:eastAsia="Calibri" w:hAnsi="Times New Roman" w:cs="Times New Roman"/>
          <w:sz w:val="24"/>
          <w:szCs w:val="24"/>
        </w:rPr>
        <w:t>green sector</w:t>
      </w:r>
      <w:r w:rsidRPr="00AC4E5A">
        <w:rPr>
          <w:rFonts w:ascii="Times New Roman" w:hAnsi="Times New Roman" w:cs="Times New Roman"/>
          <w:sz w:val="24"/>
          <w:szCs w:val="24"/>
        </w:rPr>
        <w:t>. This integrated intermediation framework is essential to relax financing constraints and scale green technologies across the region.</w:t>
      </w:r>
    </w:p>
    <w:p w14:paraId="2285A31D" w14:textId="60F70A0A" w:rsidR="007B0F9B" w:rsidRPr="00AC4E5A" w:rsidRDefault="00C22629" w:rsidP="00BB7687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Capital market development must be synchronized with energy</w:t>
      </w:r>
      <w:r w:rsidRPr="00AC4E5A">
        <w:rPr>
          <w:rFonts w:ascii="Times New Roman" w:hAnsi="Times New Roman" w:cs="Times New Roman"/>
          <w:sz w:val="24"/>
          <w:szCs w:val="24"/>
        </w:rPr>
        <w:t xml:space="preserve"> transition policies by redirecting subsidies toward renewables, building pipelines </w:t>
      </w:r>
      <w:r w:rsidRPr="00AC4E5A">
        <w:rPr>
          <w:rFonts w:ascii="Times New Roman" w:hAnsi="Times New Roman" w:cs="Times New Roman"/>
          <w:sz w:val="24"/>
          <w:szCs w:val="24"/>
        </w:rPr>
        <w:t>for</w:t>
      </w:r>
      <w:r w:rsidRPr="00AC4E5A">
        <w:rPr>
          <w:rFonts w:ascii="Times New Roman" w:hAnsi="Times New Roman" w:cs="Times New Roman"/>
          <w:sz w:val="24"/>
          <w:szCs w:val="24"/>
        </w:rPr>
        <w:t xml:space="preserve"> bankable green projects, and modernizing grids. Regional coordination</w:t>
      </w:r>
      <w:r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Pr="00AC4E5A">
        <w:rPr>
          <w:rFonts w:ascii="Times New Roman" w:hAnsi="Times New Roman" w:cs="Times New Roman"/>
          <w:sz w:val="24"/>
          <w:szCs w:val="24"/>
        </w:rPr>
        <w:t>using Nigeria and Ghana as demonstration hubs and harmonizing green finance standards under EC</w:t>
      </w:r>
      <w:r w:rsidRPr="00AC4E5A">
        <w:rPr>
          <w:rFonts w:ascii="Times New Roman" w:hAnsi="Times New Roman" w:cs="Times New Roman"/>
          <w:sz w:val="24"/>
          <w:szCs w:val="24"/>
        </w:rPr>
        <w:t>OWAS</w:t>
      </w:r>
      <w:r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Pr="00AC4E5A">
        <w:rPr>
          <w:rFonts w:ascii="Times New Roman" w:hAnsi="Times New Roman" w:cs="Times New Roman"/>
          <w:sz w:val="24"/>
          <w:szCs w:val="24"/>
        </w:rPr>
        <w:t>can accelerate learning spillovers, improve cross-border capital flows, and prevent carbon-intensive lock-in as energy demand rises.</w:t>
      </w:r>
    </w:p>
    <w:p w14:paraId="281F71C4" w14:textId="77777777" w:rsidR="00353E57" w:rsidRPr="00AC4E5A" w:rsidRDefault="00C22629" w:rsidP="00353E57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2720656"/>
      <w:r w:rsidRPr="00AC4E5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bookmarkEnd w:id="1"/>
    <w:p w14:paraId="4CF24333" w14:textId="0943DCBA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Abner. I., Edet, I. V., Akpan, B. L., Udo, E. S., Akpan, E. E. (2023), Energy Efficiency, Renewable Energy and Economic Growth Nexus on CO2 Emission: Evidence from MINT Countries, Seybold Report Journal, 18(10), 253-273. </w:t>
      </w:r>
    </w:p>
    <w:p w14:paraId="0508D6DE" w14:textId="77777777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Abugu, J. O., Amahi, F. U., Okoh, 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J. I., Agbadua, O. B., Udo, E. S., &amp; Onyemere, I. (2024). Income-level analysis of money demand stability in Sub-Saharan Africa using cross-sectional ARDL.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R-Economy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314-329.</w:t>
      </w:r>
    </w:p>
    <w:p w14:paraId="3F27C63C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lastRenderedPageBreak/>
        <w:t xml:space="preserve">Achara, O. L., Akpaetor, U. A., &amp; Nwankwo, A. H. (2020). Economic growth </w:t>
      </w:r>
      <w:r w:rsidRPr="00AC4E5A">
        <w:rPr>
          <w:rFonts w:ascii="Times New Roman" w:hAnsi="Times New Roman" w:cs="Times New Roman"/>
          <w:sz w:val="24"/>
          <w:szCs w:val="24"/>
        </w:rPr>
        <w:t xml:space="preserve">in developing countries: The role of human capital. A time-bound testing approach (1985–2018). </w:t>
      </w:r>
      <w:r w:rsidRPr="00AC4E5A">
        <w:rPr>
          <w:rStyle w:val="Emphasis"/>
          <w:rFonts w:ascii="Times New Roman" w:hAnsi="Times New Roman" w:cs="Times New Roman"/>
          <w:sz w:val="24"/>
          <w:szCs w:val="24"/>
        </w:rPr>
        <w:t>British International Journal of Education and Social Sciences</w:t>
      </w:r>
      <w:r w:rsidRPr="00AC4E5A">
        <w:rPr>
          <w:rFonts w:ascii="Times New Roman" w:hAnsi="Times New Roman" w:cs="Times New Roman"/>
          <w:sz w:val="24"/>
          <w:szCs w:val="24"/>
        </w:rPr>
        <w:t>, 7(9), 24–36.</w:t>
      </w:r>
    </w:p>
    <w:p w14:paraId="73ECBF7D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Acheampong, T., Tyce, M., 2024. Navigating the energy transition and industrial decarbonisation: Ghana’s latest bid to develop an integrated bauxite-to-aluminium industry. Energy Res. Soc. Sci. 107, 103337.</w:t>
      </w:r>
    </w:p>
    <w:p w14:paraId="5C7B1A7D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Adu-Yeboah, S. S., Jiang, Y., Frempong, M. F., Ho</w:t>
      </w:r>
      <w:r w:rsidRPr="00AC4E5A">
        <w:rPr>
          <w:rFonts w:ascii="Times New Roman" w:hAnsi="Times New Roman" w:cs="Times New Roman"/>
          <w:sz w:val="24"/>
          <w:szCs w:val="24"/>
        </w:rPr>
        <w:t>ssin, M. A., &amp; Amoako, R. (2022). Corporate sustainability and firm performance in small and medium enterprises in Ghana: Mediating role of green innovation. Journal of Psychology in Africa, 32(4), 311-318.</w:t>
      </w:r>
    </w:p>
    <w:p w14:paraId="79B425D1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Eduno, E. B., Utuk, I. O., &amp; Ekaetor, E. A. (2024</w:t>
      </w:r>
      <w:r w:rsidRPr="00AC4E5A">
        <w:rPr>
          <w:rFonts w:ascii="Times New Roman" w:hAnsi="Times New Roman" w:cs="Times New Roman"/>
          <w:sz w:val="24"/>
          <w:szCs w:val="24"/>
        </w:rPr>
        <w:t xml:space="preserve">). Transport infrastructure, institutional quality, and agricultural sector performance in Nigeria. </w:t>
      </w:r>
      <w:r w:rsidRPr="00AC4E5A">
        <w:rPr>
          <w:rStyle w:val="Emphasis"/>
          <w:rFonts w:ascii="Times New Roman" w:hAnsi="Times New Roman" w:cs="Times New Roman"/>
          <w:sz w:val="24"/>
          <w:szCs w:val="24"/>
        </w:rPr>
        <w:t>AkSU Journal of Administration and Corporate Governance</w:t>
      </w:r>
      <w:r w:rsidRPr="00AC4E5A">
        <w:rPr>
          <w:rFonts w:ascii="Times New Roman" w:hAnsi="Times New Roman" w:cs="Times New Roman"/>
          <w:sz w:val="24"/>
          <w:szCs w:val="24"/>
        </w:rPr>
        <w:t>, 4(1), 137–150.</w:t>
      </w:r>
    </w:p>
    <w:p w14:paraId="0F1BBF29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Emmanuel, N. E., Prince, A. I., Inim, V. E., Emmanuel, N. C., James, S. O., &amp; Emmanu</w:t>
      </w:r>
      <w:r w:rsidRPr="00AC4E5A">
        <w:rPr>
          <w:rFonts w:ascii="Times New Roman" w:hAnsi="Times New Roman" w:cs="Times New Roman"/>
          <w:sz w:val="24"/>
          <w:szCs w:val="24"/>
        </w:rPr>
        <w:t>el, U. S. (2023). Financial development, foreign direct investment, and CO2 emissions nexus: evidence from Sub-Saharan Africa.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Journal of Hunan University Natural Sciences</w:t>
      </w:r>
      <w:r w:rsidRPr="00AC4E5A">
        <w:rPr>
          <w:rFonts w:ascii="Times New Roman" w:hAnsi="Times New Roman" w:cs="Times New Roman"/>
          <w:sz w:val="24"/>
          <w:szCs w:val="24"/>
        </w:rPr>
        <w:t>,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AC4E5A">
        <w:rPr>
          <w:rFonts w:ascii="Times New Roman" w:hAnsi="Times New Roman" w:cs="Times New Roman"/>
          <w:sz w:val="24"/>
          <w:szCs w:val="24"/>
        </w:rPr>
        <w:t>(6).</w:t>
      </w:r>
    </w:p>
    <w:p w14:paraId="368141AA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Enemuo, J.I., Idamoyibo, H.R., Mercy, O.O.E., Udo, E.S.: Exploring the N-sha</w:t>
      </w:r>
      <w:r w:rsidRPr="00AC4E5A">
        <w:rPr>
          <w:rFonts w:ascii="Times New Roman" w:hAnsi="Times New Roman" w:cs="Times New Roman"/>
          <w:sz w:val="24"/>
          <w:szCs w:val="24"/>
        </w:rPr>
        <w:t xml:space="preserve">ped nexus between financial inclusion and environmental management in Nigeria: evidence from the STIRPAT and DARDL framework. FWU J. Soc. Sci. 19(1), 102–112 (2025). </w:t>
      </w:r>
      <w:hyperlink r:id="rId7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https://doi.org/10.51709/19</w:t>
        </w:r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951272/Spring2025/9</w:t>
        </w:r>
      </w:hyperlink>
    </w:p>
    <w:p w14:paraId="17C0F253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Fapetu, O., Ojo, S. M., Balogun, A. A., &amp; Asaolu, A. A. (2022). Capital market performance and macroeconomic dynamics in Nigeria.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arXiv</w:t>
      </w:r>
      <w:r w:rsidRPr="00AC4E5A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tgtFrame="_blank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arXiv</w:t>
        </w:r>
      </w:hyperlink>
    </w:p>
    <w:p w14:paraId="4EDFAB40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Huang, Y.</w:t>
      </w:r>
      <w:r w:rsidRPr="00AC4E5A">
        <w:rPr>
          <w:rFonts w:ascii="Times New Roman" w:hAnsi="Times New Roman" w:cs="Times New Roman"/>
          <w:sz w:val="24"/>
          <w:szCs w:val="24"/>
        </w:rPr>
        <w:t xml:space="preserve">, Chen, C., Lei, L., Zhang, Y., 2022. Impacts of green finance on green innovation: a spatial and nonlinear perspective, 10 September 2022 J. Clean. Prod. Volume 365, 132548. </w:t>
      </w:r>
      <w:hyperlink r:id="rId9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</w:t>
        </w:r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1016/j.jclepro.2022.132548</w:t>
        </w:r>
      </w:hyperlink>
    </w:p>
    <w:p w14:paraId="75B9A418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IFC. (2023, August 28). IFC invests record $11.5 billion for Africa’s green transition and job creation. International Finance Corporation. </w:t>
      </w:r>
      <w:hyperlink r:id="rId10" w:tgtFrame="_blank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IFC</w:t>
        </w:r>
      </w:hyperlink>
    </w:p>
    <w:p w14:paraId="6DD9117F" w14:textId="77777777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Ifeoma, E. J., Abner, I. P., Edet, I. V., Akpan, B. L., Gift, R. G., &amp; Udo, E. S. (2025). Stability of Money Demand in Sub-Saharan Africa: A Cross-Sectional ARDL Analysis by Income Levels.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Studia Universitatis Vasile Goldiș Arad, Seria Științe Economice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78-103.</w:t>
      </w:r>
    </w:p>
    <w:p w14:paraId="3B811AD1" w14:textId="0B777695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Inim, V.E., Udo, E.S., Akpan, E.J., Abner, I.P.: Green finance and sustainable development nexus in Sub</w:t>
      </w:r>
      <w:r w:rsidR="001A50FA" w:rsidRPr="00AC4E5A">
        <w:rPr>
          <w:rFonts w:ascii="Times New Roman" w:hAnsi="Times New Roman" w:cs="Times New Roman"/>
          <w:sz w:val="24"/>
          <w:szCs w:val="24"/>
        </w:rPr>
        <w:t>-</w:t>
      </w:r>
      <w:r w:rsidRPr="00AC4E5A">
        <w:rPr>
          <w:rFonts w:ascii="Times New Roman" w:hAnsi="Times New Roman" w:cs="Times New Roman"/>
          <w:sz w:val="24"/>
          <w:szCs w:val="24"/>
        </w:rPr>
        <w:t xml:space="preserve">Saharan Africa (2024). FWU J. Soc. Sci. (2024). </w:t>
      </w:r>
      <w:hyperlink r:id="rId11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https://doi.org/10.51709/19951272/summer2024/8</w:t>
        </w:r>
      </w:hyperlink>
    </w:p>
    <w:p w14:paraId="62EE8A22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Lee, C. C., &amp; Lee, C. C. (2022). How does green finance affect green total factor productivity? Ev</w:t>
      </w:r>
      <w:r w:rsidRPr="00AC4E5A">
        <w:rPr>
          <w:rFonts w:ascii="Times New Roman" w:hAnsi="Times New Roman" w:cs="Times New Roman"/>
          <w:sz w:val="24"/>
          <w:szCs w:val="24"/>
        </w:rPr>
        <w:t xml:space="preserve">idence from China.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Energy Economics</w:t>
      </w:r>
      <w:r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107</w:t>
      </w:r>
      <w:r w:rsidRPr="00AC4E5A">
        <w:rPr>
          <w:rFonts w:ascii="Times New Roman" w:hAnsi="Times New Roman" w:cs="Times New Roman"/>
          <w:sz w:val="24"/>
          <w:szCs w:val="24"/>
        </w:rPr>
        <w:t>, 105863.</w:t>
      </w:r>
    </w:p>
    <w:p w14:paraId="74361BC1" w14:textId="68526BA6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Levine, R. (1997). Financial development and economic growth: Views and agenda. Journal of </w:t>
      </w:r>
      <w:r w:rsidR="001A50FA" w:rsidRPr="00AC4E5A">
        <w:rPr>
          <w:rFonts w:ascii="Times New Roman" w:hAnsi="Times New Roman" w:cs="Times New Roman"/>
          <w:sz w:val="24"/>
          <w:szCs w:val="24"/>
        </w:rPr>
        <w:t>Economic L</w:t>
      </w:r>
      <w:r w:rsidRPr="00AC4E5A">
        <w:rPr>
          <w:rFonts w:ascii="Times New Roman" w:hAnsi="Times New Roman" w:cs="Times New Roman"/>
          <w:sz w:val="24"/>
          <w:szCs w:val="24"/>
        </w:rPr>
        <w:t>iterature, 35(2), 688–726.</w:t>
      </w:r>
    </w:p>
    <w:p w14:paraId="5AD3C069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Lwesya</w:t>
      </w:r>
      <w:r w:rsidRPr="00AC4E5A">
        <w:rPr>
          <w:rFonts w:ascii="Times New Roman" w:hAnsi="Times New Roman" w:cs="Times New Roman"/>
          <w:sz w:val="24"/>
          <w:szCs w:val="24"/>
        </w:rPr>
        <w:t xml:space="preserve">, F. (2025, August 11). Green finance in Africa: Mapping progress, challenges and prospects.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Future Business Journal, 11</w:t>
      </w:r>
      <w:r w:rsidRPr="00AC4E5A">
        <w:rPr>
          <w:rFonts w:ascii="Times New Roman" w:hAnsi="Times New Roman" w:cs="Times New Roman"/>
          <w:sz w:val="24"/>
          <w:szCs w:val="24"/>
        </w:rPr>
        <w:t xml:space="preserve">, Article 195. </w:t>
      </w:r>
      <w:hyperlink r:id="rId12" w:tgtFrame="_blank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Sprin</w:t>
        </w:r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gerOpen</w:t>
        </w:r>
      </w:hyperlink>
    </w:p>
    <w:p w14:paraId="08895B62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lastRenderedPageBreak/>
        <w:t>Ndubuaku, V., Inim, V., Samuel, U. E., Rosemary, I. H., and Prince, A. I. (2021). Financial development on employment rate in Nigeria.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Rwe</w:t>
      </w:r>
      <w:r w:rsidRPr="00AC4E5A">
        <w:rPr>
          <w:rFonts w:ascii="Times New Roman" w:hAnsi="Times New Roman" w:cs="Times New Roman"/>
          <w:sz w:val="24"/>
          <w:szCs w:val="24"/>
        </w:rPr>
        <w:t> 12 (1), 267. doi:10.5430/rwe.v12n1p267</w:t>
      </w:r>
    </w:p>
    <w:p w14:paraId="18836CE9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Nkemgha, G. Z., Nchofoung, T. N., &amp; Sundjo, F. (2023). Financial devel</w:t>
      </w:r>
      <w:r w:rsidRPr="00AC4E5A">
        <w:rPr>
          <w:rFonts w:ascii="Times New Roman" w:hAnsi="Times New Roman" w:cs="Times New Roman"/>
          <w:sz w:val="24"/>
          <w:szCs w:val="24"/>
        </w:rPr>
        <w:t xml:space="preserve">opment and human capital thresholds for the infrastructure development-industrialization nexus in Africa.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Cities</w:t>
      </w:r>
      <w:r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132</w:t>
      </w:r>
      <w:r w:rsidRPr="00AC4E5A">
        <w:rPr>
          <w:rFonts w:ascii="Times New Roman" w:hAnsi="Times New Roman" w:cs="Times New Roman"/>
          <w:sz w:val="24"/>
          <w:szCs w:val="24"/>
        </w:rPr>
        <w:t>, 104108.</w:t>
      </w:r>
    </w:p>
    <w:p w14:paraId="04F5E3DD" w14:textId="2B81D644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Prince, A. I., Inim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O., Callistus, E. O., &amp; Udo, E. S. (2021). Energy consumption effect on economic growth in Nigeria: </w:t>
      </w:r>
      <w:r w:rsidR="001A50FA"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m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ultivariate framework.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Economics, Management and Accounting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519-542.</w:t>
      </w:r>
    </w:p>
    <w:p w14:paraId="6833581E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Ren, H., Ye, L., &amp; Zhen, S. (2024). Share repurchase </w:t>
      </w:r>
      <w:r w:rsidRPr="00AC4E5A">
        <w:rPr>
          <w:rFonts w:ascii="Times New Roman" w:hAnsi="Times New Roman" w:cs="Times New Roman"/>
          <w:sz w:val="24"/>
          <w:szCs w:val="24"/>
        </w:rPr>
        <w:t xml:space="preserve">and capital market pricing efficiency.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Finance Research Letters, 60</w:t>
      </w:r>
      <w:r w:rsidRPr="00AC4E5A">
        <w:rPr>
          <w:rFonts w:ascii="Times New Roman" w:hAnsi="Times New Roman" w:cs="Times New Roman"/>
          <w:sz w:val="24"/>
          <w:szCs w:val="24"/>
        </w:rPr>
        <w:t>, Article 104904</w:t>
      </w:r>
    </w:p>
    <w:p w14:paraId="14C87801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Samuel, U. E., Prince, A. I., Ndubuaku, V., Udoh, B. E., &amp; Okoh, J. I. (2023). Effect of FinTech on cash holding: Quarterly evidence from Nigeria. The Economics and Finance</w:t>
      </w:r>
      <w:r w:rsidRPr="00AC4E5A">
        <w:rPr>
          <w:rFonts w:ascii="Times New Roman" w:hAnsi="Times New Roman" w:cs="Times New Roman"/>
          <w:sz w:val="24"/>
          <w:szCs w:val="24"/>
        </w:rPr>
        <w:t xml:space="preserve"> Letters, 10(2), 172–183. </w:t>
      </w:r>
      <w:hyperlink r:id="rId13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https://doi.org/10.18488/29.v10i2.3407</w:t>
        </w:r>
      </w:hyperlink>
    </w:p>
    <w:p w14:paraId="69B07090" w14:textId="2F05A6E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Samuel, U. E., Rosemary, I. H., Inim, V., Ededem, A. J., &amp; Ndubuaku, V. (2021). Energy consumption and sectoral value addition on econom</w:t>
      </w:r>
      <w:r w:rsidRPr="00AC4E5A">
        <w:rPr>
          <w:rFonts w:ascii="Times New Roman" w:hAnsi="Times New Roman" w:cs="Times New Roman"/>
          <w:sz w:val="24"/>
          <w:szCs w:val="24"/>
        </w:rPr>
        <w:t>ic growth in Nigeria.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Universal Journal of Accounting and Finance</w:t>
      </w:r>
      <w:r w:rsidRPr="00AC4E5A">
        <w:rPr>
          <w:rFonts w:ascii="Times New Roman" w:hAnsi="Times New Roman" w:cs="Times New Roman"/>
          <w:sz w:val="24"/>
          <w:szCs w:val="24"/>
        </w:rPr>
        <w:t>,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C4E5A">
        <w:rPr>
          <w:rFonts w:ascii="Times New Roman" w:hAnsi="Times New Roman" w:cs="Times New Roman"/>
          <w:sz w:val="24"/>
          <w:szCs w:val="24"/>
        </w:rPr>
        <w:t>(1), 74-85.</w:t>
      </w:r>
    </w:p>
    <w:p w14:paraId="30DB38FA" w14:textId="4BAF1346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Samuel, U. E., Udo, B. E.</w:t>
      </w:r>
      <w:r w:rsidR="001A50FA" w:rsidRPr="00AC4E5A">
        <w:rPr>
          <w:rFonts w:ascii="Times New Roman" w:hAnsi="Times New Roman" w:cs="Times New Roman"/>
          <w:sz w:val="24"/>
          <w:szCs w:val="24"/>
        </w:rPr>
        <w:t>,</w:t>
      </w:r>
      <w:r w:rsidRPr="00AC4E5A">
        <w:rPr>
          <w:rFonts w:ascii="Times New Roman" w:hAnsi="Times New Roman" w:cs="Times New Roman"/>
          <w:sz w:val="24"/>
          <w:szCs w:val="24"/>
        </w:rPr>
        <w:t xml:space="preserve"> &amp; Imolemen, K. I. (2018). The Implication of Naira Devaluation to Nigeria’s Economic Development. Business and Economics Journal 9: 343. doi:10.4172/</w:t>
      </w:r>
      <w:r w:rsidRPr="00AC4E5A">
        <w:rPr>
          <w:rFonts w:ascii="Times New Roman" w:hAnsi="Times New Roman" w:cs="Times New Roman"/>
          <w:sz w:val="24"/>
          <w:szCs w:val="24"/>
        </w:rPr>
        <w:t>2151-6219.1000343</w:t>
      </w:r>
    </w:p>
    <w:p w14:paraId="6525A18A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Sohag, K., Chukavina, K., &amp; Samargandi, N. (2021). Renewable energy and total factor productivity in OECD member countries.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Journal of Cleaner Production</w:t>
      </w:r>
      <w:r w:rsidRPr="00AC4E5A">
        <w:rPr>
          <w:rFonts w:ascii="Times New Roman" w:hAnsi="Times New Roman" w:cs="Times New Roman"/>
          <w:sz w:val="24"/>
          <w:szCs w:val="24"/>
        </w:rPr>
        <w:t xml:space="preserve">,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296</w:t>
      </w:r>
      <w:r w:rsidRPr="00AC4E5A">
        <w:rPr>
          <w:rFonts w:ascii="Times New Roman" w:hAnsi="Times New Roman" w:cs="Times New Roman"/>
          <w:sz w:val="24"/>
          <w:szCs w:val="24"/>
        </w:rPr>
        <w:t>, 126499.</w:t>
      </w:r>
    </w:p>
    <w:p w14:paraId="6FB3195A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Tolliver, C., Keeley, A., &amp; Managi, S. (2020). Policy targets behind green bonds for renewable energy: Do climate commitments matter?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Technological Forecasting and Social Change, 157</w:t>
      </w:r>
      <w:r w:rsidRPr="00AC4E5A">
        <w:rPr>
          <w:rFonts w:ascii="Times New Roman" w:hAnsi="Times New Roman" w:cs="Times New Roman"/>
          <w:sz w:val="24"/>
          <w:szCs w:val="24"/>
        </w:rPr>
        <w:t>, 120051</w:t>
      </w:r>
    </w:p>
    <w:p w14:paraId="44E072F4" w14:textId="431E3891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E, S, Akpan, E, J, Abner, I, P, Idogen, K, &amp; Ndubuaku, V (20</w:t>
      </w:r>
      <w:r w:rsidRPr="00AC4E5A">
        <w:rPr>
          <w:rFonts w:ascii="Times New Roman" w:hAnsi="Times New Roman" w:cs="Times New Roman"/>
          <w:sz w:val="24"/>
          <w:szCs w:val="24"/>
        </w:rPr>
        <w:t>19)</w:t>
      </w:r>
      <w:r w:rsidR="001A50FA" w:rsidRPr="00AC4E5A">
        <w:rPr>
          <w:rFonts w:ascii="Times New Roman" w:hAnsi="Times New Roman" w:cs="Times New Roman"/>
          <w:sz w:val="24"/>
          <w:szCs w:val="24"/>
        </w:rPr>
        <w:t>.</w:t>
      </w:r>
      <w:r w:rsidRPr="00AC4E5A">
        <w:rPr>
          <w:rFonts w:ascii="Times New Roman" w:hAnsi="Times New Roman" w:cs="Times New Roman"/>
          <w:sz w:val="24"/>
          <w:szCs w:val="24"/>
        </w:rPr>
        <w:t xml:space="preserve"> Finance-Led Growth and Growth-Led Finance: Evidence from Nigeria</w:t>
      </w:r>
      <w:r w:rsidR="001A50FA" w:rsidRPr="00AC4E5A">
        <w:rPr>
          <w:rFonts w:ascii="Times New Roman" w:hAnsi="Times New Roman" w:cs="Times New Roman"/>
          <w:sz w:val="24"/>
          <w:szCs w:val="24"/>
        </w:rPr>
        <w:t>'s</w:t>
      </w:r>
      <w:r w:rsidRPr="00AC4E5A">
        <w:rPr>
          <w:rFonts w:ascii="Times New Roman" w:hAnsi="Times New Roman" w:cs="Times New Roman"/>
          <w:sz w:val="24"/>
          <w:szCs w:val="24"/>
        </w:rPr>
        <w:t xml:space="preserve"> Economic and Financial Sector Development. Humanities and Social Sciences Letter. 7 (4) pp 191-198</w:t>
      </w:r>
    </w:p>
    <w:p w14:paraId="71A6CBC9" w14:textId="796CF25B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E, S., Abner, I, P., Ndubuaku, V., Udoh, B, E. &amp; Okoh, J. I (2023) Effect of Fin</w:t>
      </w:r>
      <w:r w:rsidRPr="00AC4E5A">
        <w:rPr>
          <w:rFonts w:ascii="Times New Roman" w:hAnsi="Times New Roman" w:cs="Times New Roman"/>
          <w:sz w:val="24"/>
          <w:szCs w:val="24"/>
        </w:rPr>
        <w:t>Tech on Cash Holding: Quarterly Evidence from Nigeria: The Economics and Finance Letters, 10 (2) 172-182. DOI:10.18488/29.v10i2.3407</w:t>
      </w:r>
    </w:p>
    <w:p w14:paraId="26E4D35C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E. S., Chiyem, I. R., Abner, I. P., Ifeanyi, O., Okoh, J. I., &amp; Ajudua, E. I. (2025). Exploring the Energy Consumption</w:t>
      </w:r>
      <w:r w:rsidRPr="00AC4E5A">
        <w:rPr>
          <w:rFonts w:ascii="Times New Roman" w:hAnsi="Times New Roman" w:cs="Times New Roman"/>
          <w:sz w:val="24"/>
          <w:szCs w:val="24"/>
        </w:rPr>
        <w:t xml:space="preserve"> and Carbon Emissions Nexus in Nigeria.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Studia Universitatis Vasile Goldiș Arad, Seria Științe Economice</w:t>
      </w:r>
      <w:r w:rsidRPr="00AC4E5A">
        <w:rPr>
          <w:rFonts w:ascii="Times New Roman" w:hAnsi="Times New Roman" w:cs="Times New Roman"/>
          <w:sz w:val="24"/>
          <w:szCs w:val="24"/>
        </w:rPr>
        <w:t>,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AC4E5A">
        <w:rPr>
          <w:rFonts w:ascii="Times New Roman" w:hAnsi="Times New Roman" w:cs="Times New Roman"/>
          <w:sz w:val="24"/>
          <w:szCs w:val="24"/>
        </w:rPr>
        <w:t>(3), 92-121.</w:t>
      </w:r>
    </w:p>
    <w:p w14:paraId="338D3548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E. S., Idamoyibo, H. R., Ibobo, B. I., Enemuo, J. I., Atakpa, O. E., &amp; Enoch, N. E. (2025). Green business finance, innovation, an</w:t>
      </w:r>
      <w:r w:rsidRPr="00AC4E5A">
        <w:rPr>
          <w:rFonts w:ascii="Times New Roman" w:hAnsi="Times New Roman" w:cs="Times New Roman"/>
          <w:sz w:val="24"/>
          <w:szCs w:val="24"/>
        </w:rPr>
        <w:t>d globalization: pathways to environmental management in MINT countries through integrated analysis.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Quality &amp; Quantity</w:t>
      </w:r>
      <w:r w:rsidRPr="00AC4E5A">
        <w:rPr>
          <w:rFonts w:ascii="Times New Roman" w:hAnsi="Times New Roman" w:cs="Times New Roman"/>
          <w:sz w:val="24"/>
          <w:szCs w:val="24"/>
        </w:rPr>
        <w:t>, 1-23.</w:t>
      </w:r>
    </w:p>
    <w:p w14:paraId="4B41E239" w14:textId="77777777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Udo, E. S., Idamoyibo, H. R., Ibobo, B. I., Enemuo, J. I., Atakpa, O. E., &amp; Enoch, N. E. (2025). Green business finance, innovati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on, and globalization: pathways to environmental 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management in MINT countries through integrated analysis.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Quality &amp; Quantity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4607-4629.</w:t>
      </w:r>
    </w:p>
    <w:p w14:paraId="39908118" w14:textId="639A8B89" w:rsidR="00C91539" w:rsidRPr="00AC4E5A" w:rsidRDefault="00C22629" w:rsidP="000C355E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E. S., Jack, A. E., Inim, V., Agama, E. J., Austin Ugar, O., &amp; James, S. O. (2024). Unveiling the transfor</w:t>
      </w:r>
      <w:r w:rsidRPr="00AC4E5A">
        <w:rPr>
          <w:rFonts w:ascii="Times New Roman" w:hAnsi="Times New Roman" w:cs="Times New Roman"/>
          <w:sz w:val="24"/>
          <w:szCs w:val="24"/>
        </w:rPr>
        <w:t>mative nexus of energy efficiency, renewable energy, and economic growth on CO2 emission</w:t>
      </w:r>
      <w:r w:rsidR="001A50FA" w:rsidRPr="00AC4E5A">
        <w:rPr>
          <w:rFonts w:ascii="Times New Roman" w:hAnsi="Times New Roman" w:cs="Times New Roman"/>
          <w:sz w:val="24"/>
          <w:szCs w:val="24"/>
        </w:rPr>
        <w:t>s</w:t>
      </w:r>
      <w:r w:rsidRPr="00AC4E5A">
        <w:rPr>
          <w:rFonts w:ascii="Times New Roman" w:hAnsi="Times New Roman" w:cs="Times New Roman"/>
          <w:sz w:val="24"/>
          <w:szCs w:val="24"/>
        </w:rPr>
        <w:t xml:space="preserve"> in MINT countries.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Journal of Renewable Energy and Environment</w:t>
      </w:r>
      <w:r w:rsidRPr="00AC4E5A">
        <w:rPr>
          <w:rFonts w:ascii="Times New Roman" w:hAnsi="Times New Roman" w:cs="Times New Roman"/>
          <w:sz w:val="24"/>
          <w:szCs w:val="24"/>
        </w:rPr>
        <w:t>,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AC4E5A">
        <w:rPr>
          <w:rFonts w:ascii="Times New Roman" w:hAnsi="Times New Roman" w:cs="Times New Roman"/>
          <w:sz w:val="24"/>
          <w:szCs w:val="24"/>
        </w:rPr>
        <w:t>(2), 138-150.https://doi.org/10.30501/JREE.2024.430213.1770</w:t>
      </w:r>
    </w:p>
    <w:p w14:paraId="77B54E22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E. S., Okoh, J. I., Oreh, O. O., OB</w:t>
      </w:r>
      <w:r w:rsidRPr="00AC4E5A">
        <w:rPr>
          <w:rFonts w:ascii="Times New Roman" w:hAnsi="Times New Roman" w:cs="Times New Roman"/>
          <w:sz w:val="24"/>
          <w:szCs w:val="24"/>
        </w:rPr>
        <w:t>IEZE, E. S., Oziegbe, D. J., &amp; Afrogha, O. (2025). Green finance, technological innovation and financial globalization: assessing environmental quality in MINT economies.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Journal of Renewable Energy and Environment</w:t>
      </w:r>
      <w:r w:rsidRPr="00AC4E5A">
        <w:rPr>
          <w:rFonts w:ascii="Times New Roman" w:hAnsi="Times New Roman" w:cs="Times New Roman"/>
          <w:sz w:val="24"/>
          <w:szCs w:val="24"/>
        </w:rPr>
        <w:t>,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AC4E5A">
        <w:rPr>
          <w:rFonts w:ascii="Times New Roman" w:hAnsi="Times New Roman" w:cs="Times New Roman"/>
          <w:sz w:val="24"/>
          <w:szCs w:val="24"/>
        </w:rPr>
        <w:t>(2), 85-95.</w:t>
      </w:r>
    </w:p>
    <w:p w14:paraId="01835515" w14:textId="3AE7F7FD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Udo, E. S., Okoh, J. I., Oreh, O. O., Obieze, E. S., Oziegbe, D. J., &amp; Afrogha, O. (2025). Green finance, technological innovation</w:t>
      </w:r>
      <w:r w:rsidR="001A50FA"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financial globalization: Assessing environmental quality in MINT economies.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Renewable Energy and Environment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85-95.</w:t>
      </w:r>
    </w:p>
    <w:p w14:paraId="2663BB4E" w14:textId="77777777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E., Victor, I., Abner, I., &amp; Ogbodo, I. (2022). Effect of financial technology on economic growth in Nigeria.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Journal of xi’an shiyou university, natural science edition</w:t>
      </w:r>
      <w:r w:rsidRPr="00AC4E5A">
        <w:rPr>
          <w:rFonts w:ascii="Times New Roman" w:hAnsi="Times New Roman" w:cs="Times New Roman"/>
          <w:sz w:val="24"/>
          <w:szCs w:val="24"/>
        </w:rPr>
        <w:t>,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AC4E5A">
        <w:rPr>
          <w:rFonts w:ascii="Times New Roman" w:hAnsi="Times New Roman" w:cs="Times New Roman"/>
          <w:sz w:val="24"/>
          <w:szCs w:val="24"/>
        </w:rPr>
        <w:t>(3), 390-401.</w:t>
      </w:r>
    </w:p>
    <w:p w14:paraId="5B156D69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E.S., Jack, A.E., Edet, I.V., Agama, E.J., U</w:t>
      </w:r>
      <w:r w:rsidRPr="00AC4E5A">
        <w:rPr>
          <w:rFonts w:ascii="Times New Roman" w:hAnsi="Times New Roman" w:cs="Times New Roman"/>
          <w:sz w:val="24"/>
          <w:szCs w:val="24"/>
        </w:rPr>
        <w:t xml:space="preserve">gar, O.A., Olusegun, J.S.: Unveiling the transformative nexus of energy efficiency, renewable energy, and economic growth on CO2 emission in MINT countries. J. Renew. Energy Environ. (JREE) 11(2), 89–101 (2024). </w:t>
      </w:r>
      <w:hyperlink r:id="rId14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https://doi.org/10.30501/JREE. 2024.430213.1770</w:t>
        </w:r>
      </w:hyperlink>
    </w:p>
    <w:p w14:paraId="601344D3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Udo, E.S., Okoh, J.I., Ajudua, E.I., Amahi, F., Eke, R., Afrogha, O.: Green finance, technological innovation and financial globalization: assessing environmental quality in MINT economi</w:t>
      </w:r>
      <w:r w:rsidRPr="00AC4E5A">
        <w:rPr>
          <w:rFonts w:ascii="Times New Roman" w:hAnsi="Times New Roman" w:cs="Times New Roman"/>
          <w:sz w:val="24"/>
          <w:szCs w:val="24"/>
        </w:rPr>
        <w:t xml:space="preserve">es. J. Renew. Energy Environ. (JREE) 12(2), 79–84 (2025). </w:t>
      </w:r>
      <w:hyperlink r:id="rId15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https://doi.org/10.30501/jree.2025.484493.2130</w:t>
        </w:r>
      </w:hyperlink>
    </w:p>
    <w:p w14:paraId="5E44358E" w14:textId="77777777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Udoh, B. E., Ifeoma, E. J., Abner, I. P., Ojurereoluwa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 G., Anthony, O. O., &amp; Udo, E. S. (2026). Industrialization and Inclusive Growth on Business Environmental Quality: Evidence From Developing Countries.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Sage Open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4E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AC4E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21582440251410349.</w:t>
      </w:r>
    </w:p>
    <w:p w14:paraId="79C77FCB" w14:textId="77777777" w:rsidR="00C91539" w:rsidRPr="00AC4E5A" w:rsidRDefault="00C22629" w:rsidP="000C355E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Udoh, B. E., Jack, A. E., Prince, A. I., Ekeowa, K. I. L., Ndubuaku, V., &amp; Samuel, U. E. (2021). Financial deepening and economic growth in Nigeria: ARDL and NARDL Techniques.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Universal Journal of Accounting and Finance</w:t>
      </w:r>
      <w:r w:rsidRPr="00AC4E5A">
        <w:rPr>
          <w:rFonts w:ascii="Times New Roman" w:hAnsi="Times New Roman" w:cs="Times New Roman"/>
          <w:sz w:val="24"/>
          <w:szCs w:val="24"/>
        </w:rPr>
        <w:t>, 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C4E5A">
        <w:rPr>
          <w:rFonts w:ascii="Times New Roman" w:hAnsi="Times New Roman" w:cs="Times New Roman"/>
          <w:sz w:val="24"/>
          <w:szCs w:val="24"/>
        </w:rPr>
        <w:t>(4), 667-677.</w:t>
      </w:r>
    </w:p>
    <w:p w14:paraId="757E8E92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Udoh, B. E., Jack, A</w:t>
      </w:r>
      <w:r w:rsidRPr="00AC4E5A">
        <w:rPr>
          <w:rFonts w:ascii="Times New Roman" w:hAnsi="Times New Roman" w:cs="Times New Roman"/>
          <w:sz w:val="24"/>
          <w:szCs w:val="24"/>
        </w:rPr>
        <w:t xml:space="preserve">. E., Prince, A. I., Ekeowa, K. I. L., Ndubuaku, V., &amp; Samuel, U. E. “Financial Deepening and Economic Growth in Nigeria: ARDL and NARDL Techniques,” Universal Journal of Accounting and Finance, Vol. 9, no. 4, pp. 667-677.2021. </w:t>
      </w:r>
      <w:hyperlink r:id="rId16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https://doi.org/10.13189/ujaf.2021.090413</w:t>
        </w:r>
      </w:hyperlink>
    </w:p>
    <w:p w14:paraId="133072C0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Udoh, B.E., Enemuo, J.I., Samuel, U.E., Jack, A.E., Ugar, O.A., Caroline, N.N.: Effects of industrialization on business and economic climate in Nigeria: evidence from sectoral analysi</w:t>
      </w:r>
      <w:r w:rsidRPr="00AC4E5A">
        <w:rPr>
          <w:rFonts w:ascii="Times New Roman" w:hAnsi="Times New Roman" w:cs="Times New Roman"/>
          <w:sz w:val="24"/>
          <w:szCs w:val="24"/>
        </w:rPr>
        <w:t xml:space="preserve">s. Global Business Rev. (2024). </w:t>
      </w:r>
      <w:hyperlink r:id="rId17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https://doi.org/10.1177/09721509241261859</w:t>
        </w:r>
      </w:hyperlink>
    </w:p>
    <w:p w14:paraId="44AEDF08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lastRenderedPageBreak/>
        <w:t>Wang, X. &amp; Wang, Q. (2021). Research on the impact of green finance on the upgrading of China’s regional industrial structur</w:t>
      </w:r>
      <w:r w:rsidRPr="00AC4E5A">
        <w:rPr>
          <w:rFonts w:ascii="Times New Roman" w:hAnsi="Times New Roman" w:cs="Times New Roman"/>
          <w:sz w:val="24"/>
          <w:szCs w:val="24"/>
        </w:rPr>
        <w:t xml:space="preserve">e from the perspective of sustainable development.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 xml:space="preserve">Resources policy </w:t>
      </w:r>
      <w:r w:rsidRPr="00AC4E5A">
        <w:rPr>
          <w:rFonts w:ascii="Times New Roman" w:hAnsi="Times New Roman" w:cs="Times New Roman"/>
          <w:sz w:val="24"/>
          <w:szCs w:val="24"/>
        </w:rPr>
        <w:t xml:space="preserve">Volume 74, December 2021, 102436. </w:t>
      </w:r>
      <w:hyperlink r:id="rId18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https://doi.org/10.1016/j.resourpol.2021.102436</w:t>
        </w:r>
      </w:hyperlink>
    </w:p>
    <w:p w14:paraId="03AF00FD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7737233"/>
      <w:r w:rsidRPr="00AC4E5A">
        <w:rPr>
          <w:rFonts w:ascii="Times New Roman" w:hAnsi="Times New Roman" w:cs="Times New Roman"/>
          <w:sz w:val="24"/>
          <w:szCs w:val="24"/>
        </w:rPr>
        <w:t>Xie</w:t>
      </w:r>
      <w:bookmarkEnd w:id="2"/>
      <w:r w:rsidRPr="00AC4E5A">
        <w:rPr>
          <w:rFonts w:ascii="Times New Roman" w:hAnsi="Times New Roman" w:cs="Times New Roman"/>
          <w:sz w:val="24"/>
          <w:szCs w:val="24"/>
        </w:rPr>
        <w:t xml:space="preserve">, Z., Wang, J., Zhao, G., 2022. Impact </w:t>
      </w:r>
      <w:r w:rsidRPr="00AC4E5A">
        <w:rPr>
          <w:rFonts w:ascii="Times New Roman" w:hAnsi="Times New Roman" w:cs="Times New Roman"/>
          <w:sz w:val="24"/>
          <w:szCs w:val="24"/>
        </w:rPr>
        <w:t xml:space="preserve">of green innovation on firm value: evidence from listed companies in China’s heavy pollution industries. Front. Energy Res. 9, 806926 </w:t>
      </w:r>
      <w:hyperlink r:id="rId19" w:history="1">
        <w:r w:rsidRPr="00AC4E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https://doi.org/10.3389/fenrg.2021.806926</w:t>
        </w:r>
      </w:hyperlink>
    </w:p>
    <w:p w14:paraId="6BC59D89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 xml:space="preserve">Yan, Z., Zou, B., Du, </w:t>
      </w:r>
      <w:r w:rsidRPr="00AC4E5A">
        <w:rPr>
          <w:rFonts w:ascii="Times New Roman" w:hAnsi="Times New Roman" w:cs="Times New Roman"/>
          <w:sz w:val="24"/>
          <w:szCs w:val="24"/>
        </w:rPr>
        <w:t xml:space="preserve">K., Li, K., 2020. Do renewable energy technology innovations promote China’s green productivity growth? Fresh evidence from partially linear functional-coefficient models. Energy Econ.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AC4E5A">
        <w:rPr>
          <w:rFonts w:ascii="Times New Roman" w:hAnsi="Times New Roman" w:cs="Times New Roman"/>
          <w:sz w:val="24"/>
          <w:szCs w:val="24"/>
        </w:rPr>
        <w:t xml:space="preserve">, 104842. </w:t>
      </w:r>
    </w:p>
    <w:p w14:paraId="17397061" w14:textId="77777777" w:rsidR="00C91539" w:rsidRPr="00AC4E5A" w:rsidRDefault="00C22629" w:rsidP="00353E57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Yan, Z., Zou, B., Du, K., Li, K., 2020. Do renewable energ</w:t>
      </w:r>
      <w:r w:rsidRPr="00AC4E5A">
        <w:rPr>
          <w:rFonts w:ascii="Times New Roman" w:hAnsi="Times New Roman" w:cs="Times New Roman"/>
          <w:sz w:val="24"/>
          <w:szCs w:val="24"/>
        </w:rPr>
        <w:t xml:space="preserve">y technology innovations promote China’s green productivity growth? Fresh evidence from partially linear functional-coefficient models. Energy Econ.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AC4E5A">
        <w:rPr>
          <w:rFonts w:ascii="Times New Roman" w:hAnsi="Times New Roman" w:cs="Times New Roman"/>
          <w:sz w:val="24"/>
          <w:szCs w:val="24"/>
        </w:rPr>
        <w:t>, 104842.</w:t>
      </w:r>
    </w:p>
    <w:p w14:paraId="11990A64" w14:textId="77777777" w:rsidR="00C91539" w:rsidRPr="00AC4E5A" w:rsidRDefault="00C22629" w:rsidP="007448FA">
      <w:pPr>
        <w:spacing w:before="12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4E5A">
        <w:rPr>
          <w:rFonts w:ascii="Times New Roman" w:hAnsi="Times New Roman" w:cs="Times New Roman"/>
          <w:sz w:val="24"/>
          <w:szCs w:val="24"/>
        </w:rPr>
        <w:t>Yu, H., Zhao, J., 2024. Financial sector development and industrialization: lessons and prospec</w:t>
      </w:r>
      <w:r w:rsidRPr="00AC4E5A">
        <w:rPr>
          <w:rFonts w:ascii="Times New Roman" w:hAnsi="Times New Roman" w:cs="Times New Roman"/>
          <w:sz w:val="24"/>
          <w:szCs w:val="24"/>
        </w:rPr>
        <w:t xml:space="preserve">ts for Ethiopia. China Econ. J. </w:t>
      </w:r>
      <w:r w:rsidRPr="00AC4E5A">
        <w:rPr>
          <w:rFonts w:ascii="Times New Roman" w:hAnsi="Times New Roman" w:cs="Times New Roman"/>
          <w:i/>
          <w:iCs/>
          <w:sz w:val="24"/>
          <w:szCs w:val="24"/>
        </w:rPr>
        <w:t xml:space="preserve">17 </w:t>
      </w:r>
      <w:r w:rsidRPr="00AC4E5A">
        <w:rPr>
          <w:rFonts w:ascii="Times New Roman" w:hAnsi="Times New Roman" w:cs="Times New Roman"/>
          <w:sz w:val="24"/>
          <w:szCs w:val="24"/>
        </w:rPr>
        <w:t xml:space="preserve">(2), 300–321. </w:t>
      </w:r>
    </w:p>
    <w:p w14:paraId="63CB1A65" w14:textId="77777777" w:rsidR="00353E57" w:rsidRPr="00AC4E5A" w:rsidRDefault="00353E57" w:rsidP="00353E57">
      <w:pPr>
        <w:rPr>
          <w:rFonts w:ascii="Times New Roman" w:hAnsi="Times New Roman" w:cs="Times New Roman"/>
          <w:sz w:val="24"/>
          <w:szCs w:val="24"/>
        </w:rPr>
      </w:pPr>
    </w:p>
    <w:p w14:paraId="01C08709" w14:textId="77777777" w:rsidR="00353E57" w:rsidRPr="00AC4E5A" w:rsidRDefault="00353E57" w:rsidP="00353E57">
      <w:pPr>
        <w:rPr>
          <w:rFonts w:ascii="Times New Roman" w:hAnsi="Times New Roman" w:cs="Times New Roman"/>
          <w:sz w:val="24"/>
          <w:szCs w:val="24"/>
        </w:rPr>
      </w:pPr>
    </w:p>
    <w:p w14:paraId="52091ECA" w14:textId="77777777" w:rsidR="00353E57" w:rsidRPr="00AC4E5A" w:rsidRDefault="00353E57" w:rsidP="00353E57">
      <w:pPr>
        <w:rPr>
          <w:rFonts w:ascii="Times New Roman" w:hAnsi="Times New Roman" w:cs="Times New Roman"/>
          <w:sz w:val="24"/>
          <w:szCs w:val="24"/>
        </w:rPr>
      </w:pPr>
    </w:p>
    <w:p w14:paraId="42EEFFE8" w14:textId="77777777" w:rsidR="00353E57" w:rsidRPr="00AC4E5A" w:rsidRDefault="00353E57" w:rsidP="00353E57">
      <w:pPr>
        <w:rPr>
          <w:rFonts w:ascii="Times New Roman" w:hAnsi="Times New Roman" w:cs="Times New Roman"/>
          <w:sz w:val="24"/>
          <w:szCs w:val="24"/>
        </w:rPr>
      </w:pPr>
    </w:p>
    <w:p w14:paraId="65DC2D90" w14:textId="77777777" w:rsidR="00353E57" w:rsidRPr="00AC4E5A" w:rsidRDefault="00353E57" w:rsidP="00353E57">
      <w:pPr>
        <w:rPr>
          <w:rFonts w:ascii="Times New Roman" w:hAnsi="Times New Roman" w:cs="Times New Roman"/>
          <w:sz w:val="24"/>
          <w:szCs w:val="24"/>
        </w:rPr>
      </w:pPr>
    </w:p>
    <w:p w14:paraId="4ACCD5B0" w14:textId="77777777" w:rsidR="00353E57" w:rsidRPr="00AC4E5A" w:rsidRDefault="00353E57" w:rsidP="00353E57">
      <w:pPr>
        <w:rPr>
          <w:rFonts w:ascii="Times New Roman" w:hAnsi="Times New Roman" w:cs="Times New Roman"/>
          <w:sz w:val="24"/>
          <w:szCs w:val="24"/>
        </w:rPr>
      </w:pPr>
    </w:p>
    <w:p w14:paraId="561DF83A" w14:textId="77777777" w:rsidR="00124350" w:rsidRPr="00AC4E5A" w:rsidRDefault="00124350">
      <w:pPr>
        <w:rPr>
          <w:rFonts w:ascii="Times New Roman" w:hAnsi="Times New Roman" w:cs="Times New Roman"/>
          <w:sz w:val="24"/>
          <w:szCs w:val="24"/>
        </w:rPr>
      </w:pPr>
    </w:p>
    <w:sectPr w:rsidR="00124350" w:rsidRPr="00AC4E5A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93E3" w14:textId="77777777" w:rsidR="00C22629" w:rsidRDefault="00C22629">
      <w:pPr>
        <w:spacing w:after="0" w:line="240" w:lineRule="auto"/>
      </w:pPr>
      <w:r>
        <w:separator/>
      </w:r>
    </w:p>
  </w:endnote>
  <w:endnote w:type="continuationSeparator" w:id="0">
    <w:p w14:paraId="3BAEEB10" w14:textId="77777777" w:rsidR="00C22629" w:rsidRDefault="00C2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Nanum Brush Script"/>
    <w:charset w:val="80"/>
    <w:family w:val="auto"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74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756A5" w14:textId="7279615B" w:rsidR="00C15E4E" w:rsidRDefault="00C22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C09D9" w14:textId="77777777" w:rsidR="00C15E4E" w:rsidRDefault="00C15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D19B" w14:textId="77777777" w:rsidR="00C22629" w:rsidRDefault="00C22629">
      <w:pPr>
        <w:spacing w:after="0" w:line="240" w:lineRule="auto"/>
      </w:pPr>
      <w:r>
        <w:separator/>
      </w:r>
    </w:p>
  </w:footnote>
  <w:footnote w:type="continuationSeparator" w:id="0">
    <w:p w14:paraId="3ABDF31A" w14:textId="77777777" w:rsidR="00C22629" w:rsidRDefault="00C2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196"/>
    <w:multiLevelType w:val="multilevel"/>
    <w:tmpl w:val="681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AFA"/>
    <w:multiLevelType w:val="multilevel"/>
    <w:tmpl w:val="D02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C7276"/>
    <w:multiLevelType w:val="multilevel"/>
    <w:tmpl w:val="C9E0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778F2"/>
    <w:multiLevelType w:val="hybridMultilevel"/>
    <w:tmpl w:val="706A2DD0"/>
    <w:lvl w:ilvl="0" w:tplc="4B42B1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A8F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89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6F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62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E4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41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68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2A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11C1"/>
    <w:multiLevelType w:val="multilevel"/>
    <w:tmpl w:val="AECC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83983"/>
    <w:multiLevelType w:val="multilevel"/>
    <w:tmpl w:val="2C50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E746A"/>
    <w:multiLevelType w:val="multilevel"/>
    <w:tmpl w:val="CFDE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D5CFD"/>
    <w:multiLevelType w:val="multilevel"/>
    <w:tmpl w:val="3EC6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3B66"/>
    <w:multiLevelType w:val="multilevel"/>
    <w:tmpl w:val="CA7C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72C8F"/>
    <w:multiLevelType w:val="hybridMultilevel"/>
    <w:tmpl w:val="23386C7A"/>
    <w:lvl w:ilvl="0" w:tplc="80E093DA">
      <w:start w:val="1"/>
      <w:numFmt w:val="decimal"/>
      <w:lvlText w:val="%1."/>
      <w:lvlJc w:val="left"/>
      <w:pPr>
        <w:ind w:left="720" w:hanging="360"/>
      </w:pPr>
    </w:lvl>
    <w:lvl w:ilvl="1" w:tplc="BA4C6C64" w:tentative="1">
      <w:start w:val="1"/>
      <w:numFmt w:val="lowerLetter"/>
      <w:lvlText w:val="%2."/>
      <w:lvlJc w:val="left"/>
      <w:pPr>
        <w:ind w:left="1440" w:hanging="360"/>
      </w:pPr>
    </w:lvl>
    <w:lvl w:ilvl="2" w:tplc="A2EA5DDC" w:tentative="1">
      <w:start w:val="1"/>
      <w:numFmt w:val="lowerRoman"/>
      <w:lvlText w:val="%3."/>
      <w:lvlJc w:val="right"/>
      <w:pPr>
        <w:ind w:left="2160" w:hanging="180"/>
      </w:pPr>
    </w:lvl>
    <w:lvl w:ilvl="3" w:tplc="447A8B18" w:tentative="1">
      <w:start w:val="1"/>
      <w:numFmt w:val="decimal"/>
      <w:lvlText w:val="%4."/>
      <w:lvlJc w:val="left"/>
      <w:pPr>
        <w:ind w:left="2880" w:hanging="360"/>
      </w:pPr>
    </w:lvl>
    <w:lvl w:ilvl="4" w:tplc="8F10FFEE" w:tentative="1">
      <w:start w:val="1"/>
      <w:numFmt w:val="lowerLetter"/>
      <w:lvlText w:val="%5."/>
      <w:lvlJc w:val="left"/>
      <w:pPr>
        <w:ind w:left="3600" w:hanging="360"/>
      </w:pPr>
    </w:lvl>
    <w:lvl w:ilvl="5" w:tplc="0C64AE00" w:tentative="1">
      <w:start w:val="1"/>
      <w:numFmt w:val="lowerRoman"/>
      <w:lvlText w:val="%6."/>
      <w:lvlJc w:val="right"/>
      <w:pPr>
        <w:ind w:left="4320" w:hanging="180"/>
      </w:pPr>
    </w:lvl>
    <w:lvl w:ilvl="6" w:tplc="BE425AF6" w:tentative="1">
      <w:start w:val="1"/>
      <w:numFmt w:val="decimal"/>
      <w:lvlText w:val="%7."/>
      <w:lvlJc w:val="left"/>
      <w:pPr>
        <w:ind w:left="5040" w:hanging="360"/>
      </w:pPr>
    </w:lvl>
    <w:lvl w:ilvl="7" w:tplc="1996E3CE" w:tentative="1">
      <w:start w:val="1"/>
      <w:numFmt w:val="lowerLetter"/>
      <w:lvlText w:val="%8."/>
      <w:lvlJc w:val="left"/>
      <w:pPr>
        <w:ind w:left="5760" w:hanging="360"/>
      </w:pPr>
    </w:lvl>
    <w:lvl w:ilvl="8" w:tplc="ED1A9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7554F"/>
    <w:multiLevelType w:val="hybridMultilevel"/>
    <w:tmpl w:val="9AB46CE2"/>
    <w:lvl w:ilvl="0" w:tplc="7310B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9782C6C" w:tentative="1">
      <w:start w:val="1"/>
      <w:numFmt w:val="lowerLetter"/>
      <w:lvlText w:val="%2."/>
      <w:lvlJc w:val="left"/>
      <w:pPr>
        <w:ind w:left="1440" w:hanging="360"/>
      </w:pPr>
    </w:lvl>
    <w:lvl w:ilvl="2" w:tplc="B0D42C8E" w:tentative="1">
      <w:start w:val="1"/>
      <w:numFmt w:val="lowerRoman"/>
      <w:lvlText w:val="%3."/>
      <w:lvlJc w:val="right"/>
      <w:pPr>
        <w:ind w:left="2160" w:hanging="180"/>
      </w:pPr>
    </w:lvl>
    <w:lvl w:ilvl="3" w:tplc="AAAAA780" w:tentative="1">
      <w:start w:val="1"/>
      <w:numFmt w:val="decimal"/>
      <w:lvlText w:val="%4."/>
      <w:lvlJc w:val="left"/>
      <w:pPr>
        <w:ind w:left="2880" w:hanging="360"/>
      </w:pPr>
    </w:lvl>
    <w:lvl w:ilvl="4" w:tplc="7A5823AE" w:tentative="1">
      <w:start w:val="1"/>
      <w:numFmt w:val="lowerLetter"/>
      <w:lvlText w:val="%5."/>
      <w:lvlJc w:val="left"/>
      <w:pPr>
        <w:ind w:left="3600" w:hanging="360"/>
      </w:pPr>
    </w:lvl>
    <w:lvl w:ilvl="5" w:tplc="46BE5A08" w:tentative="1">
      <w:start w:val="1"/>
      <w:numFmt w:val="lowerRoman"/>
      <w:lvlText w:val="%6."/>
      <w:lvlJc w:val="right"/>
      <w:pPr>
        <w:ind w:left="4320" w:hanging="180"/>
      </w:pPr>
    </w:lvl>
    <w:lvl w:ilvl="6" w:tplc="72D60A44" w:tentative="1">
      <w:start w:val="1"/>
      <w:numFmt w:val="decimal"/>
      <w:lvlText w:val="%7."/>
      <w:lvlJc w:val="left"/>
      <w:pPr>
        <w:ind w:left="5040" w:hanging="360"/>
      </w:pPr>
    </w:lvl>
    <w:lvl w:ilvl="7" w:tplc="2DF6BFDA" w:tentative="1">
      <w:start w:val="1"/>
      <w:numFmt w:val="lowerLetter"/>
      <w:lvlText w:val="%8."/>
      <w:lvlJc w:val="left"/>
      <w:pPr>
        <w:ind w:left="5760" w:hanging="360"/>
      </w:pPr>
    </w:lvl>
    <w:lvl w:ilvl="8" w:tplc="9CC6D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82DCC"/>
    <w:multiLevelType w:val="hybridMultilevel"/>
    <w:tmpl w:val="2B34F1E2"/>
    <w:lvl w:ilvl="0" w:tplc="B5B43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E2286" w:tentative="1">
      <w:start w:val="1"/>
      <w:numFmt w:val="lowerLetter"/>
      <w:lvlText w:val="%2."/>
      <w:lvlJc w:val="left"/>
      <w:pPr>
        <w:ind w:left="1440" w:hanging="360"/>
      </w:pPr>
    </w:lvl>
    <w:lvl w:ilvl="2" w:tplc="F28ED746" w:tentative="1">
      <w:start w:val="1"/>
      <w:numFmt w:val="lowerRoman"/>
      <w:lvlText w:val="%3."/>
      <w:lvlJc w:val="right"/>
      <w:pPr>
        <w:ind w:left="2160" w:hanging="180"/>
      </w:pPr>
    </w:lvl>
    <w:lvl w:ilvl="3" w:tplc="16F89ED2" w:tentative="1">
      <w:start w:val="1"/>
      <w:numFmt w:val="decimal"/>
      <w:lvlText w:val="%4."/>
      <w:lvlJc w:val="left"/>
      <w:pPr>
        <w:ind w:left="2880" w:hanging="360"/>
      </w:pPr>
    </w:lvl>
    <w:lvl w:ilvl="4" w:tplc="85FC8DB6" w:tentative="1">
      <w:start w:val="1"/>
      <w:numFmt w:val="lowerLetter"/>
      <w:lvlText w:val="%5."/>
      <w:lvlJc w:val="left"/>
      <w:pPr>
        <w:ind w:left="3600" w:hanging="360"/>
      </w:pPr>
    </w:lvl>
    <w:lvl w:ilvl="5" w:tplc="027E1946" w:tentative="1">
      <w:start w:val="1"/>
      <w:numFmt w:val="lowerRoman"/>
      <w:lvlText w:val="%6."/>
      <w:lvlJc w:val="right"/>
      <w:pPr>
        <w:ind w:left="4320" w:hanging="180"/>
      </w:pPr>
    </w:lvl>
    <w:lvl w:ilvl="6" w:tplc="06D4300A" w:tentative="1">
      <w:start w:val="1"/>
      <w:numFmt w:val="decimal"/>
      <w:lvlText w:val="%7."/>
      <w:lvlJc w:val="left"/>
      <w:pPr>
        <w:ind w:left="5040" w:hanging="360"/>
      </w:pPr>
    </w:lvl>
    <w:lvl w:ilvl="7" w:tplc="625E25E2" w:tentative="1">
      <w:start w:val="1"/>
      <w:numFmt w:val="lowerLetter"/>
      <w:lvlText w:val="%8."/>
      <w:lvlJc w:val="left"/>
      <w:pPr>
        <w:ind w:left="5760" w:hanging="360"/>
      </w:pPr>
    </w:lvl>
    <w:lvl w:ilvl="8" w:tplc="CBB8C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E76"/>
    <w:multiLevelType w:val="multilevel"/>
    <w:tmpl w:val="A2A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54717"/>
    <w:multiLevelType w:val="multilevel"/>
    <w:tmpl w:val="F70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A204C6"/>
    <w:multiLevelType w:val="multilevel"/>
    <w:tmpl w:val="A996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555F6"/>
    <w:multiLevelType w:val="multilevel"/>
    <w:tmpl w:val="2AD4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37405"/>
    <w:multiLevelType w:val="hybridMultilevel"/>
    <w:tmpl w:val="6AB64CBC"/>
    <w:lvl w:ilvl="0" w:tplc="1EBEAE1A">
      <w:start w:val="1"/>
      <w:numFmt w:val="decimal"/>
      <w:lvlText w:val="%1."/>
      <w:lvlJc w:val="left"/>
      <w:pPr>
        <w:ind w:left="720" w:hanging="360"/>
      </w:pPr>
    </w:lvl>
    <w:lvl w:ilvl="1" w:tplc="85FC91B2" w:tentative="1">
      <w:start w:val="1"/>
      <w:numFmt w:val="lowerLetter"/>
      <w:lvlText w:val="%2."/>
      <w:lvlJc w:val="left"/>
      <w:pPr>
        <w:ind w:left="1440" w:hanging="360"/>
      </w:pPr>
    </w:lvl>
    <w:lvl w:ilvl="2" w:tplc="F058084A" w:tentative="1">
      <w:start w:val="1"/>
      <w:numFmt w:val="lowerRoman"/>
      <w:lvlText w:val="%3."/>
      <w:lvlJc w:val="right"/>
      <w:pPr>
        <w:ind w:left="2160" w:hanging="180"/>
      </w:pPr>
    </w:lvl>
    <w:lvl w:ilvl="3" w:tplc="4198AFA4" w:tentative="1">
      <w:start w:val="1"/>
      <w:numFmt w:val="decimal"/>
      <w:lvlText w:val="%4."/>
      <w:lvlJc w:val="left"/>
      <w:pPr>
        <w:ind w:left="2880" w:hanging="360"/>
      </w:pPr>
    </w:lvl>
    <w:lvl w:ilvl="4" w:tplc="9FF03BBE" w:tentative="1">
      <w:start w:val="1"/>
      <w:numFmt w:val="lowerLetter"/>
      <w:lvlText w:val="%5."/>
      <w:lvlJc w:val="left"/>
      <w:pPr>
        <w:ind w:left="3600" w:hanging="360"/>
      </w:pPr>
    </w:lvl>
    <w:lvl w:ilvl="5" w:tplc="705860E8" w:tentative="1">
      <w:start w:val="1"/>
      <w:numFmt w:val="lowerRoman"/>
      <w:lvlText w:val="%6."/>
      <w:lvlJc w:val="right"/>
      <w:pPr>
        <w:ind w:left="4320" w:hanging="180"/>
      </w:pPr>
    </w:lvl>
    <w:lvl w:ilvl="6" w:tplc="04EE9F18" w:tentative="1">
      <w:start w:val="1"/>
      <w:numFmt w:val="decimal"/>
      <w:lvlText w:val="%7."/>
      <w:lvlJc w:val="left"/>
      <w:pPr>
        <w:ind w:left="5040" w:hanging="360"/>
      </w:pPr>
    </w:lvl>
    <w:lvl w:ilvl="7" w:tplc="D8108042" w:tentative="1">
      <w:start w:val="1"/>
      <w:numFmt w:val="lowerLetter"/>
      <w:lvlText w:val="%8."/>
      <w:lvlJc w:val="left"/>
      <w:pPr>
        <w:ind w:left="5760" w:hanging="360"/>
      </w:pPr>
    </w:lvl>
    <w:lvl w:ilvl="8" w:tplc="00FE8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F2045"/>
    <w:multiLevelType w:val="multilevel"/>
    <w:tmpl w:val="5684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749C0"/>
    <w:multiLevelType w:val="multilevel"/>
    <w:tmpl w:val="29F0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A4E75"/>
    <w:multiLevelType w:val="hybridMultilevel"/>
    <w:tmpl w:val="3278B464"/>
    <w:lvl w:ilvl="0" w:tplc="3E908FD8">
      <w:start w:val="1"/>
      <w:numFmt w:val="decimal"/>
      <w:lvlText w:val="%1."/>
      <w:lvlJc w:val="left"/>
      <w:pPr>
        <w:ind w:left="720" w:hanging="360"/>
      </w:pPr>
    </w:lvl>
    <w:lvl w:ilvl="1" w:tplc="E0245C2E" w:tentative="1">
      <w:start w:val="1"/>
      <w:numFmt w:val="lowerLetter"/>
      <w:lvlText w:val="%2."/>
      <w:lvlJc w:val="left"/>
      <w:pPr>
        <w:ind w:left="1440" w:hanging="360"/>
      </w:pPr>
    </w:lvl>
    <w:lvl w:ilvl="2" w:tplc="A9166476" w:tentative="1">
      <w:start w:val="1"/>
      <w:numFmt w:val="lowerRoman"/>
      <w:lvlText w:val="%3."/>
      <w:lvlJc w:val="right"/>
      <w:pPr>
        <w:ind w:left="2160" w:hanging="180"/>
      </w:pPr>
    </w:lvl>
    <w:lvl w:ilvl="3" w:tplc="8D70ADFC" w:tentative="1">
      <w:start w:val="1"/>
      <w:numFmt w:val="decimal"/>
      <w:lvlText w:val="%4."/>
      <w:lvlJc w:val="left"/>
      <w:pPr>
        <w:ind w:left="2880" w:hanging="360"/>
      </w:pPr>
    </w:lvl>
    <w:lvl w:ilvl="4" w:tplc="45264BAE" w:tentative="1">
      <w:start w:val="1"/>
      <w:numFmt w:val="lowerLetter"/>
      <w:lvlText w:val="%5."/>
      <w:lvlJc w:val="left"/>
      <w:pPr>
        <w:ind w:left="3600" w:hanging="360"/>
      </w:pPr>
    </w:lvl>
    <w:lvl w:ilvl="5" w:tplc="A05A47EA" w:tentative="1">
      <w:start w:val="1"/>
      <w:numFmt w:val="lowerRoman"/>
      <w:lvlText w:val="%6."/>
      <w:lvlJc w:val="right"/>
      <w:pPr>
        <w:ind w:left="4320" w:hanging="180"/>
      </w:pPr>
    </w:lvl>
    <w:lvl w:ilvl="6" w:tplc="3F6C6118" w:tentative="1">
      <w:start w:val="1"/>
      <w:numFmt w:val="decimal"/>
      <w:lvlText w:val="%7."/>
      <w:lvlJc w:val="left"/>
      <w:pPr>
        <w:ind w:left="5040" w:hanging="360"/>
      </w:pPr>
    </w:lvl>
    <w:lvl w:ilvl="7" w:tplc="34B6A466" w:tentative="1">
      <w:start w:val="1"/>
      <w:numFmt w:val="lowerLetter"/>
      <w:lvlText w:val="%8."/>
      <w:lvlJc w:val="left"/>
      <w:pPr>
        <w:ind w:left="5760" w:hanging="360"/>
      </w:pPr>
    </w:lvl>
    <w:lvl w:ilvl="8" w:tplc="70B695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749377">
    <w:abstractNumId w:val="0"/>
  </w:num>
  <w:num w:numId="2" w16cid:durableId="1514149609">
    <w:abstractNumId w:val="18"/>
  </w:num>
  <w:num w:numId="3" w16cid:durableId="2004122472">
    <w:abstractNumId w:val="1"/>
  </w:num>
  <w:num w:numId="4" w16cid:durableId="1468545447">
    <w:abstractNumId w:val="17"/>
  </w:num>
  <w:num w:numId="5" w16cid:durableId="1907766894">
    <w:abstractNumId w:val="8"/>
  </w:num>
  <w:num w:numId="6" w16cid:durableId="1968076840">
    <w:abstractNumId w:val="15"/>
  </w:num>
  <w:num w:numId="7" w16cid:durableId="1161046133">
    <w:abstractNumId w:val="5"/>
  </w:num>
  <w:num w:numId="8" w16cid:durableId="800879542">
    <w:abstractNumId w:val="6"/>
  </w:num>
  <w:num w:numId="9" w16cid:durableId="53286352">
    <w:abstractNumId w:val="19"/>
  </w:num>
  <w:num w:numId="10" w16cid:durableId="623343926">
    <w:abstractNumId w:val="13"/>
  </w:num>
  <w:num w:numId="11" w16cid:durableId="864755544">
    <w:abstractNumId w:val="3"/>
  </w:num>
  <w:num w:numId="12" w16cid:durableId="1778284398">
    <w:abstractNumId w:val="16"/>
  </w:num>
  <w:num w:numId="13" w16cid:durableId="151145393">
    <w:abstractNumId w:val="9"/>
  </w:num>
  <w:num w:numId="14" w16cid:durableId="1876191901">
    <w:abstractNumId w:val="4"/>
  </w:num>
  <w:num w:numId="15" w16cid:durableId="1686058584">
    <w:abstractNumId w:val="12"/>
  </w:num>
  <w:num w:numId="16" w16cid:durableId="2129929031">
    <w:abstractNumId w:val="14"/>
  </w:num>
  <w:num w:numId="17" w16cid:durableId="1237667564">
    <w:abstractNumId w:val="2"/>
  </w:num>
  <w:num w:numId="18" w16cid:durableId="257908574">
    <w:abstractNumId w:val="10"/>
  </w:num>
  <w:num w:numId="19" w16cid:durableId="240145882">
    <w:abstractNumId w:val="7"/>
  </w:num>
  <w:num w:numId="20" w16cid:durableId="1079719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0NbW0MDUxMTI3MLZU0lEKTi0uzszPAykwrgUATWFm+CwAAAA="/>
  </w:docVars>
  <w:rsids>
    <w:rsidRoot w:val="00353E57"/>
    <w:rsid w:val="0003001D"/>
    <w:rsid w:val="000365A3"/>
    <w:rsid w:val="000543C3"/>
    <w:rsid w:val="00054770"/>
    <w:rsid w:val="00065EAE"/>
    <w:rsid w:val="00084EDC"/>
    <w:rsid w:val="000A0615"/>
    <w:rsid w:val="000C355E"/>
    <w:rsid w:val="000D2191"/>
    <w:rsid w:val="000F7223"/>
    <w:rsid w:val="00124350"/>
    <w:rsid w:val="0013276B"/>
    <w:rsid w:val="001526D0"/>
    <w:rsid w:val="001737B5"/>
    <w:rsid w:val="00190DC7"/>
    <w:rsid w:val="001A48FC"/>
    <w:rsid w:val="001A50FA"/>
    <w:rsid w:val="001D3683"/>
    <w:rsid w:val="001E2137"/>
    <w:rsid w:val="00225137"/>
    <w:rsid w:val="00236524"/>
    <w:rsid w:val="00252873"/>
    <w:rsid w:val="0026168D"/>
    <w:rsid w:val="00275AC9"/>
    <w:rsid w:val="00277A8A"/>
    <w:rsid w:val="00285CCB"/>
    <w:rsid w:val="002874E3"/>
    <w:rsid w:val="002A2B6D"/>
    <w:rsid w:val="002C56AA"/>
    <w:rsid w:val="002D3835"/>
    <w:rsid w:val="002D3E37"/>
    <w:rsid w:val="002D58A4"/>
    <w:rsid w:val="00320CE3"/>
    <w:rsid w:val="003424BB"/>
    <w:rsid w:val="00352B64"/>
    <w:rsid w:val="00353E57"/>
    <w:rsid w:val="00397723"/>
    <w:rsid w:val="003A159B"/>
    <w:rsid w:val="003A3BC1"/>
    <w:rsid w:val="003B02D8"/>
    <w:rsid w:val="003B6593"/>
    <w:rsid w:val="003D4BBA"/>
    <w:rsid w:val="003F19C7"/>
    <w:rsid w:val="003F6F79"/>
    <w:rsid w:val="0040327C"/>
    <w:rsid w:val="00420E89"/>
    <w:rsid w:val="004262F8"/>
    <w:rsid w:val="0044250B"/>
    <w:rsid w:val="00446575"/>
    <w:rsid w:val="004725E4"/>
    <w:rsid w:val="0049661C"/>
    <w:rsid w:val="004A4C53"/>
    <w:rsid w:val="004B25B2"/>
    <w:rsid w:val="004D10C9"/>
    <w:rsid w:val="004E0434"/>
    <w:rsid w:val="004F2B23"/>
    <w:rsid w:val="004F4432"/>
    <w:rsid w:val="005078C6"/>
    <w:rsid w:val="00520FDF"/>
    <w:rsid w:val="00525A8E"/>
    <w:rsid w:val="005269AC"/>
    <w:rsid w:val="005356D4"/>
    <w:rsid w:val="0054653C"/>
    <w:rsid w:val="005854D6"/>
    <w:rsid w:val="005A0707"/>
    <w:rsid w:val="005D17BD"/>
    <w:rsid w:val="005F474C"/>
    <w:rsid w:val="00600AAD"/>
    <w:rsid w:val="0065064B"/>
    <w:rsid w:val="006556B6"/>
    <w:rsid w:val="006736D6"/>
    <w:rsid w:val="006A769A"/>
    <w:rsid w:val="006B79BD"/>
    <w:rsid w:val="006C0A87"/>
    <w:rsid w:val="006F0C20"/>
    <w:rsid w:val="00703EEB"/>
    <w:rsid w:val="00710730"/>
    <w:rsid w:val="0071273A"/>
    <w:rsid w:val="00712ADF"/>
    <w:rsid w:val="007448FA"/>
    <w:rsid w:val="00785A68"/>
    <w:rsid w:val="007B0F9B"/>
    <w:rsid w:val="007D1DBE"/>
    <w:rsid w:val="007E0BA0"/>
    <w:rsid w:val="008000E1"/>
    <w:rsid w:val="00802DB7"/>
    <w:rsid w:val="008142FD"/>
    <w:rsid w:val="00861F19"/>
    <w:rsid w:val="008766C8"/>
    <w:rsid w:val="00877E76"/>
    <w:rsid w:val="008845D3"/>
    <w:rsid w:val="00891CC3"/>
    <w:rsid w:val="008938E4"/>
    <w:rsid w:val="008A4B91"/>
    <w:rsid w:val="008C5C0D"/>
    <w:rsid w:val="00902801"/>
    <w:rsid w:val="009060F1"/>
    <w:rsid w:val="0091759A"/>
    <w:rsid w:val="009261FA"/>
    <w:rsid w:val="0093011D"/>
    <w:rsid w:val="009401FF"/>
    <w:rsid w:val="00940BE6"/>
    <w:rsid w:val="009460E4"/>
    <w:rsid w:val="00956E40"/>
    <w:rsid w:val="0096283B"/>
    <w:rsid w:val="0096469D"/>
    <w:rsid w:val="009744BD"/>
    <w:rsid w:val="00985221"/>
    <w:rsid w:val="00985BFD"/>
    <w:rsid w:val="009A3D84"/>
    <w:rsid w:val="009A5BEF"/>
    <w:rsid w:val="009D0E6E"/>
    <w:rsid w:val="009D2104"/>
    <w:rsid w:val="009E3223"/>
    <w:rsid w:val="009E3272"/>
    <w:rsid w:val="009E35D1"/>
    <w:rsid w:val="009F335F"/>
    <w:rsid w:val="00A22712"/>
    <w:rsid w:val="00A66468"/>
    <w:rsid w:val="00A82E7E"/>
    <w:rsid w:val="00AC4E5A"/>
    <w:rsid w:val="00AD1324"/>
    <w:rsid w:val="00AE1491"/>
    <w:rsid w:val="00AF0A99"/>
    <w:rsid w:val="00AF2008"/>
    <w:rsid w:val="00AF4E17"/>
    <w:rsid w:val="00B04549"/>
    <w:rsid w:val="00B0635B"/>
    <w:rsid w:val="00B3237E"/>
    <w:rsid w:val="00B45BAD"/>
    <w:rsid w:val="00B53057"/>
    <w:rsid w:val="00B75DEF"/>
    <w:rsid w:val="00B76ED1"/>
    <w:rsid w:val="00BB7687"/>
    <w:rsid w:val="00BD63A4"/>
    <w:rsid w:val="00BF19E0"/>
    <w:rsid w:val="00BF3A73"/>
    <w:rsid w:val="00BF688C"/>
    <w:rsid w:val="00C025E1"/>
    <w:rsid w:val="00C03A0F"/>
    <w:rsid w:val="00C155E1"/>
    <w:rsid w:val="00C15E4E"/>
    <w:rsid w:val="00C22629"/>
    <w:rsid w:val="00C2639F"/>
    <w:rsid w:val="00C3346A"/>
    <w:rsid w:val="00C40DDA"/>
    <w:rsid w:val="00C77F3C"/>
    <w:rsid w:val="00C91539"/>
    <w:rsid w:val="00CA4F90"/>
    <w:rsid w:val="00CC64FA"/>
    <w:rsid w:val="00CE553C"/>
    <w:rsid w:val="00CE7BCB"/>
    <w:rsid w:val="00CF2AA9"/>
    <w:rsid w:val="00CF4560"/>
    <w:rsid w:val="00D20035"/>
    <w:rsid w:val="00D27655"/>
    <w:rsid w:val="00D84F0E"/>
    <w:rsid w:val="00D97C57"/>
    <w:rsid w:val="00DB516F"/>
    <w:rsid w:val="00DF61ED"/>
    <w:rsid w:val="00E053ED"/>
    <w:rsid w:val="00E427CD"/>
    <w:rsid w:val="00E4786F"/>
    <w:rsid w:val="00E678E4"/>
    <w:rsid w:val="00E94E55"/>
    <w:rsid w:val="00E95CE7"/>
    <w:rsid w:val="00F04770"/>
    <w:rsid w:val="00F049CD"/>
    <w:rsid w:val="00F23638"/>
    <w:rsid w:val="00F24594"/>
    <w:rsid w:val="00F420FE"/>
    <w:rsid w:val="00F427EF"/>
    <w:rsid w:val="00F469FB"/>
    <w:rsid w:val="00F91601"/>
    <w:rsid w:val="00FD6519"/>
    <w:rsid w:val="00FD70F8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65B0"/>
  <w15:chartTrackingRefBased/>
  <w15:docId w15:val="{AAB210A5-C353-463B-9C95-81487BA7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5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3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3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E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3E57"/>
    <w:pPr>
      <w:ind w:left="720"/>
      <w:contextualSpacing/>
    </w:pPr>
  </w:style>
  <w:style w:type="table" w:styleId="TableGrid">
    <w:name w:val="Table Grid"/>
    <w:basedOn w:val="TableNormal"/>
    <w:uiPriority w:val="39"/>
    <w:rsid w:val="0035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3E5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53E57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53E57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5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4E"/>
  </w:style>
  <w:style w:type="paragraph" w:styleId="Footer">
    <w:name w:val="footer"/>
    <w:basedOn w:val="Normal"/>
    <w:link w:val="FooterChar"/>
    <w:uiPriority w:val="99"/>
    <w:unhideWhenUsed/>
    <w:rsid w:val="00C15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4E"/>
  </w:style>
  <w:style w:type="character" w:styleId="CommentReference">
    <w:name w:val="annotation reference"/>
    <w:basedOn w:val="DefaultParagraphFont"/>
    <w:uiPriority w:val="99"/>
    <w:semiHidden/>
    <w:unhideWhenUsed/>
    <w:rsid w:val="00C15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E4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C0A87"/>
    <w:rPr>
      <w:b/>
      <w:bCs/>
    </w:rPr>
  </w:style>
  <w:style w:type="character" w:styleId="Emphasis">
    <w:name w:val="Emphasis"/>
    <w:basedOn w:val="DefaultParagraphFont"/>
    <w:uiPriority w:val="20"/>
    <w:qFormat/>
    <w:rsid w:val="00C91539"/>
    <w:rPr>
      <w:i/>
      <w:iCs/>
    </w:rPr>
  </w:style>
  <w:style w:type="paragraph" w:customStyle="1" w:styleId="preflight-heading">
    <w:name w:val="preflight-heading"/>
    <w:pPr>
      <w:spacing w:before="60" w:after="60"/>
    </w:pPr>
    <w:rPr>
      <w:b/>
      <w:color w:val="000000"/>
      <w:sz w:val="20"/>
    </w:rPr>
  </w:style>
  <w:style w:type="paragraph" w:customStyle="1" w:styleId="preflight-description">
    <w:name w:val="preflight-description"/>
    <w:pPr>
      <w:spacing w:before="60" w:after="60"/>
    </w:pPr>
    <w:rPr>
      <w:color w:val="000000"/>
      <w:sz w:val="20"/>
    </w:rPr>
  </w:style>
  <w:style w:type="paragraph" w:customStyle="1" w:styleId="preflight-link">
    <w:name w:val="preflight-link"/>
    <w:pPr>
      <w:spacing w:before="60" w:after="60"/>
    </w:pPr>
    <w:rPr>
      <w:color w:val="0000FF"/>
      <w:sz w:val="20"/>
      <w:u w:val="single"/>
    </w:rPr>
  </w:style>
  <w:style w:type="paragraph" w:customStyle="1" w:styleId="preflight-example">
    <w:name w:val="preflight-example"/>
    <w:pPr>
      <w:spacing w:before="180" w:after="60"/>
    </w:pPr>
    <w:rPr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abs/2207.00773?utm_source=chatgpt.com" TargetMode="External"/><Relationship Id="rId13" Type="http://schemas.openxmlformats.org/officeDocument/2006/relationships/hyperlink" Target="https://doi.org/10.18488/29.v10i2.3407" TargetMode="External"/><Relationship Id="rId18" Type="http://schemas.openxmlformats.org/officeDocument/2006/relationships/hyperlink" Target="https://doi.org/10.1016/j.resourpol.2021.10243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51709/19951272/Spring2025/9" TargetMode="External"/><Relationship Id="rId12" Type="http://schemas.openxmlformats.org/officeDocument/2006/relationships/hyperlink" Target="https://fbj.springeropen.com/articles/10.1186/s43093-025-00596-6?utm_source=chatgpt.com" TargetMode="External"/><Relationship Id="rId17" Type="http://schemas.openxmlformats.org/officeDocument/2006/relationships/hyperlink" Target="https://doi.org/10.1177/097215092412618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3189/ujaf.2021.09041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709/19951272/summer2024/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0501/jree.2025.484493.2130" TargetMode="External"/><Relationship Id="rId10" Type="http://schemas.openxmlformats.org/officeDocument/2006/relationships/hyperlink" Target="https://www.ifc.org/en/pressroom/2023/ifc-invests-record-115-billion-for-africas-green-transition-and?utm_source=chatgpt.com" TargetMode="External"/><Relationship Id="rId19" Type="http://schemas.openxmlformats.org/officeDocument/2006/relationships/hyperlink" Target="https://doi.org/10.3389/fenrg.2021.806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clepro.2022.132548" TargetMode="External"/><Relationship Id="rId14" Type="http://schemas.openxmlformats.org/officeDocument/2006/relationships/hyperlink" Target="https://doi.org/10.30501/JREE.%202024.430213.1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18</Pages>
  <Words>7810</Words>
  <Characters>44517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Emmanuel</cp:lastModifiedBy>
  <cp:revision>222</cp:revision>
  <dcterms:created xsi:type="dcterms:W3CDTF">2026-02-21T13:59:00Z</dcterms:created>
  <dcterms:modified xsi:type="dcterms:W3CDTF">2026-02-23T12:11:00Z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light.documentId">
    <vt:lpwstr>realtime-e9496a33-82a5-44b9-91e0-5aa3f57b0393</vt:lpwstr>
  </property>
  <property fmtid="{D5CDD505-2E9C-101B-9397-08002B2CF9AE}" pid="3" name="preflight.processed">
    <vt:bool>true</vt:bool>
  </property>
  <property fmtid="{D5CDD505-2E9C-101B-9397-08002B2CF9AE}" pid="4" name="preflight.processedAt">
    <vt:lpwstr>2026-02-23T06:21:32.797578974Z</vt:lpwstr>
  </property>
</Properties>
</file>