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1B68" w14:textId="4659AB70" w:rsidR="00DB43FA" w:rsidRDefault="00440EC0" w:rsidP="0048350C">
      <w:pPr>
        <w:spacing w:after="0" w:line="240" w:lineRule="auto"/>
        <w:ind w:left="567" w:right="567"/>
        <w:jc w:val="both"/>
        <w:rPr>
          <w:rFonts w:ascii="Arial" w:eastAsia="Calibri" w:hAnsi="Arial" w:cs="Arial"/>
          <w:b/>
          <w:sz w:val="40"/>
          <w:szCs w:val="40"/>
        </w:rPr>
      </w:pPr>
      <w:r w:rsidRPr="00D45B1E">
        <w:rPr>
          <w:rFonts w:ascii="Arial" w:eastAsia="Calibri" w:hAnsi="Arial" w:cs="Arial"/>
          <w:b/>
          <w:sz w:val="40"/>
          <w:szCs w:val="40"/>
        </w:rPr>
        <w:t>Personal Financial Resilience under Socioeconomic Crises in an Emerging Economy: Evidence from Nigeria</w:t>
      </w:r>
    </w:p>
    <w:p w14:paraId="6653FFDB" w14:textId="77777777" w:rsidR="006774D1" w:rsidRDefault="006774D1" w:rsidP="006774D1">
      <w:pPr>
        <w:spacing w:after="0" w:line="240" w:lineRule="auto"/>
        <w:jc w:val="center"/>
        <w:rPr>
          <w:rFonts w:ascii="Times New Roman" w:eastAsia="Calibri" w:hAnsi="Times New Roman"/>
          <w:bCs/>
          <w:sz w:val="24"/>
          <w:szCs w:val="24"/>
        </w:rPr>
      </w:pPr>
      <w:proofErr w:type="spellStart"/>
      <w:r w:rsidRPr="00C1307D">
        <w:rPr>
          <w:rFonts w:ascii="Times New Roman" w:eastAsia="Calibri" w:hAnsi="Times New Roman"/>
          <w:bCs/>
          <w:sz w:val="24"/>
          <w:szCs w:val="24"/>
        </w:rPr>
        <w:t>Akinyede</w:t>
      </w:r>
      <w:proofErr w:type="spellEnd"/>
      <w:r w:rsidRPr="00C1307D">
        <w:rPr>
          <w:rFonts w:ascii="Times New Roman" w:eastAsia="Calibri" w:hAnsi="Times New Roman"/>
          <w:bCs/>
          <w:sz w:val="24"/>
          <w:szCs w:val="24"/>
        </w:rPr>
        <w:t xml:space="preserve">, Oyinlola </w:t>
      </w:r>
      <w:proofErr w:type="spellStart"/>
      <w:r w:rsidRPr="00C1307D">
        <w:rPr>
          <w:rFonts w:ascii="Times New Roman" w:eastAsia="Calibri" w:hAnsi="Times New Roman"/>
          <w:bCs/>
          <w:sz w:val="24"/>
          <w:szCs w:val="24"/>
        </w:rPr>
        <w:t>Morounfoluwa</w:t>
      </w:r>
      <w:proofErr w:type="spellEnd"/>
      <w:r w:rsidRPr="00C1307D">
        <w:rPr>
          <w:rFonts w:ascii="Times New Roman" w:eastAsia="Calibri" w:hAnsi="Times New Roman"/>
          <w:bCs/>
          <w:sz w:val="24"/>
          <w:szCs w:val="24"/>
        </w:rPr>
        <w:t xml:space="preserve"> (PhD)</w:t>
      </w:r>
    </w:p>
    <w:p w14:paraId="3F8B579D" w14:textId="77777777" w:rsidR="006774D1" w:rsidRDefault="006774D1" w:rsidP="006774D1">
      <w:pPr>
        <w:spacing w:after="0" w:line="240" w:lineRule="auto"/>
        <w:jc w:val="center"/>
        <w:rPr>
          <w:rFonts w:ascii="Times New Roman" w:eastAsia="Calibri" w:hAnsi="Times New Roman"/>
          <w:bCs/>
          <w:sz w:val="24"/>
          <w:szCs w:val="24"/>
        </w:rPr>
      </w:pPr>
      <w:r w:rsidRPr="00C1307D">
        <w:rPr>
          <w:rFonts w:ascii="Times New Roman" w:eastAsia="Calibri" w:hAnsi="Times New Roman"/>
          <w:bCs/>
          <w:sz w:val="24"/>
          <w:szCs w:val="24"/>
        </w:rPr>
        <w:t xml:space="preserve"> ORCID ID: 0000-0001-6587-0531 </w:t>
      </w:r>
    </w:p>
    <w:p w14:paraId="5FAD00D1" w14:textId="77777777" w:rsidR="006774D1" w:rsidRDefault="006774D1" w:rsidP="006774D1">
      <w:pPr>
        <w:spacing w:after="0" w:line="240" w:lineRule="auto"/>
        <w:jc w:val="center"/>
        <w:rPr>
          <w:rFonts w:ascii="Times New Roman" w:eastAsia="Calibri" w:hAnsi="Times New Roman"/>
          <w:bCs/>
          <w:sz w:val="24"/>
          <w:szCs w:val="24"/>
        </w:rPr>
      </w:pPr>
      <w:r w:rsidRPr="00C1307D">
        <w:rPr>
          <w:rFonts w:ascii="Times New Roman" w:eastAsia="Calibri" w:hAnsi="Times New Roman"/>
          <w:bCs/>
          <w:sz w:val="24"/>
          <w:szCs w:val="24"/>
        </w:rPr>
        <w:t>+2347069328922</w:t>
      </w:r>
    </w:p>
    <w:p w14:paraId="0B054984" w14:textId="77777777" w:rsidR="006774D1" w:rsidRDefault="006774D1" w:rsidP="006774D1">
      <w:pPr>
        <w:spacing w:after="0" w:line="240" w:lineRule="auto"/>
        <w:jc w:val="center"/>
        <w:rPr>
          <w:rFonts w:ascii="Times New Roman" w:eastAsia="Calibri" w:hAnsi="Times New Roman"/>
          <w:bCs/>
          <w:sz w:val="24"/>
          <w:szCs w:val="24"/>
        </w:rPr>
      </w:pPr>
      <w:r w:rsidRPr="00C1307D">
        <w:rPr>
          <w:rFonts w:ascii="Times New Roman" w:eastAsia="Calibri" w:hAnsi="Times New Roman"/>
          <w:bCs/>
          <w:sz w:val="24"/>
          <w:szCs w:val="24"/>
        </w:rPr>
        <w:t xml:space="preserve"> foluesan@gmail.com, akinyedeo@run.edu.ng </w:t>
      </w:r>
    </w:p>
    <w:p w14:paraId="64E1FC88" w14:textId="77777777" w:rsidR="006774D1" w:rsidRDefault="006774D1" w:rsidP="006774D1">
      <w:pPr>
        <w:spacing w:after="0" w:line="240" w:lineRule="auto"/>
        <w:jc w:val="center"/>
        <w:rPr>
          <w:rFonts w:ascii="Times New Roman" w:eastAsia="Calibri" w:hAnsi="Times New Roman"/>
          <w:bCs/>
          <w:sz w:val="24"/>
          <w:szCs w:val="24"/>
        </w:rPr>
      </w:pPr>
    </w:p>
    <w:p w14:paraId="4CA1D45B" w14:textId="77777777" w:rsidR="006774D1" w:rsidRPr="00587721" w:rsidRDefault="006774D1" w:rsidP="006774D1">
      <w:pPr>
        <w:spacing w:after="0" w:line="240" w:lineRule="auto"/>
        <w:jc w:val="center"/>
        <w:rPr>
          <w:rFonts w:ascii="Times New Roman" w:eastAsia="Calibri" w:hAnsi="Times New Roman"/>
          <w:bCs/>
          <w:sz w:val="24"/>
          <w:szCs w:val="24"/>
        </w:rPr>
      </w:pPr>
      <w:r w:rsidRPr="00587721">
        <w:rPr>
          <w:rFonts w:ascii="Times New Roman" w:eastAsia="Calibri" w:hAnsi="Times New Roman"/>
          <w:bCs/>
          <w:sz w:val="24"/>
          <w:szCs w:val="24"/>
        </w:rPr>
        <w:t xml:space="preserve">ADEYEMO Ojo Stephen, </w:t>
      </w:r>
    </w:p>
    <w:p w14:paraId="775C96EC" w14:textId="77777777" w:rsidR="006774D1" w:rsidRPr="00587721" w:rsidRDefault="006774D1" w:rsidP="006774D1">
      <w:pPr>
        <w:spacing w:after="0" w:line="240" w:lineRule="auto"/>
        <w:jc w:val="center"/>
        <w:rPr>
          <w:rFonts w:ascii="Times New Roman" w:eastAsia="Calibri" w:hAnsi="Times New Roman"/>
          <w:bCs/>
          <w:sz w:val="24"/>
          <w:szCs w:val="24"/>
        </w:rPr>
      </w:pPr>
      <w:r w:rsidRPr="00587721">
        <w:rPr>
          <w:rFonts w:ascii="Times New Roman" w:eastAsia="Calibri" w:hAnsi="Times New Roman"/>
          <w:bCs/>
          <w:sz w:val="24"/>
          <w:szCs w:val="24"/>
        </w:rPr>
        <w:t>ORCID: 0009-0002-3709-3186</w:t>
      </w:r>
    </w:p>
    <w:p w14:paraId="3616E335" w14:textId="77777777" w:rsidR="006774D1" w:rsidRPr="00587721" w:rsidRDefault="006774D1" w:rsidP="006774D1">
      <w:pPr>
        <w:spacing w:after="0" w:line="240" w:lineRule="auto"/>
        <w:jc w:val="center"/>
        <w:rPr>
          <w:rFonts w:ascii="Times New Roman" w:eastAsia="Calibri" w:hAnsi="Times New Roman"/>
          <w:bCs/>
          <w:sz w:val="24"/>
          <w:szCs w:val="24"/>
        </w:rPr>
      </w:pPr>
      <w:r w:rsidRPr="00587721">
        <w:rPr>
          <w:rFonts w:ascii="Times New Roman" w:eastAsia="Calibri" w:hAnsi="Times New Roman"/>
          <w:bCs/>
          <w:sz w:val="24"/>
          <w:szCs w:val="24"/>
        </w:rPr>
        <w:t>stephenadeyemo36@gmail.com</w:t>
      </w:r>
    </w:p>
    <w:p w14:paraId="27172B51" w14:textId="77777777" w:rsidR="006774D1" w:rsidRPr="00587721" w:rsidRDefault="006774D1" w:rsidP="006774D1">
      <w:pPr>
        <w:spacing w:after="0" w:line="240" w:lineRule="auto"/>
        <w:jc w:val="center"/>
        <w:rPr>
          <w:rFonts w:ascii="Times New Roman" w:eastAsia="Calibri" w:hAnsi="Times New Roman"/>
          <w:bCs/>
          <w:sz w:val="24"/>
          <w:szCs w:val="24"/>
        </w:rPr>
      </w:pPr>
    </w:p>
    <w:p w14:paraId="3EE58BB5" w14:textId="77777777" w:rsidR="006774D1" w:rsidRPr="00587721" w:rsidRDefault="006774D1" w:rsidP="006774D1">
      <w:pPr>
        <w:spacing w:after="0" w:line="240" w:lineRule="auto"/>
        <w:jc w:val="center"/>
        <w:rPr>
          <w:rFonts w:ascii="Times New Roman" w:eastAsia="Calibri" w:hAnsi="Times New Roman"/>
          <w:bCs/>
          <w:sz w:val="24"/>
          <w:szCs w:val="24"/>
        </w:rPr>
      </w:pPr>
      <w:r w:rsidRPr="00587721">
        <w:rPr>
          <w:rFonts w:ascii="Times New Roman" w:eastAsia="Calibri" w:hAnsi="Times New Roman"/>
          <w:bCs/>
          <w:sz w:val="24"/>
          <w:szCs w:val="24"/>
        </w:rPr>
        <w:t xml:space="preserve">ATOLAGBE Lanre Aderemi </w:t>
      </w:r>
    </w:p>
    <w:p w14:paraId="072D6AF6" w14:textId="77777777" w:rsidR="006774D1" w:rsidRPr="00587721" w:rsidRDefault="006774D1" w:rsidP="006774D1">
      <w:pPr>
        <w:spacing w:after="0" w:line="240" w:lineRule="auto"/>
        <w:jc w:val="center"/>
        <w:rPr>
          <w:rFonts w:ascii="Times New Roman" w:eastAsia="Calibri" w:hAnsi="Times New Roman"/>
          <w:bCs/>
          <w:sz w:val="24"/>
          <w:szCs w:val="24"/>
        </w:rPr>
      </w:pPr>
      <w:r w:rsidRPr="00587721">
        <w:rPr>
          <w:rFonts w:ascii="Times New Roman" w:eastAsia="Calibri" w:hAnsi="Times New Roman"/>
          <w:bCs/>
          <w:sz w:val="24"/>
          <w:szCs w:val="24"/>
        </w:rPr>
        <w:t>ORCID: 0009-0008-2136-6040</w:t>
      </w:r>
    </w:p>
    <w:p w14:paraId="746D086D" w14:textId="77777777" w:rsidR="006774D1" w:rsidRPr="00525118" w:rsidRDefault="006774D1" w:rsidP="006774D1">
      <w:pPr>
        <w:spacing w:after="0" w:line="240" w:lineRule="auto"/>
        <w:jc w:val="center"/>
        <w:rPr>
          <w:rFonts w:ascii="Times New Roman" w:eastAsia="Calibri" w:hAnsi="Times New Roman"/>
          <w:bCs/>
          <w:sz w:val="24"/>
          <w:szCs w:val="24"/>
          <w:lang w:val="en-US"/>
        </w:rPr>
      </w:pPr>
      <w:r w:rsidRPr="00525118">
        <w:rPr>
          <w:rFonts w:ascii="Times New Roman" w:eastAsia="Calibri" w:hAnsi="Times New Roman"/>
          <w:bCs/>
          <w:sz w:val="24"/>
          <w:szCs w:val="24"/>
          <w:lang w:val="en-US"/>
        </w:rPr>
        <w:t>laatolagbe@gmail.com</w:t>
      </w:r>
    </w:p>
    <w:p w14:paraId="15E92C1F" w14:textId="77777777" w:rsidR="006774D1" w:rsidRPr="00525118" w:rsidRDefault="006774D1" w:rsidP="006774D1">
      <w:pPr>
        <w:spacing w:after="0" w:line="240" w:lineRule="auto"/>
        <w:jc w:val="center"/>
        <w:rPr>
          <w:rFonts w:ascii="Times New Roman" w:eastAsia="Calibri" w:hAnsi="Times New Roman"/>
          <w:bCs/>
          <w:sz w:val="24"/>
          <w:szCs w:val="24"/>
          <w:lang w:val="en-US"/>
        </w:rPr>
      </w:pPr>
    </w:p>
    <w:p w14:paraId="2D4E51BE" w14:textId="77777777" w:rsidR="006774D1" w:rsidRPr="00525118" w:rsidRDefault="006774D1" w:rsidP="006774D1">
      <w:pPr>
        <w:spacing w:after="0" w:line="240" w:lineRule="auto"/>
        <w:jc w:val="center"/>
        <w:rPr>
          <w:rFonts w:ascii="Times New Roman" w:eastAsia="Calibri" w:hAnsi="Times New Roman"/>
          <w:bCs/>
          <w:sz w:val="24"/>
          <w:szCs w:val="24"/>
          <w:lang w:val="en-US"/>
        </w:rPr>
      </w:pPr>
      <w:r w:rsidRPr="00525118">
        <w:rPr>
          <w:rFonts w:ascii="Times New Roman" w:eastAsia="Calibri" w:hAnsi="Times New Roman"/>
          <w:bCs/>
          <w:sz w:val="24"/>
          <w:szCs w:val="24"/>
          <w:lang w:val="en-US"/>
        </w:rPr>
        <w:t xml:space="preserve">ADEWUYI </w:t>
      </w:r>
      <w:proofErr w:type="spellStart"/>
      <w:r w:rsidRPr="00525118">
        <w:rPr>
          <w:rFonts w:ascii="Times New Roman" w:eastAsia="Calibri" w:hAnsi="Times New Roman"/>
          <w:bCs/>
          <w:sz w:val="24"/>
          <w:szCs w:val="24"/>
          <w:lang w:val="en-US"/>
        </w:rPr>
        <w:t>Diekola</w:t>
      </w:r>
      <w:proofErr w:type="spellEnd"/>
      <w:r w:rsidRPr="00525118">
        <w:rPr>
          <w:rFonts w:ascii="Times New Roman" w:eastAsia="Calibri" w:hAnsi="Times New Roman"/>
          <w:bCs/>
          <w:sz w:val="24"/>
          <w:szCs w:val="24"/>
          <w:lang w:val="en-US"/>
        </w:rPr>
        <w:t xml:space="preserve"> Isiaka </w:t>
      </w:r>
    </w:p>
    <w:p w14:paraId="30A2AD82" w14:textId="77777777" w:rsidR="006774D1" w:rsidRPr="00525118" w:rsidRDefault="006774D1" w:rsidP="006774D1">
      <w:pPr>
        <w:spacing w:after="0" w:line="240" w:lineRule="auto"/>
        <w:jc w:val="center"/>
        <w:rPr>
          <w:rFonts w:ascii="Times New Roman" w:eastAsia="Calibri" w:hAnsi="Times New Roman"/>
          <w:bCs/>
          <w:sz w:val="24"/>
          <w:szCs w:val="24"/>
          <w:lang w:val="en-US"/>
        </w:rPr>
      </w:pPr>
      <w:r w:rsidRPr="00525118">
        <w:rPr>
          <w:rFonts w:ascii="Times New Roman" w:eastAsia="Calibri" w:hAnsi="Times New Roman"/>
          <w:bCs/>
          <w:sz w:val="24"/>
          <w:szCs w:val="24"/>
          <w:lang w:val="en-US"/>
        </w:rPr>
        <w:t>ORCID: 0009-0009-7887-0560</w:t>
      </w:r>
    </w:p>
    <w:p w14:paraId="6BE712A4" w14:textId="77777777" w:rsidR="006774D1" w:rsidRPr="00525118" w:rsidRDefault="006774D1" w:rsidP="006774D1">
      <w:pPr>
        <w:spacing w:after="0" w:line="240" w:lineRule="auto"/>
        <w:jc w:val="center"/>
        <w:rPr>
          <w:rFonts w:ascii="Times New Roman" w:eastAsia="Calibri" w:hAnsi="Times New Roman"/>
          <w:bCs/>
          <w:sz w:val="24"/>
          <w:szCs w:val="24"/>
          <w:lang w:val="en-US"/>
        </w:rPr>
      </w:pPr>
      <w:r w:rsidRPr="00525118">
        <w:rPr>
          <w:rFonts w:ascii="Times New Roman" w:eastAsia="Calibri" w:hAnsi="Times New Roman"/>
          <w:bCs/>
          <w:sz w:val="24"/>
          <w:szCs w:val="24"/>
          <w:lang w:val="en-US"/>
        </w:rPr>
        <w:t>adewuyione@gmail.com</w:t>
      </w:r>
    </w:p>
    <w:p w14:paraId="1AC3032F" w14:textId="77777777" w:rsidR="006774D1" w:rsidRPr="00525118" w:rsidRDefault="006774D1" w:rsidP="006774D1">
      <w:pPr>
        <w:spacing w:after="0" w:line="240" w:lineRule="auto"/>
        <w:jc w:val="center"/>
        <w:rPr>
          <w:rFonts w:ascii="Times New Roman" w:eastAsia="Calibri" w:hAnsi="Times New Roman"/>
          <w:bCs/>
          <w:sz w:val="24"/>
          <w:szCs w:val="24"/>
          <w:lang w:val="en-US"/>
        </w:rPr>
      </w:pPr>
    </w:p>
    <w:p w14:paraId="465DE13D" w14:textId="77777777" w:rsidR="006774D1" w:rsidRPr="00587721" w:rsidRDefault="006774D1" w:rsidP="006774D1">
      <w:pPr>
        <w:spacing w:after="0" w:line="240" w:lineRule="auto"/>
        <w:jc w:val="center"/>
        <w:rPr>
          <w:rFonts w:ascii="Times New Roman" w:eastAsia="Calibri" w:hAnsi="Times New Roman"/>
          <w:bCs/>
          <w:sz w:val="24"/>
          <w:szCs w:val="24"/>
        </w:rPr>
      </w:pPr>
      <w:r w:rsidRPr="00587721">
        <w:rPr>
          <w:rFonts w:ascii="Times New Roman" w:eastAsia="Calibri" w:hAnsi="Times New Roman"/>
          <w:bCs/>
          <w:sz w:val="24"/>
          <w:szCs w:val="24"/>
        </w:rPr>
        <w:t>ALADEJEBI Michael Olukayode</w:t>
      </w:r>
    </w:p>
    <w:p w14:paraId="1A96BFB9" w14:textId="77777777" w:rsidR="006774D1" w:rsidRPr="00587721" w:rsidRDefault="006774D1" w:rsidP="006774D1">
      <w:pPr>
        <w:spacing w:after="0" w:line="240" w:lineRule="auto"/>
        <w:jc w:val="center"/>
        <w:rPr>
          <w:rFonts w:ascii="Times New Roman" w:eastAsia="Calibri" w:hAnsi="Times New Roman"/>
          <w:bCs/>
          <w:sz w:val="24"/>
          <w:szCs w:val="24"/>
        </w:rPr>
      </w:pPr>
      <w:r w:rsidRPr="00587721">
        <w:rPr>
          <w:rFonts w:ascii="Times New Roman" w:eastAsia="Calibri" w:hAnsi="Times New Roman"/>
          <w:bCs/>
          <w:sz w:val="24"/>
          <w:szCs w:val="24"/>
        </w:rPr>
        <w:t xml:space="preserve">ORCID: 0009-0000-5547-7912 </w:t>
      </w:r>
    </w:p>
    <w:p w14:paraId="2445D887" w14:textId="77777777" w:rsidR="006774D1" w:rsidRDefault="006774D1" w:rsidP="006774D1">
      <w:pPr>
        <w:spacing w:after="0" w:line="240" w:lineRule="auto"/>
        <w:jc w:val="center"/>
        <w:rPr>
          <w:rFonts w:ascii="Times New Roman" w:eastAsia="Calibri" w:hAnsi="Times New Roman"/>
          <w:bCs/>
          <w:sz w:val="24"/>
          <w:szCs w:val="24"/>
        </w:rPr>
      </w:pPr>
      <w:hyperlink r:id="rId8" w:history="1">
        <w:r w:rsidRPr="00CC216C">
          <w:rPr>
            <w:rStyle w:val="Hyperlink"/>
            <w:rFonts w:ascii="Times New Roman" w:eastAsia="Calibri" w:hAnsi="Times New Roman"/>
            <w:bCs/>
            <w:sz w:val="24"/>
            <w:szCs w:val="24"/>
          </w:rPr>
          <w:t>micholad7@gmail.com</w:t>
        </w:r>
      </w:hyperlink>
    </w:p>
    <w:p w14:paraId="26906EFD" w14:textId="77777777" w:rsidR="006774D1" w:rsidRDefault="006774D1" w:rsidP="006774D1">
      <w:pPr>
        <w:spacing w:after="0" w:line="240" w:lineRule="auto"/>
        <w:jc w:val="center"/>
        <w:rPr>
          <w:rFonts w:ascii="Times New Roman" w:eastAsia="Calibri" w:hAnsi="Times New Roman"/>
          <w:bCs/>
          <w:sz w:val="24"/>
          <w:szCs w:val="24"/>
        </w:rPr>
      </w:pPr>
    </w:p>
    <w:p w14:paraId="0DFE9F61" w14:textId="77777777" w:rsidR="006774D1" w:rsidRPr="00711CB9" w:rsidRDefault="006774D1" w:rsidP="006774D1">
      <w:pPr>
        <w:spacing w:after="0" w:line="240" w:lineRule="auto"/>
        <w:jc w:val="center"/>
        <w:rPr>
          <w:rFonts w:ascii="Times New Roman" w:eastAsia="Calibri" w:hAnsi="Times New Roman"/>
          <w:bCs/>
          <w:sz w:val="24"/>
          <w:szCs w:val="24"/>
        </w:rPr>
      </w:pPr>
      <w:r w:rsidRPr="00711CB9">
        <w:rPr>
          <w:rFonts w:ascii="Times New Roman" w:eastAsia="Calibri" w:hAnsi="Times New Roman"/>
          <w:bCs/>
          <w:sz w:val="24"/>
          <w:szCs w:val="24"/>
        </w:rPr>
        <w:t xml:space="preserve">IKHU-OMOREGBE, Sunday </w:t>
      </w:r>
    </w:p>
    <w:p w14:paraId="7C34F9F1" w14:textId="77777777" w:rsidR="006774D1" w:rsidRPr="00711CB9" w:rsidRDefault="006774D1" w:rsidP="006774D1">
      <w:pPr>
        <w:spacing w:after="0" w:line="240" w:lineRule="auto"/>
        <w:jc w:val="center"/>
        <w:rPr>
          <w:rFonts w:ascii="Times New Roman" w:eastAsia="Calibri" w:hAnsi="Times New Roman"/>
          <w:bCs/>
          <w:sz w:val="24"/>
          <w:szCs w:val="24"/>
        </w:rPr>
      </w:pPr>
      <w:r w:rsidRPr="00711CB9">
        <w:rPr>
          <w:rFonts w:ascii="Times New Roman" w:eastAsia="Calibri" w:hAnsi="Times New Roman"/>
          <w:bCs/>
          <w:sz w:val="24"/>
          <w:szCs w:val="24"/>
        </w:rPr>
        <w:t>ORCID: 0009-0006-6134-6664</w:t>
      </w:r>
    </w:p>
    <w:p w14:paraId="17658B1D" w14:textId="77777777" w:rsidR="006774D1" w:rsidRDefault="006774D1" w:rsidP="006774D1">
      <w:pPr>
        <w:spacing w:after="0" w:line="240" w:lineRule="auto"/>
        <w:jc w:val="center"/>
        <w:rPr>
          <w:rFonts w:ascii="Times New Roman" w:eastAsia="Calibri" w:hAnsi="Times New Roman"/>
          <w:bCs/>
          <w:sz w:val="24"/>
          <w:szCs w:val="24"/>
        </w:rPr>
      </w:pPr>
      <w:hyperlink r:id="rId9" w:history="1">
        <w:r w:rsidRPr="00CC216C">
          <w:rPr>
            <w:rStyle w:val="Hyperlink"/>
            <w:rFonts w:ascii="Times New Roman" w:eastAsia="Calibri" w:hAnsi="Times New Roman"/>
            <w:bCs/>
            <w:sz w:val="24"/>
            <w:szCs w:val="24"/>
          </w:rPr>
          <w:t>sundayikhuomoregbe@gmail.com</w:t>
        </w:r>
      </w:hyperlink>
    </w:p>
    <w:p w14:paraId="2D96950E" w14:textId="77777777" w:rsidR="006774D1" w:rsidRPr="00587721" w:rsidRDefault="006774D1" w:rsidP="006774D1">
      <w:pPr>
        <w:spacing w:after="0" w:line="240" w:lineRule="auto"/>
        <w:jc w:val="center"/>
        <w:rPr>
          <w:rFonts w:ascii="Times New Roman" w:eastAsia="Calibri" w:hAnsi="Times New Roman"/>
          <w:bCs/>
          <w:sz w:val="24"/>
          <w:szCs w:val="24"/>
        </w:rPr>
      </w:pPr>
    </w:p>
    <w:p w14:paraId="04E0F270" w14:textId="77777777" w:rsidR="006774D1" w:rsidRDefault="006774D1" w:rsidP="006774D1">
      <w:pPr>
        <w:spacing w:after="0" w:line="240" w:lineRule="auto"/>
        <w:rPr>
          <w:rFonts w:ascii="Times New Roman" w:eastAsia="Calibri" w:hAnsi="Times New Roman"/>
          <w:bCs/>
          <w:sz w:val="24"/>
          <w:szCs w:val="24"/>
        </w:rPr>
      </w:pPr>
      <w:r w:rsidRPr="00C1307D">
        <w:rPr>
          <w:rFonts w:ascii="Times New Roman" w:eastAsia="Calibri" w:hAnsi="Times New Roman"/>
          <w:bCs/>
          <w:sz w:val="24"/>
          <w:szCs w:val="24"/>
        </w:rPr>
        <w:t>Department of Financial Studies, Redeemer’s University, Ede Osun State, Nigeria.</w:t>
      </w:r>
    </w:p>
    <w:p w14:paraId="44C15694" w14:textId="77777777" w:rsidR="006774D1" w:rsidRDefault="006774D1" w:rsidP="006774D1">
      <w:pPr>
        <w:spacing w:after="0" w:line="240" w:lineRule="auto"/>
        <w:rPr>
          <w:rFonts w:ascii="Times New Roman" w:eastAsia="Calibri" w:hAnsi="Times New Roman"/>
          <w:bCs/>
          <w:sz w:val="24"/>
          <w:szCs w:val="24"/>
        </w:rPr>
      </w:pPr>
    </w:p>
    <w:p w14:paraId="0A6F2E68" w14:textId="77777777" w:rsidR="006774D1" w:rsidRPr="00D45B1E" w:rsidRDefault="006774D1" w:rsidP="0048350C">
      <w:pPr>
        <w:spacing w:after="0" w:line="240" w:lineRule="auto"/>
        <w:ind w:left="567" w:right="567"/>
        <w:jc w:val="both"/>
        <w:rPr>
          <w:rFonts w:ascii="Arial" w:eastAsia="Calibri" w:hAnsi="Arial" w:cs="Arial"/>
          <w:b/>
          <w:sz w:val="40"/>
          <w:szCs w:val="40"/>
        </w:rPr>
      </w:pPr>
    </w:p>
    <w:p w14:paraId="3ED295D9" w14:textId="77777777" w:rsidR="005B4D91" w:rsidRPr="007B00F5" w:rsidRDefault="005B4D91" w:rsidP="0048350C">
      <w:pPr>
        <w:spacing w:after="0" w:line="240" w:lineRule="auto"/>
        <w:ind w:left="567" w:right="567"/>
        <w:jc w:val="both"/>
        <w:rPr>
          <w:rFonts w:ascii="Times New Roman" w:hAnsi="Times New Roman" w:cs="Times New Roman"/>
          <w:b/>
          <w:bCs/>
          <w:sz w:val="24"/>
          <w:szCs w:val="24"/>
        </w:rPr>
      </w:pPr>
    </w:p>
    <w:p w14:paraId="3C073807" w14:textId="77777777" w:rsidR="00DB43FA" w:rsidRPr="007B00F5" w:rsidRDefault="00287096" w:rsidP="0048350C">
      <w:pPr>
        <w:jc w:val="both"/>
        <w:rPr>
          <w:rFonts w:ascii="Times New Roman" w:hAnsi="Times New Roman" w:cs="Times New Roman"/>
          <w:b/>
          <w:bCs/>
          <w:sz w:val="24"/>
          <w:szCs w:val="24"/>
        </w:rPr>
      </w:pPr>
      <w:r w:rsidRPr="007B00F5">
        <w:rPr>
          <w:rFonts w:ascii="Times New Roman" w:hAnsi="Times New Roman" w:cs="Times New Roman"/>
          <w:b/>
          <w:bCs/>
          <w:sz w:val="24"/>
          <w:szCs w:val="24"/>
        </w:rPr>
        <w:t>Abstract</w:t>
      </w:r>
    </w:p>
    <w:p w14:paraId="71C55BAA" w14:textId="1D993FA7" w:rsidR="0068630D" w:rsidRPr="00D45B1E" w:rsidRDefault="0068630D" w:rsidP="0068630D">
      <w:pPr>
        <w:jc w:val="both"/>
        <w:rPr>
          <w:rFonts w:asciiTheme="majorHAnsi" w:eastAsia="Calibri" w:hAnsiTheme="majorHAnsi" w:cs="Times New Roman"/>
          <w:bCs/>
          <w:sz w:val="20"/>
          <w:szCs w:val="20"/>
        </w:rPr>
      </w:pPr>
      <w:r w:rsidRPr="00D45B1E">
        <w:rPr>
          <w:rFonts w:asciiTheme="majorHAnsi" w:eastAsia="Calibri" w:hAnsiTheme="majorHAnsi" w:cs="Times New Roman"/>
          <w:bCs/>
          <w:sz w:val="20"/>
          <w:szCs w:val="20"/>
        </w:rPr>
        <w:t xml:space="preserve">This study aims to describe the </w:t>
      </w:r>
      <w:r w:rsidR="005B4D91" w:rsidRPr="00D45B1E">
        <w:rPr>
          <w:rFonts w:asciiTheme="majorHAnsi" w:eastAsia="Calibri" w:hAnsiTheme="majorHAnsi" w:cs="Times New Roman"/>
          <w:bCs/>
          <w:sz w:val="20"/>
          <w:szCs w:val="20"/>
        </w:rPr>
        <w:t>financial crises caused by financial and non-financial factors</w:t>
      </w:r>
      <w:r w:rsidRPr="00D45B1E">
        <w:rPr>
          <w:rFonts w:asciiTheme="majorHAnsi" w:eastAsia="Calibri" w:hAnsiTheme="majorHAnsi" w:cs="Times New Roman"/>
          <w:bCs/>
          <w:sz w:val="20"/>
          <w:szCs w:val="20"/>
        </w:rPr>
        <w:t xml:space="preserve">. It describes the </w:t>
      </w:r>
      <w:r w:rsidR="005B4D91" w:rsidRPr="00D45B1E">
        <w:rPr>
          <w:rFonts w:asciiTheme="majorHAnsi" w:eastAsia="Calibri" w:hAnsiTheme="majorHAnsi" w:cs="Times New Roman"/>
          <w:bCs/>
          <w:sz w:val="20"/>
          <w:szCs w:val="20"/>
        </w:rPr>
        <w:t>financial and non-financial antecedents</w:t>
      </w:r>
      <w:r w:rsidRPr="00D45B1E">
        <w:rPr>
          <w:rFonts w:asciiTheme="majorHAnsi" w:eastAsia="Calibri" w:hAnsiTheme="majorHAnsi" w:cs="Times New Roman"/>
          <w:bCs/>
          <w:sz w:val="20"/>
          <w:szCs w:val="20"/>
        </w:rPr>
        <w:t xml:space="preserve">. The study examines the socioeconomic </w:t>
      </w:r>
      <w:r w:rsidR="005B4D91" w:rsidRPr="00D45B1E">
        <w:rPr>
          <w:rFonts w:asciiTheme="majorHAnsi" w:eastAsia="Calibri" w:hAnsiTheme="majorHAnsi" w:cs="Times New Roman"/>
          <w:bCs/>
          <w:sz w:val="20"/>
          <w:szCs w:val="20"/>
        </w:rPr>
        <w:t>factors and personal financial crises by applying a quantitative survey of</w:t>
      </w:r>
      <w:r w:rsidRPr="00D45B1E">
        <w:rPr>
          <w:rFonts w:asciiTheme="majorHAnsi" w:eastAsia="Calibri" w:hAnsiTheme="majorHAnsi" w:cs="Times New Roman"/>
          <w:bCs/>
          <w:sz w:val="20"/>
          <w:szCs w:val="20"/>
        </w:rPr>
        <w:t xml:space="preserve"> 430 individuals and employing statistical analysis, including PLS-SEM. The study examines the impact </w:t>
      </w:r>
      <w:r w:rsidR="005B4D91" w:rsidRPr="00D45B1E">
        <w:rPr>
          <w:rFonts w:asciiTheme="majorHAnsi" w:eastAsia="Calibri" w:hAnsiTheme="majorHAnsi" w:cs="Times New Roman"/>
          <w:bCs/>
          <w:sz w:val="20"/>
          <w:szCs w:val="20"/>
        </w:rPr>
        <w:t>of income and job loss, poor health, poverty, and inequality on mobilisation strategies for emergency savings, debt repayment, and the use</w:t>
      </w:r>
      <w:r w:rsidRPr="00D45B1E">
        <w:rPr>
          <w:rFonts w:asciiTheme="majorHAnsi" w:eastAsia="Calibri" w:hAnsiTheme="majorHAnsi" w:cs="Times New Roman"/>
          <w:bCs/>
          <w:sz w:val="20"/>
          <w:szCs w:val="20"/>
        </w:rPr>
        <w:t xml:space="preserve"> of social support. It shows that health-related financial crises, income volatility, and sudden financial shocks impact a person's financial resilience. As a result, </w:t>
      </w:r>
      <w:r w:rsidR="005B4D91" w:rsidRPr="00D45B1E">
        <w:rPr>
          <w:rFonts w:asciiTheme="majorHAnsi" w:eastAsia="Calibri" w:hAnsiTheme="majorHAnsi" w:cs="Times New Roman"/>
          <w:bCs/>
          <w:sz w:val="20"/>
          <w:szCs w:val="20"/>
        </w:rPr>
        <w:t>behavioural changes in social behaviour have to be made to finance social behaviour</w:t>
      </w:r>
      <w:r w:rsidRPr="00D45B1E">
        <w:rPr>
          <w:rFonts w:asciiTheme="majorHAnsi" w:eastAsia="Calibri" w:hAnsiTheme="majorHAnsi" w:cs="Times New Roman"/>
          <w:bCs/>
          <w:sz w:val="20"/>
          <w:szCs w:val="20"/>
        </w:rPr>
        <w:t xml:space="preserve">. Instead of being directly affected, the authors explain that inequality and poverty do lead to a focus on the support mechanisms. It has </w:t>
      </w:r>
      <w:r w:rsidR="005B4D91" w:rsidRPr="00D45B1E">
        <w:rPr>
          <w:rFonts w:asciiTheme="majorHAnsi" w:eastAsia="Calibri" w:hAnsiTheme="majorHAnsi" w:cs="Times New Roman"/>
          <w:bCs/>
          <w:sz w:val="20"/>
          <w:szCs w:val="20"/>
        </w:rPr>
        <w:t>been established that a person's ability to bounce back from poverty and economic shocks is rooted in strengthening social behavioural finance</w:t>
      </w:r>
      <w:r w:rsidRPr="00D45B1E">
        <w:rPr>
          <w:rFonts w:asciiTheme="majorHAnsi" w:eastAsia="Calibri" w:hAnsiTheme="majorHAnsi" w:cs="Times New Roman"/>
          <w:bCs/>
          <w:sz w:val="20"/>
          <w:szCs w:val="20"/>
        </w:rPr>
        <w:t xml:space="preserve">. This </w:t>
      </w:r>
      <w:r w:rsidR="005B4D91" w:rsidRPr="00D45B1E">
        <w:rPr>
          <w:rFonts w:asciiTheme="majorHAnsi" w:eastAsia="Calibri" w:hAnsiTheme="majorHAnsi" w:cs="Times New Roman"/>
          <w:bCs/>
          <w:sz w:val="20"/>
          <w:szCs w:val="20"/>
        </w:rPr>
        <w:t>underscores</w:t>
      </w:r>
      <w:r w:rsidRPr="00D45B1E">
        <w:rPr>
          <w:rFonts w:asciiTheme="majorHAnsi" w:eastAsia="Calibri" w:hAnsiTheme="majorHAnsi" w:cs="Times New Roman"/>
          <w:bCs/>
          <w:sz w:val="20"/>
          <w:szCs w:val="20"/>
        </w:rPr>
        <w:t xml:space="preserve"> the need for a financial resilience approach. People need to be financially balanced in a way that is consistent with their social support needs. The authors conclude that states need to combine financial systems and social support systems. This will be useful to individuals in adapting to and economically recovering from shocks.</w:t>
      </w:r>
    </w:p>
    <w:p w14:paraId="3C2CB456" w14:textId="77777777" w:rsidR="00DB43FA" w:rsidRPr="007B00F5" w:rsidRDefault="00287096" w:rsidP="0048350C">
      <w:pPr>
        <w:pStyle w:val="NormalWeb"/>
        <w:jc w:val="both"/>
      </w:pPr>
      <w:r w:rsidRPr="007B00F5">
        <w:rPr>
          <w:rFonts w:eastAsia="Calibri"/>
          <w:b/>
          <w:bCs/>
        </w:rPr>
        <w:lastRenderedPageBreak/>
        <w:t>Keywords:</w:t>
      </w:r>
      <w:r w:rsidRPr="007B00F5">
        <w:rPr>
          <w:rFonts w:eastAsia="Calibri"/>
          <w:bCs/>
        </w:rPr>
        <w:t xml:space="preserve"> </w:t>
      </w:r>
      <w:r w:rsidRPr="007B00F5">
        <w:rPr>
          <w:rFonts w:eastAsia="Calibri"/>
          <w:bCs/>
          <w:lang w:eastAsia="zh-CN"/>
        </w:rPr>
        <w:t xml:space="preserve"> </w:t>
      </w:r>
      <w:r w:rsidRPr="007B00F5">
        <w:rPr>
          <w:rFonts w:eastAsia="Calibri"/>
          <w:lang w:eastAsia="zh-CN"/>
        </w:rPr>
        <w:t>Financial Resilience,</w:t>
      </w:r>
      <w:r w:rsidRPr="007B00F5">
        <w:rPr>
          <w:rFonts w:eastAsia="Calibri"/>
        </w:rPr>
        <w:t xml:space="preserve"> Socio-Economic Crises</w:t>
      </w:r>
      <w:r w:rsidRPr="007B00F5">
        <w:rPr>
          <w:rFonts w:eastAsia="Calibri"/>
          <w:lang w:eastAsia="zh-CN"/>
        </w:rPr>
        <w:t xml:space="preserve">, </w:t>
      </w:r>
      <w:r w:rsidRPr="007B00F5">
        <w:rPr>
          <w:rFonts w:eastAsia="Calibri"/>
        </w:rPr>
        <w:t>Income Instability</w:t>
      </w:r>
      <w:r w:rsidRPr="007B00F5">
        <w:rPr>
          <w:rFonts w:eastAsia="Calibri"/>
          <w:lang w:eastAsia="zh-CN"/>
        </w:rPr>
        <w:t xml:space="preserve">, </w:t>
      </w:r>
      <w:r w:rsidRPr="007B00F5">
        <w:rPr>
          <w:rFonts w:eastAsia="Calibri"/>
        </w:rPr>
        <w:t>Health Crises</w:t>
      </w:r>
      <w:r w:rsidRPr="007B00F5">
        <w:rPr>
          <w:rFonts w:eastAsia="Calibri"/>
          <w:lang w:eastAsia="zh-CN"/>
        </w:rPr>
        <w:t xml:space="preserve">, </w:t>
      </w:r>
      <w:r w:rsidRPr="007B00F5">
        <w:rPr>
          <w:rFonts w:eastAsia="Calibri"/>
        </w:rPr>
        <w:t>Social Support Networks</w:t>
      </w:r>
      <w:r w:rsidRPr="007B00F5">
        <w:t>, Economic Shocks, Social Support Networks</w:t>
      </w:r>
    </w:p>
    <w:p w14:paraId="1A0F1AF1" w14:textId="77777777" w:rsidR="00DB43FA" w:rsidRPr="007B00F5" w:rsidRDefault="00287096" w:rsidP="0048350C">
      <w:pPr>
        <w:tabs>
          <w:tab w:val="left" w:pos="720"/>
        </w:tabs>
        <w:spacing w:after="0" w:line="240" w:lineRule="auto"/>
        <w:ind w:right="567"/>
        <w:jc w:val="both"/>
        <w:rPr>
          <w:rFonts w:ascii="Times New Roman" w:eastAsia="Calibri" w:hAnsi="Times New Roman" w:cs="Times New Roman"/>
          <w:b/>
          <w:bCs/>
          <w:sz w:val="24"/>
          <w:szCs w:val="24"/>
        </w:rPr>
      </w:pPr>
      <w:r w:rsidRPr="007B00F5">
        <w:rPr>
          <w:rFonts w:ascii="Times New Roman" w:eastAsia="Calibri" w:hAnsi="Times New Roman" w:cs="Times New Roman"/>
          <w:b/>
          <w:bCs/>
          <w:sz w:val="24"/>
          <w:szCs w:val="24"/>
        </w:rPr>
        <w:t>JEL codes: D14, G51, G53, I31</w:t>
      </w:r>
    </w:p>
    <w:p w14:paraId="7740938E" w14:textId="77777777" w:rsidR="00A03D21" w:rsidRPr="007B00F5" w:rsidRDefault="00A03D21" w:rsidP="0048350C">
      <w:pPr>
        <w:tabs>
          <w:tab w:val="left" w:pos="720"/>
        </w:tabs>
        <w:spacing w:after="0" w:line="240" w:lineRule="auto"/>
        <w:ind w:right="567"/>
        <w:jc w:val="both"/>
        <w:rPr>
          <w:rFonts w:ascii="Times New Roman" w:eastAsia="Calibri" w:hAnsi="Times New Roman" w:cs="Times New Roman"/>
          <w:b/>
          <w:bCs/>
          <w:sz w:val="24"/>
          <w:szCs w:val="24"/>
        </w:rPr>
      </w:pPr>
    </w:p>
    <w:p w14:paraId="50893EE8" w14:textId="77777777" w:rsidR="00DB43FA" w:rsidRPr="007B00F5" w:rsidRDefault="00DB43FA" w:rsidP="0048350C">
      <w:pPr>
        <w:tabs>
          <w:tab w:val="left" w:pos="720"/>
        </w:tabs>
        <w:spacing w:after="0" w:line="240" w:lineRule="auto"/>
        <w:ind w:right="567"/>
        <w:jc w:val="both"/>
        <w:rPr>
          <w:rFonts w:ascii="Times New Roman" w:eastAsia="Calibri" w:hAnsi="Times New Roman" w:cs="Times New Roman"/>
          <w:b/>
          <w:bCs/>
          <w:sz w:val="24"/>
          <w:szCs w:val="24"/>
        </w:rPr>
      </w:pPr>
    </w:p>
    <w:p w14:paraId="3C3F1C54" w14:textId="60501DF5" w:rsidR="00FB1B63" w:rsidRPr="007B00F5" w:rsidRDefault="00FB1B63" w:rsidP="00A03D21">
      <w:pPr>
        <w:jc w:val="center"/>
        <w:rPr>
          <w:rFonts w:ascii="Times New Roman" w:hAnsi="Times New Roman" w:cs="Times New Roman"/>
          <w:b/>
          <w:bCs/>
          <w:sz w:val="24"/>
          <w:szCs w:val="24"/>
        </w:rPr>
      </w:pPr>
      <w:r w:rsidRPr="007B00F5">
        <w:rPr>
          <w:rFonts w:ascii="Times New Roman" w:hAnsi="Times New Roman" w:cs="Times New Roman"/>
          <w:b/>
          <w:bCs/>
          <w:sz w:val="24"/>
          <w:szCs w:val="24"/>
        </w:rPr>
        <w:t xml:space="preserve">1. </w:t>
      </w:r>
      <w:r w:rsidRPr="00D45B1E">
        <w:rPr>
          <w:rFonts w:ascii="Arial" w:hAnsi="Arial" w:cs="Arial"/>
          <w:b/>
          <w:bCs/>
        </w:rPr>
        <w:t>INTRODUCTION</w:t>
      </w:r>
    </w:p>
    <w:p w14:paraId="5C2E9862" w14:textId="100843CE" w:rsidR="00086A35" w:rsidRPr="00D45B1E" w:rsidRDefault="0068630D" w:rsidP="005B4D91">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Socioeconomic crises </w:t>
      </w:r>
      <w:r w:rsidR="005B4D91" w:rsidRPr="00D45B1E">
        <w:rPr>
          <w:rFonts w:asciiTheme="majorHAnsi" w:hAnsiTheme="majorHAnsi" w:cs="Times New Roman"/>
          <w:bCs/>
          <w:sz w:val="20"/>
          <w:szCs w:val="20"/>
        </w:rPr>
        <w:t>disrupt the global economy, create uncertainty, and put not only people but also the global</w:t>
      </w:r>
      <w:r w:rsidRPr="00D45B1E">
        <w:rPr>
          <w:rFonts w:asciiTheme="majorHAnsi" w:hAnsiTheme="majorHAnsi" w:cs="Times New Roman"/>
          <w:bCs/>
          <w:sz w:val="20"/>
          <w:szCs w:val="20"/>
        </w:rPr>
        <w:t xml:space="preserve"> economy under extreme financial strain. These pressures have been evident </w:t>
      </w:r>
      <w:r w:rsidR="005B4D91" w:rsidRPr="00D45B1E">
        <w:rPr>
          <w:rFonts w:asciiTheme="majorHAnsi" w:hAnsiTheme="majorHAnsi" w:cs="Times New Roman"/>
          <w:bCs/>
          <w:sz w:val="20"/>
          <w:szCs w:val="20"/>
        </w:rPr>
        <w:t xml:space="preserve">worldwide during major downturns such as the 2008 financial crisis </w:t>
      </w:r>
      <w:r w:rsidRPr="00D45B1E">
        <w:rPr>
          <w:rFonts w:asciiTheme="majorHAnsi" w:hAnsiTheme="majorHAnsi" w:cs="Times New Roman"/>
          <w:bCs/>
          <w:sz w:val="20"/>
          <w:szCs w:val="20"/>
        </w:rPr>
        <w:t xml:space="preserve">and the COVID-19 pandemic (Kaftan et al., 2023). </w:t>
      </w:r>
      <w:r w:rsidR="00086A35" w:rsidRPr="00D45B1E">
        <w:rPr>
          <w:rFonts w:asciiTheme="majorHAnsi" w:hAnsiTheme="majorHAnsi" w:cs="Times New Roman"/>
          <w:bCs/>
          <w:sz w:val="20"/>
          <w:szCs w:val="20"/>
        </w:rPr>
        <w:t xml:space="preserve">Crises </w:t>
      </w:r>
      <w:r w:rsidR="007B00F5" w:rsidRPr="00D45B1E">
        <w:rPr>
          <w:rFonts w:asciiTheme="majorHAnsi" w:hAnsiTheme="majorHAnsi" w:cs="Times New Roman"/>
          <w:bCs/>
          <w:sz w:val="20"/>
          <w:szCs w:val="20"/>
        </w:rPr>
        <w:t>led to reduced</w:t>
      </w:r>
      <w:r w:rsidR="00086A35" w:rsidRPr="00D45B1E">
        <w:rPr>
          <w:rFonts w:asciiTheme="majorHAnsi" w:hAnsiTheme="majorHAnsi" w:cs="Times New Roman"/>
          <w:bCs/>
          <w:sz w:val="20"/>
          <w:szCs w:val="20"/>
        </w:rPr>
        <w:t xml:space="preserve"> economic activity, increased unemployment, </w:t>
      </w:r>
      <w:r w:rsidR="00462E7F" w:rsidRPr="00D45B1E">
        <w:rPr>
          <w:rFonts w:asciiTheme="majorHAnsi" w:hAnsiTheme="majorHAnsi" w:cs="Times New Roman"/>
          <w:bCs/>
          <w:sz w:val="20"/>
          <w:szCs w:val="20"/>
        </w:rPr>
        <w:t>and inflation, as well as</w:t>
      </w:r>
      <w:r w:rsidR="00086A35" w:rsidRPr="00D45B1E">
        <w:rPr>
          <w:rFonts w:asciiTheme="majorHAnsi" w:hAnsiTheme="majorHAnsi" w:cs="Times New Roman"/>
          <w:bCs/>
          <w:sz w:val="20"/>
          <w:szCs w:val="20"/>
        </w:rPr>
        <w:t xml:space="preserve"> reduced production. Their effects are usually lopsided</w:t>
      </w:r>
      <w:r w:rsidR="00462E7F" w:rsidRPr="00D45B1E">
        <w:rPr>
          <w:rFonts w:asciiTheme="majorHAnsi" w:hAnsiTheme="majorHAnsi" w:cs="Times New Roman"/>
          <w:bCs/>
          <w:sz w:val="20"/>
          <w:szCs w:val="20"/>
        </w:rPr>
        <w:t xml:space="preserve">; low-income and vulnerable households </w:t>
      </w:r>
      <w:r w:rsidR="005B4D91" w:rsidRPr="00D45B1E">
        <w:rPr>
          <w:rFonts w:asciiTheme="majorHAnsi" w:hAnsiTheme="majorHAnsi" w:cs="Times New Roman"/>
          <w:bCs/>
          <w:sz w:val="20"/>
          <w:szCs w:val="20"/>
        </w:rPr>
        <w:t>bear the most significant pressure, often due to unstable earnings, limited</w:t>
      </w:r>
      <w:r w:rsidR="00462E7F" w:rsidRPr="00D45B1E">
        <w:rPr>
          <w:rFonts w:asciiTheme="majorHAnsi" w:hAnsiTheme="majorHAnsi" w:cs="Times New Roman"/>
          <w:bCs/>
          <w:sz w:val="20"/>
          <w:szCs w:val="20"/>
        </w:rPr>
        <w:t xml:space="preserve"> savings capacity, and the rising cost of living (French et al.</w:t>
      </w:r>
      <w:r w:rsidR="00086A35" w:rsidRPr="00D45B1E">
        <w:rPr>
          <w:rFonts w:asciiTheme="majorHAnsi" w:hAnsiTheme="majorHAnsi" w:cs="Times New Roman"/>
          <w:bCs/>
          <w:sz w:val="20"/>
          <w:szCs w:val="20"/>
        </w:rPr>
        <w:t>, 2021).</w:t>
      </w:r>
    </w:p>
    <w:p w14:paraId="0298C797" w14:textId="040C2B06" w:rsidR="00086A35" w:rsidRPr="00D45B1E" w:rsidRDefault="00086A35"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In this sense, personal financial resilience </w:t>
      </w:r>
      <w:r w:rsidR="00F54398" w:rsidRPr="00D45B1E">
        <w:rPr>
          <w:rFonts w:asciiTheme="majorHAnsi" w:hAnsiTheme="majorHAnsi" w:cs="Times New Roman"/>
          <w:bCs/>
          <w:sz w:val="20"/>
          <w:szCs w:val="20"/>
        </w:rPr>
        <w:t>has become an important conceptualisation for explaining</w:t>
      </w:r>
      <w:r w:rsidRPr="00D45B1E">
        <w:rPr>
          <w:rFonts w:asciiTheme="majorHAnsi" w:hAnsiTheme="majorHAnsi" w:cs="Times New Roman"/>
          <w:bCs/>
          <w:sz w:val="20"/>
          <w:szCs w:val="20"/>
        </w:rPr>
        <w:t xml:space="preserve"> how people withstand and recover from economic shocks. According to </w:t>
      </w:r>
      <w:proofErr w:type="spellStart"/>
      <w:r w:rsidRPr="00D45B1E">
        <w:rPr>
          <w:rFonts w:asciiTheme="majorHAnsi" w:hAnsiTheme="majorHAnsi" w:cs="Times New Roman"/>
          <w:bCs/>
          <w:sz w:val="20"/>
          <w:szCs w:val="20"/>
        </w:rPr>
        <w:t>Setyorini</w:t>
      </w:r>
      <w:proofErr w:type="spellEnd"/>
      <w:r w:rsidR="00A03D21" w:rsidRPr="00D45B1E">
        <w:rPr>
          <w:rFonts w:asciiTheme="majorHAnsi" w:hAnsiTheme="majorHAnsi" w:cs="Times New Roman"/>
          <w:bCs/>
          <w:sz w:val="20"/>
          <w:szCs w:val="20"/>
        </w:rPr>
        <w:t xml:space="preserve"> et al</w:t>
      </w:r>
      <w:r w:rsidRPr="00D45B1E">
        <w:rPr>
          <w:rFonts w:asciiTheme="majorHAnsi" w:hAnsiTheme="majorHAnsi" w:cs="Times New Roman"/>
          <w:bCs/>
          <w:sz w:val="20"/>
          <w:szCs w:val="20"/>
        </w:rPr>
        <w:t xml:space="preserve"> (2021), financial resilience is defined as "the ability to withstand disruptions, manage resources effectively in a sustainable manner, and maintain financial stability in adverse conditions". This ability involves strategic financial behaviour: savings, budgeting, and credit management, while also requiring the helping hand of the given social networks, community support, and government intervention</w:t>
      </w:r>
      <w:r w:rsidR="00F54398" w:rsidRPr="00D45B1E">
        <w:rPr>
          <w:rFonts w:asciiTheme="majorHAnsi" w:hAnsiTheme="majorHAnsi" w:cs="Times New Roman"/>
          <w:bCs/>
          <w:sz w:val="20"/>
          <w:szCs w:val="20"/>
        </w:rPr>
        <w:t>,</w:t>
      </w:r>
      <w:r w:rsidRPr="00D45B1E">
        <w:rPr>
          <w:rFonts w:asciiTheme="majorHAnsi" w:hAnsiTheme="majorHAnsi" w:cs="Times New Roman"/>
          <w:bCs/>
          <w:sz w:val="20"/>
          <w:szCs w:val="20"/>
        </w:rPr>
        <w:t xml:space="preserve"> like welfare programs. </w:t>
      </w:r>
    </w:p>
    <w:p w14:paraId="3A2D931E" w14:textId="6E8C6476" w:rsidR="00086A35" w:rsidRPr="00D45B1E" w:rsidRDefault="00086A35"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To enhance financial resilience, an integrated approach that considers both financial and non-financial factors is required. The backdrop evidence of the 2008 economic crunch and </w:t>
      </w:r>
      <w:r w:rsidR="00232E3F" w:rsidRPr="00D45B1E">
        <w:rPr>
          <w:rFonts w:asciiTheme="majorHAnsi" w:hAnsiTheme="majorHAnsi" w:cs="Times New Roman"/>
          <w:bCs/>
          <w:sz w:val="20"/>
          <w:szCs w:val="20"/>
        </w:rPr>
        <w:t xml:space="preserve">the COVID-19 crisis </w:t>
      </w:r>
      <w:proofErr w:type="gramStart"/>
      <w:r w:rsidR="00232E3F" w:rsidRPr="00D45B1E">
        <w:rPr>
          <w:rFonts w:asciiTheme="majorHAnsi" w:hAnsiTheme="majorHAnsi" w:cs="Times New Roman"/>
          <w:bCs/>
          <w:sz w:val="20"/>
          <w:szCs w:val="20"/>
        </w:rPr>
        <w:t>underscores</w:t>
      </w:r>
      <w:proofErr w:type="gramEnd"/>
      <w:r w:rsidR="00232E3F" w:rsidRPr="00D45B1E">
        <w:rPr>
          <w:rFonts w:asciiTheme="majorHAnsi" w:hAnsiTheme="majorHAnsi" w:cs="Times New Roman"/>
          <w:bCs/>
          <w:sz w:val="20"/>
          <w:szCs w:val="20"/>
        </w:rPr>
        <w:t xml:space="preserve"> the need for immediate policy and mechanism establishment to support citizens' efforts to adapt to socio-economic shocks (Szyja, 2025; Afolabi et al.,</w:t>
      </w:r>
      <w:r w:rsidRPr="00D45B1E">
        <w:rPr>
          <w:rFonts w:asciiTheme="majorHAnsi" w:hAnsiTheme="majorHAnsi" w:cs="Times New Roman"/>
          <w:bCs/>
          <w:sz w:val="20"/>
          <w:szCs w:val="20"/>
        </w:rPr>
        <w:t xml:space="preserve"> 2023</w:t>
      </w:r>
      <w:r w:rsidR="00232E3F" w:rsidRPr="00D45B1E">
        <w:rPr>
          <w:rFonts w:asciiTheme="majorHAnsi" w:hAnsiTheme="majorHAnsi" w:cs="Times New Roman"/>
          <w:bCs/>
          <w:sz w:val="20"/>
          <w:szCs w:val="20"/>
        </w:rPr>
        <w:t>a</w:t>
      </w:r>
      <w:r w:rsidRPr="00D45B1E">
        <w:rPr>
          <w:rFonts w:asciiTheme="majorHAnsi" w:hAnsiTheme="majorHAnsi" w:cs="Times New Roman"/>
          <w:bCs/>
          <w:sz w:val="20"/>
          <w:szCs w:val="20"/>
        </w:rPr>
        <w:t xml:space="preserve">). </w:t>
      </w:r>
    </w:p>
    <w:p w14:paraId="0171C6A3" w14:textId="54FA2B50" w:rsidR="00086A35" w:rsidRPr="00D45B1E" w:rsidRDefault="00086A35"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The </w:t>
      </w:r>
      <w:r w:rsidR="00462E7F" w:rsidRPr="00D45B1E">
        <w:rPr>
          <w:rFonts w:asciiTheme="majorHAnsi" w:hAnsiTheme="majorHAnsi" w:cs="Times New Roman"/>
          <w:bCs/>
          <w:sz w:val="20"/>
          <w:szCs w:val="20"/>
        </w:rPr>
        <w:t>economics literature</w:t>
      </w:r>
      <w:r w:rsidRPr="00D45B1E">
        <w:rPr>
          <w:rFonts w:asciiTheme="majorHAnsi" w:hAnsiTheme="majorHAnsi" w:cs="Times New Roman"/>
          <w:bCs/>
          <w:sz w:val="20"/>
          <w:szCs w:val="20"/>
        </w:rPr>
        <w:t xml:space="preserve"> has </w:t>
      </w:r>
      <w:r w:rsidR="00F54398" w:rsidRPr="00D45B1E">
        <w:rPr>
          <w:rFonts w:asciiTheme="majorHAnsi" w:hAnsiTheme="majorHAnsi" w:cs="Times New Roman"/>
          <w:bCs/>
          <w:sz w:val="20"/>
          <w:szCs w:val="20"/>
        </w:rPr>
        <w:t>yet to provide</w:t>
      </w:r>
      <w:r w:rsidRPr="00D45B1E">
        <w:rPr>
          <w:rFonts w:asciiTheme="majorHAnsi" w:hAnsiTheme="majorHAnsi" w:cs="Times New Roman"/>
          <w:bCs/>
          <w:sz w:val="20"/>
          <w:szCs w:val="20"/>
        </w:rPr>
        <w:t xml:space="preserve"> sufficient empirical evidence demonstrating how specific socio-economic crises can impact personal financial resilience; this has only increased the interest of scholars from different disciplines in the subject. Hence,</w:t>
      </w:r>
      <w:r w:rsidR="00A03D21" w:rsidRPr="00D45B1E">
        <w:rPr>
          <w:rFonts w:asciiTheme="majorHAnsi" w:hAnsiTheme="majorHAnsi" w:cs="Times New Roman"/>
          <w:bCs/>
          <w:sz w:val="20"/>
          <w:szCs w:val="20"/>
        </w:rPr>
        <w:t xml:space="preserve"> this study examines how poverty, health shocks, and income/job instability affect individuals’ financial resilience.</w:t>
      </w:r>
    </w:p>
    <w:p w14:paraId="04DE1271" w14:textId="77777777" w:rsidR="00FB1B63" w:rsidRPr="00D45B1E" w:rsidRDefault="00FB1B63"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Objectives:</w:t>
      </w:r>
    </w:p>
    <w:p w14:paraId="001B53FB" w14:textId="48A3C2F3" w:rsidR="00440EC0" w:rsidRPr="00D45B1E" w:rsidRDefault="00440EC0" w:rsidP="0048350C">
      <w:pPr>
        <w:pStyle w:val="ListParagraph"/>
        <w:numPr>
          <w:ilvl w:val="0"/>
          <w:numId w:val="1"/>
        </w:num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To </w:t>
      </w:r>
      <w:r w:rsidR="00A03D21" w:rsidRPr="00D45B1E">
        <w:rPr>
          <w:rFonts w:asciiTheme="majorHAnsi" w:hAnsiTheme="majorHAnsi" w:cs="Times New Roman"/>
          <w:bCs/>
          <w:sz w:val="20"/>
          <w:szCs w:val="20"/>
        </w:rPr>
        <w:t>analyse</w:t>
      </w:r>
      <w:r w:rsidRPr="00D45B1E">
        <w:rPr>
          <w:rFonts w:asciiTheme="majorHAnsi" w:hAnsiTheme="majorHAnsi" w:cs="Times New Roman"/>
          <w:bCs/>
          <w:sz w:val="20"/>
          <w:szCs w:val="20"/>
        </w:rPr>
        <w:t xml:space="preserve"> the influence of poverty and income inequality on personal financial resilience.</w:t>
      </w:r>
    </w:p>
    <w:p w14:paraId="33717EEE" w14:textId="1E07068F" w:rsidR="00440EC0" w:rsidRPr="00D45B1E" w:rsidRDefault="00440EC0" w:rsidP="0048350C">
      <w:pPr>
        <w:pStyle w:val="ListParagraph"/>
        <w:numPr>
          <w:ilvl w:val="0"/>
          <w:numId w:val="1"/>
        </w:numPr>
        <w:jc w:val="both"/>
        <w:rPr>
          <w:rFonts w:asciiTheme="majorHAnsi" w:hAnsiTheme="majorHAnsi" w:cs="Times New Roman"/>
          <w:bCs/>
          <w:sz w:val="20"/>
          <w:szCs w:val="20"/>
        </w:rPr>
      </w:pPr>
      <w:r w:rsidRPr="00D45B1E">
        <w:rPr>
          <w:rFonts w:asciiTheme="majorHAnsi" w:hAnsiTheme="majorHAnsi" w:cs="Times New Roman"/>
          <w:bCs/>
          <w:sz w:val="20"/>
          <w:szCs w:val="20"/>
        </w:rPr>
        <w:t>To examine the effect of access to healthcare and basic needs on personal financial resilience.</w:t>
      </w:r>
    </w:p>
    <w:p w14:paraId="241F3386" w14:textId="57615632" w:rsidR="00440EC0" w:rsidRPr="00D45B1E" w:rsidRDefault="00440EC0" w:rsidP="0048350C">
      <w:pPr>
        <w:pStyle w:val="ListParagraph"/>
        <w:numPr>
          <w:ilvl w:val="0"/>
          <w:numId w:val="1"/>
        </w:numPr>
        <w:jc w:val="both"/>
        <w:rPr>
          <w:rFonts w:asciiTheme="majorHAnsi" w:hAnsiTheme="majorHAnsi" w:cs="Times New Roman"/>
          <w:bCs/>
          <w:sz w:val="20"/>
          <w:szCs w:val="20"/>
        </w:rPr>
      </w:pPr>
      <w:r w:rsidRPr="00D45B1E">
        <w:rPr>
          <w:rFonts w:asciiTheme="majorHAnsi" w:hAnsiTheme="majorHAnsi" w:cs="Times New Roman"/>
          <w:bCs/>
          <w:sz w:val="20"/>
          <w:szCs w:val="20"/>
        </w:rPr>
        <w:t>To assess the impact of income level and employment stability on personal financial resilience.</w:t>
      </w:r>
    </w:p>
    <w:p w14:paraId="57CC6A94" w14:textId="03143CFE" w:rsidR="00440EC0" w:rsidRPr="007B00F5" w:rsidRDefault="00440EC0" w:rsidP="0048350C">
      <w:pPr>
        <w:jc w:val="both"/>
        <w:rPr>
          <w:rFonts w:ascii="Times New Roman" w:hAnsi="Times New Roman" w:cs="Times New Roman"/>
          <w:bCs/>
          <w:sz w:val="24"/>
          <w:szCs w:val="24"/>
        </w:rPr>
      </w:pPr>
    </w:p>
    <w:p w14:paraId="75F72C2E" w14:textId="624E5263" w:rsidR="002F6AB9" w:rsidRPr="007B00F5" w:rsidRDefault="002F6AB9" w:rsidP="0048350C">
      <w:pPr>
        <w:jc w:val="both"/>
        <w:rPr>
          <w:rFonts w:ascii="Times New Roman" w:hAnsi="Times New Roman" w:cs="Times New Roman"/>
          <w:b/>
          <w:sz w:val="24"/>
          <w:szCs w:val="24"/>
        </w:rPr>
      </w:pPr>
      <w:r w:rsidRPr="007B00F5">
        <w:rPr>
          <w:rFonts w:ascii="Times New Roman" w:hAnsi="Times New Roman" w:cs="Times New Roman"/>
          <w:b/>
          <w:sz w:val="24"/>
          <w:szCs w:val="24"/>
        </w:rPr>
        <w:t>2.</w:t>
      </w:r>
      <w:r w:rsidR="00B463E1" w:rsidRPr="007B00F5">
        <w:rPr>
          <w:rFonts w:ascii="Times New Roman" w:hAnsi="Times New Roman" w:cs="Times New Roman"/>
          <w:b/>
          <w:sz w:val="24"/>
          <w:szCs w:val="24"/>
        </w:rPr>
        <w:tab/>
      </w:r>
      <w:r w:rsidRPr="007B00F5">
        <w:rPr>
          <w:rFonts w:ascii="Times New Roman" w:hAnsi="Times New Roman" w:cs="Times New Roman"/>
          <w:b/>
          <w:sz w:val="24"/>
          <w:szCs w:val="24"/>
        </w:rPr>
        <w:t>LITERATURE REVIEW</w:t>
      </w:r>
    </w:p>
    <w:p w14:paraId="42368EBF" w14:textId="547643BB" w:rsidR="00B463E1" w:rsidRPr="00D45B1E" w:rsidRDefault="00B463E1" w:rsidP="0048350C">
      <w:pPr>
        <w:jc w:val="both"/>
        <w:rPr>
          <w:rFonts w:asciiTheme="majorHAnsi" w:hAnsiTheme="majorHAnsi" w:cs="Times New Roman"/>
          <w:b/>
          <w:sz w:val="20"/>
          <w:szCs w:val="20"/>
        </w:rPr>
      </w:pPr>
      <w:r w:rsidRPr="00D45B1E">
        <w:rPr>
          <w:rFonts w:asciiTheme="majorHAnsi" w:hAnsiTheme="majorHAnsi" w:cs="Times New Roman"/>
          <w:b/>
          <w:sz w:val="20"/>
          <w:szCs w:val="20"/>
        </w:rPr>
        <w:t>2.1</w:t>
      </w:r>
      <w:r w:rsidRPr="00D45B1E">
        <w:rPr>
          <w:rFonts w:asciiTheme="majorHAnsi" w:hAnsiTheme="majorHAnsi" w:cs="Times New Roman"/>
          <w:b/>
          <w:sz w:val="20"/>
          <w:szCs w:val="20"/>
        </w:rPr>
        <w:tab/>
        <w:t xml:space="preserve"> Theoretical Review</w:t>
      </w:r>
    </w:p>
    <w:p w14:paraId="7FBA66E9" w14:textId="16D3F7CC" w:rsidR="0068630D" w:rsidRPr="00D45B1E" w:rsidRDefault="0068630D" w:rsidP="0068630D">
      <w:pPr>
        <w:jc w:val="both"/>
        <w:rPr>
          <w:rFonts w:asciiTheme="majorHAnsi" w:hAnsiTheme="majorHAnsi" w:cs="Times New Roman"/>
          <w:sz w:val="20"/>
          <w:szCs w:val="20"/>
        </w:rPr>
      </w:pPr>
      <w:r w:rsidRPr="00D45B1E">
        <w:rPr>
          <w:rFonts w:asciiTheme="majorHAnsi" w:hAnsiTheme="majorHAnsi" w:cs="Times New Roman"/>
          <w:sz w:val="20"/>
          <w:szCs w:val="20"/>
        </w:rPr>
        <w:t xml:space="preserve">A Vulnerability Theory lens offers a </w:t>
      </w:r>
      <w:r w:rsidR="005B4D91" w:rsidRPr="00D45B1E">
        <w:rPr>
          <w:rFonts w:asciiTheme="majorHAnsi" w:hAnsiTheme="majorHAnsi" w:cs="Times New Roman"/>
          <w:sz w:val="20"/>
          <w:szCs w:val="20"/>
        </w:rPr>
        <w:t>clear structural view of how macro-level socioeconomic crises unfold into distinct</w:t>
      </w:r>
      <w:r w:rsidRPr="00D45B1E">
        <w:rPr>
          <w:rFonts w:asciiTheme="majorHAnsi" w:hAnsiTheme="majorHAnsi" w:cs="Times New Roman"/>
          <w:sz w:val="20"/>
          <w:szCs w:val="20"/>
        </w:rPr>
        <w:t xml:space="preserve"> micro-level financial outcomes. This theory, which is based on the research of hazards and development economics, views vulnerability as the result of a person, or a household, being external, having an external shock, an inherent sensitivity to the external shock, and</w:t>
      </w:r>
      <w:r w:rsidR="005B4D91" w:rsidRPr="00D45B1E">
        <w:rPr>
          <w:rFonts w:asciiTheme="majorHAnsi" w:hAnsiTheme="majorHAnsi" w:cs="Times New Roman"/>
          <w:sz w:val="20"/>
          <w:szCs w:val="20"/>
        </w:rPr>
        <w:t>,</w:t>
      </w:r>
      <w:r w:rsidRPr="00D45B1E">
        <w:rPr>
          <w:rFonts w:asciiTheme="majorHAnsi" w:hAnsiTheme="majorHAnsi" w:cs="Times New Roman"/>
          <w:sz w:val="20"/>
          <w:szCs w:val="20"/>
        </w:rPr>
        <w:t xml:space="preserve"> importantly, having an ability to adjust (Adger, 2006; Turner et al., 2003). In the Nigerian </w:t>
      </w:r>
      <w:r w:rsidR="005B4D91" w:rsidRPr="00D45B1E">
        <w:rPr>
          <w:rFonts w:asciiTheme="majorHAnsi" w:hAnsiTheme="majorHAnsi" w:cs="Times New Roman"/>
          <w:sz w:val="20"/>
          <w:szCs w:val="20"/>
        </w:rPr>
        <w:t>context, this means that events such as the 2023 removal of the fuel subsidy and the currency devaluation are not the same type of shock</w:t>
      </w:r>
      <w:r w:rsidRPr="00D45B1E">
        <w:rPr>
          <w:rFonts w:asciiTheme="majorHAnsi" w:hAnsiTheme="majorHAnsi" w:cs="Times New Roman"/>
          <w:sz w:val="20"/>
          <w:szCs w:val="20"/>
        </w:rPr>
        <w:t xml:space="preserve">. </w:t>
      </w:r>
      <w:r w:rsidR="005B4D91" w:rsidRPr="00D45B1E">
        <w:rPr>
          <w:rFonts w:asciiTheme="majorHAnsi" w:hAnsiTheme="majorHAnsi" w:cs="Times New Roman"/>
          <w:sz w:val="20"/>
          <w:szCs w:val="20"/>
        </w:rPr>
        <w:t>Instead</w:t>
      </w:r>
      <w:r w:rsidRPr="00D45B1E">
        <w:rPr>
          <w:rFonts w:asciiTheme="majorHAnsi" w:hAnsiTheme="majorHAnsi" w:cs="Times New Roman"/>
          <w:sz w:val="20"/>
          <w:szCs w:val="20"/>
        </w:rPr>
        <w:t xml:space="preserve">, the impact of such events </w:t>
      </w:r>
      <w:r w:rsidR="005B4D91" w:rsidRPr="00D45B1E">
        <w:rPr>
          <w:rFonts w:asciiTheme="majorHAnsi" w:hAnsiTheme="majorHAnsi" w:cs="Times New Roman"/>
          <w:sz w:val="20"/>
          <w:szCs w:val="20"/>
        </w:rPr>
        <w:t>depends on prior</w:t>
      </w:r>
      <w:r w:rsidRPr="00D45B1E">
        <w:rPr>
          <w:rFonts w:asciiTheme="majorHAnsi" w:hAnsiTheme="majorHAnsi" w:cs="Times New Roman"/>
          <w:sz w:val="20"/>
          <w:szCs w:val="20"/>
        </w:rPr>
        <w:t xml:space="preserve"> socioeconomic position. Most recently, this inequality was documented by Oluwatobi et al. (2022) in Nigeria, which showed that wage-labour and transport-related households are </w:t>
      </w:r>
      <w:r w:rsidRPr="00D45B1E">
        <w:rPr>
          <w:rFonts w:asciiTheme="majorHAnsi" w:hAnsiTheme="majorHAnsi" w:cs="Times New Roman"/>
          <w:sz w:val="20"/>
          <w:szCs w:val="20"/>
        </w:rPr>
        <w:lastRenderedPageBreak/>
        <w:t xml:space="preserve">more inflation-sensitive than </w:t>
      </w:r>
      <w:r w:rsidR="005B4D91" w:rsidRPr="00D45B1E">
        <w:rPr>
          <w:rFonts w:asciiTheme="majorHAnsi" w:hAnsiTheme="majorHAnsi" w:cs="Times New Roman"/>
          <w:sz w:val="20"/>
          <w:szCs w:val="20"/>
        </w:rPr>
        <w:t>public-sector wage-employed</w:t>
      </w:r>
      <w:r w:rsidRPr="00D45B1E">
        <w:rPr>
          <w:rFonts w:asciiTheme="majorHAnsi" w:hAnsiTheme="majorHAnsi" w:cs="Times New Roman"/>
          <w:sz w:val="20"/>
          <w:szCs w:val="20"/>
        </w:rPr>
        <w:t xml:space="preserve"> workers. Financial resilience</w:t>
      </w:r>
      <w:r w:rsidR="005B4D91" w:rsidRPr="00D45B1E">
        <w:rPr>
          <w:rFonts w:asciiTheme="majorHAnsi" w:hAnsiTheme="majorHAnsi" w:cs="Times New Roman"/>
          <w:sz w:val="20"/>
          <w:szCs w:val="20"/>
        </w:rPr>
        <w:t>, from this view, is the positive outcome of adaptive capacity, the resources and strategies employed to counteract negative impacts</w:t>
      </w:r>
      <w:r w:rsidRPr="00D45B1E">
        <w:rPr>
          <w:rFonts w:asciiTheme="majorHAnsi" w:hAnsiTheme="majorHAnsi" w:cs="Times New Roman"/>
          <w:sz w:val="20"/>
          <w:szCs w:val="20"/>
        </w:rPr>
        <w:t xml:space="preserve">. In this respect, vulnerability theory </w:t>
      </w:r>
      <w:r w:rsidR="005B4D91" w:rsidRPr="00D45B1E">
        <w:rPr>
          <w:rFonts w:asciiTheme="majorHAnsi" w:hAnsiTheme="majorHAnsi" w:cs="Times New Roman"/>
          <w:sz w:val="20"/>
          <w:szCs w:val="20"/>
        </w:rPr>
        <w:t>shifts the analytical focus from the crisis event to the underlying sources that explain why some are devastated, and others</w:t>
      </w:r>
      <w:r w:rsidRPr="00D45B1E">
        <w:rPr>
          <w:rFonts w:asciiTheme="majorHAnsi" w:hAnsiTheme="majorHAnsi" w:cs="Times New Roman"/>
          <w:sz w:val="20"/>
          <w:szCs w:val="20"/>
        </w:rPr>
        <w:t xml:space="preserve"> endure.</w:t>
      </w:r>
    </w:p>
    <w:p w14:paraId="24D50283" w14:textId="389236F8" w:rsidR="00B463E1" w:rsidRPr="00D45B1E" w:rsidRDefault="0068630D" w:rsidP="0068630D">
      <w:pPr>
        <w:jc w:val="both"/>
        <w:rPr>
          <w:rFonts w:asciiTheme="majorHAnsi" w:hAnsiTheme="majorHAnsi" w:cs="Times New Roman"/>
          <w:sz w:val="20"/>
          <w:szCs w:val="20"/>
        </w:rPr>
      </w:pPr>
      <w:r w:rsidRPr="00D45B1E">
        <w:rPr>
          <w:rFonts w:asciiTheme="majorHAnsi" w:hAnsiTheme="majorHAnsi" w:cs="Times New Roman"/>
          <w:sz w:val="20"/>
          <w:szCs w:val="20"/>
        </w:rPr>
        <w:t xml:space="preserve">Bourdieu's Theory of Capital offers a </w:t>
      </w:r>
      <w:r w:rsidR="005B4D91" w:rsidRPr="00D45B1E">
        <w:rPr>
          <w:rFonts w:asciiTheme="majorHAnsi" w:hAnsiTheme="majorHAnsi" w:cs="Times New Roman"/>
          <w:sz w:val="20"/>
          <w:szCs w:val="20"/>
        </w:rPr>
        <w:t>complementary</w:t>
      </w:r>
      <w:r w:rsidRPr="00D45B1E">
        <w:rPr>
          <w:rFonts w:asciiTheme="majorHAnsi" w:hAnsiTheme="majorHAnsi" w:cs="Times New Roman"/>
          <w:sz w:val="20"/>
          <w:szCs w:val="20"/>
        </w:rPr>
        <w:t xml:space="preserve"> and sophisticated sociological explanation of the composition and activation of this adaptive capacity</w:t>
      </w:r>
      <w:r w:rsidR="005B4D91" w:rsidRPr="00D45B1E">
        <w:rPr>
          <w:rFonts w:asciiTheme="majorHAnsi" w:hAnsiTheme="majorHAnsi" w:cs="Times New Roman"/>
          <w:sz w:val="20"/>
          <w:szCs w:val="20"/>
        </w:rPr>
        <w:t>.</w:t>
      </w:r>
      <w:r w:rsidRPr="00D45B1E">
        <w:rPr>
          <w:rFonts w:asciiTheme="majorHAnsi" w:hAnsiTheme="majorHAnsi" w:cs="Times New Roman"/>
          <w:sz w:val="20"/>
          <w:szCs w:val="20"/>
        </w:rPr>
        <w:t xml:space="preserve"> Bourdieu accentuates that individuals </w:t>
      </w:r>
      <w:r w:rsidR="005B4D91" w:rsidRPr="00D45B1E">
        <w:rPr>
          <w:rFonts w:asciiTheme="majorHAnsi" w:hAnsiTheme="majorHAnsi" w:cs="Times New Roman"/>
          <w:sz w:val="20"/>
          <w:szCs w:val="20"/>
        </w:rPr>
        <w:t>manoeuvre</w:t>
      </w:r>
      <w:r w:rsidRPr="00D45B1E">
        <w:rPr>
          <w:rFonts w:asciiTheme="majorHAnsi" w:hAnsiTheme="majorHAnsi" w:cs="Times New Roman"/>
          <w:sz w:val="20"/>
          <w:szCs w:val="20"/>
        </w:rPr>
        <w:t xml:space="preserve"> social space with varying degrees of capital: economic (money, assets), cultural (skills, knowledge), social (connections, obligations), and symbolic (prestige, power) (Bourdieu, 1986). During a crisis, financial resilience becomes a process of dynamic capital conversion and deployment. </w:t>
      </w:r>
      <w:proofErr w:type="spellStart"/>
      <w:r w:rsidRPr="00D45B1E">
        <w:rPr>
          <w:rFonts w:asciiTheme="majorHAnsi" w:hAnsiTheme="majorHAnsi" w:cs="Times New Roman"/>
          <w:sz w:val="20"/>
          <w:szCs w:val="20"/>
        </w:rPr>
        <w:t>Obasaju</w:t>
      </w:r>
      <w:proofErr w:type="spellEnd"/>
      <w:r w:rsidRPr="00D45B1E">
        <w:rPr>
          <w:rFonts w:asciiTheme="majorHAnsi" w:hAnsiTheme="majorHAnsi" w:cs="Times New Roman"/>
          <w:sz w:val="20"/>
          <w:szCs w:val="20"/>
        </w:rPr>
        <w:t xml:space="preserve"> et al. (2023) show that, during recent contractions of Nigeria’s economy, middle-class urbanites employed cultural capital (digital skills) to diversify income on internet-based economic opportunities, while a significant number of informal workers tapped into thick social capital, family networks, and communal savings (</w:t>
      </w:r>
      <w:proofErr w:type="spellStart"/>
      <w:r w:rsidRPr="00D45B1E">
        <w:rPr>
          <w:rFonts w:asciiTheme="majorHAnsi" w:hAnsiTheme="majorHAnsi" w:cs="Times New Roman"/>
          <w:sz w:val="20"/>
          <w:szCs w:val="20"/>
        </w:rPr>
        <w:t>esusu</w:t>
      </w:r>
      <w:proofErr w:type="spellEnd"/>
      <w:r w:rsidRPr="00D45B1E">
        <w:rPr>
          <w:rFonts w:asciiTheme="majorHAnsi" w:hAnsiTheme="majorHAnsi" w:cs="Times New Roman"/>
          <w:sz w:val="20"/>
          <w:szCs w:val="20"/>
        </w:rPr>
        <w:t xml:space="preserve">) for liquidity free of interest. The use of this perspective is important </w:t>
      </w:r>
      <w:r w:rsidR="005B4D91" w:rsidRPr="00D45B1E">
        <w:rPr>
          <w:rFonts w:asciiTheme="majorHAnsi" w:hAnsiTheme="majorHAnsi" w:cs="Times New Roman"/>
          <w:sz w:val="20"/>
          <w:szCs w:val="20"/>
        </w:rPr>
        <w:t>for transcending purely economic considerations</w:t>
      </w:r>
      <w:r w:rsidRPr="00D45B1E">
        <w:rPr>
          <w:rFonts w:asciiTheme="majorHAnsi" w:hAnsiTheme="majorHAnsi" w:cs="Times New Roman"/>
          <w:sz w:val="20"/>
          <w:szCs w:val="20"/>
        </w:rPr>
        <w:t xml:space="preserve">. It clarifies why, in a </w:t>
      </w:r>
      <w:r w:rsidR="005B4D91" w:rsidRPr="00D45B1E">
        <w:rPr>
          <w:rFonts w:asciiTheme="majorHAnsi" w:hAnsiTheme="majorHAnsi" w:cs="Times New Roman"/>
          <w:sz w:val="20"/>
          <w:szCs w:val="20"/>
        </w:rPr>
        <w:t xml:space="preserve">given context, two households with the same income may exhibit very different resilience: one may have social capital that facilitates access to informal credit and cultural capital that enables adaptive livelihood strategies, while the other, with the same income, is capital-poor and </w:t>
      </w:r>
      <w:r w:rsidRPr="00D45B1E">
        <w:rPr>
          <w:rFonts w:asciiTheme="majorHAnsi" w:hAnsiTheme="majorHAnsi" w:cs="Times New Roman"/>
          <w:sz w:val="20"/>
          <w:szCs w:val="20"/>
        </w:rPr>
        <w:t xml:space="preserve">consequently more at risk. The combination of Bourdieu's and Vulnerability Theory is </w:t>
      </w:r>
      <w:r w:rsidR="005B4D91" w:rsidRPr="00D45B1E">
        <w:rPr>
          <w:rFonts w:asciiTheme="majorHAnsi" w:hAnsiTheme="majorHAnsi" w:cs="Times New Roman"/>
          <w:sz w:val="20"/>
          <w:szCs w:val="20"/>
        </w:rPr>
        <w:t>invaluable</w:t>
      </w:r>
      <w:r w:rsidRPr="00D45B1E">
        <w:rPr>
          <w:rFonts w:asciiTheme="majorHAnsi" w:hAnsiTheme="majorHAnsi" w:cs="Times New Roman"/>
          <w:sz w:val="20"/>
          <w:szCs w:val="20"/>
        </w:rPr>
        <w:t xml:space="preserve"> in this regard, because the structuring of exposure, as articulated by the latter, is complemented by the resourceful, agentic responses of the former.</w:t>
      </w:r>
    </w:p>
    <w:p w14:paraId="2666E4F6" w14:textId="27DB0471" w:rsidR="002F6AB9" w:rsidRPr="00D45B1E" w:rsidRDefault="002F6AB9" w:rsidP="0048350C">
      <w:pPr>
        <w:jc w:val="both"/>
        <w:rPr>
          <w:rFonts w:asciiTheme="majorHAnsi" w:hAnsiTheme="majorHAnsi" w:cs="Times New Roman"/>
          <w:b/>
          <w:sz w:val="20"/>
          <w:szCs w:val="20"/>
        </w:rPr>
      </w:pPr>
      <w:r w:rsidRPr="00D45B1E">
        <w:rPr>
          <w:rFonts w:asciiTheme="majorHAnsi" w:hAnsiTheme="majorHAnsi" w:cs="Times New Roman"/>
          <w:b/>
          <w:sz w:val="20"/>
          <w:szCs w:val="20"/>
        </w:rPr>
        <w:t xml:space="preserve">2.2 </w:t>
      </w:r>
      <w:r w:rsidR="00B463E1" w:rsidRPr="00D45B1E">
        <w:rPr>
          <w:rFonts w:asciiTheme="majorHAnsi" w:hAnsiTheme="majorHAnsi" w:cs="Times New Roman"/>
          <w:b/>
          <w:sz w:val="20"/>
          <w:szCs w:val="20"/>
        </w:rPr>
        <w:t>Empirical Review</w:t>
      </w:r>
    </w:p>
    <w:p w14:paraId="710ABFD9" w14:textId="1206AF64"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The socioeconomic crises continually motivate new research into personal financial resilience. The groundwork for resilience is defined in </w:t>
      </w:r>
      <w:proofErr w:type="spellStart"/>
      <w:r w:rsidRPr="00D45B1E">
        <w:rPr>
          <w:rFonts w:asciiTheme="majorHAnsi" w:hAnsiTheme="majorHAnsi" w:cs="Times New Roman"/>
          <w:sz w:val="20"/>
          <w:szCs w:val="20"/>
        </w:rPr>
        <w:t>Hallegatte</w:t>
      </w:r>
      <w:proofErr w:type="spellEnd"/>
      <w:r w:rsidRPr="00D45B1E">
        <w:rPr>
          <w:rFonts w:asciiTheme="majorHAnsi" w:hAnsiTheme="majorHAnsi" w:cs="Times New Roman"/>
          <w:sz w:val="20"/>
          <w:szCs w:val="20"/>
        </w:rPr>
        <w:t xml:space="preserve"> (2014). It </w:t>
      </w:r>
      <w:r w:rsidR="005B4D91" w:rsidRPr="00D45B1E">
        <w:rPr>
          <w:rFonts w:asciiTheme="majorHAnsi" w:hAnsiTheme="majorHAnsi" w:cs="Times New Roman"/>
          <w:sz w:val="20"/>
          <w:szCs w:val="20"/>
        </w:rPr>
        <w:t>distinguishes between micro- and macroeconomic resilience in the context of</w:t>
      </w:r>
      <w:r w:rsidRPr="00D45B1E">
        <w:rPr>
          <w:rFonts w:asciiTheme="majorHAnsi" w:hAnsiTheme="majorHAnsi" w:cs="Times New Roman"/>
          <w:sz w:val="20"/>
          <w:szCs w:val="20"/>
        </w:rPr>
        <w:t xml:space="preserve"> disasters. The author </w:t>
      </w:r>
      <w:r w:rsidR="005B4D91" w:rsidRPr="00D45B1E">
        <w:rPr>
          <w:rFonts w:asciiTheme="majorHAnsi" w:hAnsiTheme="majorHAnsi" w:cs="Times New Roman"/>
          <w:sz w:val="20"/>
          <w:szCs w:val="20"/>
        </w:rPr>
        <w:t>categorises</w:t>
      </w:r>
      <w:r w:rsidRPr="00D45B1E">
        <w:rPr>
          <w:rFonts w:asciiTheme="majorHAnsi" w:hAnsiTheme="majorHAnsi" w:cs="Times New Roman"/>
          <w:sz w:val="20"/>
          <w:szCs w:val="20"/>
        </w:rPr>
        <w:t xml:space="preserve"> macroeconomic resilience into two types. The first is referred to as immediate</w:t>
      </w:r>
      <w:r w:rsidR="005B4D91" w:rsidRPr="00D45B1E">
        <w:rPr>
          <w:rFonts w:asciiTheme="majorHAnsi" w:hAnsiTheme="majorHAnsi" w:cs="Times New Roman"/>
          <w:sz w:val="20"/>
          <w:szCs w:val="20"/>
        </w:rPr>
        <w:t>,</w:t>
      </w:r>
      <w:r w:rsidRPr="00D45B1E">
        <w:rPr>
          <w:rFonts w:asciiTheme="majorHAnsi" w:hAnsiTheme="majorHAnsi" w:cs="Times New Roman"/>
          <w:sz w:val="20"/>
          <w:szCs w:val="20"/>
        </w:rPr>
        <w:t xml:space="preserve"> and the second as dynamic. Immediate resilience refers to </w:t>
      </w:r>
      <w:r w:rsidR="005B4D91" w:rsidRPr="00D45B1E">
        <w:rPr>
          <w:rFonts w:asciiTheme="majorHAnsi" w:hAnsiTheme="majorHAnsi" w:cs="Times New Roman"/>
          <w:sz w:val="20"/>
          <w:szCs w:val="20"/>
        </w:rPr>
        <w:t>mitigating production losses, whilst dynamic resilience concerns the economy's ability to recover over</w:t>
      </w:r>
      <w:r w:rsidRPr="00D45B1E">
        <w:rPr>
          <w:rFonts w:asciiTheme="majorHAnsi" w:hAnsiTheme="majorHAnsi" w:cs="Times New Roman"/>
          <w:sz w:val="20"/>
          <w:szCs w:val="20"/>
        </w:rPr>
        <w:t xml:space="preserve"> time. Microeconomic resilience, in contrast, refers to mechanisms that mitigate </w:t>
      </w:r>
      <w:r w:rsidR="005B4D91" w:rsidRPr="00D45B1E">
        <w:rPr>
          <w:rFonts w:asciiTheme="majorHAnsi" w:hAnsiTheme="majorHAnsi" w:cs="Times New Roman"/>
          <w:sz w:val="20"/>
          <w:szCs w:val="20"/>
        </w:rPr>
        <w:t>households' vulnerability and is primarily defined by income, savings, credit access, and social protection</w:t>
      </w:r>
      <w:r w:rsidRPr="00D45B1E">
        <w:rPr>
          <w:rFonts w:asciiTheme="majorHAnsi" w:hAnsiTheme="majorHAnsi" w:cs="Times New Roman"/>
          <w:sz w:val="20"/>
          <w:szCs w:val="20"/>
        </w:rPr>
        <w:t xml:space="preserve"> frameworks, enabling households to survive financial shocks (García Mata &amp; </w:t>
      </w:r>
      <w:proofErr w:type="spellStart"/>
      <w:r w:rsidRPr="00D45B1E">
        <w:rPr>
          <w:rFonts w:asciiTheme="majorHAnsi" w:hAnsiTheme="majorHAnsi" w:cs="Times New Roman"/>
          <w:sz w:val="20"/>
          <w:szCs w:val="20"/>
        </w:rPr>
        <w:t>Zerón</w:t>
      </w:r>
      <w:proofErr w:type="spellEnd"/>
      <w:r w:rsidRPr="00D45B1E">
        <w:rPr>
          <w:rFonts w:asciiTheme="majorHAnsi" w:hAnsiTheme="majorHAnsi" w:cs="Times New Roman"/>
          <w:sz w:val="20"/>
          <w:szCs w:val="20"/>
        </w:rPr>
        <w:t xml:space="preserve"> Félix, 2022). The financial resilience most abundant in the COVID era is most pronounced, as </w:t>
      </w:r>
      <w:proofErr w:type="spellStart"/>
      <w:r w:rsidRPr="00D45B1E">
        <w:rPr>
          <w:rFonts w:asciiTheme="majorHAnsi" w:hAnsiTheme="majorHAnsi" w:cs="Times New Roman"/>
          <w:sz w:val="20"/>
          <w:szCs w:val="20"/>
        </w:rPr>
        <w:t>Brasil</w:t>
      </w:r>
      <w:proofErr w:type="spellEnd"/>
      <w:r w:rsidRPr="00D45B1E">
        <w:rPr>
          <w:rFonts w:asciiTheme="majorHAnsi" w:hAnsiTheme="majorHAnsi" w:cs="Times New Roman"/>
          <w:sz w:val="20"/>
          <w:szCs w:val="20"/>
        </w:rPr>
        <w:t xml:space="preserve"> et al. (2024) </w:t>
      </w:r>
      <w:r w:rsidR="005B4D91" w:rsidRPr="00D45B1E">
        <w:rPr>
          <w:rFonts w:asciiTheme="majorHAnsi" w:hAnsiTheme="majorHAnsi" w:cs="Times New Roman"/>
          <w:sz w:val="20"/>
          <w:szCs w:val="20"/>
        </w:rPr>
        <w:t>note</w:t>
      </w:r>
      <w:r w:rsidRPr="00D45B1E">
        <w:rPr>
          <w:rFonts w:asciiTheme="majorHAnsi" w:hAnsiTheme="majorHAnsi" w:cs="Times New Roman"/>
          <w:sz w:val="20"/>
          <w:szCs w:val="20"/>
        </w:rPr>
        <w:t xml:space="preserve"> that without </w:t>
      </w:r>
      <w:r w:rsidR="005B4D91" w:rsidRPr="00D45B1E">
        <w:rPr>
          <w:rFonts w:asciiTheme="majorHAnsi" w:hAnsiTheme="majorHAnsi" w:cs="Times New Roman"/>
          <w:sz w:val="20"/>
          <w:szCs w:val="20"/>
        </w:rPr>
        <w:t>it, individuals were at significant financial risk</w:t>
      </w:r>
      <w:r w:rsidRPr="00D45B1E">
        <w:rPr>
          <w:rFonts w:asciiTheme="majorHAnsi" w:hAnsiTheme="majorHAnsi" w:cs="Times New Roman"/>
          <w:sz w:val="20"/>
          <w:szCs w:val="20"/>
        </w:rPr>
        <w:t xml:space="preserve"> during the pandemic. Furthermore, Khetan et al. (2022) documented the effects of the COVID-19 pandemic on global financial resilience and noted considerable differences in resilience by income level. It is observed that in less developed countries, </w:t>
      </w:r>
      <w:r w:rsidR="005B4D91" w:rsidRPr="00D45B1E">
        <w:rPr>
          <w:rFonts w:asciiTheme="majorHAnsi" w:hAnsiTheme="majorHAnsi" w:cs="Times New Roman"/>
          <w:sz w:val="20"/>
          <w:szCs w:val="20"/>
        </w:rPr>
        <w:t>responses were far greater, attesting to the need for a specific focus on resilience to build income levels</w:t>
      </w:r>
      <w:r w:rsidRPr="00D45B1E">
        <w:rPr>
          <w:rFonts w:asciiTheme="majorHAnsi" w:hAnsiTheme="majorHAnsi" w:cs="Times New Roman"/>
          <w:sz w:val="20"/>
          <w:szCs w:val="20"/>
        </w:rPr>
        <w:t xml:space="preserve"> in response to the inequalities created by socioeconomic crises.</w:t>
      </w:r>
    </w:p>
    <w:p w14:paraId="446ECA5D" w14:textId="77777777" w:rsidR="00F60537" w:rsidRPr="00D45B1E" w:rsidRDefault="00F60537" w:rsidP="00F60537">
      <w:pPr>
        <w:spacing w:after="0" w:line="240" w:lineRule="auto"/>
        <w:jc w:val="both"/>
        <w:rPr>
          <w:rFonts w:asciiTheme="majorHAnsi" w:hAnsiTheme="majorHAnsi" w:cs="Times New Roman"/>
          <w:sz w:val="20"/>
          <w:szCs w:val="20"/>
        </w:rPr>
      </w:pPr>
    </w:p>
    <w:p w14:paraId="6956263A" w14:textId="31CB0F8E" w:rsidR="00F60537" w:rsidRPr="00D45B1E" w:rsidRDefault="005B4D91"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Given the current situation, the economic recovery goals from the relief efforts should be balanced with funding resilience</w:t>
      </w:r>
      <w:r w:rsidR="00F60537" w:rsidRPr="00D45B1E">
        <w:rPr>
          <w:rFonts w:asciiTheme="majorHAnsi" w:hAnsiTheme="majorHAnsi" w:cs="Times New Roman"/>
          <w:sz w:val="20"/>
          <w:szCs w:val="20"/>
        </w:rPr>
        <w:t xml:space="preserve"> in most cases. (</w:t>
      </w:r>
      <w:proofErr w:type="spellStart"/>
      <w:r w:rsidR="00F60537" w:rsidRPr="00D45B1E">
        <w:rPr>
          <w:rFonts w:asciiTheme="majorHAnsi" w:hAnsiTheme="majorHAnsi" w:cs="Times New Roman"/>
          <w:sz w:val="20"/>
          <w:szCs w:val="20"/>
        </w:rPr>
        <w:t>AbrantesBraga</w:t>
      </w:r>
      <w:proofErr w:type="spellEnd"/>
      <w:r w:rsidR="00F60537" w:rsidRPr="00D45B1E">
        <w:rPr>
          <w:rFonts w:asciiTheme="majorHAnsi" w:hAnsiTheme="majorHAnsi" w:cs="Times New Roman"/>
          <w:sz w:val="20"/>
          <w:szCs w:val="20"/>
        </w:rPr>
        <w:t xml:space="preserve"> &amp; </w:t>
      </w:r>
      <w:proofErr w:type="spellStart"/>
      <w:r w:rsidR="00F60537" w:rsidRPr="00D45B1E">
        <w:rPr>
          <w:rFonts w:asciiTheme="majorHAnsi" w:hAnsiTheme="majorHAnsi" w:cs="Times New Roman"/>
          <w:sz w:val="20"/>
          <w:szCs w:val="20"/>
        </w:rPr>
        <w:t>VeludodeOliveira</w:t>
      </w:r>
      <w:proofErr w:type="spellEnd"/>
      <w:r w:rsidR="00F60537" w:rsidRPr="00D45B1E">
        <w:rPr>
          <w:rFonts w:asciiTheme="majorHAnsi" w:hAnsiTheme="majorHAnsi" w:cs="Times New Roman"/>
          <w:sz w:val="20"/>
          <w:szCs w:val="20"/>
        </w:rPr>
        <w:t xml:space="preserve">, 2019).  </w:t>
      </w:r>
    </w:p>
    <w:p w14:paraId="2905741C" w14:textId="77777777" w:rsidR="00F60537" w:rsidRPr="00D45B1E" w:rsidRDefault="00F60537" w:rsidP="00F60537">
      <w:pPr>
        <w:spacing w:after="0" w:line="240" w:lineRule="auto"/>
        <w:jc w:val="both"/>
        <w:rPr>
          <w:rFonts w:asciiTheme="majorHAnsi" w:hAnsiTheme="majorHAnsi" w:cs="Times New Roman"/>
          <w:sz w:val="20"/>
          <w:szCs w:val="20"/>
        </w:rPr>
      </w:pPr>
    </w:p>
    <w:p w14:paraId="5144255F" w14:textId="77C28D21"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Oke &amp; </w:t>
      </w:r>
      <w:proofErr w:type="spellStart"/>
      <w:r w:rsidRPr="00D45B1E">
        <w:rPr>
          <w:rFonts w:asciiTheme="majorHAnsi" w:hAnsiTheme="majorHAnsi" w:cs="Times New Roman"/>
          <w:sz w:val="20"/>
          <w:szCs w:val="20"/>
        </w:rPr>
        <w:t>Akinyede</w:t>
      </w:r>
      <w:proofErr w:type="spellEnd"/>
      <w:r w:rsidRPr="00D45B1E">
        <w:rPr>
          <w:rFonts w:asciiTheme="majorHAnsi" w:hAnsiTheme="majorHAnsi" w:cs="Times New Roman"/>
          <w:sz w:val="20"/>
          <w:szCs w:val="20"/>
        </w:rPr>
        <w:t xml:space="preserve"> (2024) in the article "Financial Inclusion in Income and Employment in the Post-COVID Era in Nigeria" relied on primary data from 439 respondents and examined the effect of (a) access to financial services; (b) transaction costs</w:t>
      </w:r>
      <w:r w:rsidR="005B4D91" w:rsidRPr="00D45B1E">
        <w:rPr>
          <w:rFonts w:asciiTheme="majorHAnsi" w:hAnsiTheme="majorHAnsi" w:cs="Times New Roman"/>
          <w:sz w:val="20"/>
          <w:szCs w:val="20"/>
        </w:rPr>
        <w:t>,</w:t>
      </w:r>
      <w:r w:rsidRPr="00D45B1E">
        <w:rPr>
          <w:rFonts w:asciiTheme="majorHAnsi" w:hAnsiTheme="majorHAnsi" w:cs="Times New Roman"/>
          <w:sz w:val="20"/>
          <w:szCs w:val="20"/>
        </w:rPr>
        <w:t xml:space="preserve"> and (c) barriers to financial services using Structural Equation Models (SEMs) and the Smart-PLS tool</w:t>
      </w:r>
      <w:r w:rsidR="005B4D91" w:rsidRPr="00D45B1E">
        <w:rPr>
          <w:rFonts w:asciiTheme="majorHAnsi" w:hAnsiTheme="majorHAnsi" w:cs="Times New Roman"/>
          <w:sz w:val="20"/>
          <w:szCs w:val="20"/>
        </w:rPr>
        <w:t xml:space="preserve"> in</w:t>
      </w:r>
      <w:r w:rsidRPr="00D45B1E">
        <w:rPr>
          <w:rFonts w:asciiTheme="majorHAnsi" w:hAnsiTheme="majorHAnsi" w:cs="Times New Roman"/>
          <w:sz w:val="20"/>
          <w:szCs w:val="20"/>
        </w:rPr>
        <w:t xml:space="preserve"> economic outcomes. </w:t>
      </w:r>
      <w:r w:rsidR="005B4D91" w:rsidRPr="00D45B1E">
        <w:rPr>
          <w:rFonts w:asciiTheme="majorHAnsi" w:hAnsiTheme="majorHAnsi" w:cs="Times New Roman"/>
          <w:sz w:val="20"/>
          <w:szCs w:val="20"/>
        </w:rPr>
        <w:t>Among the various economic outcomes, the authors concluded that greater access and lower costs are economically positive (leading to greater employment and income) and that barriers to financial services affect employment,</w:t>
      </w:r>
      <w:r w:rsidRPr="00D45B1E">
        <w:rPr>
          <w:rFonts w:asciiTheme="majorHAnsi" w:hAnsiTheme="majorHAnsi" w:cs="Times New Roman"/>
          <w:sz w:val="20"/>
          <w:szCs w:val="20"/>
        </w:rPr>
        <w:t xml:space="preserve"> not income. </w:t>
      </w:r>
    </w:p>
    <w:p w14:paraId="3E5A8720" w14:textId="77777777" w:rsidR="00F60537" w:rsidRPr="00D45B1E" w:rsidRDefault="00F60537" w:rsidP="00F60537">
      <w:pPr>
        <w:spacing w:after="0" w:line="240" w:lineRule="auto"/>
        <w:jc w:val="both"/>
        <w:rPr>
          <w:rFonts w:asciiTheme="majorHAnsi" w:hAnsiTheme="majorHAnsi" w:cs="Times New Roman"/>
          <w:sz w:val="20"/>
          <w:szCs w:val="20"/>
        </w:rPr>
      </w:pPr>
    </w:p>
    <w:p w14:paraId="31FEB9C2" w14:textId="3FF41CFE"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Liu and Chen (2023) developed a model that integrates financial assets, accessibility of financial services, financial literacy, and social capital. The study underscored that levels of financial resilience have statistically significant relationships with the socio-economic </w:t>
      </w:r>
      <w:proofErr w:type="gramStart"/>
      <w:r w:rsidRPr="00D45B1E">
        <w:rPr>
          <w:rFonts w:asciiTheme="majorHAnsi" w:hAnsiTheme="majorHAnsi" w:cs="Times New Roman"/>
          <w:sz w:val="20"/>
          <w:szCs w:val="20"/>
        </w:rPr>
        <w:t>variables</w:t>
      </w:r>
      <w:proofErr w:type="gramEnd"/>
      <w:r w:rsidRPr="00D45B1E">
        <w:rPr>
          <w:rFonts w:asciiTheme="majorHAnsi" w:hAnsiTheme="majorHAnsi" w:cs="Times New Roman"/>
          <w:sz w:val="20"/>
          <w:szCs w:val="20"/>
        </w:rPr>
        <w:t xml:space="preserve"> income, education, and employment status. Hence, </w:t>
      </w:r>
      <w:r w:rsidR="005B4D91" w:rsidRPr="00D45B1E">
        <w:rPr>
          <w:rFonts w:asciiTheme="majorHAnsi" w:hAnsiTheme="majorHAnsi" w:cs="Times New Roman"/>
          <w:sz w:val="20"/>
          <w:szCs w:val="20"/>
        </w:rPr>
        <w:t xml:space="preserve">there is a </w:t>
      </w:r>
      <w:r w:rsidRPr="00D45B1E">
        <w:rPr>
          <w:rFonts w:asciiTheme="majorHAnsi" w:hAnsiTheme="majorHAnsi" w:cs="Times New Roman"/>
          <w:sz w:val="20"/>
          <w:szCs w:val="20"/>
        </w:rPr>
        <w:t xml:space="preserve">need for targeted efforts to bolster financial resilience in developing countries.  </w:t>
      </w:r>
    </w:p>
    <w:p w14:paraId="142906DE" w14:textId="77777777" w:rsidR="00F60537" w:rsidRPr="00D45B1E" w:rsidRDefault="00F60537" w:rsidP="00F60537">
      <w:pPr>
        <w:spacing w:after="0" w:line="240" w:lineRule="auto"/>
        <w:jc w:val="both"/>
        <w:rPr>
          <w:rFonts w:asciiTheme="majorHAnsi" w:hAnsiTheme="majorHAnsi" w:cs="Times New Roman"/>
          <w:sz w:val="20"/>
          <w:szCs w:val="20"/>
        </w:rPr>
      </w:pPr>
    </w:p>
    <w:p w14:paraId="04F93FC1" w14:textId="6CC4191C" w:rsidR="00F60537" w:rsidRPr="00D45B1E" w:rsidRDefault="00F60537" w:rsidP="00F60537">
      <w:pPr>
        <w:spacing w:after="0" w:line="240" w:lineRule="auto"/>
        <w:jc w:val="both"/>
        <w:rPr>
          <w:rFonts w:asciiTheme="majorHAnsi" w:hAnsiTheme="majorHAnsi" w:cs="Times New Roman"/>
          <w:sz w:val="20"/>
          <w:szCs w:val="20"/>
        </w:rPr>
      </w:pPr>
      <w:proofErr w:type="spellStart"/>
      <w:r w:rsidRPr="00D45B1E">
        <w:rPr>
          <w:rFonts w:asciiTheme="majorHAnsi" w:hAnsiTheme="majorHAnsi" w:cs="Times New Roman"/>
          <w:sz w:val="20"/>
          <w:szCs w:val="20"/>
        </w:rPr>
        <w:t>Salignac</w:t>
      </w:r>
      <w:proofErr w:type="spellEnd"/>
      <w:r w:rsidRPr="00D45B1E">
        <w:rPr>
          <w:rFonts w:asciiTheme="majorHAnsi" w:hAnsiTheme="majorHAnsi" w:cs="Times New Roman"/>
          <w:sz w:val="20"/>
          <w:szCs w:val="20"/>
        </w:rPr>
        <w:t xml:space="preserve"> et al. (2019) </w:t>
      </w:r>
      <w:r w:rsidR="005B4D91" w:rsidRPr="00D45B1E">
        <w:rPr>
          <w:rFonts w:asciiTheme="majorHAnsi" w:hAnsiTheme="majorHAnsi" w:cs="Times New Roman"/>
          <w:sz w:val="20"/>
          <w:szCs w:val="20"/>
        </w:rPr>
        <w:t>categorised</w:t>
      </w:r>
      <w:r w:rsidRPr="00D45B1E">
        <w:rPr>
          <w:rFonts w:asciiTheme="majorHAnsi" w:hAnsiTheme="majorHAnsi" w:cs="Times New Roman"/>
          <w:sz w:val="20"/>
          <w:szCs w:val="20"/>
        </w:rPr>
        <w:t xml:space="preserve"> </w:t>
      </w:r>
      <w:r w:rsidR="005B4D91" w:rsidRPr="00D45B1E">
        <w:rPr>
          <w:rFonts w:asciiTheme="majorHAnsi" w:hAnsiTheme="majorHAnsi" w:cs="Times New Roman"/>
          <w:sz w:val="20"/>
          <w:szCs w:val="20"/>
        </w:rPr>
        <w:t xml:space="preserve">resilience levels such that high resilience could be interpreted as the presence of intricate systems of variables that </w:t>
      </w:r>
      <w:r w:rsidRPr="00D45B1E">
        <w:rPr>
          <w:rFonts w:asciiTheme="majorHAnsi" w:hAnsiTheme="majorHAnsi" w:cs="Times New Roman"/>
          <w:sz w:val="20"/>
          <w:szCs w:val="20"/>
        </w:rPr>
        <w:t>affect financial resilience.</w:t>
      </w:r>
    </w:p>
    <w:p w14:paraId="690F7F11" w14:textId="77777777" w:rsidR="00F60537" w:rsidRPr="00D45B1E" w:rsidRDefault="00F60537" w:rsidP="00F60537">
      <w:pPr>
        <w:spacing w:after="0" w:line="240" w:lineRule="auto"/>
        <w:jc w:val="both"/>
        <w:rPr>
          <w:rFonts w:asciiTheme="majorHAnsi" w:hAnsiTheme="majorHAnsi" w:cs="Times New Roman"/>
          <w:sz w:val="20"/>
          <w:szCs w:val="20"/>
        </w:rPr>
      </w:pPr>
    </w:p>
    <w:p w14:paraId="128A929C" w14:textId="6816BC1F"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The importance of a more tailored construct of financial resilience implies </w:t>
      </w:r>
      <w:r w:rsidR="005B4D91" w:rsidRPr="00D45B1E">
        <w:rPr>
          <w:rFonts w:asciiTheme="majorHAnsi" w:hAnsiTheme="majorHAnsi" w:cs="Times New Roman"/>
          <w:sz w:val="20"/>
          <w:szCs w:val="20"/>
        </w:rPr>
        <w:t xml:space="preserve">that </w:t>
      </w:r>
      <w:r w:rsidRPr="00D45B1E">
        <w:rPr>
          <w:rFonts w:asciiTheme="majorHAnsi" w:hAnsiTheme="majorHAnsi" w:cs="Times New Roman"/>
          <w:sz w:val="20"/>
          <w:szCs w:val="20"/>
        </w:rPr>
        <w:t>the ability to access financial means is not</w:t>
      </w:r>
      <w:r w:rsidR="005B4D91" w:rsidRPr="00D45B1E">
        <w:rPr>
          <w:rFonts w:asciiTheme="majorHAnsi" w:hAnsiTheme="majorHAnsi" w:cs="Times New Roman"/>
          <w:sz w:val="20"/>
          <w:szCs w:val="20"/>
        </w:rPr>
        <w:t>, by itself,</w:t>
      </w:r>
      <w:r w:rsidRPr="00D45B1E">
        <w:rPr>
          <w:rFonts w:asciiTheme="majorHAnsi" w:hAnsiTheme="majorHAnsi" w:cs="Times New Roman"/>
          <w:sz w:val="20"/>
          <w:szCs w:val="20"/>
        </w:rPr>
        <w:t xml:space="preserve"> enabling. Means should also be of the right quality and terms, and in conditions that empower individuals to manage their situations. </w:t>
      </w:r>
      <w:proofErr w:type="spellStart"/>
      <w:r w:rsidRPr="00D45B1E">
        <w:rPr>
          <w:rFonts w:asciiTheme="majorHAnsi" w:hAnsiTheme="majorHAnsi" w:cs="Times New Roman"/>
          <w:sz w:val="20"/>
          <w:szCs w:val="20"/>
        </w:rPr>
        <w:t>Salignac</w:t>
      </w:r>
      <w:proofErr w:type="spellEnd"/>
      <w:r w:rsidRPr="00D45B1E">
        <w:rPr>
          <w:rFonts w:asciiTheme="majorHAnsi" w:hAnsiTheme="majorHAnsi" w:cs="Times New Roman"/>
          <w:sz w:val="20"/>
          <w:szCs w:val="20"/>
        </w:rPr>
        <w:t xml:space="preserve"> et al. (2022) argued that countries that enhance their inclusive policies can combat poverty and stimulate economic growth, and this was the basis of their study on how financial inclusion fosters resilience in economically peripheral regions, geographically and financially.</w:t>
      </w:r>
    </w:p>
    <w:p w14:paraId="69271F92" w14:textId="77777777" w:rsidR="00F60537" w:rsidRPr="00D45B1E" w:rsidRDefault="00F60537" w:rsidP="00F60537">
      <w:pPr>
        <w:spacing w:after="0" w:line="240" w:lineRule="auto"/>
        <w:jc w:val="both"/>
        <w:rPr>
          <w:rFonts w:asciiTheme="majorHAnsi" w:hAnsiTheme="majorHAnsi" w:cs="Times New Roman"/>
          <w:sz w:val="20"/>
          <w:szCs w:val="20"/>
        </w:rPr>
      </w:pPr>
    </w:p>
    <w:p w14:paraId="1CF30706" w14:textId="728880BA"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That said, Martin et al. (2020) expand their research to the regional </w:t>
      </w:r>
      <w:r w:rsidR="005B4D91" w:rsidRPr="00D45B1E">
        <w:rPr>
          <w:rFonts w:asciiTheme="majorHAnsi" w:hAnsiTheme="majorHAnsi" w:cs="Times New Roman"/>
          <w:sz w:val="20"/>
          <w:szCs w:val="20"/>
        </w:rPr>
        <w:t>level of financial resilience, thereby stressing the importance of a more precise grasp of the local economy's capacity</w:t>
      </w:r>
      <w:r w:rsidRPr="00D45B1E">
        <w:rPr>
          <w:rFonts w:asciiTheme="majorHAnsi" w:hAnsiTheme="majorHAnsi" w:cs="Times New Roman"/>
          <w:sz w:val="20"/>
          <w:szCs w:val="20"/>
        </w:rPr>
        <w:t xml:space="preserve"> to absorb external shocks. For this reason, </w:t>
      </w:r>
      <w:proofErr w:type="spellStart"/>
      <w:r w:rsidRPr="00D45B1E">
        <w:rPr>
          <w:rFonts w:asciiTheme="majorHAnsi" w:hAnsiTheme="majorHAnsi" w:cs="Times New Roman"/>
          <w:sz w:val="20"/>
          <w:szCs w:val="20"/>
        </w:rPr>
        <w:t>Bruneckiene</w:t>
      </w:r>
      <w:proofErr w:type="spellEnd"/>
      <w:r w:rsidRPr="00D45B1E">
        <w:rPr>
          <w:rFonts w:asciiTheme="majorHAnsi" w:hAnsiTheme="majorHAnsi" w:cs="Times New Roman"/>
          <w:sz w:val="20"/>
          <w:szCs w:val="20"/>
        </w:rPr>
        <w:t xml:space="preserve"> et al. (2019) </w:t>
      </w:r>
      <w:r w:rsidR="005B4D91" w:rsidRPr="00D45B1E">
        <w:rPr>
          <w:rFonts w:asciiTheme="majorHAnsi" w:hAnsiTheme="majorHAnsi" w:cs="Times New Roman"/>
          <w:sz w:val="20"/>
          <w:szCs w:val="20"/>
        </w:rPr>
        <w:t xml:space="preserve">developed the </w:t>
      </w:r>
      <w:proofErr w:type="spellStart"/>
      <w:r w:rsidR="005B4D91" w:rsidRPr="00D45B1E">
        <w:rPr>
          <w:rFonts w:asciiTheme="majorHAnsi" w:hAnsiTheme="majorHAnsi" w:cs="Times New Roman"/>
          <w:sz w:val="20"/>
          <w:szCs w:val="20"/>
        </w:rPr>
        <w:t>Resilio</w:t>
      </w:r>
      <w:proofErr w:type="spellEnd"/>
      <w:r w:rsidR="005B4D91" w:rsidRPr="00D45B1E">
        <w:rPr>
          <w:rFonts w:asciiTheme="majorHAnsi" w:hAnsiTheme="majorHAnsi" w:cs="Times New Roman"/>
          <w:sz w:val="20"/>
          <w:szCs w:val="20"/>
        </w:rPr>
        <w:t xml:space="preserve"> model and the </w:t>
      </w:r>
      <w:proofErr w:type="spellStart"/>
      <w:r w:rsidR="005B4D91" w:rsidRPr="00D45B1E">
        <w:rPr>
          <w:rFonts w:asciiTheme="majorHAnsi" w:hAnsiTheme="majorHAnsi" w:cs="Times New Roman"/>
          <w:sz w:val="20"/>
          <w:szCs w:val="20"/>
        </w:rPr>
        <w:t>Resindicis</w:t>
      </w:r>
      <w:proofErr w:type="spellEnd"/>
      <w:r w:rsidR="005B4D91" w:rsidRPr="00D45B1E">
        <w:rPr>
          <w:rFonts w:asciiTheme="majorHAnsi" w:hAnsiTheme="majorHAnsi" w:cs="Times New Roman"/>
          <w:sz w:val="20"/>
          <w:szCs w:val="20"/>
        </w:rPr>
        <w:t xml:space="preserve"> index, which operationalise the resilience measure</w:t>
      </w:r>
      <w:r w:rsidRPr="00D45B1E">
        <w:rPr>
          <w:rFonts w:asciiTheme="majorHAnsi" w:hAnsiTheme="majorHAnsi" w:cs="Times New Roman"/>
          <w:sz w:val="20"/>
          <w:szCs w:val="20"/>
        </w:rPr>
        <w:t xml:space="preserve"> from the national to the city scale. The ability of </w:t>
      </w:r>
      <w:r w:rsidR="005B4D91" w:rsidRPr="00D45B1E">
        <w:rPr>
          <w:rFonts w:asciiTheme="majorHAnsi" w:hAnsiTheme="majorHAnsi" w:cs="Times New Roman"/>
          <w:sz w:val="20"/>
          <w:szCs w:val="20"/>
        </w:rPr>
        <w:t>customised</w:t>
      </w:r>
      <w:r w:rsidRPr="00D45B1E">
        <w:rPr>
          <w:rFonts w:asciiTheme="majorHAnsi" w:hAnsiTheme="majorHAnsi" w:cs="Times New Roman"/>
          <w:sz w:val="20"/>
          <w:szCs w:val="20"/>
        </w:rPr>
        <w:t xml:space="preserve"> quantitative metrics to pinpoint and articulate resilience policy to address gaps has been stressed. For instance, McKnight and Rucci (2020) identified </w:t>
      </w:r>
      <w:r w:rsidR="005B4D91" w:rsidRPr="00D45B1E">
        <w:rPr>
          <w:rFonts w:asciiTheme="majorHAnsi" w:hAnsiTheme="majorHAnsi" w:cs="Times New Roman"/>
          <w:sz w:val="20"/>
          <w:szCs w:val="20"/>
        </w:rPr>
        <w:t>cross-country differences in resilience, especially at the household level, particularly among households with low savings or high debt</w:t>
      </w:r>
      <w:r w:rsidRPr="00D45B1E">
        <w:rPr>
          <w:rFonts w:asciiTheme="majorHAnsi" w:hAnsiTheme="majorHAnsi" w:cs="Times New Roman"/>
          <w:sz w:val="20"/>
          <w:szCs w:val="20"/>
        </w:rPr>
        <w:t>. So did Hamid et al.</w:t>
      </w:r>
    </w:p>
    <w:p w14:paraId="326122A2" w14:textId="77777777" w:rsidR="00F60537" w:rsidRPr="00D45B1E" w:rsidRDefault="00F60537" w:rsidP="00F60537">
      <w:pPr>
        <w:spacing w:after="0" w:line="240" w:lineRule="auto"/>
        <w:jc w:val="both"/>
        <w:rPr>
          <w:rFonts w:asciiTheme="majorHAnsi" w:hAnsiTheme="majorHAnsi" w:cs="Times New Roman"/>
          <w:sz w:val="20"/>
          <w:szCs w:val="20"/>
        </w:rPr>
      </w:pPr>
    </w:p>
    <w:p w14:paraId="537A7632" w14:textId="77777777"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(2023) approximated and mentioned that strategic financial management and investment on the ground may enhance financial resilience. </w:t>
      </w:r>
    </w:p>
    <w:p w14:paraId="1C1531BC" w14:textId="77777777" w:rsidR="00F60537" w:rsidRPr="00D45B1E" w:rsidRDefault="00F60537" w:rsidP="00F60537">
      <w:pPr>
        <w:spacing w:after="0" w:line="240" w:lineRule="auto"/>
        <w:jc w:val="both"/>
        <w:rPr>
          <w:rFonts w:asciiTheme="majorHAnsi" w:hAnsiTheme="majorHAnsi" w:cs="Times New Roman"/>
          <w:sz w:val="20"/>
          <w:szCs w:val="20"/>
        </w:rPr>
      </w:pPr>
    </w:p>
    <w:p w14:paraId="7421BD67" w14:textId="3C36201B"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The role of financial education on financial prudence has also been explored. </w:t>
      </w:r>
      <w:proofErr w:type="spellStart"/>
      <w:r w:rsidRPr="00D45B1E">
        <w:rPr>
          <w:rFonts w:asciiTheme="majorHAnsi" w:hAnsiTheme="majorHAnsi" w:cs="Times New Roman"/>
          <w:sz w:val="20"/>
          <w:szCs w:val="20"/>
        </w:rPr>
        <w:t>Setyorini</w:t>
      </w:r>
      <w:proofErr w:type="spellEnd"/>
      <w:r w:rsidRPr="00D45B1E">
        <w:rPr>
          <w:rFonts w:asciiTheme="majorHAnsi" w:hAnsiTheme="majorHAnsi" w:cs="Times New Roman"/>
          <w:sz w:val="20"/>
          <w:szCs w:val="20"/>
        </w:rPr>
        <w:t xml:space="preserve"> et al. (2021) indicate that financial literacy and planning are the most important channels through which </w:t>
      </w:r>
      <w:r w:rsidR="005B4D91" w:rsidRPr="00D45B1E">
        <w:rPr>
          <w:rFonts w:asciiTheme="majorHAnsi" w:hAnsiTheme="majorHAnsi" w:cs="Times New Roman"/>
          <w:sz w:val="20"/>
          <w:szCs w:val="20"/>
        </w:rPr>
        <w:t>household financial resilience is strengthened, as it manifests in sound</w:t>
      </w:r>
      <w:r w:rsidRPr="00D45B1E">
        <w:rPr>
          <w:rFonts w:asciiTheme="majorHAnsi" w:hAnsiTheme="majorHAnsi" w:cs="Times New Roman"/>
          <w:sz w:val="20"/>
          <w:szCs w:val="20"/>
        </w:rPr>
        <w:t xml:space="preserve"> financial conduct. Lusardi et al. (2021) corroborated this, as financial vulnerability in poverty-stricken black households is in part the result of insufficient financial literacy. This indicates that the quality of financial education </w:t>
      </w:r>
      <w:r w:rsidR="005B4D91" w:rsidRPr="00D45B1E">
        <w:rPr>
          <w:rFonts w:asciiTheme="majorHAnsi" w:hAnsiTheme="majorHAnsi" w:cs="Times New Roman"/>
          <w:sz w:val="20"/>
          <w:szCs w:val="20"/>
        </w:rPr>
        <w:t xml:space="preserve">can empower people to respond effectively </w:t>
      </w:r>
      <w:r w:rsidRPr="00D45B1E">
        <w:rPr>
          <w:rFonts w:asciiTheme="majorHAnsi" w:hAnsiTheme="majorHAnsi" w:cs="Times New Roman"/>
          <w:sz w:val="20"/>
          <w:szCs w:val="20"/>
        </w:rPr>
        <w:t xml:space="preserve">to the economic crisis. </w:t>
      </w:r>
    </w:p>
    <w:p w14:paraId="4D6C1CE4" w14:textId="77777777" w:rsidR="00F60537" w:rsidRPr="00D45B1E" w:rsidRDefault="00F60537" w:rsidP="00F60537">
      <w:pPr>
        <w:spacing w:after="0" w:line="240" w:lineRule="auto"/>
        <w:jc w:val="both"/>
        <w:rPr>
          <w:rFonts w:asciiTheme="majorHAnsi" w:hAnsiTheme="majorHAnsi" w:cs="Times New Roman"/>
          <w:sz w:val="20"/>
          <w:szCs w:val="20"/>
        </w:rPr>
      </w:pPr>
    </w:p>
    <w:p w14:paraId="479D3610" w14:textId="49DAFDAE"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The impact of other non-financial variables, such as cognitive skills and psychological resilience, on financial resilience has also been explored by Mundi and Vashisht (2023). They posit that cognitive skills and demographic attributes</w:t>
      </w:r>
      <w:r w:rsidR="005B4D91" w:rsidRPr="00D45B1E">
        <w:rPr>
          <w:rFonts w:asciiTheme="majorHAnsi" w:hAnsiTheme="majorHAnsi" w:cs="Times New Roman"/>
          <w:sz w:val="20"/>
          <w:szCs w:val="20"/>
        </w:rPr>
        <w:t>, such as gender and education, are important in defining financial resilience at the</w:t>
      </w:r>
      <w:r w:rsidRPr="00D45B1E">
        <w:rPr>
          <w:rFonts w:asciiTheme="majorHAnsi" w:hAnsiTheme="majorHAnsi" w:cs="Times New Roman"/>
          <w:sz w:val="20"/>
          <w:szCs w:val="20"/>
        </w:rPr>
        <w:t xml:space="preserve"> individual level among millennials and single parents. Accordingly, the </w:t>
      </w:r>
      <w:r w:rsidR="005B4D91" w:rsidRPr="00D45B1E">
        <w:rPr>
          <w:rFonts w:asciiTheme="majorHAnsi" w:hAnsiTheme="majorHAnsi" w:cs="Times New Roman"/>
          <w:sz w:val="20"/>
          <w:szCs w:val="20"/>
        </w:rPr>
        <w:t>study's findings</w:t>
      </w:r>
      <w:r w:rsidRPr="00D45B1E">
        <w:rPr>
          <w:rFonts w:asciiTheme="majorHAnsi" w:hAnsiTheme="majorHAnsi" w:cs="Times New Roman"/>
          <w:sz w:val="20"/>
          <w:szCs w:val="20"/>
        </w:rPr>
        <w:t xml:space="preserve"> proposed policies </w:t>
      </w:r>
      <w:r w:rsidR="005B4D91" w:rsidRPr="00D45B1E">
        <w:rPr>
          <w:rFonts w:asciiTheme="majorHAnsi" w:hAnsiTheme="majorHAnsi" w:cs="Times New Roman"/>
          <w:sz w:val="20"/>
          <w:szCs w:val="20"/>
        </w:rPr>
        <w:t>to enhance financial literacy and</w:t>
      </w:r>
      <w:r w:rsidRPr="00D45B1E">
        <w:rPr>
          <w:rFonts w:asciiTheme="majorHAnsi" w:hAnsiTheme="majorHAnsi" w:cs="Times New Roman"/>
          <w:sz w:val="20"/>
          <w:szCs w:val="20"/>
        </w:rPr>
        <w:t xml:space="preserve"> shield vulnerable populations from the abusive use of sophisticated financial instruments and the ensnarement of debt. </w:t>
      </w:r>
    </w:p>
    <w:p w14:paraId="752FD87B" w14:textId="77777777" w:rsidR="00F60537" w:rsidRPr="00D45B1E" w:rsidRDefault="00F60537" w:rsidP="00F60537">
      <w:pPr>
        <w:spacing w:after="0" w:line="240" w:lineRule="auto"/>
        <w:jc w:val="both"/>
        <w:rPr>
          <w:rFonts w:asciiTheme="majorHAnsi" w:hAnsiTheme="majorHAnsi" w:cs="Times New Roman"/>
          <w:sz w:val="20"/>
          <w:szCs w:val="20"/>
        </w:rPr>
      </w:pPr>
    </w:p>
    <w:p w14:paraId="4790CA43" w14:textId="4334E71C"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It is also closely related to the concept of personal financial management behaviours described by Goyal et al. (2021). They, however, posited that PFMB </w:t>
      </w:r>
      <w:r w:rsidR="005B4D91" w:rsidRPr="00D45B1E">
        <w:rPr>
          <w:rFonts w:asciiTheme="majorHAnsi" w:hAnsiTheme="majorHAnsi" w:cs="Times New Roman"/>
          <w:sz w:val="20"/>
          <w:szCs w:val="20"/>
        </w:rPr>
        <w:t>notably</w:t>
      </w:r>
      <w:r w:rsidRPr="00D45B1E">
        <w:rPr>
          <w:rFonts w:asciiTheme="majorHAnsi" w:hAnsiTheme="majorHAnsi" w:cs="Times New Roman"/>
          <w:sz w:val="20"/>
          <w:szCs w:val="20"/>
        </w:rPr>
        <w:t xml:space="preserve"> drove financial satisfaction, resilience, and well-being.</w:t>
      </w:r>
    </w:p>
    <w:p w14:paraId="18AC559E" w14:textId="77777777" w:rsidR="00F60537" w:rsidRPr="00D45B1E" w:rsidRDefault="00F60537" w:rsidP="00F60537">
      <w:pPr>
        <w:spacing w:after="0" w:line="240" w:lineRule="auto"/>
        <w:jc w:val="both"/>
        <w:rPr>
          <w:rFonts w:asciiTheme="majorHAnsi" w:hAnsiTheme="majorHAnsi" w:cs="Times New Roman"/>
          <w:sz w:val="20"/>
          <w:szCs w:val="20"/>
        </w:rPr>
      </w:pPr>
    </w:p>
    <w:p w14:paraId="265D49BE" w14:textId="223DBAA0"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Multiple factors contribute to PFMB, including demographics, psychology, and socioeconomic status. It is also proposed that improving PBMF also improves financial resilience. Johnston et al. (2021) noted self-efficacy as one of the noncognitive skills, which, </w:t>
      </w:r>
      <w:r w:rsidR="005B4D91" w:rsidRPr="00D45B1E">
        <w:rPr>
          <w:rFonts w:asciiTheme="majorHAnsi" w:hAnsiTheme="majorHAnsi" w:cs="Times New Roman"/>
          <w:sz w:val="20"/>
          <w:szCs w:val="20"/>
        </w:rPr>
        <w:t>according to their findings, is significant for</w:t>
      </w:r>
      <w:r w:rsidRPr="00D45B1E">
        <w:rPr>
          <w:rFonts w:asciiTheme="majorHAnsi" w:hAnsiTheme="majorHAnsi" w:cs="Times New Roman"/>
          <w:sz w:val="20"/>
          <w:szCs w:val="20"/>
        </w:rPr>
        <w:t xml:space="preserve"> psychological resilience. They also </w:t>
      </w:r>
      <w:r w:rsidR="005B4D91" w:rsidRPr="00D45B1E">
        <w:rPr>
          <w:rFonts w:asciiTheme="majorHAnsi" w:hAnsiTheme="majorHAnsi" w:cs="Times New Roman"/>
          <w:sz w:val="20"/>
          <w:szCs w:val="20"/>
        </w:rPr>
        <w:t>emphasised</w:t>
      </w:r>
      <w:r w:rsidRPr="00D45B1E">
        <w:rPr>
          <w:rFonts w:asciiTheme="majorHAnsi" w:hAnsiTheme="majorHAnsi" w:cs="Times New Roman"/>
          <w:sz w:val="20"/>
          <w:szCs w:val="20"/>
        </w:rPr>
        <w:t xml:space="preserve"> that financial resources are not the only factors that guarantee resilience. </w:t>
      </w:r>
    </w:p>
    <w:p w14:paraId="63E2D277" w14:textId="77777777" w:rsidR="00F60537" w:rsidRPr="00D45B1E" w:rsidRDefault="00F60537" w:rsidP="00F60537">
      <w:pPr>
        <w:spacing w:after="0" w:line="240" w:lineRule="auto"/>
        <w:jc w:val="both"/>
        <w:rPr>
          <w:rFonts w:asciiTheme="majorHAnsi" w:hAnsiTheme="majorHAnsi" w:cs="Times New Roman"/>
          <w:sz w:val="20"/>
          <w:szCs w:val="20"/>
        </w:rPr>
      </w:pPr>
    </w:p>
    <w:p w14:paraId="0FB11446" w14:textId="094245D0" w:rsidR="00F60537" w:rsidRPr="00D45B1E" w:rsidRDefault="005B4D91"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In the financial resiliency theory, </w:t>
      </w:r>
      <w:proofErr w:type="spellStart"/>
      <w:r w:rsidRPr="00D45B1E">
        <w:rPr>
          <w:rFonts w:asciiTheme="majorHAnsi" w:hAnsiTheme="majorHAnsi" w:cs="Times New Roman"/>
          <w:sz w:val="20"/>
          <w:szCs w:val="20"/>
        </w:rPr>
        <w:t>Pandin</w:t>
      </w:r>
      <w:proofErr w:type="spellEnd"/>
      <w:r w:rsidRPr="00D45B1E">
        <w:rPr>
          <w:rFonts w:asciiTheme="majorHAnsi" w:hAnsiTheme="majorHAnsi" w:cs="Times New Roman"/>
          <w:sz w:val="20"/>
          <w:szCs w:val="20"/>
        </w:rPr>
        <w:t xml:space="preserve"> et al. (2023) introduced adaptive and transformative financial strategies</w:t>
      </w:r>
      <w:r w:rsidR="00F60537" w:rsidRPr="00D45B1E">
        <w:rPr>
          <w:rFonts w:asciiTheme="majorHAnsi" w:hAnsiTheme="majorHAnsi" w:cs="Times New Roman"/>
          <w:sz w:val="20"/>
          <w:szCs w:val="20"/>
        </w:rPr>
        <w:t xml:space="preserve">. They </w:t>
      </w:r>
      <w:r w:rsidRPr="00D45B1E">
        <w:rPr>
          <w:rFonts w:asciiTheme="majorHAnsi" w:hAnsiTheme="majorHAnsi" w:cs="Times New Roman"/>
          <w:sz w:val="20"/>
          <w:szCs w:val="20"/>
        </w:rPr>
        <w:t>emphasise the importance of temporality</w:t>
      </w:r>
      <w:r w:rsidR="00F60537" w:rsidRPr="00D45B1E">
        <w:rPr>
          <w:rFonts w:asciiTheme="majorHAnsi" w:hAnsiTheme="majorHAnsi" w:cs="Times New Roman"/>
          <w:sz w:val="20"/>
          <w:szCs w:val="20"/>
        </w:rPr>
        <w:t xml:space="preserve"> and flexibility in household financial management, particularly during crises. The outcome demonstrated that households must </w:t>
      </w:r>
      <w:r w:rsidRPr="00D45B1E">
        <w:rPr>
          <w:rFonts w:asciiTheme="majorHAnsi" w:hAnsiTheme="majorHAnsi" w:cs="Times New Roman"/>
          <w:sz w:val="20"/>
          <w:szCs w:val="20"/>
        </w:rPr>
        <w:t>re-</w:t>
      </w:r>
      <w:proofErr w:type="spellStart"/>
      <w:r w:rsidRPr="00D45B1E">
        <w:rPr>
          <w:rFonts w:asciiTheme="majorHAnsi" w:hAnsiTheme="majorHAnsi" w:cs="Times New Roman"/>
          <w:sz w:val="20"/>
          <w:szCs w:val="20"/>
        </w:rPr>
        <w:t>strategise</w:t>
      </w:r>
      <w:proofErr w:type="spellEnd"/>
      <w:r w:rsidR="00F60537" w:rsidRPr="00D45B1E">
        <w:rPr>
          <w:rFonts w:asciiTheme="majorHAnsi" w:hAnsiTheme="majorHAnsi" w:cs="Times New Roman"/>
          <w:sz w:val="20"/>
          <w:szCs w:val="20"/>
        </w:rPr>
        <w:t xml:space="preserve"> their finances </w:t>
      </w:r>
      <w:r w:rsidRPr="00D45B1E">
        <w:rPr>
          <w:rFonts w:asciiTheme="majorHAnsi" w:hAnsiTheme="majorHAnsi" w:cs="Times New Roman"/>
          <w:sz w:val="20"/>
          <w:szCs w:val="20"/>
        </w:rPr>
        <w:t>to maintain</w:t>
      </w:r>
      <w:r w:rsidR="00F60537" w:rsidRPr="00D45B1E">
        <w:rPr>
          <w:rFonts w:asciiTheme="majorHAnsi" w:hAnsiTheme="majorHAnsi" w:cs="Times New Roman"/>
          <w:sz w:val="20"/>
          <w:szCs w:val="20"/>
        </w:rPr>
        <w:t xml:space="preserve"> consistency during economic disruptions. It also reaffirmed the fundamental, intricate, and dynamic interrelation in the triad or system of financial resilience, encompassing financial, psychological, and social elements. </w:t>
      </w:r>
    </w:p>
    <w:p w14:paraId="17636A45" w14:textId="77777777" w:rsidR="00F60537" w:rsidRPr="00D45B1E" w:rsidRDefault="00F60537" w:rsidP="00F60537">
      <w:pPr>
        <w:spacing w:after="0" w:line="240" w:lineRule="auto"/>
        <w:jc w:val="both"/>
        <w:rPr>
          <w:rFonts w:asciiTheme="majorHAnsi" w:hAnsiTheme="majorHAnsi" w:cs="Times New Roman"/>
          <w:sz w:val="20"/>
          <w:szCs w:val="20"/>
        </w:rPr>
      </w:pPr>
    </w:p>
    <w:p w14:paraId="5BF08C51" w14:textId="60AE5769" w:rsidR="00F60537" w:rsidRPr="00D45B1E" w:rsidRDefault="00F60537" w:rsidP="00F60537">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Based on the </w:t>
      </w:r>
      <w:r w:rsidR="005B4D91" w:rsidRPr="00D45B1E">
        <w:rPr>
          <w:rFonts w:asciiTheme="majorHAnsi" w:hAnsiTheme="majorHAnsi" w:cs="Times New Roman"/>
          <w:sz w:val="20"/>
          <w:szCs w:val="20"/>
        </w:rPr>
        <w:t>literature review, the need to develop</w:t>
      </w:r>
      <w:r w:rsidRPr="00D45B1E">
        <w:rPr>
          <w:rFonts w:asciiTheme="majorHAnsi" w:hAnsiTheme="majorHAnsi" w:cs="Times New Roman"/>
          <w:sz w:val="20"/>
          <w:szCs w:val="20"/>
        </w:rPr>
        <w:t xml:space="preserve"> global resilience strategies is clear. Enabling individuals and communities to counter the socioeconomic crises, both in financial and nonfinancial aspects, is of utmost importance.</w:t>
      </w:r>
    </w:p>
    <w:p w14:paraId="62CEB68A" w14:textId="77777777" w:rsidR="00835F62" w:rsidRPr="00D45B1E" w:rsidRDefault="00835F62" w:rsidP="0048350C">
      <w:pPr>
        <w:spacing w:after="0" w:line="240" w:lineRule="auto"/>
        <w:jc w:val="both"/>
        <w:rPr>
          <w:rFonts w:asciiTheme="majorHAnsi" w:hAnsiTheme="majorHAnsi" w:cs="Times New Roman"/>
          <w:sz w:val="20"/>
          <w:szCs w:val="20"/>
        </w:rPr>
      </w:pPr>
    </w:p>
    <w:p w14:paraId="6C5704A4" w14:textId="6FCAB741" w:rsidR="00835F62" w:rsidRPr="00D45B1E" w:rsidRDefault="00835F62" w:rsidP="0048350C">
      <w:pPr>
        <w:spacing w:after="0" w:line="240" w:lineRule="auto"/>
        <w:jc w:val="both"/>
        <w:rPr>
          <w:rFonts w:asciiTheme="majorHAnsi" w:hAnsiTheme="majorHAnsi" w:cs="Times New Roman"/>
          <w:sz w:val="20"/>
          <w:szCs w:val="20"/>
        </w:rPr>
      </w:pPr>
    </w:p>
    <w:p w14:paraId="55AA183F" w14:textId="680C579C" w:rsidR="00835F62" w:rsidRPr="00D45B1E" w:rsidRDefault="00985A8A" w:rsidP="0048350C">
      <w:pPr>
        <w:spacing w:after="0" w:line="240" w:lineRule="auto"/>
        <w:jc w:val="both"/>
        <w:rPr>
          <w:rFonts w:asciiTheme="majorHAnsi" w:hAnsiTheme="majorHAnsi" w:cs="Times New Roman"/>
          <w:sz w:val="20"/>
          <w:szCs w:val="20"/>
        </w:rPr>
      </w:pPr>
      <w:r w:rsidRPr="00D45B1E">
        <w:rPr>
          <w:rFonts w:asciiTheme="majorHAnsi" w:hAnsiTheme="majorHAnsi" w:cs="Times New Roman"/>
          <w:noProof/>
          <w:sz w:val="20"/>
          <w:szCs w:val="20"/>
        </w:rPr>
        <mc:AlternateContent>
          <mc:Choice Requires="wpg">
            <w:drawing>
              <wp:anchor distT="0" distB="0" distL="114300" distR="114300" simplePos="0" relativeHeight="251677696" behindDoc="0" locked="0" layoutInCell="1" allowOverlap="1" wp14:anchorId="3C89F62E" wp14:editId="5B9B0A84">
                <wp:simplePos x="0" y="0"/>
                <wp:positionH relativeFrom="column">
                  <wp:posOffset>297180</wp:posOffset>
                </wp:positionH>
                <wp:positionV relativeFrom="paragraph">
                  <wp:posOffset>156210</wp:posOffset>
                </wp:positionV>
                <wp:extent cx="5173980" cy="2636520"/>
                <wp:effectExtent l="0" t="0" r="26670" b="11430"/>
                <wp:wrapNone/>
                <wp:docPr id="1322711209" name="Group 9"/>
                <wp:cNvGraphicFramePr/>
                <a:graphic xmlns:a="http://schemas.openxmlformats.org/drawingml/2006/main">
                  <a:graphicData uri="http://schemas.microsoft.com/office/word/2010/wordprocessingGroup">
                    <wpg:wgp>
                      <wpg:cNvGrpSpPr/>
                      <wpg:grpSpPr>
                        <a:xfrm>
                          <a:off x="0" y="0"/>
                          <a:ext cx="5173980" cy="2636520"/>
                          <a:chOff x="0" y="0"/>
                          <a:chExt cx="5173980" cy="2636520"/>
                        </a:xfrm>
                      </wpg:grpSpPr>
                      <wps:wsp>
                        <wps:cNvPr id="301526919" name="Rectangle 1"/>
                        <wps:cNvSpPr/>
                        <wps:spPr>
                          <a:xfrm>
                            <a:off x="3695700" y="0"/>
                            <a:ext cx="1478280" cy="502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E9AD07" w14:textId="70DA3583" w:rsidR="00835F62" w:rsidRPr="007B00F5" w:rsidRDefault="00835F62" w:rsidP="00835F62">
                              <w:pPr>
                                <w:tabs>
                                  <w:tab w:val="left" w:pos="0"/>
                                  <w:tab w:val="left" w:pos="284"/>
                                </w:tabs>
                                <w:ind w:hanging="284"/>
                                <w:jc w:val="center"/>
                              </w:pPr>
                              <w:r w:rsidRPr="007B00F5">
                                <w:rPr>
                                  <w:rFonts w:ascii="Times New Roman" w:hAnsi="Times New Roman" w:cs="Times New Roman"/>
                                  <w:sz w:val="24"/>
                                  <w:szCs w:val="24"/>
                                </w:rPr>
                                <w:t xml:space="preserve">PERSONAL FINANCIAL RESILIENCE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477074" name="Rectangle 1"/>
                        <wps:cNvSpPr/>
                        <wps:spPr>
                          <a:xfrm>
                            <a:off x="3642360" y="853440"/>
                            <a:ext cx="1478280" cy="1714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18CBF6" w14:textId="77777777" w:rsidR="00835F62" w:rsidRPr="007B00F5" w:rsidRDefault="00835F62" w:rsidP="00835F62">
                              <w:pPr>
                                <w:spacing w:after="0" w:line="240" w:lineRule="auto"/>
                                <w:jc w:val="both"/>
                                <w:rPr>
                                  <w:rFonts w:ascii="Times New Roman" w:hAnsi="Times New Roman" w:cs="Times New Roman"/>
                                  <w:sz w:val="24"/>
                                  <w:szCs w:val="24"/>
                                </w:rPr>
                              </w:pPr>
                              <w:r w:rsidRPr="007B00F5">
                                <w:rPr>
                                  <w:rFonts w:ascii="Times New Roman" w:hAnsi="Times New Roman" w:cs="Times New Roman"/>
                                  <w:sz w:val="24"/>
                                  <w:szCs w:val="24"/>
                                </w:rPr>
                                <w:t xml:space="preserve">Social Support Network (SSN), </w:t>
                              </w:r>
                            </w:p>
                            <w:p w14:paraId="1775C973" w14:textId="77777777" w:rsidR="00835F62" w:rsidRPr="007B00F5" w:rsidRDefault="00835F62" w:rsidP="00835F62">
                              <w:pPr>
                                <w:spacing w:after="0" w:line="240" w:lineRule="auto"/>
                                <w:jc w:val="both"/>
                                <w:rPr>
                                  <w:rFonts w:ascii="Times New Roman" w:hAnsi="Times New Roman" w:cs="Times New Roman"/>
                                  <w:sz w:val="24"/>
                                  <w:szCs w:val="24"/>
                                </w:rPr>
                              </w:pPr>
                            </w:p>
                            <w:p w14:paraId="0A520C45" w14:textId="77777777" w:rsidR="00835F62" w:rsidRPr="007B00F5" w:rsidRDefault="00835F62" w:rsidP="00835F62">
                              <w:pPr>
                                <w:spacing w:after="0" w:line="240" w:lineRule="auto"/>
                                <w:jc w:val="both"/>
                                <w:rPr>
                                  <w:rFonts w:ascii="Times New Roman" w:hAnsi="Times New Roman" w:cs="Times New Roman"/>
                                  <w:sz w:val="24"/>
                                  <w:szCs w:val="24"/>
                                </w:rPr>
                              </w:pPr>
                              <w:r w:rsidRPr="007B00F5">
                                <w:rPr>
                                  <w:rFonts w:ascii="Times New Roman" w:hAnsi="Times New Roman" w:cs="Times New Roman"/>
                                  <w:sz w:val="24"/>
                                  <w:szCs w:val="24"/>
                                </w:rPr>
                                <w:t xml:space="preserve">Low Debt Level (LDL), </w:t>
                              </w:r>
                            </w:p>
                            <w:p w14:paraId="0085A5B0" w14:textId="77777777" w:rsidR="00835F62" w:rsidRPr="007B00F5" w:rsidRDefault="00835F62" w:rsidP="00835F62">
                              <w:pPr>
                                <w:spacing w:after="0" w:line="240" w:lineRule="auto"/>
                                <w:jc w:val="both"/>
                                <w:rPr>
                                  <w:rFonts w:ascii="Times New Roman" w:hAnsi="Times New Roman" w:cs="Times New Roman"/>
                                  <w:sz w:val="24"/>
                                  <w:szCs w:val="24"/>
                                </w:rPr>
                              </w:pPr>
                            </w:p>
                            <w:p w14:paraId="5B7BB994" w14:textId="08AD6EF0" w:rsidR="00835F62" w:rsidRPr="007B00F5" w:rsidRDefault="00835F62" w:rsidP="00835F62">
                              <w:pPr>
                                <w:spacing w:after="0" w:line="240" w:lineRule="auto"/>
                                <w:jc w:val="both"/>
                                <w:rPr>
                                  <w:rFonts w:ascii="Times New Roman" w:hAnsi="Times New Roman" w:cs="Times New Roman"/>
                                  <w:sz w:val="24"/>
                                  <w:szCs w:val="24"/>
                                </w:rPr>
                              </w:pPr>
                              <w:r w:rsidRPr="007B00F5">
                                <w:rPr>
                                  <w:rFonts w:ascii="Times New Roman" w:hAnsi="Times New Roman" w:cs="Times New Roman"/>
                                  <w:sz w:val="24"/>
                                  <w:szCs w:val="24"/>
                                </w:rPr>
                                <w:t xml:space="preserve"> Emergency Savings (ES). </w:t>
                              </w:r>
                            </w:p>
                            <w:p w14:paraId="5E7F2401" w14:textId="77777777" w:rsidR="00835F62" w:rsidRPr="007B00F5" w:rsidRDefault="00835F62" w:rsidP="00835F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03719106" name="Group 8"/>
                        <wpg:cNvGrpSpPr/>
                        <wpg:grpSpPr>
                          <a:xfrm>
                            <a:off x="0" y="22860"/>
                            <a:ext cx="3695700" cy="2613660"/>
                            <a:chOff x="0" y="0"/>
                            <a:chExt cx="3695700" cy="2613660"/>
                          </a:xfrm>
                        </wpg:grpSpPr>
                        <wps:wsp>
                          <wps:cNvPr id="1578589435" name="Rectangle 1"/>
                          <wps:cNvSpPr/>
                          <wps:spPr>
                            <a:xfrm>
                              <a:off x="0" y="792480"/>
                              <a:ext cx="1699260" cy="5334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E91443" w14:textId="77777777" w:rsidR="00835F62" w:rsidRPr="007B00F5" w:rsidRDefault="00835F62" w:rsidP="00835F62">
                                <w:pPr>
                                  <w:jc w:val="center"/>
                                  <w:rPr>
                                    <w:rFonts w:ascii="Times New Roman" w:hAnsi="Times New Roman" w:cs="Times New Roman"/>
                                    <w:sz w:val="24"/>
                                    <w:szCs w:val="24"/>
                                  </w:rPr>
                                </w:pPr>
                                <w:r w:rsidRPr="007B00F5">
                                  <w:rPr>
                                    <w:rFonts w:ascii="Times New Roman" w:hAnsi="Times New Roman" w:cs="Times New Roman"/>
                                    <w:sz w:val="24"/>
                                    <w:szCs w:val="24"/>
                                  </w:rPr>
                                  <w:t xml:space="preserve">Poverty and Inequality (PI),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822143" name="Rectangle 1"/>
                          <wps:cNvSpPr/>
                          <wps:spPr>
                            <a:xfrm>
                              <a:off x="0" y="0"/>
                              <a:ext cx="1638300" cy="556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271257" w14:textId="77AA7702" w:rsidR="00835F62" w:rsidRPr="007B00F5" w:rsidRDefault="00835F62" w:rsidP="00835F62">
                                <w:pPr>
                                  <w:jc w:val="center"/>
                                </w:pPr>
                                <w:r w:rsidRPr="007B00F5">
                                  <w:rPr>
                                    <w:rFonts w:ascii="Times New Roman" w:hAnsi="Times New Roman" w:cs="Times New Roman"/>
                                    <w:sz w:val="24"/>
                                    <w:szCs w:val="24"/>
                                  </w:rPr>
                                  <w:t xml:space="preserve">SOCIO-ECONOMIC CRISIS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549960" name="Rectangle 1"/>
                          <wps:cNvSpPr/>
                          <wps:spPr>
                            <a:xfrm>
                              <a:off x="0" y="1485900"/>
                              <a:ext cx="1699260" cy="38862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F39826" w14:textId="77777777" w:rsidR="00835F62" w:rsidRPr="007B00F5" w:rsidRDefault="00835F62" w:rsidP="00835F62">
                                <w:pPr>
                                  <w:jc w:val="center"/>
                                  <w:rPr>
                                    <w:rFonts w:ascii="Times New Roman" w:hAnsi="Times New Roman" w:cs="Times New Roman"/>
                                    <w:sz w:val="24"/>
                                    <w:szCs w:val="24"/>
                                  </w:rPr>
                                </w:pPr>
                                <w:r w:rsidRPr="007B00F5">
                                  <w:rPr>
                                    <w:rFonts w:ascii="Times New Roman" w:hAnsi="Times New Roman" w:cs="Times New Roman"/>
                                    <w:sz w:val="24"/>
                                    <w:szCs w:val="24"/>
                                  </w:rPr>
                                  <w:t xml:space="preserve">Health Crisis (HC), </w:t>
                                </w:r>
                              </w:p>
                              <w:p w14:paraId="6456F329" w14:textId="472FFC6C" w:rsidR="00835F62" w:rsidRPr="007B00F5" w:rsidRDefault="00835F62" w:rsidP="00835F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7461352" name="Rectangle 1"/>
                          <wps:cNvSpPr/>
                          <wps:spPr>
                            <a:xfrm>
                              <a:off x="0" y="2133600"/>
                              <a:ext cx="1699260" cy="48006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1AC7FF" w14:textId="77777777" w:rsidR="00835F62" w:rsidRPr="007B00F5" w:rsidRDefault="00835F62" w:rsidP="00835F62">
                                <w:pPr>
                                  <w:jc w:val="center"/>
                                </w:pPr>
                                <w:r w:rsidRPr="007B00F5">
                                  <w:rPr>
                                    <w:rFonts w:ascii="Times New Roman" w:hAnsi="Times New Roman" w:cs="Times New Roman"/>
                                    <w:sz w:val="24"/>
                                    <w:szCs w:val="24"/>
                                  </w:rPr>
                                  <w:t xml:space="preserve">Income and Job Instability (IJI). </w:t>
                                </w:r>
                              </w:p>
                              <w:p w14:paraId="605313DC" w14:textId="019C52A2" w:rsidR="00835F62" w:rsidRPr="007B00F5" w:rsidRDefault="00835F62" w:rsidP="00835F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046808" name="Straight Arrow Connector 2"/>
                          <wps:cNvCnPr/>
                          <wps:spPr>
                            <a:xfrm>
                              <a:off x="1638300" y="381000"/>
                              <a:ext cx="2057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4323352" name="Straight Arrow Connector 3"/>
                          <wps:cNvCnPr/>
                          <wps:spPr>
                            <a:xfrm>
                              <a:off x="1668780" y="1082040"/>
                              <a:ext cx="1927860" cy="403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2892539" name="Straight Arrow Connector 4"/>
                          <wps:cNvCnPr/>
                          <wps:spPr>
                            <a:xfrm flipV="1">
                              <a:off x="1737360" y="1584960"/>
                              <a:ext cx="1905000" cy="83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9743302" name="Straight Arrow Connector 5"/>
                          <wps:cNvCnPr/>
                          <wps:spPr>
                            <a:xfrm flipV="1">
                              <a:off x="1737360" y="1714500"/>
                              <a:ext cx="1905000" cy="701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3595219" name="Straight Arrow Connector 6"/>
                          <wps:cNvCnPr/>
                          <wps:spPr>
                            <a:xfrm>
                              <a:off x="594360" y="55626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489064426" name="Straight Arrow Connector 7"/>
                        <wps:cNvCnPr/>
                        <wps:spPr>
                          <a:xfrm>
                            <a:off x="4457700" y="502920"/>
                            <a:ext cx="0" cy="350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C89F62E" id="Group 9" o:spid="_x0000_s1026" style="position:absolute;left:0;text-align:left;margin-left:23.4pt;margin-top:12.3pt;width:407.4pt;height:207.6pt;z-index:251677696" coordsize="51739,2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">
                <v:rect id="Rectangle 1" o:spid="_x0000_s1027" style="position:absolute;left:36957;width:14782;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" fillcolor="white [3201]" strokecolor="black [3213]" strokeweight="2pt">
                  <v:textbox>
                    <w:txbxContent>
                      <w:p w14:paraId="6DE9AD07" w14:textId="70DA3583" w:rsidR="00835F62" w:rsidRPr="007B00F5" w:rsidRDefault="00835F62" w:rsidP="00835F62">
                        <w:pPr>
                          <w:tabs>
                            <w:tab w:val="left" w:pos="0"/>
                            <w:tab w:val="left" w:pos="284"/>
                          </w:tabs>
                          <w:ind w:hanging="284"/>
                          <w:jc w:val="center"/>
                        </w:pPr>
                        <w:r w:rsidRPr="007B00F5">
                          <w:rPr>
                            <w:rFonts w:ascii="Times New Roman" w:hAnsi="Times New Roman" w:cs="Times New Roman"/>
                            <w:sz w:val="24"/>
                            <w:szCs w:val="24"/>
                          </w:rPr>
                          <w:t xml:space="preserve">PERSONAL FINANCIAL RESILIENCE </w:t>
                        </w:r>
                      </w:p>
                    </w:txbxContent>
                  </v:textbox>
                </v:rect>
                <v:rect id="Rectangle 1" o:spid="_x0000_s1028" style="position:absolute;left:36423;top:8534;width:14783;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" fillcolor="white [3201]" strokecolor="black [3213]" strokeweight="2pt">
                  <v:textbox>
                    <w:txbxContent>
                      <w:p w14:paraId="6718CBF6" w14:textId="77777777" w:rsidR="00835F62" w:rsidRPr="007B00F5" w:rsidRDefault="00835F62" w:rsidP="00835F62">
                        <w:pPr>
                          <w:spacing w:after="0" w:line="240" w:lineRule="auto"/>
                          <w:jc w:val="both"/>
                          <w:rPr>
                            <w:rFonts w:ascii="Times New Roman" w:hAnsi="Times New Roman" w:cs="Times New Roman"/>
                            <w:sz w:val="24"/>
                            <w:szCs w:val="24"/>
                          </w:rPr>
                        </w:pPr>
                        <w:r w:rsidRPr="007B00F5">
                          <w:rPr>
                            <w:rFonts w:ascii="Times New Roman" w:hAnsi="Times New Roman" w:cs="Times New Roman"/>
                            <w:sz w:val="24"/>
                            <w:szCs w:val="24"/>
                          </w:rPr>
                          <w:t xml:space="preserve">Social Support Network (SSN), </w:t>
                        </w:r>
                      </w:p>
                      <w:p w14:paraId="1775C973" w14:textId="77777777" w:rsidR="00835F62" w:rsidRPr="007B00F5" w:rsidRDefault="00835F62" w:rsidP="00835F62">
                        <w:pPr>
                          <w:spacing w:after="0" w:line="240" w:lineRule="auto"/>
                          <w:jc w:val="both"/>
                          <w:rPr>
                            <w:rFonts w:ascii="Times New Roman" w:hAnsi="Times New Roman" w:cs="Times New Roman"/>
                            <w:sz w:val="24"/>
                            <w:szCs w:val="24"/>
                          </w:rPr>
                        </w:pPr>
                      </w:p>
                      <w:p w14:paraId="0A520C45" w14:textId="77777777" w:rsidR="00835F62" w:rsidRPr="007B00F5" w:rsidRDefault="00835F62" w:rsidP="00835F62">
                        <w:pPr>
                          <w:spacing w:after="0" w:line="240" w:lineRule="auto"/>
                          <w:jc w:val="both"/>
                          <w:rPr>
                            <w:rFonts w:ascii="Times New Roman" w:hAnsi="Times New Roman" w:cs="Times New Roman"/>
                            <w:sz w:val="24"/>
                            <w:szCs w:val="24"/>
                          </w:rPr>
                        </w:pPr>
                        <w:r w:rsidRPr="007B00F5">
                          <w:rPr>
                            <w:rFonts w:ascii="Times New Roman" w:hAnsi="Times New Roman" w:cs="Times New Roman"/>
                            <w:sz w:val="24"/>
                            <w:szCs w:val="24"/>
                          </w:rPr>
                          <w:t xml:space="preserve">Low Debt Level (LDL), </w:t>
                        </w:r>
                      </w:p>
                      <w:p w14:paraId="0085A5B0" w14:textId="77777777" w:rsidR="00835F62" w:rsidRPr="007B00F5" w:rsidRDefault="00835F62" w:rsidP="00835F62">
                        <w:pPr>
                          <w:spacing w:after="0" w:line="240" w:lineRule="auto"/>
                          <w:jc w:val="both"/>
                          <w:rPr>
                            <w:rFonts w:ascii="Times New Roman" w:hAnsi="Times New Roman" w:cs="Times New Roman"/>
                            <w:sz w:val="24"/>
                            <w:szCs w:val="24"/>
                          </w:rPr>
                        </w:pPr>
                      </w:p>
                      <w:p w14:paraId="5B7BB994" w14:textId="08AD6EF0" w:rsidR="00835F62" w:rsidRPr="007B00F5" w:rsidRDefault="00835F62" w:rsidP="00835F62">
                        <w:pPr>
                          <w:spacing w:after="0" w:line="240" w:lineRule="auto"/>
                          <w:jc w:val="both"/>
                          <w:rPr>
                            <w:rFonts w:ascii="Times New Roman" w:hAnsi="Times New Roman" w:cs="Times New Roman"/>
                            <w:sz w:val="24"/>
                            <w:szCs w:val="24"/>
                          </w:rPr>
                        </w:pPr>
                        <w:r w:rsidRPr="007B00F5">
                          <w:rPr>
                            <w:rFonts w:ascii="Times New Roman" w:hAnsi="Times New Roman" w:cs="Times New Roman"/>
                            <w:sz w:val="24"/>
                            <w:szCs w:val="24"/>
                          </w:rPr>
                          <w:t xml:space="preserve"> Emergency Savings (ES). </w:t>
                        </w:r>
                      </w:p>
                      <w:p w14:paraId="5E7F2401" w14:textId="77777777" w:rsidR="00835F62" w:rsidRPr="007B00F5" w:rsidRDefault="00835F62" w:rsidP="00835F62">
                        <w:pPr>
                          <w:jc w:val="center"/>
                        </w:pPr>
                      </w:p>
                    </w:txbxContent>
                  </v:textbox>
                </v:rect>
                <v:group id="Group 8" o:spid="_x0000_s1029" style="position:absolute;top:228;width:36957;height:26137" coordsize="36957,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">
                  <v:rect id="Rectangle 1" o:spid="_x0000_s1030" style="position:absolute;top:7924;width:1699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" fillcolor="white [3212]" strokecolor="black [3213]" strokeweight="2pt">
                    <v:textbox>
                      <w:txbxContent>
                        <w:p w14:paraId="53E91443" w14:textId="77777777" w:rsidR="00835F62" w:rsidRPr="007B00F5" w:rsidRDefault="00835F62" w:rsidP="00835F62">
                          <w:pPr>
                            <w:jc w:val="center"/>
                            <w:rPr>
                              <w:rFonts w:ascii="Times New Roman" w:hAnsi="Times New Roman" w:cs="Times New Roman"/>
                              <w:sz w:val="24"/>
                              <w:szCs w:val="24"/>
                            </w:rPr>
                          </w:pPr>
                          <w:r w:rsidRPr="007B00F5">
                            <w:rPr>
                              <w:rFonts w:ascii="Times New Roman" w:hAnsi="Times New Roman" w:cs="Times New Roman"/>
                              <w:sz w:val="24"/>
                              <w:szCs w:val="24"/>
                            </w:rPr>
                            <w:t xml:space="preserve">Poverty and Inequality (PI), </w:t>
                          </w:r>
                        </w:p>
                      </w:txbxContent>
                    </v:textbox>
                  </v:rect>
                  <v:rect id="Rectangle 1" o:spid="_x0000_s1031" style="position:absolute;width:16383;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" fillcolor="white [3201]" strokecolor="black [3213]" strokeweight="2pt">
                    <v:textbox>
                      <w:txbxContent>
                        <w:p w14:paraId="3C271257" w14:textId="77AA7702" w:rsidR="00835F62" w:rsidRPr="007B00F5" w:rsidRDefault="00835F62" w:rsidP="00835F62">
                          <w:pPr>
                            <w:jc w:val="center"/>
                          </w:pPr>
                          <w:r w:rsidRPr="007B00F5">
                            <w:rPr>
                              <w:rFonts w:ascii="Times New Roman" w:hAnsi="Times New Roman" w:cs="Times New Roman"/>
                              <w:sz w:val="24"/>
                              <w:szCs w:val="24"/>
                            </w:rPr>
                            <w:t xml:space="preserve">SOCIO-ECONOMIC CRISIS </w:t>
                          </w:r>
                        </w:p>
                      </w:txbxContent>
                    </v:textbox>
                  </v:rect>
                  <v:rect id="Rectangle 1" o:spid="_x0000_s1032" style="position:absolute;top:14859;width:16992;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" fillcolor="white [3212]" strokecolor="black [3213]" strokeweight="2pt">
                    <v:textbox>
                      <w:txbxContent>
                        <w:p w14:paraId="16F39826" w14:textId="77777777" w:rsidR="00835F62" w:rsidRPr="007B00F5" w:rsidRDefault="00835F62" w:rsidP="00835F62">
                          <w:pPr>
                            <w:jc w:val="center"/>
                            <w:rPr>
                              <w:rFonts w:ascii="Times New Roman" w:hAnsi="Times New Roman" w:cs="Times New Roman"/>
                              <w:sz w:val="24"/>
                              <w:szCs w:val="24"/>
                            </w:rPr>
                          </w:pPr>
                          <w:r w:rsidRPr="007B00F5">
                            <w:rPr>
                              <w:rFonts w:ascii="Times New Roman" w:hAnsi="Times New Roman" w:cs="Times New Roman"/>
                              <w:sz w:val="24"/>
                              <w:szCs w:val="24"/>
                            </w:rPr>
                            <w:t xml:space="preserve">Health Crisis (HC), </w:t>
                          </w:r>
                        </w:p>
                        <w:p w14:paraId="6456F329" w14:textId="472FFC6C" w:rsidR="00835F62" w:rsidRPr="007B00F5" w:rsidRDefault="00835F62" w:rsidP="00835F62">
                          <w:pPr>
                            <w:jc w:val="center"/>
                          </w:pPr>
                        </w:p>
                      </w:txbxContent>
                    </v:textbox>
                  </v:rect>
                  <v:rect id="Rectangle 1" o:spid="_x0000_s1033" style="position:absolute;top:21336;width:16992;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" fillcolor="white [3212]" strokecolor="black [3213]" strokeweight="2pt">
                    <v:textbox>
                      <w:txbxContent>
                        <w:p w14:paraId="651AC7FF" w14:textId="77777777" w:rsidR="00835F62" w:rsidRPr="007B00F5" w:rsidRDefault="00835F62" w:rsidP="00835F62">
                          <w:pPr>
                            <w:jc w:val="center"/>
                          </w:pPr>
                          <w:r w:rsidRPr="007B00F5">
                            <w:rPr>
                              <w:rFonts w:ascii="Times New Roman" w:hAnsi="Times New Roman" w:cs="Times New Roman"/>
                              <w:sz w:val="24"/>
                              <w:szCs w:val="24"/>
                            </w:rPr>
                            <w:t xml:space="preserve">Income and Job Instability (IJI). </w:t>
                          </w:r>
                        </w:p>
                        <w:p w14:paraId="605313DC" w14:textId="019C52A2" w:rsidR="00835F62" w:rsidRPr="007B00F5" w:rsidRDefault="00835F62" w:rsidP="00835F62">
                          <w:pPr>
                            <w:jc w:val="center"/>
                          </w:pPr>
                        </w:p>
                      </w:txbxContent>
                    </v:textbox>
                  </v:rect>
                  <v:shapetype id="_x0000_t32" coordsize="21600,21600" o:spt="32" o:oned="t" path="m,l21600,21600e" filled="f">
                    <v:path arrowok="t" fillok="f" o:connecttype="none"/>
                    <o:lock v:ext="edit" shapetype="t"/>
                  </v:shapetype>
                  <v:shape id="Straight Arrow Connector 2" o:spid="_x0000_s1034" type="#_x0000_t32" style="position:absolute;left:16383;top:3810;width:205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" strokecolor="black [3040]">
                    <v:stroke endarrow="block"/>
                  </v:shape>
                  <v:shape id="Straight Arrow Connector 3" o:spid="_x0000_s1035" type="#_x0000_t32" style="position:absolute;left:16687;top:10820;width:19279;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" strokecolor="black [3040]">
                    <v:stroke endarrow="block"/>
                  </v:shape>
                  <v:shape id="Straight Arrow Connector 4" o:spid="_x0000_s1036" type="#_x0000_t32" style="position:absolute;left:17373;top:15849;width:19050;height:8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" strokecolor="black [3040]">
                    <v:stroke endarrow="block"/>
                  </v:shape>
                  <v:shape id="Straight Arrow Connector 5" o:spid="_x0000_s1037" type="#_x0000_t32" style="position:absolute;left:17373;top:17145;width:19050;height:70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" strokecolor="black [3040]">
                    <v:stroke endarrow="block"/>
                  </v:shape>
                  <v:shape id="Straight Arrow Connector 6" o:spid="_x0000_s1038" type="#_x0000_t32" style="position:absolute;left:5943;top:5562;width:0;height:2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" strokecolor="black [3040]">
                    <v:stroke endarrow="block"/>
                  </v:shape>
                </v:group>
                <v:shape id="Straight Arrow Connector 7" o:spid="_x0000_s1039" type="#_x0000_t32" style="position:absolute;left:44577;top:5029;width:0;height:3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" strokecolor="black [3040]">
                  <v:stroke endarrow="block"/>
                </v:shape>
              </v:group>
            </w:pict>
          </mc:Fallback>
        </mc:AlternateContent>
      </w:r>
    </w:p>
    <w:p w14:paraId="029327F1" w14:textId="2647D956" w:rsidR="00835F62" w:rsidRPr="00D45B1E" w:rsidRDefault="00835F62" w:rsidP="0048350C">
      <w:pPr>
        <w:spacing w:after="0" w:line="240" w:lineRule="auto"/>
        <w:jc w:val="both"/>
        <w:rPr>
          <w:rFonts w:asciiTheme="majorHAnsi" w:hAnsiTheme="majorHAnsi" w:cs="Times New Roman"/>
          <w:sz w:val="20"/>
          <w:szCs w:val="20"/>
        </w:rPr>
      </w:pPr>
    </w:p>
    <w:p w14:paraId="7B360075" w14:textId="7ED1FED6" w:rsidR="00835F62" w:rsidRPr="00D45B1E" w:rsidRDefault="00835F62" w:rsidP="0048350C">
      <w:pPr>
        <w:spacing w:after="0" w:line="240" w:lineRule="auto"/>
        <w:jc w:val="both"/>
        <w:rPr>
          <w:rFonts w:asciiTheme="majorHAnsi" w:hAnsiTheme="majorHAnsi" w:cs="Times New Roman"/>
          <w:sz w:val="20"/>
          <w:szCs w:val="20"/>
        </w:rPr>
      </w:pPr>
    </w:p>
    <w:p w14:paraId="3730FB80" w14:textId="1931EC4D" w:rsidR="00025D3B" w:rsidRPr="00D45B1E" w:rsidRDefault="00025D3B" w:rsidP="0048350C">
      <w:pPr>
        <w:spacing w:after="0" w:line="240" w:lineRule="auto"/>
        <w:jc w:val="both"/>
        <w:rPr>
          <w:rFonts w:asciiTheme="majorHAnsi" w:hAnsiTheme="majorHAnsi" w:cs="Times New Roman"/>
          <w:sz w:val="20"/>
          <w:szCs w:val="20"/>
        </w:rPr>
      </w:pPr>
    </w:p>
    <w:p w14:paraId="794284E7" w14:textId="0180F59D" w:rsidR="00835F62" w:rsidRPr="00D45B1E" w:rsidRDefault="00835F62" w:rsidP="0048350C">
      <w:pPr>
        <w:spacing w:after="0" w:line="240" w:lineRule="auto"/>
        <w:jc w:val="both"/>
        <w:rPr>
          <w:rFonts w:asciiTheme="majorHAnsi" w:hAnsiTheme="majorHAnsi" w:cs="Times New Roman"/>
          <w:b/>
          <w:sz w:val="20"/>
          <w:szCs w:val="20"/>
        </w:rPr>
      </w:pPr>
    </w:p>
    <w:p w14:paraId="571E1C6D" w14:textId="56B6779B" w:rsidR="00835F62" w:rsidRPr="00D45B1E" w:rsidRDefault="00835F62" w:rsidP="0048350C">
      <w:pPr>
        <w:spacing w:after="0" w:line="240" w:lineRule="auto"/>
        <w:jc w:val="both"/>
        <w:rPr>
          <w:rFonts w:asciiTheme="majorHAnsi" w:hAnsiTheme="majorHAnsi" w:cs="Times New Roman"/>
          <w:b/>
          <w:sz w:val="20"/>
          <w:szCs w:val="20"/>
        </w:rPr>
      </w:pPr>
    </w:p>
    <w:p w14:paraId="4EAE4D1C" w14:textId="4404A871" w:rsidR="00835F62" w:rsidRPr="00D45B1E" w:rsidRDefault="00835F62" w:rsidP="0048350C">
      <w:pPr>
        <w:spacing w:after="0" w:line="240" w:lineRule="auto"/>
        <w:jc w:val="both"/>
        <w:rPr>
          <w:rFonts w:asciiTheme="majorHAnsi" w:hAnsiTheme="majorHAnsi" w:cs="Times New Roman"/>
          <w:b/>
          <w:sz w:val="20"/>
          <w:szCs w:val="20"/>
        </w:rPr>
      </w:pPr>
    </w:p>
    <w:p w14:paraId="61526EE8" w14:textId="3685D7C6" w:rsidR="00835F62" w:rsidRPr="00D45B1E" w:rsidRDefault="00835F62" w:rsidP="0048350C">
      <w:pPr>
        <w:spacing w:after="0" w:line="240" w:lineRule="auto"/>
        <w:jc w:val="both"/>
        <w:rPr>
          <w:rFonts w:asciiTheme="majorHAnsi" w:hAnsiTheme="majorHAnsi" w:cs="Times New Roman"/>
          <w:b/>
          <w:sz w:val="20"/>
          <w:szCs w:val="20"/>
        </w:rPr>
      </w:pPr>
    </w:p>
    <w:p w14:paraId="65724767" w14:textId="7AFA6875" w:rsidR="00835F62" w:rsidRPr="00D45B1E" w:rsidRDefault="00835F62" w:rsidP="0048350C">
      <w:pPr>
        <w:spacing w:after="0" w:line="240" w:lineRule="auto"/>
        <w:jc w:val="both"/>
        <w:rPr>
          <w:rFonts w:asciiTheme="majorHAnsi" w:hAnsiTheme="majorHAnsi" w:cs="Times New Roman"/>
          <w:b/>
          <w:sz w:val="20"/>
          <w:szCs w:val="20"/>
        </w:rPr>
      </w:pPr>
    </w:p>
    <w:p w14:paraId="29C1A6D3" w14:textId="48E81181" w:rsidR="00835F62" w:rsidRPr="00D45B1E" w:rsidRDefault="00835F62" w:rsidP="0048350C">
      <w:pPr>
        <w:spacing w:after="0" w:line="240" w:lineRule="auto"/>
        <w:jc w:val="both"/>
        <w:rPr>
          <w:rFonts w:asciiTheme="majorHAnsi" w:hAnsiTheme="majorHAnsi" w:cs="Times New Roman"/>
          <w:b/>
          <w:sz w:val="20"/>
          <w:szCs w:val="20"/>
        </w:rPr>
      </w:pPr>
    </w:p>
    <w:p w14:paraId="2D633073" w14:textId="362B4823" w:rsidR="00835F62" w:rsidRPr="00D45B1E" w:rsidRDefault="00835F62" w:rsidP="0048350C">
      <w:pPr>
        <w:spacing w:after="0" w:line="240" w:lineRule="auto"/>
        <w:jc w:val="both"/>
        <w:rPr>
          <w:rFonts w:asciiTheme="majorHAnsi" w:hAnsiTheme="majorHAnsi" w:cs="Times New Roman"/>
          <w:b/>
          <w:sz w:val="20"/>
          <w:szCs w:val="20"/>
        </w:rPr>
      </w:pPr>
    </w:p>
    <w:p w14:paraId="1656348B" w14:textId="5CF9CF18" w:rsidR="00835F62" w:rsidRPr="00D45B1E" w:rsidRDefault="00835F62" w:rsidP="0048350C">
      <w:pPr>
        <w:spacing w:after="0" w:line="240" w:lineRule="auto"/>
        <w:jc w:val="both"/>
        <w:rPr>
          <w:rFonts w:asciiTheme="majorHAnsi" w:hAnsiTheme="majorHAnsi" w:cs="Times New Roman"/>
          <w:b/>
          <w:sz w:val="20"/>
          <w:szCs w:val="20"/>
        </w:rPr>
      </w:pPr>
    </w:p>
    <w:p w14:paraId="6C1AEE81" w14:textId="531ECB56" w:rsidR="00835F62" w:rsidRPr="00D45B1E" w:rsidRDefault="00835F62" w:rsidP="0048350C">
      <w:pPr>
        <w:spacing w:after="0" w:line="240" w:lineRule="auto"/>
        <w:jc w:val="both"/>
        <w:rPr>
          <w:rFonts w:asciiTheme="majorHAnsi" w:hAnsiTheme="majorHAnsi" w:cs="Times New Roman"/>
          <w:b/>
          <w:sz w:val="20"/>
          <w:szCs w:val="20"/>
        </w:rPr>
      </w:pPr>
    </w:p>
    <w:p w14:paraId="1483FCBD" w14:textId="64451144" w:rsidR="00835F62" w:rsidRPr="00D45B1E" w:rsidRDefault="00835F62" w:rsidP="0048350C">
      <w:pPr>
        <w:spacing w:after="0" w:line="240" w:lineRule="auto"/>
        <w:jc w:val="both"/>
        <w:rPr>
          <w:rFonts w:asciiTheme="majorHAnsi" w:hAnsiTheme="majorHAnsi" w:cs="Times New Roman"/>
          <w:b/>
          <w:sz w:val="20"/>
          <w:szCs w:val="20"/>
        </w:rPr>
      </w:pPr>
    </w:p>
    <w:p w14:paraId="23F6D2F2" w14:textId="6A992A14" w:rsidR="00835F62" w:rsidRPr="00D45B1E" w:rsidRDefault="00835F62" w:rsidP="0048350C">
      <w:pPr>
        <w:spacing w:after="0" w:line="240" w:lineRule="auto"/>
        <w:jc w:val="both"/>
        <w:rPr>
          <w:rFonts w:asciiTheme="majorHAnsi" w:hAnsiTheme="majorHAnsi" w:cs="Times New Roman"/>
          <w:b/>
          <w:sz w:val="20"/>
          <w:szCs w:val="20"/>
        </w:rPr>
      </w:pPr>
    </w:p>
    <w:p w14:paraId="65AEFC20" w14:textId="55F40D88" w:rsidR="00835F62" w:rsidRPr="00D45B1E" w:rsidRDefault="00835F62" w:rsidP="0048350C">
      <w:pPr>
        <w:spacing w:after="0" w:line="240" w:lineRule="auto"/>
        <w:jc w:val="both"/>
        <w:rPr>
          <w:rFonts w:asciiTheme="majorHAnsi" w:hAnsiTheme="majorHAnsi" w:cs="Times New Roman"/>
          <w:b/>
          <w:sz w:val="20"/>
          <w:szCs w:val="20"/>
        </w:rPr>
      </w:pPr>
    </w:p>
    <w:p w14:paraId="270B8B4B" w14:textId="58A57AC7" w:rsidR="00985A8A" w:rsidRPr="00D45B1E" w:rsidRDefault="00985A8A" w:rsidP="00985A8A">
      <w:pPr>
        <w:jc w:val="both"/>
        <w:rPr>
          <w:rFonts w:asciiTheme="majorHAnsi" w:hAnsiTheme="majorHAnsi" w:cs="Times New Roman"/>
          <w:b/>
          <w:bCs/>
          <w:sz w:val="20"/>
          <w:szCs w:val="20"/>
        </w:rPr>
      </w:pPr>
      <w:r w:rsidRPr="00D45B1E">
        <w:rPr>
          <w:rFonts w:asciiTheme="majorHAnsi" w:hAnsiTheme="majorHAnsi" w:cs="Times New Roman"/>
          <w:b/>
          <w:bCs/>
          <w:sz w:val="20"/>
          <w:szCs w:val="20"/>
        </w:rPr>
        <w:t>Figure 1: Conceptual Framework for the Study Variables</w:t>
      </w:r>
    </w:p>
    <w:p w14:paraId="243F34C0" w14:textId="77777777" w:rsidR="005B4D91" w:rsidRPr="00D45B1E" w:rsidRDefault="005B4D91" w:rsidP="0048350C">
      <w:pPr>
        <w:spacing w:after="0" w:line="240" w:lineRule="auto"/>
        <w:jc w:val="both"/>
        <w:rPr>
          <w:rFonts w:asciiTheme="majorHAnsi" w:hAnsiTheme="majorHAnsi" w:cs="Times New Roman"/>
          <w:b/>
          <w:sz w:val="20"/>
          <w:szCs w:val="20"/>
        </w:rPr>
      </w:pPr>
    </w:p>
    <w:p w14:paraId="6D2D34F0" w14:textId="42AA8F10" w:rsidR="003E27C5" w:rsidRPr="00D45B1E" w:rsidRDefault="003E27C5" w:rsidP="0048350C">
      <w:pPr>
        <w:spacing w:after="0" w:line="240" w:lineRule="auto"/>
        <w:jc w:val="both"/>
        <w:rPr>
          <w:rFonts w:asciiTheme="majorHAnsi" w:hAnsiTheme="majorHAnsi" w:cs="Times New Roman"/>
          <w:b/>
          <w:sz w:val="20"/>
          <w:szCs w:val="20"/>
        </w:rPr>
      </w:pPr>
      <w:r w:rsidRPr="00D45B1E">
        <w:rPr>
          <w:rFonts w:asciiTheme="majorHAnsi" w:hAnsiTheme="majorHAnsi" w:cs="Times New Roman"/>
          <w:b/>
          <w:sz w:val="20"/>
          <w:szCs w:val="20"/>
        </w:rPr>
        <w:t xml:space="preserve">3. METHODOLOGY </w:t>
      </w:r>
    </w:p>
    <w:p w14:paraId="7A54DA6A" w14:textId="77777777" w:rsidR="003E27C5" w:rsidRPr="00D45B1E" w:rsidRDefault="003E27C5" w:rsidP="0048350C">
      <w:pPr>
        <w:spacing w:after="0" w:line="240" w:lineRule="auto"/>
        <w:jc w:val="both"/>
        <w:rPr>
          <w:rFonts w:asciiTheme="majorHAnsi" w:hAnsiTheme="majorHAnsi" w:cs="Times New Roman"/>
          <w:b/>
          <w:sz w:val="20"/>
          <w:szCs w:val="20"/>
        </w:rPr>
      </w:pPr>
      <w:r w:rsidRPr="00D45B1E">
        <w:rPr>
          <w:rFonts w:asciiTheme="majorHAnsi" w:hAnsiTheme="majorHAnsi" w:cs="Times New Roman"/>
          <w:b/>
          <w:sz w:val="20"/>
          <w:szCs w:val="20"/>
        </w:rPr>
        <w:t xml:space="preserve">3.1. Introduction </w:t>
      </w:r>
    </w:p>
    <w:p w14:paraId="244BFED5" w14:textId="77777777" w:rsidR="00081074" w:rsidRPr="00D45B1E" w:rsidRDefault="00081074" w:rsidP="0048350C">
      <w:pPr>
        <w:spacing w:after="0" w:line="240" w:lineRule="auto"/>
        <w:jc w:val="both"/>
        <w:rPr>
          <w:rFonts w:asciiTheme="majorHAnsi" w:hAnsiTheme="majorHAnsi" w:cs="Times New Roman"/>
          <w:b/>
          <w:sz w:val="20"/>
          <w:szCs w:val="20"/>
        </w:rPr>
      </w:pPr>
    </w:p>
    <w:p w14:paraId="58E71338" w14:textId="2A3B3579" w:rsidR="00C74A10" w:rsidRPr="00D45B1E" w:rsidRDefault="00C74A10" w:rsidP="00C74A1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This framework </w:t>
      </w:r>
      <w:r w:rsidR="005B4D91" w:rsidRPr="00D45B1E">
        <w:rPr>
          <w:rFonts w:asciiTheme="majorHAnsi" w:hAnsiTheme="majorHAnsi" w:cs="Times New Roman"/>
          <w:sz w:val="20"/>
          <w:szCs w:val="20"/>
        </w:rPr>
        <w:t>analyses</w:t>
      </w:r>
      <w:r w:rsidRPr="00D45B1E">
        <w:rPr>
          <w:rFonts w:asciiTheme="majorHAnsi" w:hAnsiTheme="majorHAnsi" w:cs="Times New Roman"/>
          <w:sz w:val="20"/>
          <w:szCs w:val="20"/>
        </w:rPr>
        <w:t xml:space="preserve"> the individual's ability to endure and bounce back from the effects of financial loss, and the related economic determinants of adjusting income, job loss, inflation, and recession. This chapter describes the research design, research questions, and hypotheses, sampling rationale, data collection, analysis procedures, and ethical framework of the study. </w:t>
      </w:r>
    </w:p>
    <w:p w14:paraId="33D93BBD" w14:textId="77777777" w:rsidR="00C74A10" w:rsidRPr="00D45B1E" w:rsidRDefault="00C74A10" w:rsidP="00C74A10">
      <w:pPr>
        <w:spacing w:after="0" w:line="240" w:lineRule="auto"/>
        <w:jc w:val="both"/>
        <w:rPr>
          <w:rFonts w:asciiTheme="majorHAnsi" w:hAnsiTheme="majorHAnsi" w:cs="Times New Roman"/>
          <w:sz w:val="20"/>
          <w:szCs w:val="20"/>
        </w:rPr>
      </w:pPr>
    </w:p>
    <w:p w14:paraId="2FD586D2" w14:textId="65320638" w:rsidR="00C74A10" w:rsidRPr="00D45B1E" w:rsidRDefault="00C74A10" w:rsidP="00C74A1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A quantitative research design was adopted </w:t>
      </w:r>
      <w:r w:rsidR="005B4D91" w:rsidRPr="00D45B1E">
        <w:rPr>
          <w:rFonts w:asciiTheme="majorHAnsi" w:hAnsiTheme="majorHAnsi" w:cs="Times New Roman"/>
          <w:sz w:val="20"/>
          <w:szCs w:val="20"/>
        </w:rPr>
        <w:t>to analyse the interplay among</w:t>
      </w:r>
      <w:r w:rsidRPr="00D45B1E">
        <w:rPr>
          <w:rFonts w:asciiTheme="majorHAnsi" w:hAnsiTheme="majorHAnsi" w:cs="Times New Roman"/>
          <w:sz w:val="20"/>
          <w:szCs w:val="20"/>
        </w:rPr>
        <w:t xml:space="preserve"> the various dimensions of the socio-economy and the factors of financial resilience. This particular approach was </w:t>
      </w:r>
      <w:r w:rsidR="005B4D91" w:rsidRPr="00D45B1E">
        <w:rPr>
          <w:rFonts w:asciiTheme="majorHAnsi" w:hAnsiTheme="majorHAnsi" w:cs="Times New Roman"/>
          <w:sz w:val="20"/>
          <w:szCs w:val="20"/>
        </w:rPr>
        <w:t xml:space="preserve">chosen for its ability to aid in discovering and establishing relationships and, thus, in </w:t>
      </w:r>
      <w:r w:rsidRPr="00D45B1E">
        <w:rPr>
          <w:rFonts w:asciiTheme="majorHAnsi" w:hAnsiTheme="majorHAnsi" w:cs="Times New Roman"/>
          <w:sz w:val="20"/>
          <w:szCs w:val="20"/>
        </w:rPr>
        <w:t xml:space="preserve">providing an understanding of the phenomenon in question. The study aims to provide sufficient evidence to answer the question </w:t>
      </w:r>
      <w:r w:rsidR="005B4D91" w:rsidRPr="00D45B1E">
        <w:rPr>
          <w:rFonts w:asciiTheme="majorHAnsi" w:hAnsiTheme="majorHAnsi" w:cs="Times New Roman"/>
          <w:sz w:val="20"/>
          <w:szCs w:val="20"/>
        </w:rPr>
        <w:t>of which factors influence financial resilience through structured data collection</w:t>
      </w:r>
      <w:r w:rsidRPr="00D45B1E">
        <w:rPr>
          <w:rFonts w:asciiTheme="majorHAnsi" w:hAnsiTheme="majorHAnsi" w:cs="Times New Roman"/>
          <w:sz w:val="20"/>
          <w:szCs w:val="20"/>
        </w:rPr>
        <w:t xml:space="preserve"> and statistical analysis. </w:t>
      </w:r>
    </w:p>
    <w:p w14:paraId="2DA1F2DE" w14:textId="77777777" w:rsidR="00C74A10" w:rsidRPr="00D45B1E" w:rsidRDefault="00C74A10" w:rsidP="00C74A10">
      <w:pPr>
        <w:spacing w:after="0" w:line="240" w:lineRule="auto"/>
        <w:jc w:val="both"/>
        <w:rPr>
          <w:rFonts w:asciiTheme="majorHAnsi" w:hAnsiTheme="majorHAnsi" w:cs="Times New Roman"/>
          <w:sz w:val="20"/>
          <w:szCs w:val="20"/>
        </w:rPr>
      </w:pPr>
    </w:p>
    <w:p w14:paraId="38EEFA8D" w14:textId="46DDF47D" w:rsidR="00C74A10" w:rsidRPr="00D45B1E" w:rsidRDefault="00C74A10" w:rsidP="00C74A1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The respondents </w:t>
      </w:r>
      <w:r w:rsidR="005B4D91" w:rsidRPr="00D45B1E">
        <w:rPr>
          <w:rFonts w:asciiTheme="majorHAnsi" w:hAnsiTheme="majorHAnsi" w:cs="Times New Roman"/>
          <w:sz w:val="20"/>
          <w:szCs w:val="20"/>
        </w:rPr>
        <w:t>in the study comprised adults aged 18 and above, drawn from a diverse adult population across various socioeconomic and geographical backgrounds</w:t>
      </w:r>
      <w:r w:rsidRPr="00D45B1E">
        <w:rPr>
          <w:rFonts w:asciiTheme="majorHAnsi" w:hAnsiTheme="majorHAnsi" w:cs="Times New Roman"/>
          <w:sz w:val="20"/>
          <w:szCs w:val="20"/>
        </w:rPr>
        <w:t xml:space="preserve">. </w:t>
      </w:r>
      <w:r w:rsidR="005B4D91" w:rsidRPr="00D45B1E">
        <w:rPr>
          <w:rFonts w:asciiTheme="majorHAnsi" w:hAnsiTheme="majorHAnsi" w:cs="Times New Roman"/>
          <w:sz w:val="20"/>
          <w:szCs w:val="20"/>
        </w:rPr>
        <w:t xml:space="preserve">To ensure fair representation of respondents' income levels, employment types, and rural-urban dichotomy, </w:t>
      </w:r>
      <w:r w:rsidRPr="00D45B1E">
        <w:rPr>
          <w:rFonts w:asciiTheme="majorHAnsi" w:hAnsiTheme="majorHAnsi" w:cs="Times New Roman"/>
          <w:sz w:val="20"/>
          <w:szCs w:val="20"/>
        </w:rPr>
        <w:t xml:space="preserve">stratified sampling was employed. To achieve statistical significance </w:t>
      </w:r>
      <w:r w:rsidR="005B4D91" w:rsidRPr="00D45B1E">
        <w:rPr>
          <w:rFonts w:asciiTheme="majorHAnsi" w:hAnsiTheme="majorHAnsi" w:cs="Times New Roman"/>
          <w:sz w:val="20"/>
          <w:szCs w:val="20"/>
        </w:rPr>
        <w:t>in the study, Cochran’s formula was used to determine the required sample size; thus, a minimum sample of 385 respondents was obtained, even if not all respondents</w:t>
      </w:r>
      <w:r w:rsidRPr="00D45B1E">
        <w:rPr>
          <w:rFonts w:asciiTheme="majorHAnsi" w:hAnsiTheme="majorHAnsi" w:cs="Times New Roman"/>
          <w:sz w:val="20"/>
          <w:szCs w:val="20"/>
        </w:rPr>
        <w:t xml:space="preserve"> responded.</w:t>
      </w:r>
    </w:p>
    <w:p w14:paraId="430ECD23" w14:textId="77777777" w:rsidR="00C74A10" w:rsidRPr="00D45B1E" w:rsidRDefault="00C74A10" w:rsidP="00C74A10">
      <w:pPr>
        <w:spacing w:after="0" w:line="240" w:lineRule="auto"/>
        <w:jc w:val="both"/>
        <w:rPr>
          <w:rFonts w:asciiTheme="majorHAnsi" w:hAnsiTheme="majorHAnsi" w:cs="Times New Roman"/>
          <w:sz w:val="20"/>
          <w:szCs w:val="20"/>
        </w:rPr>
      </w:pPr>
    </w:p>
    <w:p w14:paraId="29E0905B" w14:textId="6D32ED0C" w:rsidR="00C74A10" w:rsidRPr="00D45B1E" w:rsidRDefault="00C74A10" w:rsidP="00C74A1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The study </w:t>
      </w:r>
      <w:r w:rsidR="005B4D91" w:rsidRPr="00D45B1E">
        <w:rPr>
          <w:rFonts w:asciiTheme="majorHAnsi" w:hAnsiTheme="majorHAnsi" w:cs="Times New Roman"/>
          <w:sz w:val="20"/>
          <w:szCs w:val="20"/>
        </w:rPr>
        <w:t xml:space="preserve">used two sampling methods: simple random sampling and snowball sampling </w:t>
      </w:r>
      <w:r w:rsidRPr="00D45B1E">
        <w:rPr>
          <w:rFonts w:asciiTheme="majorHAnsi" w:hAnsiTheme="majorHAnsi" w:cs="Times New Roman"/>
          <w:sz w:val="20"/>
          <w:szCs w:val="20"/>
        </w:rPr>
        <w:t xml:space="preserve">to reach Nigerian Adults (working class), including employees, employers, and the self-employed. This type of sampling captures the </w:t>
      </w:r>
      <w:r w:rsidR="005B4D91" w:rsidRPr="00D45B1E">
        <w:rPr>
          <w:rFonts w:asciiTheme="majorHAnsi" w:hAnsiTheme="majorHAnsi" w:cs="Times New Roman"/>
          <w:sz w:val="20"/>
          <w:szCs w:val="20"/>
        </w:rPr>
        <w:t>most remarkable diversity across varying</w:t>
      </w:r>
      <w:r w:rsidRPr="00D45B1E">
        <w:rPr>
          <w:rFonts w:asciiTheme="majorHAnsi" w:hAnsiTheme="majorHAnsi" w:cs="Times New Roman"/>
          <w:sz w:val="20"/>
          <w:szCs w:val="20"/>
        </w:rPr>
        <w:t xml:space="preserve"> levels of financial resilience.</w:t>
      </w:r>
    </w:p>
    <w:p w14:paraId="270EC854" w14:textId="77777777" w:rsidR="00C74A10" w:rsidRPr="00D45B1E" w:rsidRDefault="00C74A10" w:rsidP="00C74A10">
      <w:pPr>
        <w:spacing w:after="0" w:line="240" w:lineRule="auto"/>
        <w:jc w:val="both"/>
        <w:rPr>
          <w:rFonts w:asciiTheme="majorHAnsi" w:hAnsiTheme="majorHAnsi" w:cs="Times New Roman"/>
          <w:sz w:val="20"/>
          <w:szCs w:val="20"/>
        </w:rPr>
      </w:pPr>
    </w:p>
    <w:p w14:paraId="7D280D1D" w14:textId="77777777" w:rsidR="00C74A10" w:rsidRPr="00D45B1E" w:rsidRDefault="00C74A10" w:rsidP="00C74A1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Validation tools include the Financial Resilience Scale (FRS) and financial literacy assessments. The survey contained four major components: demographics, phenomenological experiences, financial resilience, and financial literacy. These components included Age, Gender, Level of Education, Income, Employment, Location, Budgeting, Saving, and Emergency Preparedness. Surveys were administered in both digital and printed formats. To enhance diversity and access, the survey was administered in person, via email, through social media, and on an online research panel.</w:t>
      </w:r>
    </w:p>
    <w:p w14:paraId="3CF4949E" w14:textId="77777777" w:rsidR="00DE3D1C" w:rsidRPr="00D45B1E" w:rsidRDefault="00DE3D1C" w:rsidP="0048350C">
      <w:pPr>
        <w:spacing w:after="0" w:line="240" w:lineRule="auto"/>
        <w:jc w:val="both"/>
        <w:rPr>
          <w:rFonts w:asciiTheme="majorHAnsi" w:hAnsiTheme="majorHAnsi" w:cs="Times New Roman"/>
          <w:b/>
          <w:sz w:val="20"/>
          <w:szCs w:val="20"/>
        </w:rPr>
      </w:pPr>
    </w:p>
    <w:p w14:paraId="4ADAD22B" w14:textId="519E3218" w:rsidR="00E71768" w:rsidRPr="00D45B1E" w:rsidRDefault="00E71768" w:rsidP="0048350C">
      <w:pPr>
        <w:spacing w:after="0" w:line="240" w:lineRule="auto"/>
        <w:jc w:val="both"/>
        <w:rPr>
          <w:rFonts w:asciiTheme="majorHAnsi" w:hAnsiTheme="majorHAnsi" w:cs="Times New Roman"/>
          <w:b/>
          <w:sz w:val="20"/>
          <w:szCs w:val="20"/>
        </w:rPr>
      </w:pPr>
      <w:r w:rsidRPr="00D45B1E">
        <w:rPr>
          <w:rFonts w:asciiTheme="majorHAnsi" w:hAnsiTheme="majorHAnsi" w:cs="Times New Roman"/>
          <w:b/>
          <w:sz w:val="20"/>
          <w:szCs w:val="20"/>
        </w:rPr>
        <w:t xml:space="preserve">3.2 Estimation Techniques </w:t>
      </w:r>
    </w:p>
    <w:p w14:paraId="47BD8C05" w14:textId="77777777" w:rsidR="00081074" w:rsidRPr="00D45B1E" w:rsidRDefault="00081074" w:rsidP="0048350C">
      <w:pPr>
        <w:spacing w:after="0" w:line="240" w:lineRule="auto"/>
        <w:jc w:val="both"/>
        <w:rPr>
          <w:rFonts w:asciiTheme="majorHAnsi" w:hAnsiTheme="majorHAnsi" w:cs="Times New Roman"/>
          <w:b/>
          <w:sz w:val="20"/>
          <w:szCs w:val="20"/>
        </w:rPr>
      </w:pPr>
    </w:p>
    <w:p w14:paraId="238E433A" w14:textId="62948C28" w:rsidR="00C74A10" w:rsidRPr="00D45B1E" w:rsidRDefault="00C74A10" w:rsidP="00C74A1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For inferential analysis, the author has chosen partial least squares structural equation </w:t>
      </w:r>
      <w:r w:rsidR="005B4D91" w:rsidRPr="00D45B1E">
        <w:rPr>
          <w:rFonts w:asciiTheme="majorHAnsi" w:hAnsiTheme="majorHAnsi" w:cs="Times New Roman"/>
          <w:sz w:val="20"/>
          <w:szCs w:val="20"/>
        </w:rPr>
        <w:t>modelling</w:t>
      </w:r>
      <w:r w:rsidRPr="00D45B1E">
        <w:rPr>
          <w:rFonts w:asciiTheme="majorHAnsi" w:hAnsiTheme="majorHAnsi" w:cs="Times New Roman"/>
          <w:sz w:val="20"/>
          <w:szCs w:val="20"/>
        </w:rPr>
        <w:t xml:space="preserve"> (PLSSEM). PLSSEM is beneficial </w:t>
      </w:r>
      <w:r w:rsidR="005B4D91" w:rsidRPr="00D45B1E">
        <w:rPr>
          <w:rFonts w:asciiTheme="majorHAnsi" w:hAnsiTheme="majorHAnsi" w:cs="Times New Roman"/>
          <w:sz w:val="20"/>
          <w:szCs w:val="20"/>
        </w:rPr>
        <w:t>for modelling intricate relationships in situations where the data are in an exploratory, non-normal format</w:t>
      </w:r>
      <w:r w:rsidRPr="00D45B1E">
        <w:rPr>
          <w:rFonts w:asciiTheme="majorHAnsi" w:hAnsiTheme="majorHAnsi" w:cs="Times New Roman"/>
          <w:sz w:val="20"/>
          <w:szCs w:val="20"/>
        </w:rPr>
        <w:t xml:space="preserve"> or in small sample sizes. In addition, PLSSEM </w:t>
      </w:r>
      <w:r w:rsidR="005B4D91" w:rsidRPr="00D45B1E">
        <w:rPr>
          <w:rFonts w:asciiTheme="majorHAnsi" w:hAnsiTheme="majorHAnsi" w:cs="Times New Roman"/>
          <w:sz w:val="20"/>
          <w:szCs w:val="20"/>
        </w:rPr>
        <w:t>allows the simultaneous evaluation of the measurement and structural models</w:t>
      </w:r>
      <w:r w:rsidRPr="00D45B1E">
        <w:rPr>
          <w:rFonts w:asciiTheme="majorHAnsi" w:hAnsiTheme="majorHAnsi" w:cs="Times New Roman"/>
          <w:sz w:val="20"/>
          <w:szCs w:val="20"/>
        </w:rPr>
        <w:t xml:space="preserve">. These features </w:t>
      </w:r>
      <w:r w:rsidR="005B4D91" w:rsidRPr="00D45B1E">
        <w:rPr>
          <w:rFonts w:asciiTheme="majorHAnsi" w:hAnsiTheme="majorHAnsi" w:cs="Times New Roman"/>
          <w:sz w:val="20"/>
          <w:szCs w:val="20"/>
        </w:rPr>
        <w:t xml:space="preserve">support the study's analytical objectives, making it a strong candidate as a </w:t>
      </w:r>
      <w:r w:rsidRPr="00D45B1E">
        <w:rPr>
          <w:rFonts w:asciiTheme="majorHAnsi" w:hAnsiTheme="majorHAnsi" w:cs="Times New Roman"/>
          <w:sz w:val="20"/>
          <w:szCs w:val="20"/>
        </w:rPr>
        <w:t>technique.</w:t>
      </w:r>
    </w:p>
    <w:p w14:paraId="23B5D82C" w14:textId="77777777" w:rsidR="00C74A10" w:rsidRPr="00D45B1E" w:rsidRDefault="00C74A10" w:rsidP="00C74A10">
      <w:pPr>
        <w:spacing w:after="0" w:line="240" w:lineRule="auto"/>
        <w:jc w:val="both"/>
        <w:rPr>
          <w:rFonts w:asciiTheme="majorHAnsi" w:hAnsiTheme="majorHAnsi" w:cs="Times New Roman"/>
          <w:sz w:val="20"/>
          <w:szCs w:val="20"/>
        </w:rPr>
      </w:pPr>
    </w:p>
    <w:p w14:paraId="075FF202" w14:textId="6CC5F0AC" w:rsidR="000C5364" w:rsidRPr="00D45B1E" w:rsidRDefault="00C74A10" w:rsidP="0048350C">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The model evaluation was </w:t>
      </w:r>
      <w:r w:rsidR="005B4D91" w:rsidRPr="00D45B1E">
        <w:rPr>
          <w:rFonts w:asciiTheme="majorHAnsi" w:hAnsiTheme="majorHAnsi" w:cs="Times New Roman"/>
          <w:sz w:val="20"/>
          <w:szCs w:val="20"/>
        </w:rPr>
        <w:t>conducted using</w:t>
      </w:r>
      <w:r w:rsidRPr="00D45B1E">
        <w:rPr>
          <w:rFonts w:asciiTheme="majorHAnsi" w:hAnsiTheme="majorHAnsi" w:cs="Times New Roman"/>
          <w:sz w:val="20"/>
          <w:szCs w:val="20"/>
        </w:rPr>
        <w:t xml:space="preserve"> standardised factor loadings, Cronbach's alpha, composite reliability, and average variance extracted. </w:t>
      </w:r>
      <w:r w:rsidR="005B4D91" w:rsidRPr="00D45B1E">
        <w:rPr>
          <w:rFonts w:asciiTheme="majorHAnsi" w:hAnsiTheme="majorHAnsi" w:cs="Times New Roman"/>
          <w:sz w:val="20"/>
          <w:szCs w:val="20"/>
        </w:rPr>
        <w:t xml:space="preserve">Constructs' discriminant validity was confirmed using the Fornell-Larcker and </w:t>
      </w:r>
      <w:proofErr w:type="spellStart"/>
      <w:r w:rsidRPr="00D45B1E">
        <w:rPr>
          <w:rFonts w:asciiTheme="majorHAnsi" w:hAnsiTheme="majorHAnsi" w:cs="Times New Roman"/>
          <w:sz w:val="20"/>
          <w:szCs w:val="20"/>
        </w:rPr>
        <w:t>Heterotrait-Monotrait</w:t>
      </w:r>
      <w:proofErr w:type="spellEnd"/>
      <w:r w:rsidRPr="00D45B1E">
        <w:rPr>
          <w:rFonts w:asciiTheme="majorHAnsi" w:hAnsiTheme="majorHAnsi" w:cs="Times New Roman"/>
          <w:sz w:val="20"/>
          <w:szCs w:val="20"/>
        </w:rPr>
        <w:t xml:space="preserve"> (HTMT) methodologies. Smart PLS 4 was used to run the computations.</w:t>
      </w:r>
    </w:p>
    <w:p w14:paraId="0B67D795" w14:textId="77777777" w:rsidR="000C5364" w:rsidRPr="00D45B1E" w:rsidRDefault="000C5364" w:rsidP="0048350C">
      <w:pPr>
        <w:spacing w:after="0" w:line="240" w:lineRule="auto"/>
        <w:jc w:val="both"/>
        <w:rPr>
          <w:rFonts w:asciiTheme="majorHAnsi" w:hAnsiTheme="majorHAnsi" w:cs="Times New Roman"/>
          <w:b/>
          <w:sz w:val="20"/>
          <w:szCs w:val="20"/>
        </w:rPr>
      </w:pPr>
    </w:p>
    <w:p w14:paraId="323E5991" w14:textId="77777777" w:rsidR="000C5364" w:rsidRPr="00D45B1E" w:rsidRDefault="000C5364" w:rsidP="0048350C">
      <w:pPr>
        <w:spacing w:after="0" w:line="240" w:lineRule="auto"/>
        <w:jc w:val="both"/>
        <w:rPr>
          <w:rFonts w:asciiTheme="majorHAnsi" w:hAnsiTheme="majorHAnsi" w:cs="Times New Roman"/>
          <w:b/>
          <w:sz w:val="20"/>
          <w:szCs w:val="20"/>
        </w:rPr>
      </w:pPr>
    </w:p>
    <w:p w14:paraId="6B810D1C" w14:textId="29C629CD" w:rsidR="00E71768" w:rsidRPr="00D45B1E" w:rsidRDefault="00E71768" w:rsidP="0048350C">
      <w:pPr>
        <w:spacing w:after="0" w:line="240" w:lineRule="auto"/>
        <w:jc w:val="both"/>
        <w:rPr>
          <w:rFonts w:asciiTheme="majorHAnsi" w:hAnsiTheme="majorHAnsi" w:cs="Times New Roman"/>
          <w:b/>
          <w:sz w:val="20"/>
          <w:szCs w:val="20"/>
        </w:rPr>
      </w:pPr>
      <w:r w:rsidRPr="00D45B1E">
        <w:rPr>
          <w:rFonts w:asciiTheme="majorHAnsi" w:hAnsiTheme="majorHAnsi" w:cs="Times New Roman"/>
          <w:b/>
          <w:sz w:val="20"/>
          <w:szCs w:val="20"/>
        </w:rPr>
        <w:t xml:space="preserve">3.3 Ethical Considerations </w:t>
      </w:r>
    </w:p>
    <w:p w14:paraId="50E0CD2D" w14:textId="77777777" w:rsidR="00E71768" w:rsidRPr="00D45B1E" w:rsidRDefault="00E71768" w:rsidP="0048350C">
      <w:pPr>
        <w:spacing w:after="0" w:line="240" w:lineRule="auto"/>
        <w:jc w:val="both"/>
        <w:rPr>
          <w:rFonts w:asciiTheme="majorHAnsi" w:hAnsiTheme="majorHAnsi" w:cs="Times New Roman"/>
          <w:sz w:val="20"/>
          <w:szCs w:val="20"/>
        </w:rPr>
      </w:pPr>
    </w:p>
    <w:p w14:paraId="5B2C27AA" w14:textId="02CA993E" w:rsidR="00E71768" w:rsidRPr="00D45B1E" w:rsidRDefault="00C74B76" w:rsidP="00C74B76">
      <w:pPr>
        <w:jc w:val="both"/>
        <w:rPr>
          <w:rFonts w:asciiTheme="majorHAnsi" w:hAnsiTheme="majorHAnsi" w:cs="Times New Roman"/>
          <w:sz w:val="20"/>
          <w:szCs w:val="20"/>
        </w:rPr>
      </w:pPr>
      <w:r w:rsidRPr="00D45B1E">
        <w:rPr>
          <w:rFonts w:asciiTheme="majorHAnsi" w:hAnsiTheme="majorHAnsi" w:cs="Times New Roman"/>
          <w:sz w:val="20"/>
          <w:szCs w:val="20"/>
        </w:rPr>
        <w:t xml:space="preserve">The study adhered to the ethical guidelines </w:t>
      </w:r>
      <w:r w:rsidR="005B4D91" w:rsidRPr="00D45B1E">
        <w:rPr>
          <w:rFonts w:asciiTheme="majorHAnsi" w:hAnsiTheme="majorHAnsi" w:cs="Times New Roman"/>
          <w:sz w:val="20"/>
          <w:szCs w:val="20"/>
        </w:rPr>
        <w:t>for research involving</w:t>
      </w:r>
      <w:r w:rsidRPr="00D45B1E">
        <w:rPr>
          <w:rFonts w:asciiTheme="majorHAnsi" w:hAnsiTheme="majorHAnsi" w:cs="Times New Roman"/>
          <w:sz w:val="20"/>
          <w:szCs w:val="20"/>
        </w:rPr>
        <w:t xml:space="preserve"> human subjects. Ethical clearance was granted, participation was voluntary, and the respondents signed an informed consent form. </w:t>
      </w:r>
      <w:r w:rsidR="00E71768" w:rsidRPr="00D45B1E">
        <w:rPr>
          <w:rFonts w:asciiTheme="majorHAnsi" w:hAnsiTheme="majorHAnsi" w:cs="Times New Roman"/>
          <w:sz w:val="20"/>
          <w:szCs w:val="20"/>
        </w:rPr>
        <w:t>Confidentiality and anonymity were strictly maintained</w:t>
      </w:r>
      <w:r w:rsidR="00462E7F" w:rsidRPr="00D45B1E">
        <w:rPr>
          <w:rFonts w:asciiTheme="majorHAnsi" w:hAnsiTheme="majorHAnsi" w:cs="Times New Roman"/>
          <w:sz w:val="20"/>
          <w:szCs w:val="20"/>
        </w:rPr>
        <w:t xml:space="preserve">, as the information is stored in a secure facility </w:t>
      </w:r>
      <w:r w:rsidR="00E71768" w:rsidRPr="00D45B1E">
        <w:rPr>
          <w:rFonts w:asciiTheme="majorHAnsi" w:hAnsiTheme="majorHAnsi" w:cs="Times New Roman"/>
          <w:sz w:val="20"/>
          <w:szCs w:val="20"/>
        </w:rPr>
        <w:t xml:space="preserve">for research purposes only. There was only </w:t>
      </w:r>
      <w:r w:rsidR="00462E7F" w:rsidRPr="00D45B1E">
        <w:rPr>
          <w:rFonts w:asciiTheme="majorHAnsi" w:hAnsiTheme="majorHAnsi" w:cs="Times New Roman"/>
          <w:sz w:val="20"/>
          <w:szCs w:val="20"/>
        </w:rPr>
        <w:t xml:space="preserve">a </w:t>
      </w:r>
      <w:r w:rsidR="00E71768" w:rsidRPr="00D45B1E">
        <w:rPr>
          <w:rFonts w:asciiTheme="majorHAnsi" w:hAnsiTheme="majorHAnsi" w:cs="Times New Roman"/>
          <w:sz w:val="20"/>
          <w:szCs w:val="20"/>
        </w:rPr>
        <w:t>minimal conceivable risk</w:t>
      </w:r>
      <w:r w:rsidR="00462E7F" w:rsidRPr="00D45B1E">
        <w:rPr>
          <w:rFonts w:asciiTheme="majorHAnsi" w:hAnsiTheme="majorHAnsi" w:cs="Times New Roman"/>
          <w:sz w:val="20"/>
          <w:szCs w:val="20"/>
        </w:rPr>
        <w:t>, either in the physical, psychological, or social aspects, that may have arisen during</w:t>
      </w:r>
      <w:r w:rsidR="00E71768" w:rsidRPr="00D45B1E">
        <w:rPr>
          <w:rFonts w:asciiTheme="majorHAnsi" w:hAnsiTheme="majorHAnsi" w:cs="Times New Roman"/>
          <w:sz w:val="20"/>
          <w:szCs w:val="20"/>
        </w:rPr>
        <w:t xml:space="preserve"> the survey design. This has </w:t>
      </w:r>
      <w:r w:rsidR="00462E7F" w:rsidRPr="00D45B1E">
        <w:rPr>
          <w:rFonts w:asciiTheme="majorHAnsi" w:hAnsiTheme="majorHAnsi" w:cs="Times New Roman"/>
          <w:sz w:val="20"/>
          <w:szCs w:val="20"/>
        </w:rPr>
        <w:t>firmly</w:t>
      </w:r>
      <w:r w:rsidR="00E71768" w:rsidRPr="00D45B1E">
        <w:rPr>
          <w:rFonts w:asciiTheme="majorHAnsi" w:hAnsiTheme="majorHAnsi" w:cs="Times New Roman"/>
          <w:sz w:val="20"/>
          <w:szCs w:val="20"/>
        </w:rPr>
        <w:t xml:space="preserve"> established the researchers' commitment to </w:t>
      </w:r>
      <w:r w:rsidR="00462E7F" w:rsidRPr="00D45B1E">
        <w:rPr>
          <w:rFonts w:asciiTheme="majorHAnsi" w:hAnsiTheme="majorHAnsi" w:cs="Times New Roman"/>
          <w:sz w:val="20"/>
          <w:szCs w:val="20"/>
        </w:rPr>
        <w:t>protecting</w:t>
      </w:r>
      <w:r w:rsidR="00E71768" w:rsidRPr="00D45B1E">
        <w:rPr>
          <w:rFonts w:asciiTheme="majorHAnsi" w:hAnsiTheme="majorHAnsi" w:cs="Times New Roman"/>
          <w:sz w:val="20"/>
          <w:szCs w:val="20"/>
        </w:rPr>
        <w:t xml:space="preserve"> </w:t>
      </w:r>
      <w:r w:rsidR="00462E7F" w:rsidRPr="00D45B1E">
        <w:rPr>
          <w:rFonts w:asciiTheme="majorHAnsi" w:hAnsiTheme="majorHAnsi" w:cs="Times New Roman"/>
          <w:sz w:val="20"/>
          <w:szCs w:val="20"/>
        </w:rPr>
        <w:t>participants' rights and welfare</w:t>
      </w:r>
      <w:r w:rsidR="00E71768" w:rsidRPr="00D45B1E">
        <w:rPr>
          <w:rFonts w:asciiTheme="majorHAnsi" w:hAnsiTheme="majorHAnsi" w:cs="Times New Roman"/>
          <w:sz w:val="20"/>
          <w:szCs w:val="20"/>
        </w:rPr>
        <w:t xml:space="preserve">. </w:t>
      </w:r>
    </w:p>
    <w:p w14:paraId="47FA8950" w14:textId="77777777" w:rsidR="00081074" w:rsidRPr="00D45B1E" w:rsidRDefault="00081074" w:rsidP="0048350C">
      <w:pPr>
        <w:spacing w:after="0" w:line="240" w:lineRule="auto"/>
        <w:jc w:val="both"/>
        <w:rPr>
          <w:rFonts w:asciiTheme="majorHAnsi" w:hAnsiTheme="majorHAnsi" w:cs="Times New Roman"/>
          <w:sz w:val="20"/>
          <w:szCs w:val="20"/>
        </w:rPr>
      </w:pPr>
    </w:p>
    <w:p w14:paraId="717292C2" w14:textId="77777777" w:rsidR="00E71768" w:rsidRPr="00D45B1E" w:rsidRDefault="00E71768" w:rsidP="0048350C">
      <w:pPr>
        <w:spacing w:after="0" w:line="240" w:lineRule="auto"/>
        <w:jc w:val="both"/>
        <w:rPr>
          <w:rFonts w:asciiTheme="majorHAnsi" w:hAnsiTheme="majorHAnsi" w:cs="Times New Roman"/>
          <w:b/>
          <w:sz w:val="20"/>
          <w:szCs w:val="20"/>
        </w:rPr>
      </w:pPr>
      <w:r w:rsidRPr="00D45B1E">
        <w:rPr>
          <w:rFonts w:asciiTheme="majorHAnsi" w:hAnsiTheme="majorHAnsi" w:cs="Times New Roman"/>
          <w:b/>
          <w:sz w:val="20"/>
          <w:szCs w:val="20"/>
        </w:rPr>
        <w:t xml:space="preserve">3.4 Model Specification </w:t>
      </w:r>
    </w:p>
    <w:p w14:paraId="53750E5E" w14:textId="77777777" w:rsidR="00081074" w:rsidRPr="00D45B1E" w:rsidRDefault="00081074" w:rsidP="0048350C">
      <w:pPr>
        <w:spacing w:after="0" w:line="240" w:lineRule="auto"/>
        <w:jc w:val="both"/>
        <w:rPr>
          <w:rFonts w:asciiTheme="majorHAnsi" w:hAnsiTheme="majorHAnsi" w:cs="Times New Roman"/>
          <w:b/>
          <w:sz w:val="20"/>
          <w:szCs w:val="20"/>
        </w:rPr>
      </w:pPr>
    </w:p>
    <w:p w14:paraId="4CB50995" w14:textId="22F737AA" w:rsidR="00E71768" w:rsidRPr="00D45B1E" w:rsidRDefault="00E71768" w:rsidP="0048350C">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The model presents personal financial resilience as dependent upon the socioeconomic crisis factors: </w:t>
      </w:r>
    </w:p>
    <w:p w14:paraId="583D8660" w14:textId="77777777" w:rsidR="00E71768" w:rsidRPr="00D45B1E" w:rsidRDefault="00E71768" w:rsidP="0048350C">
      <w:pPr>
        <w:spacing w:after="0" w:line="240" w:lineRule="auto"/>
        <w:jc w:val="both"/>
        <w:rPr>
          <w:rFonts w:asciiTheme="majorHAnsi" w:hAnsiTheme="majorHAnsi" w:cs="Times New Roman"/>
          <w:sz w:val="20"/>
          <w:szCs w:val="20"/>
        </w:rPr>
      </w:pPr>
    </w:p>
    <w:p w14:paraId="4B58E445" w14:textId="72A67503" w:rsidR="00E71768" w:rsidRPr="00D45B1E" w:rsidRDefault="00E71768" w:rsidP="0048350C">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Personal Financial Resilience = </w:t>
      </w:r>
      <w:proofErr w:type="gramStart"/>
      <w:r w:rsidRPr="00D45B1E">
        <w:rPr>
          <w:rFonts w:asciiTheme="majorHAnsi" w:hAnsiTheme="majorHAnsi" w:cs="Times New Roman"/>
          <w:sz w:val="20"/>
          <w:szCs w:val="20"/>
        </w:rPr>
        <w:t>f(</w:t>
      </w:r>
      <w:proofErr w:type="gramEnd"/>
      <w:r w:rsidRPr="00D45B1E">
        <w:rPr>
          <w:rFonts w:asciiTheme="majorHAnsi" w:hAnsiTheme="majorHAnsi" w:cs="Times New Roman"/>
          <w:sz w:val="20"/>
          <w:szCs w:val="20"/>
        </w:rPr>
        <w:t>Socio</w:t>
      </w:r>
      <w:r w:rsidR="005D6134" w:rsidRPr="00D45B1E">
        <w:rPr>
          <w:rFonts w:asciiTheme="majorHAnsi" w:hAnsiTheme="majorHAnsi" w:cs="Times New Roman"/>
          <w:sz w:val="20"/>
          <w:szCs w:val="20"/>
        </w:rPr>
        <w:t>-</w:t>
      </w:r>
      <w:r w:rsidRPr="00D45B1E">
        <w:rPr>
          <w:rFonts w:asciiTheme="majorHAnsi" w:hAnsiTheme="majorHAnsi" w:cs="Times New Roman"/>
          <w:sz w:val="20"/>
          <w:szCs w:val="20"/>
        </w:rPr>
        <w:t xml:space="preserve">Economic Crisis) </w:t>
      </w:r>
    </w:p>
    <w:p w14:paraId="2C3A0B47" w14:textId="77777777" w:rsidR="00E71768" w:rsidRPr="00D45B1E" w:rsidRDefault="00E71768" w:rsidP="0048350C">
      <w:pPr>
        <w:spacing w:after="0" w:line="240" w:lineRule="auto"/>
        <w:jc w:val="both"/>
        <w:rPr>
          <w:rFonts w:asciiTheme="majorHAnsi" w:hAnsiTheme="majorHAnsi" w:cs="Times New Roman"/>
          <w:sz w:val="20"/>
          <w:szCs w:val="20"/>
        </w:rPr>
      </w:pPr>
    </w:p>
    <w:p w14:paraId="49CF5EF6" w14:textId="51585B3B" w:rsidR="006B4C91" w:rsidRPr="00D45B1E" w:rsidRDefault="00E71768" w:rsidP="0048350C">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xml:space="preserve">Personal financial resilience is </w:t>
      </w:r>
      <w:r w:rsidR="00462E7F" w:rsidRPr="00D45B1E">
        <w:rPr>
          <w:rFonts w:asciiTheme="majorHAnsi" w:hAnsiTheme="majorHAnsi" w:cs="Times New Roman"/>
          <w:sz w:val="20"/>
          <w:szCs w:val="20"/>
        </w:rPr>
        <w:t>operationalised</w:t>
      </w:r>
      <w:r w:rsidRPr="00D45B1E">
        <w:rPr>
          <w:rFonts w:asciiTheme="majorHAnsi" w:hAnsiTheme="majorHAnsi" w:cs="Times New Roman"/>
          <w:sz w:val="20"/>
          <w:szCs w:val="20"/>
        </w:rPr>
        <w:t xml:space="preserve"> by using three indicators: Social Support Network (SSN), Low Debt Level (LDL), and Emergency Savings (ES). The main socioeconomic crisis variables are Poverty and Inequality (PI), Health Crisis (HC), and Income and Job Instability (IJI). Therefore, the following empirical models will be specified based on these constructs:</w:t>
      </w:r>
    </w:p>
    <w:p w14:paraId="337AD7BD" w14:textId="77777777" w:rsidR="005F4337" w:rsidRPr="00D45B1E" w:rsidRDefault="005F4337" w:rsidP="0048350C">
      <w:pPr>
        <w:spacing w:after="0" w:line="240" w:lineRule="auto"/>
        <w:jc w:val="both"/>
        <w:rPr>
          <w:rFonts w:asciiTheme="majorHAnsi" w:hAnsiTheme="majorHAnsi" w:cs="Times New Roman"/>
          <w:sz w:val="20"/>
          <w:szCs w:val="20"/>
        </w:rPr>
      </w:pPr>
    </w:p>
    <w:p w14:paraId="0AB3355F" w14:textId="77777777" w:rsidR="00DB43FA" w:rsidRPr="00D45B1E" w:rsidRDefault="00287096" w:rsidP="0048350C">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SSN = β</w:t>
      </w:r>
      <w:r w:rsidRPr="00D45B1E">
        <w:rPr>
          <w:rFonts w:asciiTheme="majorHAnsi" w:hAnsiTheme="majorHAnsi" w:cs="Times New Roman"/>
          <w:sz w:val="20"/>
          <w:szCs w:val="20"/>
          <w:vertAlign w:val="subscript"/>
        </w:rPr>
        <w:t>0</w:t>
      </w:r>
      <w:r w:rsidRPr="00D45B1E">
        <w:rPr>
          <w:rFonts w:asciiTheme="majorHAnsi" w:hAnsiTheme="majorHAnsi" w:cs="Times New Roman"/>
          <w:sz w:val="20"/>
          <w:szCs w:val="20"/>
        </w:rPr>
        <w:t xml:space="preserve"> + β</w:t>
      </w:r>
      <w:r w:rsidRPr="00D45B1E">
        <w:rPr>
          <w:rFonts w:asciiTheme="majorHAnsi" w:hAnsiTheme="majorHAnsi" w:cs="Times New Roman"/>
          <w:sz w:val="20"/>
          <w:szCs w:val="20"/>
          <w:vertAlign w:val="subscript"/>
        </w:rPr>
        <w:t>1</w:t>
      </w:r>
      <w:r w:rsidRPr="00D45B1E">
        <w:rPr>
          <w:rFonts w:asciiTheme="majorHAnsi" w:hAnsiTheme="majorHAnsi" w:cs="Times New Roman"/>
          <w:sz w:val="20"/>
          <w:szCs w:val="20"/>
        </w:rPr>
        <w:t>PI + β</w:t>
      </w:r>
      <w:r w:rsidRPr="00D45B1E">
        <w:rPr>
          <w:rFonts w:asciiTheme="majorHAnsi" w:hAnsiTheme="majorHAnsi" w:cs="Times New Roman"/>
          <w:sz w:val="20"/>
          <w:szCs w:val="20"/>
          <w:vertAlign w:val="subscript"/>
        </w:rPr>
        <w:t>2</w:t>
      </w:r>
      <w:r w:rsidRPr="00D45B1E">
        <w:rPr>
          <w:rFonts w:asciiTheme="majorHAnsi" w:hAnsiTheme="majorHAnsi" w:cs="Times New Roman"/>
          <w:sz w:val="20"/>
          <w:szCs w:val="20"/>
        </w:rPr>
        <w:t>HC + β</w:t>
      </w:r>
      <w:r w:rsidRPr="00D45B1E">
        <w:rPr>
          <w:rFonts w:asciiTheme="majorHAnsi" w:hAnsiTheme="majorHAnsi" w:cs="Times New Roman"/>
          <w:sz w:val="20"/>
          <w:szCs w:val="20"/>
          <w:vertAlign w:val="subscript"/>
        </w:rPr>
        <w:t>3</w:t>
      </w:r>
      <w:r w:rsidRPr="00D45B1E">
        <w:rPr>
          <w:rFonts w:asciiTheme="majorHAnsi" w:hAnsiTheme="majorHAnsi" w:cs="Times New Roman"/>
          <w:sz w:val="20"/>
          <w:szCs w:val="20"/>
        </w:rPr>
        <w:t>IJI + e</w:t>
      </w:r>
      <w:r w:rsidRPr="00D45B1E">
        <w:rPr>
          <w:rFonts w:asciiTheme="majorHAnsi" w:hAnsiTheme="majorHAnsi" w:cs="Times New Roman"/>
          <w:sz w:val="20"/>
          <w:szCs w:val="20"/>
          <w:vertAlign w:val="subscript"/>
        </w:rPr>
        <w:t>1</w:t>
      </w:r>
      <w:r w:rsidRPr="00D45B1E">
        <w:rPr>
          <w:rFonts w:asciiTheme="majorHAnsi" w:hAnsiTheme="majorHAnsi" w:cs="Times New Roman"/>
          <w:sz w:val="20"/>
          <w:szCs w:val="20"/>
        </w:rPr>
        <w:t xml:space="preserve"> </w:t>
      </w:r>
    </w:p>
    <w:p w14:paraId="18132A79" w14:textId="77777777" w:rsidR="00DB43FA" w:rsidRPr="00D45B1E" w:rsidRDefault="00287096" w:rsidP="0048350C">
      <w:pPr>
        <w:spacing w:after="0" w:line="240" w:lineRule="auto"/>
        <w:jc w:val="both"/>
        <w:rPr>
          <w:rFonts w:asciiTheme="majorHAnsi" w:hAnsiTheme="majorHAnsi" w:cs="Times New Roman"/>
          <w:sz w:val="20"/>
          <w:szCs w:val="20"/>
          <w:lang w:val="pl-PL"/>
        </w:rPr>
      </w:pPr>
      <w:r w:rsidRPr="00D45B1E">
        <w:rPr>
          <w:rFonts w:asciiTheme="majorHAnsi" w:hAnsiTheme="majorHAnsi" w:cs="Times New Roman"/>
          <w:sz w:val="20"/>
          <w:szCs w:val="20"/>
          <w:lang w:val="pl-PL"/>
        </w:rPr>
        <w:t>LDL = µ</w:t>
      </w:r>
      <w:r w:rsidRPr="00D45B1E">
        <w:rPr>
          <w:rFonts w:asciiTheme="majorHAnsi" w:hAnsiTheme="majorHAnsi" w:cs="Times New Roman"/>
          <w:sz w:val="20"/>
          <w:szCs w:val="20"/>
          <w:vertAlign w:val="subscript"/>
          <w:lang w:val="pl-PL"/>
        </w:rPr>
        <w:t>0</w:t>
      </w:r>
      <w:r w:rsidRPr="00D45B1E">
        <w:rPr>
          <w:rFonts w:asciiTheme="majorHAnsi" w:hAnsiTheme="majorHAnsi" w:cs="Times New Roman"/>
          <w:sz w:val="20"/>
          <w:szCs w:val="20"/>
          <w:lang w:val="pl-PL"/>
        </w:rPr>
        <w:t xml:space="preserve"> + µ</w:t>
      </w:r>
      <w:r w:rsidRPr="00D45B1E">
        <w:rPr>
          <w:rFonts w:asciiTheme="majorHAnsi" w:hAnsiTheme="majorHAnsi" w:cs="Times New Roman"/>
          <w:sz w:val="20"/>
          <w:szCs w:val="20"/>
          <w:vertAlign w:val="subscript"/>
          <w:lang w:val="pl-PL"/>
        </w:rPr>
        <w:t>1</w:t>
      </w:r>
      <w:r w:rsidRPr="00D45B1E">
        <w:rPr>
          <w:rFonts w:asciiTheme="majorHAnsi" w:hAnsiTheme="majorHAnsi" w:cs="Times New Roman"/>
          <w:sz w:val="20"/>
          <w:szCs w:val="20"/>
          <w:lang w:val="pl-PL"/>
        </w:rPr>
        <w:t>PI + µ</w:t>
      </w:r>
      <w:r w:rsidRPr="00D45B1E">
        <w:rPr>
          <w:rFonts w:asciiTheme="majorHAnsi" w:hAnsiTheme="majorHAnsi" w:cs="Times New Roman"/>
          <w:sz w:val="20"/>
          <w:szCs w:val="20"/>
          <w:vertAlign w:val="subscript"/>
          <w:lang w:val="pl-PL"/>
        </w:rPr>
        <w:t>2</w:t>
      </w:r>
      <w:r w:rsidRPr="00D45B1E">
        <w:rPr>
          <w:rFonts w:asciiTheme="majorHAnsi" w:hAnsiTheme="majorHAnsi" w:cs="Times New Roman"/>
          <w:sz w:val="20"/>
          <w:szCs w:val="20"/>
          <w:lang w:val="pl-PL"/>
        </w:rPr>
        <w:t>HC + µ</w:t>
      </w:r>
      <w:r w:rsidRPr="00D45B1E">
        <w:rPr>
          <w:rFonts w:asciiTheme="majorHAnsi" w:hAnsiTheme="majorHAnsi" w:cs="Times New Roman"/>
          <w:sz w:val="20"/>
          <w:szCs w:val="20"/>
          <w:vertAlign w:val="subscript"/>
          <w:lang w:val="pl-PL"/>
        </w:rPr>
        <w:t>3</w:t>
      </w:r>
      <w:r w:rsidRPr="00D45B1E">
        <w:rPr>
          <w:rFonts w:asciiTheme="majorHAnsi" w:hAnsiTheme="majorHAnsi" w:cs="Times New Roman"/>
          <w:sz w:val="20"/>
          <w:szCs w:val="20"/>
          <w:lang w:val="pl-PL"/>
        </w:rPr>
        <w:t>IJI + e</w:t>
      </w:r>
      <w:r w:rsidRPr="00D45B1E">
        <w:rPr>
          <w:rFonts w:asciiTheme="majorHAnsi" w:hAnsiTheme="majorHAnsi" w:cs="Times New Roman"/>
          <w:sz w:val="20"/>
          <w:szCs w:val="20"/>
          <w:vertAlign w:val="subscript"/>
          <w:lang w:val="pl-PL"/>
        </w:rPr>
        <w:t>2</w:t>
      </w:r>
      <w:r w:rsidRPr="00D45B1E">
        <w:rPr>
          <w:rFonts w:asciiTheme="majorHAnsi" w:hAnsiTheme="majorHAnsi" w:cs="Times New Roman"/>
          <w:sz w:val="20"/>
          <w:szCs w:val="20"/>
          <w:lang w:val="pl-PL"/>
        </w:rPr>
        <w:t xml:space="preserve"> </w:t>
      </w:r>
    </w:p>
    <w:p w14:paraId="325116D6" w14:textId="77777777" w:rsidR="00DB43FA" w:rsidRPr="00D45B1E" w:rsidRDefault="00287096" w:rsidP="0048350C">
      <w:pPr>
        <w:spacing w:after="0" w:line="240" w:lineRule="auto"/>
        <w:jc w:val="both"/>
        <w:rPr>
          <w:rFonts w:asciiTheme="majorHAnsi" w:hAnsiTheme="majorHAnsi" w:cs="Times New Roman"/>
          <w:sz w:val="20"/>
          <w:szCs w:val="20"/>
          <w:lang w:val="pl-PL"/>
        </w:rPr>
      </w:pPr>
      <w:r w:rsidRPr="00D45B1E">
        <w:rPr>
          <w:rFonts w:asciiTheme="majorHAnsi" w:hAnsiTheme="majorHAnsi" w:cs="Times New Roman"/>
          <w:sz w:val="20"/>
          <w:szCs w:val="20"/>
          <w:lang w:val="pl-PL"/>
        </w:rPr>
        <w:t xml:space="preserve">ES  = </w:t>
      </w:r>
      <w:r w:rsidRPr="00D45B1E">
        <w:rPr>
          <w:rFonts w:asciiTheme="majorHAnsi" w:hAnsiTheme="majorHAnsi" w:cs="Times New Roman"/>
          <w:sz w:val="20"/>
          <w:szCs w:val="20"/>
        </w:rPr>
        <w:t>α</w:t>
      </w:r>
      <w:r w:rsidRPr="00D45B1E">
        <w:rPr>
          <w:rFonts w:asciiTheme="majorHAnsi" w:hAnsiTheme="majorHAnsi" w:cs="Times New Roman"/>
          <w:sz w:val="20"/>
          <w:szCs w:val="20"/>
          <w:vertAlign w:val="subscript"/>
          <w:lang w:val="pl-PL"/>
        </w:rPr>
        <w:t>0</w:t>
      </w:r>
      <w:r w:rsidRPr="00D45B1E">
        <w:rPr>
          <w:rFonts w:asciiTheme="majorHAnsi" w:hAnsiTheme="majorHAnsi" w:cs="Times New Roman"/>
          <w:sz w:val="20"/>
          <w:szCs w:val="20"/>
          <w:lang w:val="pl-PL"/>
        </w:rPr>
        <w:t xml:space="preserve"> + </w:t>
      </w:r>
      <w:r w:rsidRPr="00D45B1E">
        <w:rPr>
          <w:rFonts w:asciiTheme="majorHAnsi" w:hAnsiTheme="majorHAnsi" w:cs="Times New Roman"/>
          <w:sz w:val="20"/>
          <w:szCs w:val="20"/>
        </w:rPr>
        <w:t>α</w:t>
      </w:r>
      <w:r w:rsidRPr="00D45B1E">
        <w:rPr>
          <w:rFonts w:asciiTheme="majorHAnsi" w:hAnsiTheme="majorHAnsi" w:cs="Times New Roman"/>
          <w:sz w:val="20"/>
          <w:szCs w:val="20"/>
          <w:vertAlign w:val="subscript"/>
          <w:lang w:val="pl-PL"/>
        </w:rPr>
        <w:t>1</w:t>
      </w:r>
      <w:r w:rsidRPr="00D45B1E">
        <w:rPr>
          <w:rFonts w:asciiTheme="majorHAnsi" w:hAnsiTheme="majorHAnsi" w:cs="Times New Roman"/>
          <w:sz w:val="20"/>
          <w:szCs w:val="20"/>
          <w:lang w:val="pl-PL"/>
        </w:rPr>
        <w:t xml:space="preserve">PI + </w:t>
      </w:r>
      <w:r w:rsidRPr="00D45B1E">
        <w:rPr>
          <w:rFonts w:asciiTheme="majorHAnsi" w:hAnsiTheme="majorHAnsi" w:cs="Times New Roman"/>
          <w:sz w:val="20"/>
          <w:szCs w:val="20"/>
        </w:rPr>
        <w:t>α</w:t>
      </w:r>
      <w:r w:rsidRPr="00D45B1E">
        <w:rPr>
          <w:rFonts w:asciiTheme="majorHAnsi" w:hAnsiTheme="majorHAnsi" w:cs="Times New Roman"/>
          <w:sz w:val="20"/>
          <w:szCs w:val="20"/>
          <w:vertAlign w:val="subscript"/>
          <w:lang w:val="pl-PL"/>
        </w:rPr>
        <w:t>2</w:t>
      </w:r>
      <w:r w:rsidRPr="00D45B1E">
        <w:rPr>
          <w:rFonts w:asciiTheme="majorHAnsi" w:hAnsiTheme="majorHAnsi" w:cs="Times New Roman"/>
          <w:sz w:val="20"/>
          <w:szCs w:val="20"/>
          <w:lang w:val="pl-PL"/>
        </w:rPr>
        <w:t xml:space="preserve">HC + </w:t>
      </w:r>
      <w:r w:rsidRPr="00D45B1E">
        <w:rPr>
          <w:rFonts w:asciiTheme="majorHAnsi" w:hAnsiTheme="majorHAnsi" w:cs="Times New Roman"/>
          <w:sz w:val="20"/>
          <w:szCs w:val="20"/>
        </w:rPr>
        <w:t>α</w:t>
      </w:r>
      <w:r w:rsidRPr="00D45B1E">
        <w:rPr>
          <w:rFonts w:asciiTheme="majorHAnsi" w:hAnsiTheme="majorHAnsi" w:cs="Times New Roman"/>
          <w:sz w:val="20"/>
          <w:szCs w:val="20"/>
          <w:vertAlign w:val="subscript"/>
          <w:lang w:val="pl-PL"/>
        </w:rPr>
        <w:t>3</w:t>
      </w:r>
      <w:r w:rsidRPr="00D45B1E">
        <w:rPr>
          <w:rFonts w:asciiTheme="majorHAnsi" w:hAnsiTheme="majorHAnsi" w:cs="Times New Roman"/>
          <w:sz w:val="20"/>
          <w:szCs w:val="20"/>
          <w:lang w:val="pl-PL"/>
        </w:rPr>
        <w:t>IJI + e</w:t>
      </w:r>
      <w:r w:rsidRPr="00D45B1E">
        <w:rPr>
          <w:rFonts w:asciiTheme="majorHAnsi" w:hAnsiTheme="majorHAnsi" w:cs="Times New Roman"/>
          <w:sz w:val="20"/>
          <w:szCs w:val="20"/>
          <w:vertAlign w:val="subscript"/>
          <w:lang w:val="pl-PL"/>
        </w:rPr>
        <w:t>3</w:t>
      </w:r>
      <w:r w:rsidRPr="00D45B1E">
        <w:rPr>
          <w:rFonts w:asciiTheme="majorHAnsi" w:hAnsiTheme="majorHAnsi" w:cs="Times New Roman"/>
          <w:sz w:val="20"/>
          <w:szCs w:val="20"/>
          <w:lang w:val="pl-PL"/>
        </w:rPr>
        <w:t xml:space="preserve"> </w:t>
      </w:r>
    </w:p>
    <w:p w14:paraId="6BE5D007" w14:textId="77777777" w:rsidR="00343E42" w:rsidRPr="00D45B1E" w:rsidRDefault="00343E42" w:rsidP="0048350C">
      <w:pPr>
        <w:spacing w:after="0" w:line="240" w:lineRule="auto"/>
        <w:jc w:val="both"/>
        <w:rPr>
          <w:rFonts w:asciiTheme="majorHAnsi" w:hAnsiTheme="majorHAnsi" w:cs="Times New Roman"/>
          <w:sz w:val="20"/>
          <w:szCs w:val="20"/>
          <w:lang w:val="pl-PL"/>
        </w:rPr>
      </w:pPr>
    </w:p>
    <w:p w14:paraId="6A6A96E6" w14:textId="77777777" w:rsidR="00DB43FA" w:rsidRPr="00D45B1E" w:rsidRDefault="00287096" w:rsidP="0048350C">
      <w:pPr>
        <w:spacing w:after="0" w:line="240" w:lineRule="auto"/>
        <w:jc w:val="both"/>
        <w:rPr>
          <w:rFonts w:asciiTheme="majorHAnsi" w:hAnsiTheme="majorHAnsi" w:cs="Times New Roman"/>
          <w:b/>
          <w:sz w:val="20"/>
          <w:szCs w:val="20"/>
        </w:rPr>
      </w:pPr>
      <w:r w:rsidRPr="00D45B1E">
        <w:rPr>
          <w:rFonts w:asciiTheme="majorHAnsi" w:hAnsiTheme="majorHAnsi" w:cs="Times New Roman"/>
          <w:b/>
          <w:sz w:val="20"/>
          <w:szCs w:val="20"/>
        </w:rPr>
        <w:t>Where:</w:t>
      </w:r>
    </w:p>
    <w:p w14:paraId="162BE739" w14:textId="77777777" w:rsidR="00DB43FA" w:rsidRPr="00D45B1E" w:rsidRDefault="00287096" w:rsidP="0048350C">
      <w:pPr>
        <w:spacing w:after="0" w:line="240" w:lineRule="auto"/>
        <w:ind w:left="720"/>
        <w:jc w:val="both"/>
        <w:rPr>
          <w:rFonts w:asciiTheme="majorHAnsi" w:hAnsiTheme="majorHAnsi" w:cs="Times New Roman"/>
          <w:sz w:val="20"/>
          <w:szCs w:val="20"/>
        </w:rPr>
      </w:pPr>
      <w:r w:rsidRPr="00D45B1E">
        <w:rPr>
          <w:rFonts w:asciiTheme="majorHAnsi" w:hAnsiTheme="majorHAnsi" w:cs="Times New Roman"/>
          <w:b/>
          <w:bCs/>
          <w:sz w:val="20"/>
          <w:szCs w:val="20"/>
        </w:rPr>
        <w:t>β₀, μ₀, and α₀</w:t>
      </w:r>
      <w:r w:rsidRPr="00D45B1E">
        <w:rPr>
          <w:rFonts w:asciiTheme="majorHAnsi" w:hAnsiTheme="majorHAnsi" w:cs="Times New Roman"/>
          <w:sz w:val="20"/>
          <w:szCs w:val="20"/>
        </w:rPr>
        <w:t xml:space="preserve"> represent the intercepts,</w:t>
      </w:r>
    </w:p>
    <w:p w14:paraId="2D523E3D" w14:textId="77777777" w:rsidR="00DB43FA" w:rsidRPr="00D45B1E" w:rsidRDefault="00287096" w:rsidP="0048350C">
      <w:pPr>
        <w:spacing w:after="0" w:line="240" w:lineRule="auto"/>
        <w:ind w:left="720"/>
        <w:jc w:val="both"/>
        <w:rPr>
          <w:rFonts w:asciiTheme="majorHAnsi" w:hAnsiTheme="majorHAnsi" w:cs="Times New Roman"/>
          <w:sz w:val="20"/>
          <w:szCs w:val="20"/>
        </w:rPr>
      </w:pPr>
      <w:r w:rsidRPr="00D45B1E">
        <w:rPr>
          <w:rFonts w:asciiTheme="majorHAnsi" w:hAnsiTheme="majorHAnsi" w:cs="Times New Roman"/>
          <w:b/>
          <w:bCs/>
          <w:sz w:val="20"/>
          <w:szCs w:val="20"/>
        </w:rPr>
        <w:t>β₁–β₃, μ₁–μ₃, and α₁–α₃</w:t>
      </w:r>
      <w:r w:rsidRPr="00D45B1E">
        <w:rPr>
          <w:rFonts w:asciiTheme="majorHAnsi" w:hAnsiTheme="majorHAnsi" w:cs="Times New Roman"/>
          <w:sz w:val="20"/>
          <w:szCs w:val="20"/>
        </w:rPr>
        <w:t xml:space="preserve"> are the regression coefficients for the explanatory variables, and</w:t>
      </w:r>
    </w:p>
    <w:p w14:paraId="472A7D68" w14:textId="77777777" w:rsidR="00DB43FA" w:rsidRPr="00D45B1E" w:rsidRDefault="00287096" w:rsidP="0048350C">
      <w:pPr>
        <w:spacing w:after="0" w:line="240" w:lineRule="auto"/>
        <w:ind w:left="720"/>
        <w:jc w:val="both"/>
        <w:rPr>
          <w:rFonts w:asciiTheme="majorHAnsi" w:hAnsiTheme="majorHAnsi" w:cs="Times New Roman"/>
          <w:sz w:val="20"/>
          <w:szCs w:val="20"/>
        </w:rPr>
      </w:pPr>
      <w:r w:rsidRPr="00D45B1E">
        <w:rPr>
          <w:rFonts w:asciiTheme="majorHAnsi" w:hAnsiTheme="majorHAnsi" w:cs="Times New Roman"/>
          <w:b/>
          <w:bCs/>
          <w:sz w:val="20"/>
          <w:szCs w:val="20"/>
        </w:rPr>
        <w:t>e₁–e₃</w:t>
      </w:r>
      <w:r w:rsidRPr="00D45B1E">
        <w:rPr>
          <w:rFonts w:asciiTheme="majorHAnsi" w:hAnsiTheme="majorHAnsi" w:cs="Times New Roman"/>
          <w:sz w:val="20"/>
          <w:szCs w:val="20"/>
        </w:rPr>
        <w:t xml:space="preserve"> denote the respective error terms.</w:t>
      </w:r>
    </w:p>
    <w:p w14:paraId="4419D10D" w14:textId="77777777" w:rsidR="00DB43FA" w:rsidRPr="00D45B1E" w:rsidRDefault="00DB43FA" w:rsidP="0048350C">
      <w:pPr>
        <w:spacing w:after="0" w:line="240" w:lineRule="auto"/>
        <w:ind w:left="720"/>
        <w:jc w:val="both"/>
        <w:rPr>
          <w:rFonts w:asciiTheme="majorHAnsi" w:hAnsiTheme="majorHAnsi" w:cs="Times New Roman"/>
          <w:sz w:val="20"/>
          <w:szCs w:val="20"/>
        </w:rPr>
      </w:pPr>
    </w:p>
    <w:p w14:paraId="2D75CA7F" w14:textId="711B87AE" w:rsidR="00DB43FA" w:rsidRPr="00D45B1E" w:rsidRDefault="008748BE" w:rsidP="0048350C">
      <w:pPr>
        <w:spacing w:after="0" w:line="240" w:lineRule="auto"/>
        <w:ind w:right="567"/>
        <w:jc w:val="both"/>
        <w:rPr>
          <w:rFonts w:asciiTheme="majorHAnsi" w:hAnsiTheme="majorHAnsi" w:cs="Times New Roman"/>
          <w:sz w:val="20"/>
          <w:szCs w:val="20"/>
        </w:rPr>
      </w:pPr>
      <w:r w:rsidRPr="00D45B1E">
        <w:rPr>
          <w:rFonts w:asciiTheme="majorHAnsi" w:hAnsiTheme="majorHAnsi" w:cs="Times New Roman"/>
          <w:sz w:val="20"/>
          <w:szCs w:val="20"/>
        </w:rPr>
        <w:t>SEM stands for Structural Equation Modelling, which concerns economic models and the interrelationships among the construction variables, as shown in</w:t>
      </w:r>
      <w:r w:rsidR="00462E7F" w:rsidRPr="00D45B1E">
        <w:rPr>
          <w:rFonts w:asciiTheme="majorHAnsi" w:hAnsiTheme="majorHAnsi" w:cs="Times New Roman"/>
          <w:sz w:val="20"/>
          <w:szCs w:val="20"/>
        </w:rPr>
        <w:t xml:space="preserve"> the SEM framework in Figure</w:t>
      </w:r>
      <w:r w:rsidR="003702E8" w:rsidRPr="00D45B1E">
        <w:rPr>
          <w:rFonts w:asciiTheme="majorHAnsi" w:hAnsiTheme="majorHAnsi" w:cs="Times New Roman"/>
          <w:sz w:val="20"/>
          <w:szCs w:val="20"/>
        </w:rPr>
        <w:t xml:space="preserve"> </w:t>
      </w:r>
      <w:r w:rsidR="000C5364" w:rsidRPr="00D45B1E">
        <w:rPr>
          <w:rFonts w:asciiTheme="majorHAnsi" w:hAnsiTheme="majorHAnsi" w:cs="Times New Roman"/>
          <w:sz w:val="20"/>
          <w:szCs w:val="20"/>
        </w:rPr>
        <w:t>2</w:t>
      </w:r>
      <w:r w:rsidR="003702E8" w:rsidRPr="00D45B1E">
        <w:rPr>
          <w:rFonts w:asciiTheme="majorHAnsi" w:hAnsiTheme="majorHAnsi" w:cs="Times New Roman"/>
          <w:sz w:val="20"/>
          <w:szCs w:val="20"/>
        </w:rPr>
        <w:t>.</w:t>
      </w:r>
    </w:p>
    <w:p w14:paraId="1AE63DC2" w14:textId="77777777" w:rsidR="00DB43FA" w:rsidRPr="00D45B1E" w:rsidRDefault="00DB43FA" w:rsidP="0048350C">
      <w:pPr>
        <w:spacing w:after="0" w:line="240" w:lineRule="auto"/>
        <w:ind w:right="567"/>
        <w:jc w:val="both"/>
        <w:rPr>
          <w:rFonts w:asciiTheme="majorHAnsi" w:hAnsiTheme="majorHAnsi" w:cs="Times New Roman"/>
          <w:sz w:val="20"/>
          <w:szCs w:val="20"/>
        </w:rPr>
      </w:pPr>
    </w:p>
    <w:p w14:paraId="0DDC0A3B" w14:textId="77777777"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noProof/>
          <w:sz w:val="20"/>
          <w:szCs w:val="20"/>
        </w:rPr>
        <w:lastRenderedPageBreak/>
        <w:drawing>
          <wp:inline distT="0" distB="0" distL="0" distR="0" wp14:anchorId="14F8044F" wp14:editId="09CA078B">
            <wp:extent cx="5429250" cy="433070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a:fillRect/>
                    </a:stretch>
                  </pic:blipFill>
                  <pic:spPr>
                    <a:xfrm>
                      <a:off x="0" y="0"/>
                      <a:ext cx="5429250" cy="4330700"/>
                    </a:xfrm>
                    <a:prstGeom prst="rect">
                      <a:avLst/>
                    </a:prstGeom>
                    <a:ln>
                      <a:noFill/>
                    </a:ln>
                  </pic:spPr>
                </pic:pic>
              </a:graphicData>
            </a:graphic>
          </wp:inline>
        </w:drawing>
      </w:r>
    </w:p>
    <w:p w14:paraId="4D81293D" w14:textId="78741417"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 xml:space="preserve">Figure </w:t>
      </w:r>
      <w:r w:rsidR="000C5364" w:rsidRPr="00D45B1E">
        <w:rPr>
          <w:rFonts w:asciiTheme="majorHAnsi" w:hAnsiTheme="majorHAnsi" w:cs="Times New Roman"/>
          <w:b/>
          <w:bCs/>
          <w:sz w:val="20"/>
          <w:szCs w:val="20"/>
        </w:rPr>
        <w:t>2</w:t>
      </w:r>
      <w:r w:rsidRPr="00D45B1E">
        <w:rPr>
          <w:rFonts w:asciiTheme="majorHAnsi" w:hAnsiTheme="majorHAnsi" w:cs="Times New Roman"/>
          <w:b/>
          <w:bCs/>
          <w:sz w:val="20"/>
          <w:szCs w:val="20"/>
        </w:rPr>
        <w:t>: SEM Framework for the Study Variables</w:t>
      </w:r>
    </w:p>
    <w:p w14:paraId="6F17DEA7" w14:textId="77777777" w:rsidR="006B4C91" w:rsidRPr="00D45B1E" w:rsidRDefault="006B4C91"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3.5 Approach to Estimation</w:t>
      </w:r>
    </w:p>
    <w:p w14:paraId="01C5902D" w14:textId="31B20B79" w:rsidR="00D9223D" w:rsidRPr="00D45B1E" w:rsidRDefault="00D9223D"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Descriptive analysis </w:t>
      </w:r>
      <w:r w:rsidR="00462E7F" w:rsidRPr="00D45B1E">
        <w:rPr>
          <w:rFonts w:asciiTheme="majorHAnsi" w:hAnsiTheme="majorHAnsi" w:cs="Times New Roman"/>
          <w:bCs/>
          <w:sz w:val="20"/>
          <w:szCs w:val="20"/>
        </w:rPr>
        <w:t>uses</w:t>
      </w:r>
      <w:r w:rsidRPr="00D45B1E">
        <w:rPr>
          <w:rFonts w:asciiTheme="majorHAnsi" w:hAnsiTheme="majorHAnsi" w:cs="Times New Roman"/>
          <w:bCs/>
          <w:sz w:val="20"/>
          <w:szCs w:val="20"/>
        </w:rPr>
        <w:t xml:space="preserve"> frequency distribution tables and percentages. For inferential analysis, the </w:t>
      </w:r>
      <w:r w:rsidR="00462E7F" w:rsidRPr="00D45B1E">
        <w:rPr>
          <w:rFonts w:asciiTheme="majorHAnsi" w:hAnsiTheme="majorHAnsi" w:cs="Times New Roman"/>
          <w:bCs/>
          <w:sz w:val="20"/>
          <w:szCs w:val="20"/>
        </w:rPr>
        <w:t>technique used was</w:t>
      </w:r>
      <w:r w:rsidRPr="00D45B1E">
        <w:rPr>
          <w:rFonts w:asciiTheme="majorHAnsi" w:hAnsiTheme="majorHAnsi" w:cs="Times New Roman"/>
          <w:bCs/>
          <w:sz w:val="20"/>
          <w:szCs w:val="20"/>
        </w:rPr>
        <w:t xml:space="preserve"> Partial Least </w:t>
      </w:r>
      <w:r w:rsidR="00F54398" w:rsidRPr="00D45B1E">
        <w:rPr>
          <w:rFonts w:asciiTheme="majorHAnsi" w:hAnsiTheme="majorHAnsi" w:cs="Times New Roman"/>
          <w:bCs/>
          <w:sz w:val="20"/>
          <w:szCs w:val="20"/>
        </w:rPr>
        <w:t>Squares Structural Equation Modelling (PLS-SEM</w:t>
      </w:r>
      <w:r w:rsidRPr="00D45B1E">
        <w:rPr>
          <w:rFonts w:asciiTheme="majorHAnsi" w:hAnsiTheme="majorHAnsi" w:cs="Times New Roman"/>
          <w:bCs/>
          <w:sz w:val="20"/>
          <w:szCs w:val="20"/>
        </w:rPr>
        <w:t xml:space="preserve">). Model assessment </w:t>
      </w:r>
      <w:r w:rsidR="00F54398" w:rsidRPr="00D45B1E">
        <w:rPr>
          <w:rFonts w:asciiTheme="majorHAnsi" w:hAnsiTheme="majorHAnsi" w:cs="Times New Roman"/>
          <w:bCs/>
          <w:sz w:val="20"/>
          <w:szCs w:val="20"/>
        </w:rPr>
        <w:t>utilised standardised</w:t>
      </w:r>
      <w:r w:rsidRPr="00D45B1E">
        <w:rPr>
          <w:rFonts w:asciiTheme="majorHAnsi" w:hAnsiTheme="majorHAnsi" w:cs="Times New Roman"/>
          <w:bCs/>
          <w:sz w:val="20"/>
          <w:szCs w:val="20"/>
        </w:rPr>
        <w:t xml:space="preserve"> factor </w:t>
      </w:r>
      <w:r w:rsidR="00462E7F" w:rsidRPr="00D45B1E">
        <w:rPr>
          <w:rFonts w:asciiTheme="majorHAnsi" w:hAnsiTheme="majorHAnsi" w:cs="Times New Roman"/>
          <w:bCs/>
          <w:sz w:val="20"/>
          <w:szCs w:val="20"/>
        </w:rPr>
        <w:t>loadings, Cronbach's alpha</w:t>
      </w:r>
      <w:r w:rsidRPr="00D45B1E">
        <w:rPr>
          <w:rFonts w:asciiTheme="majorHAnsi" w:hAnsiTheme="majorHAnsi" w:cs="Times New Roman"/>
          <w:bCs/>
          <w:sz w:val="20"/>
          <w:szCs w:val="20"/>
        </w:rPr>
        <w:t xml:space="preserve">, composite reliability, and average variance extracted. Further, the discriminant validity of construct variables was evaluated using the </w:t>
      </w:r>
      <w:r w:rsidR="00F54398" w:rsidRPr="00D45B1E">
        <w:rPr>
          <w:rFonts w:asciiTheme="majorHAnsi" w:hAnsiTheme="majorHAnsi" w:cs="Times New Roman"/>
          <w:bCs/>
          <w:sz w:val="20"/>
          <w:szCs w:val="20"/>
        </w:rPr>
        <w:t xml:space="preserve">Fornell-Larcker and </w:t>
      </w:r>
      <w:proofErr w:type="spellStart"/>
      <w:r w:rsidR="00F54398" w:rsidRPr="00D45B1E">
        <w:rPr>
          <w:rFonts w:asciiTheme="majorHAnsi" w:hAnsiTheme="majorHAnsi" w:cs="Times New Roman"/>
          <w:bCs/>
          <w:sz w:val="20"/>
          <w:szCs w:val="20"/>
        </w:rPr>
        <w:t>Heterotrait-Monotrait</w:t>
      </w:r>
      <w:proofErr w:type="spellEnd"/>
      <w:r w:rsidRPr="00D45B1E">
        <w:rPr>
          <w:rFonts w:asciiTheme="majorHAnsi" w:hAnsiTheme="majorHAnsi" w:cs="Times New Roman"/>
          <w:bCs/>
          <w:sz w:val="20"/>
          <w:szCs w:val="20"/>
        </w:rPr>
        <w:t xml:space="preserve"> (HTMT) criteria. Computation was done using </w:t>
      </w:r>
      <w:r w:rsidR="005B19ED" w:rsidRPr="00D45B1E">
        <w:rPr>
          <w:rFonts w:asciiTheme="majorHAnsi" w:hAnsiTheme="majorHAnsi" w:cs="Times New Roman"/>
          <w:bCs/>
          <w:sz w:val="20"/>
          <w:szCs w:val="20"/>
        </w:rPr>
        <w:t>Smart-PLS</w:t>
      </w:r>
      <w:r w:rsidRPr="00D45B1E">
        <w:rPr>
          <w:rFonts w:asciiTheme="majorHAnsi" w:hAnsiTheme="majorHAnsi" w:cs="Times New Roman"/>
          <w:bCs/>
          <w:sz w:val="20"/>
          <w:szCs w:val="20"/>
        </w:rPr>
        <w:t xml:space="preserve"> 4.</w:t>
      </w:r>
    </w:p>
    <w:p w14:paraId="1338CA38" w14:textId="77777777" w:rsidR="00D9223D" w:rsidRPr="00D45B1E" w:rsidRDefault="00D9223D"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 xml:space="preserve">4. RESULTS AND DISCUSSIONS </w:t>
      </w:r>
    </w:p>
    <w:p w14:paraId="24041601" w14:textId="712D8065" w:rsidR="00DD1A4F" w:rsidRPr="00D45B1E" w:rsidRDefault="00DD1A4F"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4.</w:t>
      </w:r>
      <w:r w:rsidR="00232E3F" w:rsidRPr="00D45B1E">
        <w:rPr>
          <w:rFonts w:asciiTheme="majorHAnsi" w:hAnsiTheme="majorHAnsi" w:cs="Times New Roman"/>
          <w:b/>
          <w:bCs/>
          <w:sz w:val="20"/>
          <w:szCs w:val="20"/>
        </w:rPr>
        <w:t>1</w:t>
      </w:r>
      <w:r w:rsidRPr="00D45B1E">
        <w:rPr>
          <w:rFonts w:asciiTheme="majorHAnsi" w:hAnsiTheme="majorHAnsi" w:cs="Times New Roman"/>
          <w:b/>
          <w:bCs/>
          <w:sz w:val="20"/>
          <w:szCs w:val="20"/>
        </w:rPr>
        <w:t xml:space="preserve"> Model Assessment</w:t>
      </w:r>
    </w:p>
    <w:p w14:paraId="4BCCD8F6" w14:textId="427D91EE" w:rsidR="00DD1A4F" w:rsidRPr="00D45B1E" w:rsidRDefault="00DD1A4F"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The results </w:t>
      </w:r>
      <w:r w:rsidR="00462E7F" w:rsidRPr="00D45B1E">
        <w:rPr>
          <w:rFonts w:asciiTheme="majorHAnsi" w:hAnsiTheme="majorHAnsi" w:cs="Times New Roman"/>
          <w:bCs/>
          <w:sz w:val="20"/>
          <w:szCs w:val="20"/>
        </w:rPr>
        <w:t>of the analysis of measurement items are presented</w:t>
      </w:r>
      <w:r w:rsidRPr="00D45B1E">
        <w:rPr>
          <w:rFonts w:asciiTheme="majorHAnsi" w:hAnsiTheme="majorHAnsi" w:cs="Times New Roman"/>
          <w:bCs/>
          <w:sz w:val="20"/>
          <w:szCs w:val="20"/>
        </w:rPr>
        <w:t xml:space="preserve"> in Table </w:t>
      </w:r>
      <w:r w:rsidR="00232E3F" w:rsidRPr="00D45B1E">
        <w:rPr>
          <w:rFonts w:asciiTheme="majorHAnsi" w:hAnsiTheme="majorHAnsi" w:cs="Times New Roman"/>
          <w:bCs/>
          <w:sz w:val="20"/>
          <w:szCs w:val="20"/>
        </w:rPr>
        <w:t>1</w:t>
      </w:r>
      <w:r w:rsidRPr="00D45B1E">
        <w:rPr>
          <w:rFonts w:asciiTheme="majorHAnsi" w:hAnsiTheme="majorHAnsi" w:cs="Times New Roman"/>
          <w:bCs/>
          <w:sz w:val="20"/>
          <w:szCs w:val="20"/>
        </w:rPr>
        <w:t xml:space="preserve">. Since the recommended criterion for acceptable factor loading is above 0.6, only such items which satisfied this criterion have been considered for further path analysis. This means that the chosen indicators can adequately measure their respective constructs of interest. The reliability of the constructs </w:t>
      </w:r>
      <w:r w:rsidR="00462E7F" w:rsidRPr="00D45B1E">
        <w:rPr>
          <w:rFonts w:asciiTheme="majorHAnsi" w:hAnsiTheme="majorHAnsi" w:cs="Times New Roman"/>
          <w:bCs/>
          <w:sz w:val="20"/>
          <w:szCs w:val="20"/>
        </w:rPr>
        <w:t>exceeded the minimum threshold of 70%, as confirmed by multiple methods (Cronbach's</w:t>
      </w:r>
      <w:r w:rsidRPr="00D45B1E">
        <w:rPr>
          <w:rFonts w:asciiTheme="majorHAnsi" w:hAnsiTheme="majorHAnsi" w:cs="Times New Roman"/>
          <w:bCs/>
          <w:sz w:val="20"/>
          <w:szCs w:val="20"/>
        </w:rPr>
        <w:t xml:space="preserve"> Alpha, </w:t>
      </w:r>
      <w:proofErr w:type="spellStart"/>
      <w:r w:rsidRPr="00D45B1E">
        <w:rPr>
          <w:rFonts w:asciiTheme="majorHAnsi" w:hAnsiTheme="majorHAnsi" w:cs="Times New Roman"/>
          <w:bCs/>
          <w:sz w:val="20"/>
          <w:szCs w:val="20"/>
        </w:rPr>
        <w:t>rho_A</w:t>
      </w:r>
      <w:proofErr w:type="spellEnd"/>
      <w:r w:rsidR="00F54398" w:rsidRPr="00D45B1E">
        <w:rPr>
          <w:rFonts w:asciiTheme="majorHAnsi" w:hAnsiTheme="majorHAnsi" w:cs="Times New Roman"/>
          <w:bCs/>
          <w:sz w:val="20"/>
          <w:szCs w:val="20"/>
        </w:rPr>
        <w:t xml:space="preserve">, and </w:t>
      </w:r>
      <w:r w:rsidRPr="00D45B1E">
        <w:rPr>
          <w:rFonts w:asciiTheme="majorHAnsi" w:hAnsiTheme="majorHAnsi" w:cs="Times New Roman"/>
          <w:bCs/>
          <w:sz w:val="20"/>
          <w:szCs w:val="20"/>
        </w:rPr>
        <w:t xml:space="preserve">Composite Reliability). This suggests that all items are reliable for measuring their respective constructs together. </w:t>
      </w:r>
    </w:p>
    <w:p w14:paraId="6EC2236A" w14:textId="3E17D1ED" w:rsidR="00F54398" w:rsidRPr="00D45B1E" w:rsidRDefault="00DD1A4F"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Average Variance Extracted (AVE) was also used to confirm convergent validity and </w:t>
      </w:r>
      <w:r w:rsidR="00F54398" w:rsidRPr="00D45B1E">
        <w:rPr>
          <w:rFonts w:asciiTheme="majorHAnsi" w:hAnsiTheme="majorHAnsi" w:cs="Times New Roman"/>
          <w:bCs/>
          <w:sz w:val="20"/>
          <w:szCs w:val="20"/>
        </w:rPr>
        <w:t xml:space="preserve">to </w:t>
      </w:r>
      <w:r w:rsidR="00462E7F" w:rsidRPr="00D45B1E">
        <w:rPr>
          <w:rFonts w:asciiTheme="majorHAnsi" w:hAnsiTheme="majorHAnsi" w:cs="Times New Roman"/>
          <w:bCs/>
          <w:sz w:val="20"/>
          <w:szCs w:val="20"/>
        </w:rPr>
        <w:t>assess the extent to which</w:t>
      </w:r>
      <w:r w:rsidR="00F54398" w:rsidRPr="00D45B1E">
        <w:rPr>
          <w:rFonts w:asciiTheme="majorHAnsi" w:hAnsiTheme="majorHAnsi" w:cs="Times New Roman"/>
          <w:bCs/>
          <w:sz w:val="20"/>
          <w:szCs w:val="20"/>
        </w:rPr>
        <w:t xml:space="preserve"> the measurement items of the constructs are related to one another</w:t>
      </w:r>
      <w:r w:rsidRPr="00D45B1E">
        <w:rPr>
          <w:rFonts w:asciiTheme="majorHAnsi" w:hAnsiTheme="majorHAnsi" w:cs="Times New Roman"/>
          <w:bCs/>
          <w:sz w:val="20"/>
          <w:szCs w:val="20"/>
        </w:rPr>
        <w:t xml:space="preserve">. The cutoff </w:t>
      </w:r>
      <w:r w:rsidR="00462E7F" w:rsidRPr="00D45B1E">
        <w:rPr>
          <w:rFonts w:asciiTheme="majorHAnsi" w:hAnsiTheme="majorHAnsi" w:cs="Times New Roman"/>
          <w:bCs/>
          <w:sz w:val="20"/>
          <w:szCs w:val="20"/>
        </w:rPr>
        <w:t>is set at 0.5, and as shown in Table 1, the AVEs for all constructs exceed</w:t>
      </w:r>
      <w:r w:rsidRPr="00D45B1E">
        <w:rPr>
          <w:rFonts w:asciiTheme="majorHAnsi" w:hAnsiTheme="majorHAnsi" w:cs="Times New Roman"/>
          <w:bCs/>
          <w:sz w:val="20"/>
          <w:szCs w:val="20"/>
        </w:rPr>
        <w:t xml:space="preserve"> the cutoff.</w:t>
      </w:r>
    </w:p>
    <w:p w14:paraId="7CD57BED" w14:textId="77777777" w:rsidR="00F54398" w:rsidRPr="00D45B1E" w:rsidRDefault="00F54398" w:rsidP="0048350C">
      <w:pPr>
        <w:jc w:val="both"/>
        <w:rPr>
          <w:rFonts w:asciiTheme="majorHAnsi" w:hAnsiTheme="majorHAnsi" w:cs="Times New Roman"/>
          <w:b/>
          <w:bCs/>
          <w:sz w:val="20"/>
          <w:szCs w:val="20"/>
        </w:rPr>
      </w:pPr>
    </w:p>
    <w:p w14:paraId="478CF40B" w14:textId="453E29C6"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lastRenderedPageBreak/>
        <w:t xml:space="preserve">Table </w:t>
      </w:r>
      <w:r w:rsidR="00232E3F" w:rsidRPr="00D45B1E">
        <w:rPr>
          <w:rFonts w:asciiTheme="majorHAnsi" w:hAnsiTheme="majorHAnsi" w:cs="Times New Roman"/>
          <w:b/>
          <w:bCs/>
          <w:sz w:val="20"/>
          <w:szCs w:val="20"/>
        </w:rPr>
        <w:t>1</w:t>
      </w:r>
      <w:r w:rsidRPr="00D45B1E">
        <w:rPr>
          <w:rFonts w:asciiTheme="majorHAnsi" w:hAnsiTheme="majorHAnsi" w:cs="Times New Roman"/>
          <w:b/>
          <w:bCs/>
          <w:sz w:val="20"/>
          <w:szCs w:val="20"/>
        </w:rPr>
        <w:t>: Model Assessment Parameters</w:t>
      </w:r>
    </w:p>
    <w:tbl>
      <w:tblPr>
        <w:tblW w:w="8642" w:type="dxa"/>
        <w:jc w:val="center"/>
        <w:tblLook w:val="04A0" w:firstRow="1" w:lastRow="0" w:firstColumn="1" w:lastColumn="0" w:noHBand="0" w:noVBand="1"/>
      </w:tblPr>
      <w:tblGrid>
        <w:gridCol w:w="1343"/>
        <w:gridCol w:w="1021"/>
        <w:gridCol w:w="1134"/>
        <w:gridCol w:w="1206"/>
        <w:gridCol w:w="956"/>
        <w:gridCol w:w="1134"/>
        <w:gridCol w:w="1848"/>
      </w:tblGrid>
      <w:tr w:rsidR="00DB43FA" w:rsidRPr="00D45B1E" w14:paraId="286B9C71" w14:textId="77777777" w:rsidTr="00296640">
        <w:trPr>
          <w:trHeight w:val="300"/>
          <w:jc w:val="center"/>
        </w:trPr>
        <w:tc>
          <w:tcPr>
            <w:tcW w:w="1343" w:type="dxa"/>
            <w:tcBorders>
              <w:top w:val="single" w:sz="4" w:space="0" w:color="auto"/>
              <w:left w:val="single" w:sz="4" w:space="0" w:color="auto"/>
              <w:bottom w:val="single" w:sz="4" w:space="0" w:color="auto"/>
              <w:right w:val="single" w:sz="4" w:space="0" w:color="auto"/>
            </w:tcBorders>
            <w:noWrap/>
            <w:vAlign w:val="bottom"/>
          </w:tcPr>
          <w:p w14:paraId="057B1DD8"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Constructs</w:t>
            </w:r>
          </w:p>
        </w:tc>
        <w:tc>
          <w:tcPr>
            <w:tcW w:w="1021" w:type="dxa"/>
            <w:tcBorders>
              <w:top w:val="single" w:sz="4" w:space="0" w:color="auto"/>
              <w:left w:val="nil"/>
              <w:bottom w:val="single" w:sz="4" w:space="0" w:color="auto"/>
              <w:right w:val="single" w:sz="4" w:space="0" w:color="auto"/>
            </w:tcBorders>
            <w:noWrap/>
            <w:vAlign w:val="bottom"/>
          </w:tcPr>
          <w:p w14:paraId="5F34A4C2"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Items</w:t>
            </w:r>
          </w:p>
        </w:tc>
        <w:tc>
          <w:tcPr>
            <w:tcW w:w="1134" w:type="dxa"/>
            <w:tcBorders>
              <w:top w:val="single" w:sz="4" w:space="0" w:color="auto"/>
              <w:left w:val="nil"/>
              <w:bottom w:val="single" w:sz="4" w:space="0" w:color="auto"/>
              <w:right w:val="single" w:sz="4" w:space="0" w:color="auto"/>
            </w:tcBorders>
            <w:noWrap/>
            <w:vAlign w:val="bottom"/>
          </w:tcPr>
          <w:p w14:paraId="01A196A6"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Loadings</w:t>
            </w:r>
          </w:p>
        </w:tc>
        <w:tc>
          <w:tcPr>
            <w:tcW w:w="1206" w:type="dxa"/>
            <w:tcBorders>
              <w:top w:val="single" w:sz="4" w:space="0" w:color="auto"/>
              <w:left w:val="nil"/>
              <w:bottom w:val="single" w:sz="4" w:space="0" w:color="auto"/>
              <w:right w:val="single" w:sz="4" w:space="0" w:color="auto"/>
            </w:tcBorders>
            <w:noWrap/>
            <w:vAlign w:val="bottom"/>
          </w:tcPr>
          <w:p w14:paraId="2F1D0E8F"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Cronbach's Alpha</w:t>
            </w:r>
          </w:p>
        </w:tc>
        <w:tc>
          <w:tcPr>
            <w:tcW w:w="956" w:type="dxa"/>
            <w:tcBorders>
              <w:top w:val="single" w:sz="4" w:space="0" w:color="auto"/>
              <w:left w:val="nil"/>
              <w:bottom w:val="single" w:sz="4" w:space="0" w:color="auto"/>
              <w:right w:val="single" w:sz="4" w:space="0" w:color="auto"/>
            </w:tcBorders>
            <w:noWrap/>
            <w:vAlign w:val="bottom"/>
          </w:tcPr>
          <w:p w14:paraId="08C45CE5" w14:textId="77777777" w:rsidR="00DB43FA" w:rsidRPr="00D45B1E" w:rsidRDefault="00287096" w:rsidP="00296640">
            <w:pPr>
              <w:spacing w:after="0" w:line="240" w:lineRule="auto"/>
              <w:jc w:val="both"/>
              <w:rPr>
                <w:rFonts w:asciiTheme="majorHAnsi" w:hAnsiTheme="majorHAnsi" w:cs="Times New Roman"/>
                <w:sz w:val="20"/>
                <w:szCs w:val="20"/>
              </w:rPr>
            </w:pPr>
            <w:proofErr w:type="spellStart"/>
            <w:r w:rsidRPr="00D45B1E">
              <w:rPr>
                <w:rFonts w:asciiTheme="majorHAnsi" w:hAnsiTheme="majorHAnsi" w:cs="Times New Roman"/>
                <w:sz w:val="20"/>
                <w:szCs w:val="20"/>
              </w:rPr>
              <w:t>rho_A</w:t>
            </w:r>
            <w:proofErr w:type="spellEnd"/>
          </w:p>
        </w:tc>
        <w:tc>
          <w:tcPr>
            <w:tcW w:w="1134" w:type="dxa"/>
            <w:tcBorders>
              <w:top w:val="single" w:sz="4" w:space="0" w:color="auto"/>
              <w:left w:val="nil"/>
              <w:bottom w:val="single" w:sz="4" w:space="0" w:color="auto"/>
              <w:right w:val="single" w:sz="4" w:space="0" w:color="auto"/>
            </w:tcBorders>
            <w:noWrap/>
            <w:vAlign w:val="bottom"/>
          </w:tcPr>
          <w:p w14:paraId="702C6D1B"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Composite Reliability</w:t>
            </w:r>
          </w:p>
        </w:tc>
        <w:tc>
          <w:tcPr>
            <w:tcW w:w="1848" w:type="dxa"/>
            <w:tcBorders>
              <w:top w:val="single" w:sz="4" w:space="0" w:color="auto"/>
              <w:left w:val="nil"/>
              <w:bottom w:val="single" w:sz="4" w:space="0" w:color="auto"/>
              <w:right w:val="single" w:sz="4" w:space="0" w:color="auto"/>
            </w:tcBorders>
            <w:noWrap/>
            <w:vAlign w:val="bottom"/>
          </w:tcPr>
          <w:p w14:paraId="736297EF"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Average Variance Extracted (AVE)</w:t>
            </w:r>
          </w:p>
        </w:tc>
      </w:tr>
      <w:tr w:rsidR="00DB43FA" w:rsidRPr="00D45B1E" w14:paraId="7EB68F5E" w14:textId="77777777" w:rsidTr="00296640">
        <w:trPr>
          <w:trHeight w:val="281"/>
          <w:jc w:val="center"/>
        </w:trPr>
        <w:tc>
          <w:tcPr>
            <w:tcW w:w="1343" w:type="dxa"/>
            <w:vMerge w:val="restart"/>
            <w:tcBorders>
              <w:top w:val="nil"/>
              <w:left w:val="single" w:sz="4" w:space="0" w:color="auto"/>
              <w:right w:val="single" w:sz="4" w:space="0" w:color="auto"/>
            </w:tcBorders>
            <w:noWrap/>
            <w:vAlign w:val="bottom"/>
          </w:tcPr>
          <w:p w14:paraId="435D7531"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Emergency Savings (ES)</w:t>
            </w:r>
          </w:p>
          <w:p w14:paraId="73659FFB" w14:textId="017D6CA4" w:rsidR="00F54398" w:rsidRPr="00D45B1E" w:rsidRDefault="00287096" w:rsidP="00F54398">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p w14:paraId="42AEB62F" w14:textId="0020E76D"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43901199" w14:textId="16AEA384"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ES1</w:t>
            </w:r>
          </w:p>
        </w:tc>
        <w:tc>
          <w:tcPr>
            <w:tcW w:w="1134" w:type="dxa"/>
            <w:tcBorders>
              <w:top w:val="nil"/>
              <w:left w:val="nil"/>
              <w:bottom w:val="single" w:sz="4" w:space="0" w:color="auto"/>
              <w:right w:val="single" w:sz="4" w:space="0" w:color="auto"/>
            </w:tcBorders>
            <w:noWrap/>
            <w:vAlign w:val="bottom"/>
          </w:tcPr>
          <w:p w14:paraId="09000356"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0.725</w:t>
            </w:r>
          </w:p>
        </w:tc>
        <w:tc>
          <w:tcPr>
            <w:tcW w:w="1206" w:type="dxa"/>
            <w:tcBorders>
              <w:top w:val="nil"/>
              <w:left w:val="nil"/>
              <w:bottom w:val="single" w:sz="4" w:space="0" w:color="auto"/>
              <w:right w:val="single" w:sz="4" w:space="0" w:color="auto"/>
            </w:tcBorders>
            <w:noWrap/>
            <w:vAlign w:val="bottom"/>
          </w:tcPr>
          <w:p w14:paraId="608CAB2B"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0.846</w:t>
            </w:r>
          </w:p>
        </w:tc>
        <w:tc>
          <w:tcPr>
            <w:tcW w:w="956" w:type="dxa"/>
            <w:tcBorders>
              <w:top w:val="nil"/>
              <w:left w:val="nil"/>
              <w:bottom w:val="single" w:sz="4" w:space="0" w:color="auto"/>
              <w:right w:val="single" w:sz="4" w:space="0" w:color="auto"/>
            </w:tcBorders>
            <w:noWrap/>
            <w:vAlign w:val="bottom"/>
          </w:tcPr>
          <w:p w14:paraId="0F8F81EA"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0.870</w:t>
            </w:r>
          </w:p>
        </w:tc>
        <w:tc>
          <w:tcPr>
            <w:tcW w:w="1134" w:type="dxa"/>
            <w:tcBorders>
              <w:top w:val="nil"/>
              <w:left w:val="nil"/>
              <w:bottom w:val="single" w:sz="4" w:space="0" w:color="auto"/>
              <w:right w:val="single" w:sz="4" w:space="0" w:color="auto"/>
            </w:tcBorders>
            <w:noWrap/>
            <w:vAlign w:val="bottom"/>
          </w:tcPr>
          <w:p w14:paraId="0F77BA10"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0.889</w:t>
            </w:r>
          </w:p>
        </w:tc>
        <w:tc>
          <w:tcPr>
            <w:tcW w:w="1848" w:type="dxa"/>
            <w:tcBorders>
              <w:top w:val="nil"/>
              <w:left w:val="nil"/>
              <w:bottom w:val="single" w:sz="4" w:space="0" w:color="auto"/>
              <w:right w:val="single" w:sz="4" w:space="0" w:color="auto"/>
            </w:tcBorders>
            <w:noWrap/>
            <w:vAlign w:val="bottom"/>
          </w:tcPr>
          <w:p w14:paraId="7F29B94C"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0.618</w:t>
            </w:r>
          </w:p>
        </w:tc>
      </w:tr>
      <w:tr w:rsidR="00DB43FA" w:rsidRPr="00D45B1E" w14:paraId="4BD801FE" w14:textId="77777777" w:rsidTr="00296640">
        <w:trPr>
          <w:trHeight w:val="300"/>
          <w:jc w:val="center"/>
        </w:trPr>
        <w:tc>
          <w:tcPr>
            <w:tcW w:w="1343" w:type="dxa"/>
            <w:vMerge/>
            <w:tcBorders>
              <w:left w:val="single" w:sz="4" w:space="0" w:color="auto"/>
              <w:right w:val="single" w:sz="4" w:space="0" w:color="auto"/>
            </w:tcBorders>
            <w:noWrap/>
            <w:vAlign w:val="bottom"/>
          </w:tcPr>
          <w:p w14:paraId="3CA7059B"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6E8ED9E8" w14:textId="44C3BCEB"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ES2</w:t>
            </w:r>
          </w:p>
        </w:tc>
        <w:tc>
          <w:tcPr>
            <w:tcW w:w="1134" w:type="dxa"/>
            <w:tcBorders>
              <w:top w:val="nil"/>
              <w:left w:val="nil"/>
              <w:bottom w:val="single" w:sz="4" w:space="0" w:color="auto"/>
              <w:right w:val="single" w:sz="4" w:space="0" w:color="auto"/>
            </w:tcBorders>
            <w:noWrap/>
            <w:vAlign w:val="bottom"/>
          </w:tcPr>
          <w:p w14:paraId="794A87DF"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0.755</w:t>
            </w:r>
          </w:p>
        </w:tc>
        <w:tc>
          <w:tcPr>
            <w:tcW w:w="1206" w:type="dxa"/>
            <w:tcBorders>
              <w:top w:val="nil"/>
              <w:left w:val="nil"/>
              <w:bottom w:val="single" w:sz="4" w:space="0" w:color="auto"/>
              <w:right w:val="single" w:sz="4" w:space="0" w:color="auto"/>
            </w:tcBorders>
            <w:noWrap/>
            <w:vAlign w:val="bottom"/>
          </w:tcPr>
          <w:p w14:paraId="3B4B7A1C"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59986700"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46B45B3E"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101D371D"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538C90EE" w14:textId="77777777" w:rsidTr="00296640">
        <w:trPr>
          <w:trHeight w:val="300"/>
          <w:jc w:val="center"/>
        </w:trPr>
        <w:tc>
          <w:tcPr>
            <w:tcW w:w="1343" w:type="dxa"/>
            <w:vMerge/>
            <w:tcBorders>
              <w:left w:val="single" w:sz="4" w:space="0" w:color="auto"/>
              <w:right w:val="single" w:sz="4" w:space="0" w:color="auto"/>
            </w:tcBorders>
            <w:noWrap/>
            <w:vAlign w:val="bottom"/>
          </w:tcPr>
          <w:p w14:paraId="38D1386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4D6E8E8E" w14:textId="2433658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ES3</w:t>
            </w:r>
          </w:p>
        </w:tc>
        <w:tc>
          <w:tcPr>
            <w:tcW w:w="1134" w:type="dxa"/>
            <w:tcBorders>
              <w:top w:val="nil"/>
              <w:left w:val="nil"/>
              <w:bottom w:val="single" w:sz="4" w:space="0" w:color="auto"/>
              <w:right w:val="single" w:sz="4" w:space="0" w:color="auto"/>
            </w:tcBorders>
            <w:noWrap/>
            <w:vAlign w:val="bottom"/>
          </w:tcPr>
          <w:p w14:paraId="255FB913"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0.862</w:t>
            </w:r>
          </w:p>
        </w:tc>
        <w:tc>
          <w:tcPr>
            <w:tcW w:w="1206" w:type="dxa"/>
            <w:tcBorders>
              <w:top w:val="nil"/>
              <w:left w:val="nil"/>
              <w:bottom w:val="single" w:sz="4" w:space="0" w:color="auto"/>
              <w:right w:val="single" w:sz="4" w:space="0" w:color="auto"/>
            </w:tcBorders>
            <w:noWrap/>
            <w:vAlign w:val="bottom"/>
          </w:tcPr>
          <w:p w14:paraId="644BDF6C"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4DC7240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6BBEDD30"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14386BCF"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2F884585" w14:textId="77777777" w:rsidTr="00296640">
        <w:trPr>
          <w:trHeight w:val="300"/>
          <w:jc w:val="center"/>
        </w:trPr>
        <w:tc>
          <w:tcPr>
            <w:tcW w:w="1343" w:type="dxa"/>
            <w:vMerge/>
            <w:tcBorders>
              <w:left w:val="single" w:sz="4" w:space="0" w:color="auto"/>
              <w:right w:val="single" w:sz="4" w:space="0" w:color="auto"/>
            </w:tcBorders>
            <w:noWrap/>
            <w:vAlign w:val="bottom"/>
          </w:tcPr>
          <w:p w14:paraId="52A0E528"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0184228D" w14:textId="62CAC3EF"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ES4</w:t>
            </w:r>
          </w:p>
        </w:tc>
        <w:tc>
          <w:tcPr>
            <w:tcW w:w="1134" w:type="dxa"/>
            <w:tcBorders>
              <w:top w:val="nil"/>
              <w:left w:val="nil"/>
              <w:bottom w:val="single" w:sz="4" w:space="0" w:color="auto"/>
              <w:right w:val="single" w:sz="4" w:space="0" w:color="auto"/>
            </w:tcBorders>
            <w:noWrap/>
            <w:vAlign w:val="bottom"/>
          </w:tcPr>
          <w:p w14:paraId="452E27BB"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0.788</w:t>
            </w:r>
          </w:p>
        </w:tc>
        <w:tc>
          <w:tcPr>
            <w:tcW w:w="1206" w:type="dxa"/>
            <w:tcBorders>
              <w:top w:val="nil"/>
              <w:left w:val="nil"/>
              <w:bottom w:val="single" w:sz="4" w:space="0" w:color="auto"/>
              <w:right w:val="single" w:sz="4" w:space="0" w:color="auto"/>
            </w:tcBorders>
            <w:noWrap/>
            <w:vAlign w:val="bottom"/>
          </w:tcPr>
          <w:p w14:paraId="16B706BB"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0689F20E"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7517A673"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27597FCB"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67650160" w14:textId="77777777" w:rsidTr="00296640">
        <w:trPr>
          <w:trHeight w:val="300"/>
          <w:jc w:val="center"/>
        </w:trPr>
        <w:tc>
          <w:tcPr>
            <w:tcW w:w="1343" w:type="dxa"/>
            <w:vMerge/>
            <w:tcBorders>
              <w:left w:val="single" w:sz="4" w:space="0" w:color="auto"/>
              <w:bottom w:val="single" w:sz="4" w:space="0" w:color="auto"/>
              <w:right w:val="single" w:sz="4" w:space="0" w:color="auto"/>
            </w:tcBorders>
            <w:noWrap/>
            <w:vAlign w:val="bottom"/>
          </w:tcPr>
          <w:p w14:paraId="19DFD0B1"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3A55D3D1" w14:textId="17CB8423"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ES5</w:t>
            </w:r>
          </w:p>
        </w:tc>
        <w:tc>
          <w:tcPr>
            <w:tcW w:w="1134" w:type="dxa"/>
            <w:tcBorders>
              <w:top w:val="nil"/>
              <w:left w:val="nil"/>
              <w:bottom w:val="single" w:sz="4" w:space="0" w:color="auto"/>
              <w:right w:val="single" w:sz="4" w:space="0" w:color="auto"/>
            </w:tcBorders>
            <w:noWrap/>
            <w:vAlign w:val="bottom"/>
          </w:tcPr>
          <w:p w14:paraId="09ABD7A4"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0.793</w:t>
            </w:r>
          </w:p>
        </w:tc>
        <w:tc>
          <w:tcPr>
            <w:tcW w:w="1206" w:type="dxa"/>
            <w:tcBorders>
              <w:top w:val="nil"/>
              <w:left w:val="nil"/>
              <w:bottom w:val="single" w:sz="4" w:space="0" w:color="auto"/>
              <w:right w:val="single" w:sz="4" w:space="0" w:color="auto"/>
            </w:tcBorders>
            <w:noWrap/>
            <w:vAlign w:val="bottom"/>
          </w:tcPr>
          <w:p w14:paraId="207C5279"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5C749FA8"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011DD69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70BEEBB2"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5FC40FBF" w14:textId="77777777" w:rsidTr="00296640">
        <w:trPr>
          <w:trHeight w:val="300"/>
          <w:jc w:val="center"/>
        </w:trPr>
        <w:tc>
          <w:tcPr>
            <w:tcW w:w="1343" w:type="dxa"/>
            <w:vMerge w:val="restart"/>
            <w:tcBorders>
              <w:top w:val="nil"/>
              <w:left w:val="single" w:sz="4" w:space="0" w:color="auto"/>
              <w:right w:val="single" w:sz="4" w:space="0" w:color="auto"/>
            </w:tcBorders>
            <w:noWrap/>
            <w:vAlign w:val="bottom"/>
          </w:tcPr>
          <w:p w14:paraId="4B9818B6" w14:textId="72408F4B" w:rsidR="00DB43FA" w:rsidRPr="00D45B1E" w:rsidRDefault="00287096" w:rsidP="00F54398">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Health Crisis (HC)_</w:t>
            </w:r>
          </w:p>
        </w:tc>
        <w:tc>
          <w:tcPr>
            <w:tcW w:w="1021" w:type="dxa"/>
            <w:tcBorders>
              <w:top w:val="nil"/>
              <w:left w:val="nil"/>
              <w:bottom w:val="single" w:sz="4" w:space="0" w:color="auto"/>
              <w:right w:val="single" w:sz="4" w:space="0" w:color="auto"/>
            </w:tcBorders>
            <w:noWrap/>
            <w:vAlign w:val="bottom"/>
          </w:tcPr>
          <w:p w14:paraId="24F8DFE7" w14:textId="75990429"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HC1</w:t>
            </w:r>
          </w:p>
        </w:tc>
        <w:tc>
          <w:tcPr>
            <w:tcW w:w="1134" w:type="dxa"/>
            <w:tcBorders>
              <w:top w:val="nil"/>
              <w:left w:val="nil"/>
              <w:bottom w:val="single" w:sz="4" w:space="0" w:color="auto"/>
              <w:right w:val="single" w:sz="4" w:space="0" w:color="auto"/>
            </w:tcBorders>
            <w:noWrap/>
            <w:vAlign w:val="bottom"/>
          </w:tcPr>
          <w:p w14:paraId="7AB255F7"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0.684</w:t>
            </w:r>
          </w:p>
        </w:tc>
        <w:tc>
          <w:tcPr>
            <w:tcW w:w="1206" w:type="dxa"/>
            <w:tcBorders>
              <w:top w:val="nil"/>
              <w:left w:val="nil"/>
              <w:bottom w:val="single" w:sz="4" w:space="0" w:color="auto"/>
              <w:right w:val="single" w:sz="4" w:space="0" w:color="auto"/>
            </w:tcBorders>
            <w:noWrap/>
            <w:vAlign w:val="bottom"/>
          </w:tcPr>
          <w:p w14:paraId="2698D5A6"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0.725</w:t>
            </w:r>
          </w:p>
        </w:tc>
        <w:tc>
          <w:tcPr>
            <w:tcW w:w="956" w:type="dxa"/>
            <w:tcBorders>
              <w:top w:val="nil"/>
              <w:left w:val="nil"/>
              <w:bottom w:val="single" w:sz="4" w:space="0" w:color="auto"/>
              <w:right w:val="single" w:sz="4" w:space="0" w:color="auto"/>
            </w:tcBorders>
            <w:noWrap/>
            <w:vAlign w:val="bottom"/>
          </w:tcPr>
          <w:p w14:paraId="504910F4"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0.728</w:t>
            </w:r>
          </w:p>
        </w:tc>
        <w:tc>
          <w:tcPr>
            <w:tcW w:w="1134" w:type="dxa"/>
            <w:tcBorders>
              <w:top w:val="nil"/>
              <w:left w:val="nil"/>
              <w:bottom w:val="single" w:sz="4" w:space="0" w:color="auto"/>
              <w:right w:val="single" w:sz="4" w:space="0" w:color="auto"/>
            </w:tcBorders>
            <w:noWrap/>
            <w:vAlign w:val="bottom"/>
          </w:tcPr>
          <w:p w14:paraId="1E1C3DB4"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0.829</w:t>
            </w:r>
          </w:p>
        </w:tc>
        <w:tc>
          <w:tcPr>
            <w:tcW w:w="1848" w:type="dxa"/>
            <w:tcBorders>
              <w:top w:val="nil"/>
              <w:left w:val="nil"/>
              <w:bottom w:val="single" w:sz="4" w:space="0" w:color="auto"/>
              <w:right w:val="single" w:sz="4" w:space="0" w:color="auto"/>
            </w:tcBorders>
            <w:noWrap/>
            <w:vAlign w:val="bottom"/>
          </w:tcPr>
          <w:p w14:paraId="3C77ECCC"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0.549</w:t>
            </w:r>
          </w:p>
        </w:tc>
      </w:tr>
      <w:tr w:rsidR="00DB43FA" w:rsidRPr="00D45B1E" w14:paraId="4E2E815D" w14:textId="77777777" w:rsidTr="00296640">
        <w:trPr>
          <w:trHeight w:val="300"/>
          <w:jc w:val="center"/>
        </w:trPr>
        <w:tc>
          <w:tcPr>
            <w:tcW w:w="1343" w:type="dxa"/>
            <w:vMerge/>
            <w:tcBorders>
              <w:left w:val="single" w:sz="4" w:space="0" w:color="auto"/>
              <w:right w:val="single" w:sz="4" w:space="0" w:color="auto"/>
            </w:tcBorders>
            <w:noWrap/>
            <w:vAlign w:val="bottom"/>
          </w:tcPr>
          <w:p w14:paraId="7F9CF0B8"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42CBB6FC" w14:textId="0A4183BF"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HC3</w:t>
            </w:r>
          </w:p>
        </w:tc>
        <w:tc>
          <w:tcPr>
            <w:tcW w:w="1134" w:type="dxa"/>
            <w:tcBorders>
              <w:top w:val="nil"/>
              <w:left w:val="nil"/>
              <w:bottom w:val="single" w:sz="4" w:space="0" w:color="auto"/>
              <w:right w:val="single" w:sz="4" w:space="0" w:color="auto"/>
            </w:tcBorders>
            <w:noWrap/>
            <w:vAlign w:val="bottom"/>
          </w:tcPr>
          <w:p w14:paraId="1C37AA01"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0.766</w:t>
            </w:r>
          </w:p>
        </w:tc>
        <w:tc>
          <w:tcPr>
            <w:tcW w:w="1206" w:type="dxa"/>
            <w:tcBorders>
              <w:top w:val="nil"/>
              <w:left w:val="nil"/>
              <w:bottom w:val="single" w:sz="4" w:space="0" w:color="auto"/>
              <w:right w:val="single" w:sz="4" w:space="0" w:color="auto"/>
            </w:tcBorders>
            <w:noWrap/>
            <w:vAlign w:val="bottom"/>
          </w:tcPr>
          <w:p w14:paraId="1E81B4A5"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70FBCDF8"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07198D7F"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7A55F1E9"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6C099611" w14:textId="77777777" w:rsidTr="00296640">
        <w:trPr>
          <w:trHeight w:val="300"/>
          <w:jc w:val="center"/>
        </w:trPr>
        <w:tc>
          <w:tcPr>
            <w:tcW w:w="1343" w:type="dxa"/>
            <w:vMerge/>
            <w:tcBorders>
              <w:left w:val="single" w:sz="4" w:space="0" w:color="auto"/>
              <w:right w:val="single" w:sz="4" w:space="0" w:color="auto"/>
            </w:tcBorders>
            <w:noWrap/>
            <w:vAlign w:val="bottom"/>
          </w:tcPr>
          <w:p w14:paraId="6925A13A"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63A7231B" w14:textId="0E67EAC4"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HC4</w:t>
            </w:r>
          </w:p>
        </w:tc>
        <w:tc>
          <w:tcPr>
            <w:tcW w:w="1134" w:type="dxa"/>
            <w:tcBorders>
              <w:top w:val="nil"/>
              <w:left w:val="nil"/>
              <w:bottom w:val="single" w:sz="4" w:space="0" w:color="auto"/>
              <w:right w:val="single" w:sz="4" w:space="0" w:color="auto"/>
            </w:tcBorders>
            <w:noWrap/>
            <w:vAlign w:val="bottom"/>
          </w:tcPr>
          <w:p w14:paraId="1DFAB860"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0.791</w:t>
            </w:r>
          </w:p>
        </w:tc>
        <w:tc>
          <w:tcPr>
            <w:tcW w:w="1206" w:type="dxa"/>
            <w:tcBorders>
              <w:top w:val="nil"/>
              <w:left w:val="nil"/>
              <w:bottom w:val="single" w:sz="4" w:space="0" w:color="auto"/>
              <w:right w:val="single" w:sz="4" w:space="0" w:color="auto"/>
            </w:tcBorders>
            <w:noWrap/>
            <w:vAlign w:val="bottom"/>
          </w:tcPr>
          <w:p w14:paraId="367FEE20"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64DF24C1"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5F91E5D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7B2C42BF"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68A2507A" w14:textId="77777777" w:rsidTr="00296640">
        <w:trPr>
          <w:trHeight w:val="300"/>
          <w:jc w:val="center"/>
        </w:trPr>
        <w:tc>
          <w:tcPr>
            <w:tcW w:w="1343" w:type="dxa"/>
            <w:vMerge/>
            <w:tcBorders>
              <w:left w:val="single" w:sz="4" w:space="0" w:color="auto"/>
              <w:bottom w:val="single" w:sz="4" w:space="0" w:color="auto"/>
              <w:right w:val="single" w:sz="4" w:space="0" w:color="auto"/>
            </w:tcBorders>
            <w:noWrap/>
            <w:vAlign w:val="bottom"/>
          </w:tcPr>
          <w:p w14:paraId="46CEED9B"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0B7E2EA6" w14:textId="43A61368"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HC5</w:t>
            </w:r>
          </w:p>
        </w:tc>
        <w:tc>
          <w:tcPr>
            <w:tcW w:w="1134" w:type="dxa"/>
            <w:tcBorders>
              <w:top w:val="nil"/>
              <w:left w:val="nil"/>
              <w:bottom w:val="single" w:sz="4" w:space="0" w:color="auto"/>
              <w:right w:val="single" w:sz="4" w:space="0" w:color="auto"/>
            </w:tcBorders>
            <w:noWrap/>
            <w:vAlign w:val="bottom"/>
          </w:tcPr>
          <w:p w14:paraId="02D059E5"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0.720</w:t>
            </w:r>
          </w:p>
        </w:tc>
        <w:tc>
          <w:tcPr>
            <w:tcW w:w="1206" w:type="dxa"/>
            <w:tcBorders>
              <w:top w:val="nil"/>
              <w:left w:val="nil"/>
              <w:bottom w:val="single" w:sz="4" w:space="0" w:color="auto"/>
              <w:right w:val="single" w:sz="4" w:space="0" w:color="auto"/>
            </w:tcBorders>
            <w:noWrap/>
            <w:vAlign w:val="bottom"/>
          </w:tcPr>
          <w:p w14:paraId="0E155387"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63321166"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12D25F1B"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2B975B9D"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6066E110" w14:textId="77777777" w:rsidTr="00296640">
        <w:trPr>
          <w:trHeight w:val="300"/>
          <w:jc w:val="center"/>
        </w:trPr>
        <w:tc>
          <w:tcPr>
            <w:tcW w:w="1343" w:type="dxa"/>
            <w:vMerge w:val="restart"/>
            <w:tcBorders>
              <w:top w:val="nil"/>
              <w:left w:val="single" w:sz="4" w:space="0" w:color="auto"/>
              <w:right w:val="single" w:sz="4" w:space="0" w:color="auto"/>
            </w:tcBorders>
            <w:noWrap/>
            <w:vAlign w:val="bottom"/>
          </w:tcPr>
          <w:p w14:paraId="7AB444F6" w14:textId="60EF45C0"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Income &amp; Job Instability (IJI)</w:t>
            </w:r>
          </w:p>
        </w:tc>
        <w:tc>
          <w:tcPr>
            <w:tcW w:w="1021" w:type="dxa"/>
            <w:tcBorders>
              <w:top w:val="nil"/>
              <w:left w:val="nil"/>
              <w:bottom w:val="single" w:sz="4" w:space="0" w:color="auto"/>
              <w:right w:val="single" w:sz="4" w:space="0" w:color="auto"/>
            </w:tcBorders>
            <w:noWrap/>
            <w:vAlign w:val="bottom"/>
          </w:tcPr>
          <w:p w14:paraId="70C68594" w14:textId="55434B15"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IJI1</w:t>
            </w:r>
          </w:p>
        </w:tc>
        <w:tc>
          <w:tcPr>
            <w:tcW w:w="1134" w:type="dxa"/>
            <w:tcBorders>
              <w:top w:val="nil"/>
              <w:left w:val="nil"/>
              <w:bottom w:val="single" w:sz="4" w:space="0" w:color="auto"/>
              <w:right w:val="single" w:sz="4" w:space="0" w:color="auto"/>
            </w:tcBorders>
            <w:noWrap/>
            <w:vAlign w:val="bottom"/>
          </w:tcPr>
          <w:p w14:paraId="0AFF747B"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0.759</w:t>
            </w:r>
          </w:p>
        </w:tc>
        <w:tc>
          <w:tcPr>
            <w:tcW w:w="1206" w:type="dxa"/>
            <w:tcBorders>
              <w:top w:val="nil"/>
              <w:left w:val="nil"/>
              <w:bottom w:val="single" w:sz="4" w:space="0" w:color="auto"/>
              <w:right w:val="single" w:sz="4" w:space="0" w:color="auto"/>
            </w:tcBorders>
            <w:noWrap/>
            <w:vAlign w:val="bottom"/>
          </w:tcPr>
          <w:p w14:paraId="052453F3"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0.765</w:t>
            </w:r>
          </w:p>
        </w:tc>
        <w:tc>
          <w:tcPr>
            <w:tcW w:w="956" w:type="dxa"/>
            <w:tcBorders>
              <w:top w:val="nil"/>
              <w:left w:val="nil"/>
              <w:bottom w:val="single" w:sz="4" w:space="0" w:color="auto"/>
              <w:right w:val="single" w:sz="4" w:space="0" w:color="auto"/>
            </w:tcBorders>
            <w:noWrap/>
            <w:vAlign w:val="bottom"/>
          </w:tcPr>
          <w:p w14:paraId="5DB54CC5"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0.765</w:t>
            </w:r>
          </w:p>
        </w:tc>
        <w:tc>
          <w:tcPr>
            <w:tcW w:w="1134" w:type="dxa"/>
            <w:tcBorders>
              <w:top w:val="nil"/>
              <w:left w:val="nil"/>
              <w:bottom w:val="single" w:sz="4" w:space="0" w:color="auto"/>
              <w:right w:val="single" w:sz="4" w:space="0" w:color="auto"/>
            </w:tcBorders>
            <w:noWrap/>
            <w:vAlign w:val="bottom"/>
          </w:tcPr>
          <w:p w14:paraId="0F4F03F3"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0.850</w:t>
            </w:r>
          </w:p>
        </w:tc>
        <w:tc>
          <w:tcPr>
            <w:tcW w:w="1848" w:type="dxa"/>
            <w:tcBorders>
              <w:top w:val="nil"/>
              <w:left w:val="nil"/>
              <w:bottom w:val="single" w:sz="4" w:space="0" w:color="auto"/>
              <w:right w:val="single" w:sz="4" w:space="0" w:color="auto"/>
            </w:tcBorders>
            <w:noWrap/>
            <w:vAlign w:val="bottom"/>
          </w:tcPr>
          <w:p w14:paraId="655747B5"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0.587</w:t>
            </w:r>
          </w:p>
        </w:tc>
      </w:tr>
      <w:tr w:rsidR="00DB43FA" w:rsidRPr="00D45B1E" w14:paraId="2F49C332" w14:textId="77777777" w:rsidTr="00296640">
        <w:trPr>
          <w:trHeight w:val="300"/>
          <w:jc w:val="center"/>
        </w:trPr>
        <w:tc>
          <w:tcPr>
            <w:tcW w:w="1343" w:type="dxa"/>
            <w:vMerge/>
            <w:tcBorders>
              <w:left w:val="single" w:sz="4" w:space="0" w:color="auto"/>
              <w:right w:val="single" w:sz="4" w:space="0" w:color="auto"/>
            </w:tcBorders>
            <w:noWrap/>
            <w:vAlign w:val="bottom"/>
          </w:tcPr>
          <w:p w14:paraId="65D51BBF"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3B964EAC" w14:textId="11A4375A"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IJI2</w:t>
            </w:r>
          </w:p>
        </w:tc>
        <w:tc>
          <w:tcPr>
            <w:tcW w:w="1134" w:type="dxa"/>
            <w:tcBorders>
              <w:top w:val="nil"/>
              <w:left w:val="nil"/>
              <w:bottom w:val="single" w:sz="4" w:space="0" w:color="auto"/>
              <w:right w:val="single" w:sz="4" w:space="0" w:color="auto"/>
            </w:tcBorders>
            <w:noWrap/>
            <w:vAlign w:val="bottom"/>
          </w:tcPr>
          <w:p w14:paraId="1054DFA0"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0.793</w:t>
            </w:r>
          </w:p>
        </w:tc>
        <w:tc>
          <w:tcPr>
            <w:tcW w:w="1206" w:type="dxa"/>
            <w:tcBorders>
              <w:top w:val="nil"/>
              <w:left w:val="nil"/>
              <w:bottom w:val="single" w:sz="4" w:space="0" w:color="auto"/>
              <w:right w:val="single" w:sz="4" w:space="0" w:color="auto"/>
            </w:tcBorders>
            <w:noWrap/>
            <w:vAlign w:val="bottom"/>
          </w:tcPr>
          <w:p w14:paraId="2313A703"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43FAE62C"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0B5CF5C9"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084DE4A8"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5E91BE56" w14:textId="77777777" w:rsidTr="00296640">
        <w:trPr>
          <w:trHeight w:val="300"/>
          <w:jc w:val="center"/>
        </w:trPr>
        <w:tc>
          <w:tcPr>
            <w:tcW w:w="1343" w:type="dxa"/>
            <w:vMerge/>
            <w:tcBorders>
              <w:left w:val="single" w:sz="4" w:space="0" w:color="auto"/>
              <w:right w:val="single" w:sz="4" w:space="0" w:color="auto"/>
            </w:tcBorders>
            <w:noWrap/>
            <w:vAlign w:val="bottom"/>
          </w:tcPr>
          <w:p w14:paraId="3BD2178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05DE5385" w14:textId="63EC3F8D"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IJI3</w:t>
            </w:r>
          </w:p>
        </w:tc>
        <w:tc>
          <w:tcPr>
            <w:tcW w:w="1134" w:type="dxa"/>
            <w:tcBorders>
              <w:top w:val="nil"/>
              <w:left w:val="nil"/>
              <w:bottom w:val="single" w:sz="4" w:space="0" w:color="auto"/>
              <w:right w:val="single" w:sz="4" w:space="0" w:color="auto"/>
            </w:tcBorders>
            <w:noWrap/>
            <w:vAlign w:val="bottom"/>
          </w:tcPr>
          <w:p w14:paraId="3D36B9E2"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0.784</w:t>
            </w:r>
          </w:p>
        </w:tc>
        <w:tc>
          <w:tcPr>
            <w:tcW w:w="1206" w:type="dxa"/>
            <w:tcBorders>
              <w:top w:val="nil"/>
              <w:left w:val="nil"/>
              <w:bottom w:val="single" w:sz="4" w:space="0" w:color="auto"/>
              <w:right w:val="single" w:sz="4" w:space="0" w:color="auto"/>
            </w:tcBorders>
            <w:noWrap/>
            <w:vAlign w:val="bottom"/>
          </w:tcPr>
          <w:p w14:paraId="7785DF27"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65CEC304"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481C675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04B63EBE"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6E20BAED" w14:textId="77777777" w:rsidTr="00296640">
        <w:trPr>
          <w:trHeight w:val="300"/>
          <w:jc w:val="center"/>
        </w:trPr>
        <w:tc>
          <w:tcPr>
            <w:tcW w:w="1343" w:type="dxa"/>
            <w:vMerge/>
            <w:tcBorders>
              <w:left w:val="single" w:sz="4" w:space="0" w:color="auto"/>
              <w:bottom w:val="single" w:sz="4" w:space="0" w:color="auto"/>
              <w:right w:val="single" w:sz="4" w:space="0" w:color="auto"/>
            </w:tcBorders>
            <w:noWrap/>
            <w:vAlign w:val="bottom"/>
          </w:tcPr>
          <w:p w14:paraId="183FD5BE"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63F78E19" w14:textId="794EE57A"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IJI4</w:t>
            </w:r>
          </w:p>
        </w:tc>
        <w:tc>
          <w:tcPr>
            <w:tcW w:w="1134" w:type="dxa"/>
            <w:tcBorders>
              <w:top w:val="nil"/>
              <w:left w:val="nil"/>
              <w:bottom w:val="single" w:sz="4" w:space="0" w:color="auto"/>
              <w:right w:val="single" w:sz="4" w:space="0" w:color="auto"/>
            </w:tcBorders>
            <w:noWrap/>
            <w:vAlign w:val="bottom"/>
          </w:tcPr>
          <w:p w14:paraId="2B133824"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0.726</w:t>
            </w:r>
          </w:p>
        </w:tc>
        <w:tc>
          <w:tcPr>
            <w:tcW w:w="1206" w:type="dxa"/>
            <w:tcBorders>
              <w:top w:val="nil"/>
              <w:left w:val="nil"/>
              <w:bottom w:val="single" w:sz="4" w:space="0" w:color="auto"/>
              <w:right w:val="single" w:sz="4" w:space="0" w:color="auto"/>
            </w:tcBorders>
            <w:noWrap/>
            <w:vAlign w:val="bottom"/>
          </w:tcPr>
          <w:p w14:paraId="1B5D7580"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6B7180B8"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7C640F25"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25A60BD5"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60B2715B" w14:textId="77777777" w:rsidTr="00296640">
        <w:trPr>
          <w:trHeight w:val="300"/>
          <w:jc w:val="center"/>
        </w:trPr>
        <w:tc>
          <w:tcPr>
            <w:tcW w:w="1343" w:type="dxa"/>
            <w:vMerge w:val="restart"/>
            <w:tcBorders>
              <w:top w:val="nil"/>
              <w:left w:val="single" w:sz="4" w:space="0" w:color="auto"/>
              <w:right w:val="single" w:sz="4" w:space="0" w:color="auto"/>
            </w:tcBorders>
            <w:noWrap/>
            <w:vAlign w:val="bottom"/>
          </w:tcPr>
          <w:p w14:paraId="5B315EBF" w14:textId="7D9F3DBF"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Low Debt Level (LDL)</w:t>
            </w:r>
          </w:p>
        </w:tc>
        <w:tc>
          <w:tcPr>
            <w:tcW w:w="1021" w:type="dxa"/>
            <w:tcBorders>
              <w:top w:val="nil"/>
              <w:left w:val="nil"/>
              <w:bottom w:val="single" w:sz="4" w:space="0" w:color="auto"/>
              <w:right w:val="single" w:sz="4" w:space="0" w:color="auto"/>
            </w:tcBorders>
            <w:noWrap/>
            <w:vAlign w:val="bottom"/>
          </w:tcPr>
          <w:p w14:paraId="100C9D81" w14:textId="62C670AE"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LDL1</w:t>
            </w:r>
          </w:p>
        </w:tc>
        <w:tc>
          <w:tcPr>
            <w:tcW w:w="1134" w:type="dxa"/>
            <w:tcBorders>
              <w:top w:val="nil"/>
              <w:left w:val="nil"/>
              <w:bottom w:val="single" w:sz="4" w:space="0" w:color="auto"/>
              <w:right w:val="single" w:sz="4" w:space="0" w:color="auto"/>
            </w:tcBorders>
            <w:noWrap/>
            <w:vAlign w:val="bottom"/>
          </w:tcPr>
          <w:p w14:paraId="4F0328B7"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0.631</w:t>
            </w:r>
          </w:p>
        </w:tc>
        <w:tc>
          <w:tcPr>
            <w:tcW w:w="1206" w:type="dxa"/>
            <w:tcBorders>
              <w:top w:val="nil"/>
              <w:left w:val="nil"/>
              <w:bottom w:val="single" w:sz="4" w:space="0" w:color="auto"/>
              <w:right w:val="single" w:sz="4" w:space="0" w:color="auto"/>
            </w:tcBorders>
            <w:noWrap/>
            <w:vAlign w:val="bottom"/>
          </w:tcPr>
          <w:p w14:paraId="473DDFED"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0.759</w:t>
            </w:r>
          </w:p>
        </w:tc>
        <w:tc>
          <w:tcPr>
            <w:tcW w:w="956" w:type="dxa"/>
            <w:tcBorders>
              <w:top w:val="nil"/>
              <w:left w:val="nil"/>
              <w:bottom w:val="single" w:sz="4" w:space="0" w:color="auto"/>
              <w:right w:val="single" w:sz="4" w:space="0" w:color="auto"/>
            </w:tcBorders>
            <w:noWrap/>
            <w:vAlign w:val="bottom"/>
          </w:tcPr>
          <w:p w14:paraId="2BC47312"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0.776</w:t>
            </w:r>
          </w:p>
        </w:tc>
        <w:tc>
          <w:tcPr>
            <w:tcW w:w="1134" w:type="dxa"/>
            <w:tcBorders>
              <w:top w:val="nil"/>
              <w:left w:val="nil"/>
              <w:bottom w:val="single" w:sz="4" w:space="0" w:color="auto"/>
              <w:right w:val="single" w:sz="4" w:space="0" w:color="auto"/>
            </w:tcBorders>
            <w:noWrap/>
            <w:vAlign w:val="bottom"/>
          </w:tcPr>
          <w:p w14:paraId="2A7F4990"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0.836</w:t>
            </w:r>
          </w:p>
        </w:tc>
        <w:tc>
          <w:tcPr>
            <w:tcW w:w="1848" w:type="dxa"/>
            <w:tcBorders>
              <w:top w:val="nil"/>
              <w:left w:val="nil"/>
              <w:bottom w:val="single" w:sz="4" w:space="0" w:color="auto"/>
              <w:right w:val="single" w:sz="4" w:space="0" w:color="auto"/>
            </w:tcBorders>
            <w:noWrap/>
            <w:vAlign w:val="bottom"/>
          </w:tcPr>
          <w:p w14:paraId="7035F2D9"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0.506</w:t>
            </w:r>
          </w:p>
        </w:tc>
      </w:tr>
      <w:tr w:rsidR="00DB43FA" w:rsidRPr="00D45B1E" w14:paraId="74BBA87F" w14:textId="77777777" w:rsidTr="00296640">
        <w:trPr>
          <w:trHeight w:val="300"/>
          <w:jc w:val="center"/>
        </w:trPr>
        <w:tc>
          <w:tcPr>
            <w:tcW w:w="1343" w:type="dxa"/>
            <w:vMerge/>
            <w:tcBorders>
              <w:left w:val="single" w:sz="4" w:space="0" w:color="auto"/>
              <w:right w:val="single" w:sz="4" w:space="0" w:color="auto"/>
            </w:tcBorders>
            <w:noWrap/>
            <w:vAlign w:val="bottom"/>
          </w:tcPr>
          <w:p w14:paraId="38B39A15"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5D2AF24A" w14:textId="71DDAAAF"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LDL2</w:t>
            </w:r>
          </w:p>
        </w:tc>
        <w:tc>
          <w:tcPr>
            <w:tcW w:w="1134" w:type="dxa"/>
            <w:tcBorders>
              <w:top w:val="nil"/>
              <w:left w:val="nil"/>
              <w:bottom w:val="single" w:sz="4" w:space="0" w:color="auto"/>
              <w:right w:val="single" w:sz="4" w:space="0" w:color="auto"/>
            </w:tcBorders>
            <w:noWrap/>
            <w:vAlign w:val="bottom"/>
          </w:tcPr>
          <w:p w14:paraId="539DF8D8"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0.767</w:t>
            </w:r>
          </w:p>
        </w:tc>
        <w:tc>
          <w:tcPr>
            <w:tcW w:w="1206" w:type="dxa"/>
            <w:tcBorders>
              <w:top w:val="nil"/>
              <w:left w:val="nil"/>
              <w:bottom w:val="single" w:sz="4" w:space="0" w:color="auto"/>
              <w:right w:val="single" w:sz="4" w:space="0" w:color="auto"/>
            </w:tcBorders>
            <w:noWrap/>
            <w:vAlign w:val="bottom"/>
          </w:tcPr>
          <w:p w14:paraId="6E6048E3"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7ED9252C"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6B73FACC"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5B696103"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24531114" w14:textId="77777777" w:rsidTr="00296640">
        <w:trPr>
          <w:trHeight w:val="300"/>
          <w:jc w:val="center"/>
        </w:trPr>
        <w:tc>
          <w:tcPr>
            <w:tcW w:w="1343" w:type="dxa"/>
            <w:vMerge/>
            <w:tcBorders>
              <w:left w:val="single" w:sz="4" w:space="0" w:color="auto"/>
              <w:right w:val="single" w:sz="4" w:space="0" w:color="auto"/>
            </w:tcBorders>
            <w:noWrap/>
            <w:vAlign w:val="bottom"/>
          </w:tcPr>
          <w:p w14:paraId="5E3C0C5E"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40B35248" w14:textId="5FE9F5DB"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LDL3</w:t>
            </w:r>
          </w:p>
        </w:tc>
        <w:tc>
          <w:tcPr>
            <w:tcW w:w="1134" w:type="dxa"/>
            <w:tcBorders>
              <w:top w:val="nil"/>
              <w:left w:val="nil"/>
              <w:bottom w:val="single" w:sz="4" w:space="0" w:color="auto"/>
              <w:right w:val="single" w:sz="4" w:space="0" w:color="auto"/>
            </w:tcBorders>
            <w:noWrap/>
            <w:vAlign w:val="bottom"/>
          </w:tcPr>
          <w:p w14:paraId="3A686FB8"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0.763</w:t>
            </w:r>
          </w:p>
        </w:tc>
        <w:tc>
          <w:tcPr>
            <w:tcW w:w="1206" w:type="dxa"/>
            <w:tcBorders>
              <w:top w:val="nil"/>
              <w:left w:val="nil"/>
              <w:bottom w:val="single" w:sz="4" w:space="0" w:color="auto"/>
              <w:right w:val="single" w:sz="4" w:space="0" w:color="auto"/>
            </w:tcBorders>
            <w:noWrap/>
            <w:vAlign w:val="bottom"/>
          </w:tcPr>
          <w:p w14:paraId="5392BE55"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3F9CB093"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792ECE3E"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13AB0E5F"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7D85AE65" w14:textId="77777777" w:rsidTr="00296640">
        <w:trPr>
          <w:trHeight w:val="300"/>
          <w:jc w:val="center"/>
        </w:trPr>
        <w:tc>
          <w:tcPr>
            <w:tcW w:w="1343" w:type="dxa"/>
            <w:vMerge/>
            <w:tcBorders>
              <w:left w:val="single" w:sz="4" w:space="0" w:color="auto"/>
              <w:right w:val="single" w:sz="4" w:space="0" w:color="auto"/>
            </w:tcBorders>
            <w:noWrap/>
            <w:vAlign w:val="bottom"/>
          </w:tcPr>
          <w:p w14:paraId="21C2F972"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4FE84156" w14:textId="2D89BD2F"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LDL4</w:t>
            </w:r>
          </w:p>
        </w:tc>
        <w:tc>
          <w:tcPr>
            <w:tcW w:w="1134" w:type="dxa"/>
            <w:tcBorders>
              <w:top w:val="nil"/>
              <w:left w:val="nil"/>
              <w:bottom w:val="single" w:sz="4" w:space="0" w:color="auto"/>
              <w:right w:val="single" w:sz="4" w:space="0" w:color="auto"/>
            </w:tcBorders>
            <w:noWrap/>
            <w:vAlign w:val="bottom"/>
          </w:tcPr>
          <w:p w14:paraId="1C1F5F8E"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0.712</w:t>
            </w:r>
          </w:p>
        </w:tc>
        <w:tc>
          <w:tcPr>
            <w:tcW w:w="1206" w:type="dxa"/>
            <w:tcBorders>
              <w:top w:val="nil"/>
              <w:left w:val="nil"/>
              <w:bottom w:val="single" w:sz="4" w:space="0" w:color="auto"/>
              <w:right w:val="single" w:sz="4" w:space="0" w:color="auto"/>
            </w:tcBorders>
            <w:noWrap/>
            <w:vAlign w:val="bottom"/>
          </w:tcPr>
          <w:p w14:paraId="7AA17FDB"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20B2FA62"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0D3C44F7"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5C2E7685"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3A69118C" w14:textId="77777777" w:rsidTr="00296640">
        <w:trPr>
          <w:trHeight w:val="300"/>
          <w:jc w:val="center"/>
        </w:trPr>
        <w:tc>
          <w:tcPr>
            <w:tcW w:w="1343" w:type="dxa"/>
            <w:vMerge/>
            <w:tcBorders>
              <w:left w:val="single" w:sz="4" w:space="0" w:color="auto"/>
              <w:bottom w:val="single" w:sz="4" w:space="0" w:color="auto"/>
              <w:right w:val="single" w:sz="4" w:space="0" w:color="auto"/>
            </w:tcBorders>
            <w:noWrap/>
            <w:vAlign w:val="bottom"/>
          </w:tcPr>
          <w:p w14:paraId="0C804FFB"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31890A41" w14:textId="182B79C3"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LDL5</w:t>
            </w:r>
          </w:p>
        </w:tc>
        <w:tc>
          <w:tcPr>
            <w:tcW w:w="1134" w:type="dxa"/>
            <w:tcBorders>
              <w:top w:val="nil"/>
              <w:left w:val="nil"/>
              <w:bottom w:val="single" w:sz="4" w:space="0" w:color="auto"/>
              <w:right w:val="single" w:sz="4" w:space="0" w:color="auto"/>
            </w:tcBorders>
            <w:noWrap/>
            <w:vAlign w:val="bottom"/>
          </w:tcPr>
          <w:p w14:paraId="715B30AF"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0.675</w:t>
            </w:r>
          </w:p>
        </w:tc>
        <w:tc>
          <w:tcPr>
            <w:tcW w:w="1206" w:type="dxa"/>
            <w:tcBorders>
              <w:top w:val="nil"/>
              <w:left w:val="nil"/>
              <w:bottom w:val="single" w:sz="4" w:space="0" w:color="auto"/>
              <w:right w:val="single" w:sz="4" w:space="0" w:color="auto"/>
            </w:tcBorders>
            <w:noWrap/>
            <w:vAlign w:val="bottom"/>
          </w:tcPr>
          <w:p w14:paraId="526797F1"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6B3CE7D1"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1A963304"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0F2FDE1F"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6EB19935" w14:textId="77777777" w:rsidTr="00296640">
        <w:trPr>
          <w:trHeight w:val="300"/>
          <w:jc w:val="center"/>
        </w:trPr>
        <w:tc>
          <w:tcPr>
            <w:tcW w:w="1343" w:type="dxa"/>
            <w:vMerge w:val="restart"/>
            <w:tcBorders>
              <w:top w:val="nil"/>
              <w:left w:val="single" w:sz="4" w:space="0" w:color="auto"/>
              <w:right w:val="single" w:sz="4" w:space="0" w:color="auto"/>
            </w:tcBorders>
            <w:noWrap/>
            <w:vAlign w:val="bottom"/>
          </w:tcPr>
          <w:p w14:paraId="7C5D7B9D" w14:textId="5653D2E8" w:rsidR="00DB43FA" w:rsidRPr="00D45B1E" w:rsidRDefault="00287096" w:rsidP="00F54398">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Poverty &amp; Inequality (PI)</w:t>
            </w:r>
          </w:p>
        </w:tc>
        <w:tc>
          <w:tcPr>
            <w:tcW w:w="1021" w:type="dxa"/>
            <w:tcBorders>
              <w:top w:val="nil"/>
              <w:left w:val="nil"/>
              <w:bottom w:val="single" w:sz="4" w:space="0" w:color="auto"/>
              <w:right w:val="single" w:sz="4" w:space="0" w:color="auto"/>
            </w:tcBorders>
            <w:noWrap/>
            <w:vAlign w:val="bottom"/>
          </w:tcPr>
          <w:p w14:paraId="295C2F7F" w14:textId="56EADE78"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PI2</w:t>
            </w:r>
          </w:p>
        </w:tc>
        <w:tc>
          <w:tcPr>
            <w:tcW w:w="1134" w:type="dxa"/>
            <w:tcBorders>
              <w:top w:val="nil"/>
              <w:left w:val="nil"/>
              <w:bottom w:val="single" w:sz="4" w:space="0" w:color="auto"/>
              <w:right w:val="single" w:sz="4" w:space="0" w:color="auto"/>
            </w:tcBorders>
            <w:noWrap/>
            <w:vAlign w:val="bottom"/>
          </w:tcPr>
          <w:p w14:paraId="5096DF8C"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0.711</w:t>
            </w:r>
          </w:p>
        </w:tc>
        <w:tc>
          <w:tcPr>
            <w:tcW w:w="1206" w:type="dxa"/>
            <w:tcBorders>
              <w:top w:val="nil"/>
              <w:left w:val="nil"/>
              <w:bottom w:val="single" w:sz="4" w:space="0" w:color="auto"/>
              <w:right w:val="single" w:sz="4" w:space="0" w:color="auto"/>
            </w:tcBorders>
            <w:noWrap/>
            <w:vAlign w:val="bottom"/>
          </w:tcPr>
          <w:p w14:paraId="470AD17B"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0.749</w:t>
            </w:r>
          </w:p>
        </w:tc>
        <w:tc>
          <w:tcPr>
            <w:tcW w:w="956" w:type="dxa"/>
            <w:tcBorders>
              <w:top w:val="nil"/>
              <w:left w:val="nil"/>
              <w:bottom w:val="single" w:sz="4" w:space="0" w:color="auto"/>
              <w:right w:val="single" w:sz="4" w:space="0" w:color="auto"/>
            </w:tcBorders>
            <w:noWrap/>
            <w:vAlign w:val="bottom"/>
          </w:tcPr>
          <w:p w14:paraId="05132A70"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0.793</w:t>
            </w:r>
          </w:p>
        </w:tc>
        <w:tc>
          <w:tcPr>
            <w:tcW w:w="1134" w:type="dxa"/>
            <w:tcBorders>
              <w:top w:val="nil"/>
              <w:left w:val="nil"/>
              <w:bottom w:val="single" w:sz="4" w:space="0" w:color="auto"/>
              <w:right w:val="single" w:sz="4" w:space="0" w:color="auto"/>
            </w:tcBorders>
            <w:noWrap/>
            <w:vAlign w:val="bottom"/>
          </w:tcPr>
          <w:p w14:paraId="4B4FBA7E"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0.827</w:t>
            </w:r>
          </w:p>
        </w:tc>
        <w:tc>
          <w:tcPr>
            <w:tcW w:w="1848" w:type="dxa"/>
            <w:tcBorders>
              <w:top w:val="nil"/>
              <w:left w:val="nil"/>
              <w:bottom w:val="single" w:sz="4" w:space="0" w:color="auto"/>
              <w:right w:val="single" w:sz="4" w:space="0" w:color="auto"/>
            </w:tcBorders>
            <w:noWrap/>
            <w:vAlign w:val="bottom"/>
          </w:tcPr>
          <w:p w14:paraId="4CB24944"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0.548</w:t>
            </w:r>
          </w:p>
        </w:tc>
      </w:tr>
      <w:tr w:rsidR="00DB43FA" w:rsidRPr="00D45B1E" w14:paraId="5B0ADEEA" w14:textId="77777777" w:rsidTr="00296640">
        <w:trPr>
          <w:trHeight w:val="300"/>
          <w:jc w:val="center"/>
        </w:trPr>
        <w:tc>
          <w:tcPr>
            <w:tcW w:w="1343" w:type="dxa"/>
            <w:vMerge/>
            <w:tcBorders>
              <w:left w:val="single" w:sz="4" w:space="0" w:color="auto"/>
              <w:right w:val="single" w:sz="4" w:space="0" w:color="auto"/>
            </w:tcBorders>
            <w:noWrap/>
            <w:vAlign w:val="bottom"/>
          </w:tcPr>
          <w:p w14:paraId="2E4F687C"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37683BFB" w14:textId="0B657704"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PI3</w:t>
            </w:r>
          </w:p>
        </w:tc>
        <w:tc>
          <w:tcPr>
            <w:tcW w:w="1134" w:type="dxa"/>
            <w:tcBorders>
              <w:top w:val="nil"/>
              <w:left w:val="nil"/>
              <w:bottom w:val="single" w:sz="4" w:space="0" w:color="auto"/>
              <w:right w:val="single" w:sz="4" w:space="0" w:color="auto"/>
            </w:tcBorders>
            <w:noWrap/>
            <w:vAlign w:val="bottom"/>
          </w:tcPr>
          <w:p w14:paraId="34D1EB58"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0.626</w:t>
            </w:r>
          </w:p>
        </w:tc>
        <w:tc>
          <w:tcPr>
            <w:tcW w:w="1206" w:type="dxa"/>
            <w:tcBorders>
              <w:top w:val="nil"/>
              <w:left w:val="nil"/>
              <w:bottom w:val="single" w:sz="4" w:space="0" w:color="auto"/>
              <w:right w:val="single" w:sz="4" w:space="0" w:color="auto"/>
            </w:tcBorders>
            <w:noWrap/>
            <w:vAlign w:val="bottom"/>
          </w:tcPr>
          <w:p w14:paraId="743E5CAB"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1775F3D3"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2317A81E"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5D993ECB"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4A61011A" w14:textId="77777777" w:rsidTr="00296640">
        <w:trPr>
          <w:trHeight w:val="300"/>
          <w:jc w:val="center"/>
        </w:trPr>
        <w:tc>
          <w:tcPr>
            <w:tcW w:w="1343" w:type="dxa"/>
            <w:vMerge/>
            <w:tcBorders>
              <w:left w:val="single" w:sz="4" w:space="0" w:color="auto"/>
              <w:right w:val="single" w:sz="4" w:space="0" w:color="auto"/>
            </w:tcBorders>
            <w:noWrap/>
            <w:vAlign w:val="bottom"/>
          </w:tcPr>
          <w:p w14:paraId="4B16A9CC"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3F7CDB70" w14:textId="4E938AA0"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PI4</w:t>
            </w:r>
          </w:p>
        </w:tc>
        <w:tc>
          <w:tcPr>
            <w:tcW w:w="1134" w:type="dxa"/>
            <w:tcBorders>
              <w:top w:val="nil"/>
              <w:left w:val="nil"/>
              <w:bottom w:val="single" w:sz="4" w:space="0" w:color="auto"/>
              <w:right w:val="single" w:sz="4" w:space="0" w:color="auto"/>
            </w:tcBorders>
            <w:noWrap/>
            <w:vAlign w:val="bottom"/>
          </w:tcPr>
          <w:p w14:paraId="33FB39D8"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0.746</w:t>
            </w:r>
          </w:p>
        </w:tc>
        <w:tc>
          <w:tcPr>
            <w:tcW w:w="1206" w:type="dxa"/>
            <w:tcBorders>
              <w:top w:val="nil"/>
              <w:left w:val="nil"/>
              <w:bottom w:val="single" w:sz="4" w:space="0" w:color="auto"/>
              <w:right w:val="single" w:sz="4" w:space="0" w:color="auto"/>
            </w:tcBorders>
            <w:noWrap/>
            <w:vAlign w:val="bottom"/>
          </w:tcPr>
          <w:p w14:paraId="47E6EB5C"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00E004B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2D2271BF"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1D7270E0"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61C9B5CC" w14:textId="77777777" w:rsidTr="00296640">
        <w:trPr>
          <w:trHeight w:val="300"/>
          <w:jc w:val="center"/>
        </w:trPr>
        <w:tc>
          <w:tcPr>
            <w:tcW w:w="1343" w:type="dxa"/>
            <w:vMerge/>
            <w:tcBorders>
              <w:left w:val="single" w:sz="4" w:space="0" w:color="auto"/>
              <w:bottom w:val="single" w:sz="4" w:space="0" w:color="auto"/>
              <w:right w:val="single" w:sz="4" w:space="0" w:color="auto"/>
            </w:tcBorders>
            <w:noWrap/>
            <w:vAlign w:val="bottom"/>
          </w:tcPr>
          <w:p w14:paraId="06741BBA"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2F585F20" w14:textId="0D3A027B"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PI5</w:t>
            </w:r>
          </w:p>
        </w:tc>
        <w:tc>
          <w:tcPr>
            <w:tcW w:w="1134" w:type="dxa"/>
            <w:tcBorders>
              <w:top w:val="nil"/>
              <w:left w:val="nil"/>
              <w:bottom w:val="single" w:sz="4" w:space="0" w:color="auto"/>
              <w:right w:val="single" w:sz="4" w:space="0" w:color="auto"/>
            </w:tcBorders>
            <w:noWrap/>
            <w:vAlign w:val="bottom"/>
          </w:tcPr>
          <w:p w14:paraId="6C461D13"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0.859</w:t>
            </w:r>
          </w:p>
        </w:tc>
        <w:tc>
          <w:tcPr>
            <w:tcW w:w="1206" w:type="dxa"/>
            <w:tcBorders>
              <w:top w:val="nil"/>
              <w:left w:val="nil"/>
              <w:bottom w:val="single" w:sz="4" w:space="0" w:color="auto"/>
              <w:right w:val="single" w:sz="4" w:space="0" w:color="auto"/>
            </w:tcBorders>
            <w:noWrap/>
            <w:vAlign w:val="bottom"/>
          </w:tcPr>
          <w:p w14:paraId="58D6428F"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2EC44E14"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3BF41ED9"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1F502C8C"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08BE3176" w14:textId="77777777" w:rsidTr="00296640">
        <w:trPr>
          <w:trHeight w:val="300"/>
          <w:jc w:val="center"/>
        </w:trPr>
        <w:tc>
          <w:tcPr>
            <w:tcW w:w="1343" w:type="dxa"/>
            <w:vMerge w:val="restart"/>
            <w:tcBorders>
              <w:top w:val="nil"/>
              <w:left w:val="single" w:sz="4" w:space="0" w:color="auto"/>
              <w:right w:val="single" w:sz="4" w:space="0" w:color="auto"/>
            </w:tcBorders>
            <w:noWrap/>
            <w:vAlign w:val="bottom"/>
          </w:tcPr>
          <w:p w14:paraId="5FB7CB4E" w14:textId="5330545A" w:rsidR="00DB43FA" w:rsidRPr="00D45B1E" w:rsidRDefault="00287096" w:rsidP="00F54398">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Social Support Network (SSN)</w:t>
            </w:r>
          </w:p>
        </w:tc>
        <w:tc>
          <w:tcPr>
            <w:tcW w:w="1021" w:type="dxa"/>
            <w:tcBorders>
              <w:top w:val="nil"/>
              <w:left w:val="nil"/>
              <w:bottom w:val="single" w:sz="4" w:space="0" w:color="auto"/>
              <w:right w:val="single" w:sz="4" w:space="0" w:color="auto"/>
            </w:tcBorders>
            <w:noWrap/>
            <w:vAlign w:val="bottom"/>
          </w:tcPr>
          <w:p w14:paraId="28FF6247" w14:textId="057DE0CF"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SSN1</w:t>
            </w:r>
          </w:p>
        </w:tc>
        <w:tc>
          <w:tcPr>
            <w:tcW w:w="1134" w:type="dxa"/>
            <w:tcBorders>
              <w:top w:val="nil"/>
              <w:left w:val="nil"/>
              <w:bottom w:val="single" w:sz="4" w:space="0" w:color="auto"/>
              <w:right w:val="single" w:sz="4" w:space="0" w:color="auto"/>
            </w:tcBorders>
            <w:noWrap/>
            <w:vAlign w:val="bottom"/>
          </w:tcPr>
          <w:p w14:paraId="686A09B1"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0.730</w:t>
            </w:r>
          </w:p>
        </w:tc>
        <w:tc>
          <w:tcPr>
            <w:tcW w:w="1206" w:type="dxa"/>
            <w:tcBorders>
              <w:top w:val="nil"/>
              <w:left w:val="nil"/>
              <w:bottom w:val="single" w:sz="4" w:space="0" w:color="auto"/>
              <w:right w:val="single" w:sz="4" w:space="0" w:color="auto"/>
            </w:tcBorders>
            <w:noWrap/>
            <w:vAlign w:val="bottom"/>
          </w:tcPr>
          <w:p w14:paraId="4702CB94"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0.774</w:t>
            </w:r>
          </w:p>
        </w:tc>
        <w:tc>
          <w:tcPr>
            <w:tcW w:w="956" w:type="dxa"/>
            <w:tcBorders>
              <w:top w:val="nil"/>
              <w:left w:val="nil"/>
              <w:bottom w:val="single" w:sz="4" w:space="0" w:color="auto"/>
              <w:right w:val="single" w:sz="4" w:space="0" w:color="auto"/>
            </w:tcBorders>
            <w:noWrap/>
            <w:vAlign w:val="bottom"/>
          </w:tcPr>
          <w:p w14:paraId="5148C568"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0.776</w:t>
            </w:r>
          </w:p>
        </w:tc>
        <w:tc>
          <w:tcPr>
            <w:tcW w:w="1134" w:type="dxa"/>
            <w:tcBorders>
              <w:top w:val="nil"/>
              <w:left w:val="nil"/>
              <w:bottom w:val="single" w:sz="4" w:space="0" w:color="auto"/>
              <w:right w:val="single" w:sz="4" w:space="0" w:color="auto"/>
            </w:tcBorders>
            <w:noWrap/>
            <w:vAlign w:val="bottom"/>
          </w:tcPr>
          <w:p w14:paraId="6FC9FC0C"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0.847</w:t>
            </w:r>
          </w:p>
        </w:tc>
        <w:tc>
          <w:tcPr>
            <w:tcW w:w="1848" w:type="dxa"/>
            <w:tcBorders>
              <w:top w:val="nil"/>
              <w:left w:val="nil"/>
              <w:bottom w:val="single" w:sz="4" w:space="0" w:color="auto"/>
              <w:right w:val="single" w:sz="4" w:space="0" w:color="auto"/>
            </w:tcBorders>
            <w:noWrap/>
            <w:vAlign w:val="bottom"/>
          </w:tcPr>
          <w:p w14:paraId="32D74D53"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0.525</w:t>
            </w:r>
          </w:p>
        </w:tc>
      </w:tr>
      <w:tr w:rsidR="00DB43FA" w:rsidRPr="00D45B1E" w14:paraId="3D9D297A" w14:textId="77777777" w:rsidTr="00296640">
        <w:trPr>
          <w:trHeight w:val="300"/>
          <w:jc w:val="center"/>
        </w:trPr>
        <w:tc>
          <w:tcPr>
            <w:tcW w:w="1343" w:type="dxa"/>
            <w:vMerge/>
            <w:tcBorders>
              <w:left w:val="single" w:sz="4" w:space="0" w:color="auto"/>
              <w:right w:val="single" w:sz="4" w:space="0" w:color="auto"/>
            </w:tcBorders>
            <w:noWrap/>
            <w:vAlign w:val="bottom"/>
          </w:tcPr>
          <w:p w14:paraId="037C3A36"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4FD1E1E3" w14:textId="49261A8C"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SSN2</w:t>
            </w:r>
          </w:p>
        </w:tc>
        <w:tc>
          <w:tcPr>
            <w:tcW w:w="1134" w:type="dxa"/>
            <w:tcBorders>
              <w:top w:val="nil"/>
              <w:left w:val="nil"/>
              <w:bottom w:val="single" w:sz="4" w:space="0" w:color="auto"/>
              <w:right w:val="single" w:sz="4" w:space="0" w:color="auto"/>
            </w:tcBorders>
            <w:noWrap/>
            <w:vAlign w:val="bottom"/>
          </w:tcPr>
          <w:p w14:paraId="41D3AB1D"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0.791</w:t>
            </w:r>
          </w:p>
        </w:tc>
        <w:tc>
          <w:tcPr>
            <w:tcW w:w="1206" w:type="dxa"/>
            <w:tcBorders>
              <w:top w:val="nil"/>
              <w:left w:val="nil"/>
              <w:bottom w:val="single" w:sz="4" w:space="0" w:color="auto"/>
              <w:right w:val="single" w:sz="4" w:space="0" w:color="auto"/>
            </w:tcBorders>
            <w:noWrap/>
            <w:vAlign w:val="bottom"/>
          </w:tcPr>
          <w:p w14:paraId="705855B8"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07DD5A0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51D44EE8"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58E3FE3C"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52DCCF7E" w14:textId="77777777" w:rsidTr="00296640">
        <w:trPr>
          <w:trHeight w:val="300"/>
          <w:jc w:val="center"/>
        </w:trPr>
        <w:tc>
          <w:tcPr>
            <w:tcW w:w="1343" w:type="dxa"/>
            <w:vMerge/>
            <w:tcBorders>
              <w:left w:val="single" w:sz="4" w:space="0" w:color="auto"/>
              <w:right w:val="single" w:sz="4" w:space="0" w:color="auto"/>
            </w:tcBorders>
            <w:noWrap/>
            <w:vAlign w:val="bottom"/>
          </w:tcPr>
          <w:p w14:paraId="514CF374"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10248395" w14:textId="55D55349"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SSN3</w:t>
            </w:r>
          </w:p>
        </w:tc>
        <w:tc>
          <w:tcPr>
            <w:tcW w:w="1134" w:type="dxa"/>
            <w:tcBorders>
              <w:top w:val="nil"/>
              <w:left w:val="nil"/>
              <w:bottom w:val="single" w:sz="4" w:space="0" w:color="auto"/>
              <w:right w:val="single" w:sz="4" w:space="0" w:color="auto"/>
            </w:tcBorders>
            <w:noWrap/>
            <w:vAlign w:val="bottom"/>
          </w:tcPr>
          <w:p w14:paraId="63D8A7D2"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0.708</w:t>
            </w:r>
          </w:p>
        </w:tc>
        <w:tc>
          <w:tcPr>
            <w:tcW w:w="1206" w:type="dxa"/>
            <w:tcBorders>
              <w:top w:val="nil"/>
              <w:left w:val="nil"/>
              <w:bottom w:val="single" w:sz="4" w:space="0" w:color="auto"/>
              <w:right w:val="single" w:sz="4" w:space="0" w:color="auto"/>
            </w:tcBorders>
            <w:noWrap/>
            <w:vAlign w:val="bottom"/>
          </w:tcPr>
          <w:p w14:paraId="09AB0214"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007B6421"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18BCF592"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2425A2A1"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7A54E736" w14:textId="77777777" w:rsidTr="00296640">
        <w:trPr>
          <w:trHeight w:val="300"/>
          <w:jc w:val="center"/>
        </w:trPr>
        <w:tc>
          <w:tcPr>
            <w:tcW w:w="1343" w:type="dxa"/>
            <w:vMerge/>
            <w:tcBorders>
              <w:left w:val="single" w:sz="4" w:space="0" w:color="auto"/>
              <w:right w:val="single" w:sz="4" w:space="0" w:color="auto"/>
            </w:tcBorders>
            <w:noWrap/>
            <w:vAlign w:val="bottom"/>
          </w:tcPr>
          <w:p w14:paraId="7C110487"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33E798D8" w14:textId="73E8FCF8"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SSN4</w:t>
            </w:r>
          </w:p>
        </w:tc>
        <w:tc>
          <w:tcPr>
            <w:tcW w:w="1134" w:type="dxa"/>
            <w:tcBorders>
              <w:top w:val="nil"/>
              <w:left w:val="nil"/>
              <w:bottom w:val="single" w:sz="4" w:space="0" w:color="auto"/>
              <w:right w:val="single" w:sz="4" w:space="0" w:color="auto"/>
            </w:tcBorders>
            <w:noWrap/>
            <w:vAlign w:val="bottom"/>
          </w:tcPr>
          <w:p w14:paraId="56DF5C3A"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0.699</w:t>
            </w:r>
          </w:p>
        </w:tc>
        <w:tc>
          <w:tcPr>
            <w:tcW w:w="1206" w:type="dxa"/>
            <w:tcBorders>
              <w:top w:val="nil"/>
              <w:left w:val="nil"/>
              <w:bottom w:val="single" w:sz="4" w:space="0" w:color="auto"/>
              <w:right w:val="single" w:sz="4" w:space="0" w:color="auto"/>
            </w:tcBorders>
            <w:noWrap/>
            <w:vAlign w:val="bottom"/>
          </w:tcPr>
          <w:p w14:paraId="51E1FB08"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65683334"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69812EC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1BED514E" w14:textId="77777777" w:rsidR="00DB43FA" w:rsidRPr="00D45B1E" w:rsidRDefault="00DB43FA" w:rsidP="00296640">
            <w:pPr>
              <w:spacing w:after="0" w:line="240" w:lineRule="auto"/>
              <w:jc w:val="both"/>
              <w:rPr>
                <w:rFonts w:asciiTheme="majorHAnsi" w:hAnsiTheme="majorHAnsi" w:cs="Times New Roman"/>
                <w:sz w:val="20"/>
                <w:szCs w:val="20"/>
              </w:rPr>
            </w:pPr>
          </w:p>
        </w:tc>
      </w:tr>
      <w:tr w:rsidR="00DB43FA" w:rsidRPr="00D45B1E" w14:paraId="2576BCF2" w14:textId="77777777" w:rsidTr="00296640">
        <w:trPr>
          <w:trHeight w:val="58"/>
          <w:jc w:val="center"/>
        </w:trPr>
        <w:tc>
          <w:tcPr>
            <w:tcW w:w="1343" w:type="dxa"/>
            <w:vMerge/>
            <w:tcBorders>
              <w:left w:val="single" w:sz="4" w:space="0" w:color="auto"/>
              <w:bottom w:val="single" w:sz="4" w:space="0" w:color="auto"/>
              <w:right w:val="single" w:sz="4" w:space="0" w:color="auto"/>
            </w:tcBorders>
            <w:noWrap/>
            <w:vAlign w:val="bottom"/>
          </w:tcPr>
          <w:p w14:paraId="26370691"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021" w:type="dxa"/>
            <w:tcBorders>
              <w:top w:val="nil"/>
              <w:left w:val="nil"/>
              <w:bottom w:val="single" w:sz="4" w:space="0" w:color="auto"/>
              <w:right w:val="single" w:sz="4" w:space="0" w:color="auto"/>
            </w:tcBorders>
            <w:noWrap/>
            <w:vAlign w:val="bottom"/>
          </w:tcPr>
          <w:p w14:paraId="2803BD92" w14:textId="4C3DB40C"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SSN5</w:t>
            </w:r>
          </w:p>
        </w:tc>
        <w:tc>
          <w:tcPr>
            <w:tcW w:w="1134" w:type="dxa"/>
            <w:tcBorders>
              <w:top w:val="nil"/>
              <w:left w:val="nil"/>
              <w:bottom w:val="single" w:sz="4" w:space="0" w:color="auto"/>
              <w:right w:val="single" w:sz="4" w:space="0" w:color="auto"/>
            </w:tcBorders>
            <w:noWrap/>
            <w:vAlign w:val="bottom"/>
          </w:tcPr>
          <w:p w14:paraId="328C5C29" w14:textId="77777777" w:rsidR="00DB43FA" w:rsidRPr="00D45B1E" w:rsidRDefault="00287096" w:rsidP="00296640">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0.692</w:t>
            </w:r>
          </w:p>
        </w:tc>
        <w:tc>
          <w:tcPr>
            <w:tcW w:w="1206" w:type="dxa"/>
            <w:tcBorders>
              <w:top w:val="nil"/>
              <w:left w:val="nil"/>
              <w:bottom w:val="single" w:sz="4" w:space="0" w:color="auto"/>
              <w:right w:val="single" w:sz="4" w:space="0" w:color="auto"/>
            </w:tcBorders>
            <w:noWrap/>
            <w:vAlign w:val="bottom"/>
          </w:tcPr>
          <w:p w14:paraId="4DB86DBB"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956" w:type="dxa"/>
            <w:tcBorders>
              <w:top w:val="nil"/>
              <w:left w:val="nil"/>
              <w:bottom w:val="single" w:sz="4" w:space="0" w:color="auto"/>
              <w:right w:val="single" w:sz="4" w:space="0" w:color="auto"/>
            </w:tcBorders>
            <w:noWrap/>
            <w:vAlign w:val="bottom"/>
          </w:tcPr>
          <w:p w14:paraId="37567ACC"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134" w:type="dxa"/>
            <w:tcBorders>
              <w:top w:val="nil"/>
              <w:left w:val="nil"/>
              <w:bottom w:val="single" w:sz="4" w:space="0" w:color="auto"/>
              <w:right w:val="single" w:sz="4" w:space="0" w:color="auto"/>
            </w:tcBorders>
            <w:noWrap/>
            <w:vAlign w:val="bottom"/>
          </w:tcPr>
          <w:p w14:paraId="0BB1B21D" w14:textId="77777777" w:rsidR="00DB43FA" w:rsidRPr="00D45B1E" w:rsidRDefault="00DB43FA" w:rsidP="00296640">
            <w:pPr>
              <w:spacing w:after="0" w:line="240" w:lineRule="auto"/>
              <w:jc w:val="both"/>
              <w:rPr>
                <w:rFonts w:asciiTheme="majorHAnsi" w:hAnsiTheme="majorHAnsi" w:cs="Times New Roman"/>
                <w:sz w:val="20"/>
                <w:szCs w:val="20"/>
              </w:rPr>
            </w:pPr>
          </w:p>
        </w:tc>
        <w:tc>
          <w:tcPr>
            <w:tcW w:w="1848" w:type="dxa"/>
            <w:tcBorders>
              <w:top w:val="nil"/>
              <w:left w:val="nil"/>
              <w:bottom w:val="single" w:sz="4" w:space="0" w:color="auto"/>
              <w:right w:val="single" w:sz="4" w:space="0" w:color="auto"/>
            </w:tcBorders>
            <w:noWrap/>
            <w:vAlign w:val="bottom"/>
          </w:tcPr>
          <w:p w14:paraId="3B0AB962" w14:textId="77777777" w:rsidR="00DB43FA" w:rsidRPr="00D45B1E" w:rsidRDefault="00DB43FA" w:rsidP="00296640">
            <w:pPr>
              <w:spacing w:after="0" w:line="240" w:lineRule="auto"/>
              <w:jc w:val="both"/>
              <w:rPr>
                <w:rFonts w:asciiTheme="majorHAnsi" w:hAnsiTheme="majorHAnsi" w:cs="Times New Roman"/>
                <w:sz w:val="20"/>
                <w:szCs w:val="20"/>
              </w:rPr>
            </w:pPr>
          </w:p>
        </w:tc>
      </w:tr>
    </w:tbl>
    <w:p w14:paraId="573B494F" w14:textId="13783940"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 xml:space="preserve">Source: </w:t>
      </w:r>
      <w:r w:rsidR="005B19ED" w:rsidRPr="00D45B1E">
        <w:rPr>
          <w:rFonts w:asciiTheme="majorHAnsi" w:hAnsiTheme="majorHAnsi" w:cs="Times New Roman"/>
          <w:b/>
          <w:bCs/>
          <w:sz w:val="20"/>
          <w:szCs w:val="20"/>
        </w:rPr>
        <w:t>Smart-PLS</w:t>
      </w:r>
      <w:r w:rsidRPr="00D45B1E">
        <w:rPr>
          <w:rFonts w:asciiTheme="majorHAnsi" w:hAnsiTheme="majorHAnsi" w:cs="Times New Roman"/>
          <w:b/>
          <w:bCs/>
          <w:sz w:val="20"/>
          <w:szCs w:val="20"/>
        </w:rPr>
        <w:t xml:space="preserve"> 4 (2025)</w:t>
      </w:r>
    </w:p>
    <w:p w14:paraId="18783AC9" w14:textId="1451311C"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4.</w:t>
      </w:r>
      <w:r w:rsidR="00232E3F" w:rsidRPr="00D45B1E">
        <w:rPr>
          <w:rFonts w:asciiTheme="majorHAnsi" w:hAnsiTheme="majorHAnsi" w:cs="Times New Roman"/>
          <w:b/>
          <w:bCs/>
          <w:sz w:val="20"/>
          <w:szCs w:val="20"/>
        </w:rPr>
        <w:t>2</w:t>
      </w:r>
      <w:r w:rsidRPr="00D45B1E">
        <w:rPr>
          <w:rFonts w:asciiTheme="majorHAnsi" w:hAnsiTheme="majorHAnsi" w:cs="Times New Roman"/>
          <w:b/>
          <w:bCs/>
          <w:sz w:val="20"/>
          <w:szCs w:val="20"/>
        </w:rPr>
        <w:t xml:space="preserve"> Discriminant Validity</w:t>
      </w:r>
    </w:p>
    <w:p w14:paraId="5773F7C0" w14:textId="10308B97" w:rsidR="003B22C4" w:rsidRPr="00D45B1E" w:rsidRDefault="003B22C4"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The study adopted the Fornell</w:t>
      </w:r>
      <w:r w:rsidR="00F54398" w:rsidRPr="00D45B1E">
        <w:rPr>
          <w:rFonts w:asciiTheme="majorHAnsi" w:hAnsiTheme="majorHAnsi" w:cs="Times New Roman"/>
          <w:bCs/>
          <w:sz w:val="20"/>
          <w:szCs w:val="20"/>
        </w:rPr>
        <w:t xml:space="preserve">, Larcker, and </w:t>
      </w:r>
      <w:proofErr w:type="spellStart"/>
      <w:r w:rsidR="00F54398" w:rsidRPr="00D45B1E">
        <w:rPr>
          <w:rFonts w:asciiTheme="majorHAnsi" w:hAnsiTheme="majorHAnsi" w:cs="Times New Roman"/>
          <w:bCs/>
          <w:sz w:val="20"/>
          <w:szCs w:val="20"/>
        </w:rPr>
        <w:t>Heterotrait</w:t>
      </w:r>
      <w:proofErr w:type="spellEnd"/>
      <w:r w:rsidR="00F54398" w:rsidRPr="00D45B1E">
        <w:rPr>
          <w:rFonts w:asciiTheme="majorHAnsi" w:hAnsiTheme="majorHAnsi" w:cs="Times New Roman"/>
          <w:bCs/>
          <w:sz w:val="20"/>
          <w:szCs w:val="20"/>
        </w:rPr>
        <w:t xml:space="preserve"> </w:t>
      </w:r>
      <w:proofErr w:type="spellStart"/>
      <w:r w:rsidR="00F54398" w:rsidRPr="00D45B1E">
        <w:rPr>
          <w:rFonts w:asciiTheme="majorHAnsi" w:hAnsiTheme="majorHAnsi" w:cs="Times New Roman"/>
          <w:bCs/>
          <w:sz w:val="20"/>
          <w:szCs w:val="20"/>
        </w:rPr>
        <w:t>Monotrait</w:t>
      </w:r>
      <w:proofErr w:type="spellEnd"/>
      <w:r w:rsidR="00F54398" w:rsidRPr="00D45B1E">
        <w:rPr>
          <w:rFonts w:asciiTheme="majorHAnsi" w:hAnsiTheme="majorHAnsi" w:cs="Times New Roman"/>
          <w:bCs/>
          <w:sz w:val="20"/>
          <w:szCs w:val="20"/>
        </w:rPr>
        <w:t xml:space="preserve"> (HTMT) criteria developed from the determination of the discriminant validity of the construct variables and presented in</w:t>
      </w:r>
      <w:r w:rsidRPr="00D45B1E">
        <w:rPr>
          <w:rFonts w:asciiTheme="majorHAnsi" w:hAnsiTheme="majorHAnsi" w:cs="Times New Roman"/>
          <w:bCs/>
          <w:sz w:val="20"/>
          <w:szCs w:val="20"/>
        </w:rPr>
        <w:t xml:space="preserve"> Tables </w:t>
      </w:r>
      <w:r w:rsidR="00232E3F" w:rsidRPr="00D45B1E">
        <w:rPr>
          <w:rFonts w:asciiTheme="majorHAnsi" w:hAnsiTheme="majorHAnsi" w:cs="Times New Roman"/>
          <w:bCs/>
          <w:sz w:val="20"/>
          <w:szCs w:val="20"/>
        </w:rPr>
        <w:t>2</w:t>
      </w:r>
      <w:r w:rsidRPr="00D45B1E">
        <w:rPr>
          <w:rFonts w:asciiTheme="majorHAnsi" w:hAnsiTheme="majorHAnsi" w:cs="Times New Roman"/>
          <w:bCs/>
          <w:sz w:val="20"/>
          <w:szCs w:val="20"/>
        </w:rPr>
        <w:t xml:space="preserve"> and </w:t>
      </w:r>
      <w:r w:rsidR="00232E3F" w:rsidRPr="00D45B1E">
        <w:rPr>
          <w:rFonts w:asciiTheme="majorHAnsi" w:hAnsiTheme="majorHAnsi" w:cs="Times New Roman"/>
          <w:bCs/>
          <w:sz w:val="20"/>
          <w:szCs w:val="20"/>
        </w:rPr>
        <w:t>3</w:t>
      </w:r>
      <w:r w:rsidRPr="00D45B1E">
        <w:rPr>
          <w:rFonts w:asciiTheme="majorHAnsi" w:hAnsiTheme="majorHAnsi" w:cs="Times New Roman"/>
          <w:bCs/>
          <w:sz w:val="20"/>
          <w:szCs w:val="20"/>
        </w:rPr>
        <w:t xml:space="preserve">. </w:t>
      </w:r>
    </w:p>
    <w:p w14:paraId="16F46C93" w14:textId="4AE084C8" w:rsidR="003B22C4" w:rsidRPr="00D45B1E" w:rsidRDefault="003B22C4"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The </w:t>
      </w:r>
      <w:r w:rsidR="00F54398" w:rsidRPr="00D45B1E">
        <w:rPr>
          <w:rFonts w:asciiTheme="majorHAnsi" w:hAnsiTheme="majorHAnsi" w:cs="Times New Roman"/>
          <w:bCs/>
          <w:sz w:val="20"/>
          <w:szCs w:val="20"/>
        </w:rPr>
        <w:t>Fornell-Larcker</w:t>
      </w:r>
      <w:r w:rsidRPr="00D45B1E">
        <w:rPr>
          <w:rFonts w:asciiTheme="majorHAnsi" w:hAnsiTheme="majorHAnsi" w:cs="Times New Roman"/>
          <w:bCs/>
          <w:sz w:val="20"/>
          <w:szCs w:val="20"/>
        </w:rPr>
        <w:t xml:space="preserve"> criterion requires that the square root of the AVEs (diagonal and bolded values) must be greater than the inter</w:t>
      </w:r>
      <w:r w:rsidR="005B19ED" w:rsidRPr="00D45B1E">
        <w:rPr>
          <w:rFonts w:asciiTheme="majorHAnsi" w:hAnsiTheme="majorHAnsi" w:cs="Times New Roman"/>
          <w:bCs/>
          <w:sz w:val="20"/>
          <w:szCs w:val="20"/>
        </w:rPr>
        <w:t>-</w:t>
      </w:r>
      <w:r w:rsidRPr="00D45B1E">
        <w:rPr>
          <w:rFonts w:asciiTheme="majorHAnsi" w:hAnsiTheme="majorHAnsi" w:cs="Times New Roman"/>
          <w:bCs/>
          <w:sz w:val="20"/>
          <w:szCs w:val="20"/>
        </w:rPr>
        <w:t xml:space="preserve">construct correlations (all other values). According to Table 3, </w:t>
      </w:r>
      <w:r w:rsidR="00232E3F" w:rsidRPr="00D45B1E">
        <w:rPr>
          <w:rFonts w:asciiTheme="majorHAnsi" w:hAnsiTheme="majorHAnsi" w:cs="Times New Roman"/>
          <w:bCs/>
          <w:sz w:val="20"/>
          <w:szCs w:val="20"/>
        </w:rPr>
        <w:t>this condition exists</w:t>
      </w:r>
      <w:r w:rsidRPr="00D45B1E">
        <w:rPr>
          <w:rFonts w:asciiTheme="majorHAnsi" w:hAnsiTheme="majorHAnsi" w:cs="Times New Roman"/>
          <w:bCs/>
          <w:sz w:val="20"/>
          <w:szCs w:val="20"/>
        </w:rPr>
        <w:t xml:space="preserve">. </w:t>
      </w:r>
      <w:r w:rsidR="00F54398" w:rsidRPr="00D45B1E">
        <w:rPr>
          <w:rFonts w:asciiTheme="majorHAnsi" w:hAnsiTheme="majorHAnsi" w:cs="Times New Roman"/>
          <w:bCs/>
          <w:sz w:val="20"/>
          <w:szCs w:val="20"/>
        </w:rPr>
        <w:t>Moreover, all HTMT measures shown in Table 4 do not exceed the maximum cap of 0.9, thereby confirming that the discriminant validity problem does not arise among</w:t>
      </w:r>
      <w:r w:rsidR="00232E3F" w:rsidRPr="00D45B1E">
        <w:rPr>
          <w:rFonts w:asciiTheme="majorHAnsi" w:hAnsiTheme="majorHAnsi" w:cs="Times New Roman"/>
          <w:bCs/>
          <w:sz w:val="20"/>
          <w:szCs w:val="20"/>
        </w:rPr>
        <w:t xml:space="preserve"> the </w:t>
      </w:r>
      <w:r w:rsidRPr="00D45B1E">
        <w:rPr>
          <w:rFonts w:asciiTheme="majorHAnsi" w:hAnsiTheme="majorHAnsi" w:cs="Times New Roman"/>
          <w:bCs/>
          <w:sz w:val="20"/>
          <w:szCs w:val="20"/>
        </w:rPr>
        <w:t>construct variables.</w:t>
      </w:r>
    </w:p>
    <w:p w14:paraId="39F6057D" w14:textId="27384010"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 xml:space="preserve">Table </w:t>
      </w:r>
      <w:r w:rsidR="00232E3F" w:rsidRPr="00D45B1E">
        <w:rPr>
          <w:rFonts w:asciiTheme="majorHAnsi" w:hAnsiTheme="majorHAnsi" w:cs="Times New Roman"/>
          <w:b/>
          <w:bCs/>
          <w:sz w:val="20"/>
          <w:szCs w:val="20"/>
        </w:rPr>
        <w:t>2</w:t>
      </w:r>
      <w:r w:rsidRPr="00D45B1E">
        <w:rPr>
          <w:rFonts w:asciiTheme="majorHAnsi" w:hAnsiTheme="majorHAnsi" w:cs="Times New Roman"/>
          <w:b/>
          <w:bCs/>
          <w:sz w:val="20"/>
          <w:szCs w:val="20"/>
        </w:rPr>
        <w:t xml:space="preserve">: </w:t>
      </w:r>
      <w:r w:rsidR="00F54398" w:rsidRPr="00D45B1E">
        <w:rPr>
          <w:rFonts w:asciiTheme="majorHAnsi" w:hAnsiTheme="majorHAnsi" w:cs="Times New Roman"/>
          <w:b/>
          <w:bCs/>
          <w:sz w:val="20"/>
          <w:szCs w:val="20"/>
        </w:rPr>
        <w:t>Fornell-Larcker</w:t>
      </w:r>
      <w:r w:rsidRPr="00D45B1E">
        <w:rPr>
          <w:rFonts w:asciiTheme="majorHAnsi" w:hAnsiTheme="majorHAnsi" w:cs="Times New Roman"/>
          <w:b/>
          <w:bCs/>
          <w:sz w:val="20"/>
          <w:szCs w:val="20"/>
        </w:rPr>
        <w:t xml:space="preserve"> Criteria</w:t>
      </w:r>
    </w:p>
    <w:tbl>
      <w:tblPr>
        <w:tblW w:w="9150" w:type="dxa"/>
        <w:jc w:val="center"/>
        <w:tblLook w:val="04A0" w:firstRow="1" w:lastRow="0" w:firstColumn="1" w:lastColumn="0" w:noHBand="0" w:noVBand="1"/>
      </w:tblPr>
      <w:tblGrid>
        <w:gridCol w:w="2972"/>
        <w:gridCol w:w="1175"/>
        <w:gridCol w:w="960"/>
        <w:gridCol w:w="1093"/>
        <w:gridCol w:w="960"/>
        <w:gridCol w:w="1108"/>
        <w:gridCol w:w="992"/>
      </w:tblGrid>
      <w:tr w:rsidR="00DB43FA" w:rsidRPr="00D45B1E" w14:paraId="0C04EA95" w14:textId="77777777">
        <w:trPr>
          <w:trHeight w:val="300"/>
          <w:jc w:val="center"/>
        </w:trPr>
        <w:tc>
          <w:tcPr>
            <w:tcW w:w="2972" w:type="dxa"/>
            <w:tcBorders>
              <w:top w:val="single" w:sz="4" w:space="0" w:color="auto"/>
              <w:left w:val="single" w:sz="4" w:space="0" w:color="auto"/>
              <w:bottom w:val="single" w:sz="4" w:space="0" w:color="auto"/>
              <w:right w:val="single" w:sz="4" w:space="0" w:color="auto"/>
            </w:tcBorders>
            <w:noWrap/>
            <w:vAlign w:val="bottom"/>
          </w:tcPr>
          <w:p w14:paraId="2E3D6E31"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1065" w:type="dxa"/>
            <w:tcBorders>
              <w:top w:val="single" w:sz="4" w:space="0" w:color="auto"/>
              <w:left w:val="nil"/>
              <w:bottom w:val="single" w:sz="4" w:space="0" w:color="auto"/>
              <w:right w:val="single" w:sz="4" w:space="0" w:color="auto"/>
            </w:tcBorders>
            <w:noWrap/>
            <w:vAlign w:val="bottom"/>
          </w:tcPr>
          <w:p w14:paraId="05B92938"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Emergency Savings (ES)</w:t>
            </w:r>
          </w:p>
        </w:tc>
        <w:tc>
          <w:tcPr>
            <w:tcW w:w="960" w:type="dxa"/>
            <w:tcBorders>
              <w:top w:val="single" w:sz="4" w:space="0" w:color="auto"/>
              <w:left w:val="nil"/>
              <w:bottom w:val="single" w:sz="4" w:space="0" w:color="auto"/>
              <w:right w:val="single" w:sz="4" w:space="0" w:color="auto"/>
            </w:tcBorders>
            <w:noWrap/>
            <w:vAlign w:val="bottom"/>
          </w:tcPr>
          <w:p w14:paraId="2B6EED89" w14:textId="752E706A"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Health Crisis (HC)</w:t>
            </w:r>
          </w:p>
        </w:tc>
        <w:tc>
          <w:tcPr>
            <w:tcW w:w="1093" w:type="dxa"/>
            <w:tcBorders>
              <w:top w:val="single" w:sz="4" w:space="0" w:color="auto"/>
              <w:left w:val="nil"/>
              <w:bottom w:val="single" w:sz="4" w:space="0" w:color="auto"/>
              <w:right w:val="single" w:sz="4" w:space="0" w:color="auto"/>
            </w:tcBorders>
            <w:noWrap/>
            <w:vAlign w:val="bottom"/>
          </w:tcPr>
          <w:p w14:paraId="599B7058"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Income &amp; Job Instability (IJI)</w:t>
            </w:r>
          </w:p>
        </w:tc>
        <w:tc>
          <w:tcPr>
            <w:tcW w:w="960" w:type="dxa"/>
            <w:tcBorders>
              <w:top w:val="single" w:sz="4" w:space="0" w:color="auto"/>
              <w:left w:val="nil"/>
              <w:bottom w:val="single" w:sz="4" w:space="0" w:color="auto"/>
              <w:right w:val="single" w:sz="4" w:space="0" w:color="auto"/>
            </w:tcBorders>
            <w:noWrap/>
            <w:vAlign w:val="bottom"/>
          </w:tcPr>
          <w:p w14:paraId="3B31B610"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Low Debt Level (LDL)</w:t>
            </w:r>
          </w:p>
        </w:tc>
        <w:tc>
          <w:tcPr>
            <w:tcW w:w="1108" w:type="dxa"/>
            <w:tcBorders>
              <w:top w:val="single" w:sz="4" w:space="0" w:color="auto"/>
              <w:left w:val="nil"/>
              <w:bottom w:val="single" w:sz="4" w:space="0" w:color="auto"/>
              <w:right w:val="single" w:sz="4" w:space="0" w:color="auto"/>
            </w:tcBorders>
            <w:noWrap/>
            <w:vAlign w:val="bottom"/>
          </w:tcPr>
          <w:p w14:paraId="7D225255"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Poverty &amp; Inequality (PI)</w:t>
            </w:r>
          </w:p>
        </w:tc>
        <w:tc>
          <w:tcPr>
            <w:tcW w:w="992" w:type="dxa"/>
            <w:tcBorders>
              <w:top w:val="single" w:sz="4" w:space="0" w:color="auto"/>
              <w:left w:val="nil"/>
              <w:bottom w:val="single" w:sz="4" w:space="0" w:color="auto"/>
              <w:right w:val="single" w:sz="4" w:space="0" w:color="auto"/>
            </w:tcBorders>
            <w:noWrap/>
            <w:vAlign w:val="bottom"/>
          </w:tcPr>
          <w:p w14:paraId="28BD94DF"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Social Support Network (SSN)</w:t>
            </w:r>
          </w:p>
        </w:tc>
      </w:tr>
      <w:tr w:rsidR="00DB43FA" w:rsidRPr="00D45B1E" w14:paraId="206972FD" w14:textId="77777777">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33A8191E"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Emergency Savings (ES)</w:t>
            </w:r>
          </w:p>
        </w:tc>
        <w:tc>
          <w:tcPr>
            <w:tcW w:w="1065" w:type="dxa"/>
            <w:tcBorders>
              <w:top w:val="nil"/>
              <w:left w:val="nil"/>
              <w:bottom w:val="single" w:sz="4" w:space="0" w:color="auto"/>
              <w:right w:val="single" w:sz="4" w:space="0" w:color="auto"/>
            </w:tcBorders>
            <w:noWrap/>
            <w:vAlign w:val="bottom"/>
          </w:tcPr>
          <w:p w14:paraId="52D85636"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0.786</w:t>
            </w:r>
          </w:p>
        </w:tc>
        <w:tc>
          <w:tcPr>
            <w:tcW w:w="960" w:type="dxa"/>
            <w:tcBorders>
              <w:top w:val="nil"/>
              <w:left w:val="nil"/>
              <w:bottom w:val="single" w:sz="4" w:space="0" w:color="auto"/>
              <w:right w:val="single" w:sz="4" w:space="0" w:color="auto"/>
            </w:tcBorders>
            <w:noWrap/>
            <w:vAlign w:val="bottom"/>
          </w:tcPr>
          <w:p w14:paraId="507025F1"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1093" w:type="dxa"/>
            <w:tcBorders>
              <w:top w:val="nil"/>
              <w:left w:val="nil"/>
              <w:bottom w:val="single" w:sz="4" w:space="0" w:color="auto"/>
              <w:right w:val="single" w:sz="4" w:space="0" w:color="auto"/>
            </w:tcBorders>
            <w:noWrap/>
            <w:vAlign w:val="bottom"/>
          </w:tcPr>
          <w:p w14:paraId="796C5D99"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960" w:type="dxa"/>
            <w:tcBorders>
              <w:top w:val="nil"/>
              <w:left w:val="nil"/>
              <w:bottom w:val="single" w:sz="4" w:space="0" w:color="auto"/>
              <w:right w:val="single" w:sz="4" w:space="0" w:color="auto"/>
            </w:tcBorders>
            <w:noWrap/>
            <w:vAlign w:val="bottom"/>
          </w:tcPr>
          <w:p w14:paraId="4D4FA89F"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1108" w:type="dxa"/>
            <w:tcBorders>
              <w:top w:val="nil"/>
              <w:left w:val="nil"/>
              <w:bottom w:val="single" w:sz="4" w:space="0" w:color="auto"/>
              <w:right w:val="single" w:sz="4" w:space="0" w:color="auto"/>
            </w:tcBorders>
            <w:noWrap/>
            <w:vAlign w:val="bottom"/>
          </w:tcPr>
          <w:p w14:paraId="0404C74A"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992" w:type="dxa"/>
            <w:tcBorders>
              <w:top w:val="nil"/>
              <w:left w:val="nil"/>
              <w:bottom w:val="single" w:sz="4" w:space="0" w:color="auto"/>
              <w:right w:val="single" w:sz="4" w:space="0" w:color="auto"/>
            </w:tcBorders>
            <w:noWrap/>
            <w:vAlign w:val="bottom"/>
          </w:tcPr>
          <w:p w14:paraId="465E0819"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r>
      <w:tr w:rsidR="00DB43FA" w:rsidRPr="00D45B1E" w14:paraId="07B90274" w14:textId="77777777">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086D0777"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lastRenderedPageBreak/>
              <w:t>Health Crisis (HC)_</w:t>
            </w:r>
          </w:p>
        </w:tc>
        <w:tc>
          <w:tcPr>
            <w:tcW w:w="1065" w:type="dxa"/>
            <w:tcBorders>
              <w:top w:val="nil"/>
              <w:left w:val="nil"/>
              <w:bottom w:val="single" w:sz="4" w:space="0" w:color="auto"/>
              <w:right w:val="single" w:sz="4" w:space="0" w:color="auto"/>
            </w:tcBorders>
            <w:noWrap/>
            <w:vAlign w:val="bottom"/>
          </w:tcPr>
          <w:p w14:paraId="59C41282"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0.312</w:t>
            </w:r>
          </w:p>
        </w:tc>
        <w:tc>
          <w:tcPr>
            <w:tcW w:w="960" w:type="dxa"/>
            <w:tcBorders>
              <w:top w:val="nil"/>
              <w:left w:val="nil"/>
              <w:bottom w:val="single" w:sz="4" w:space="0" w:color="auto"/>
              <w:right w:val="single" w:sz="4" w:space="0" w:color="auto"/>
            </w:tcBorders>
            <w:noWrap/>
            <w:vAlign w:val="bottom"/>
          </w:tcPr>
          <w:p w14:paraId="5206DA7F"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0.741</w:t>
            </w:r>
          </w:p>
        </w:tc>
        <w:tc>
          <w:tcPr>
            <w:tcW w:w="1093" w:type="dxa"/>
            <w:tcBorders>
              <w:top w:val="nil"/>
              <w:left w:val="nil"/>
              <w:bottom w:val="single" w:sz="4" w:space="0" w:color="auto"/>
              <w:right w:val="single" w:sz="4" w:space="0" w:color="auto"/>
            </w:tcBorders>
            <w:noWrap/>
            <w:vAlign w:val="bottom"/>
          </w:tcPr>
          <w:p w14:paraId="6BF908BC"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960" w:type="dxa"/>
            <w:tcBorders>
              <w:top w:val="nil"/>
              <w:left w:val="nil"/>
              <w:bottom w:val="single" w:sz="4" w:space="0" w:color="auto"/>
              <w:right w:val="single" w:sz="4" w:space="0" w:color="auto"/>
            </w:tcBorders>
            <w:noWrap/>
            <w:vAlign w:val="bottom"/>
          </w:tcPr>
          <w:p w14:paraId="4BD102E4"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1108" w:type="dxa"/>
            <w:tcBorders>
              <w:top w:val="nil"/>
              <w:left w:val="nil"/>
              <w:bottom w:val="single" w:sz="4" w:space="0" w:color="auto"/>
              <w:right w:val="single" w:sz="4" w:space="0" w:color="auto"/>
            </w:tcBorders>
            <w:noWrap/>
            <w:vAlign w:val="bottom"/>
          </w:tcPr>
          <w:p w14:paraId="2C68C291"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992" w:type="dxa"/>
            <w:tcBorders>
              <w:top w:val="nil"/>
              <w:left w:val="nil"/>
              <w:bottom w:val="single" w:sz="4" w:space="0" w:color="auto"/>
              <w:right w:val="single" w:sz="4" w:space="0" w:color="auto"/>
            </w:tcBorders>
            <w:noWrap/>
            <w:vAlign w:val="bottom"/>
          </w:tcPr>
          <w:p w14:paraId="49FCF111"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r>
      <w:tr w:rsidR="00DB43FA" w:rsidRPr="00D45B1E" w14:paraId="698BE44A" w14:textId="77777777">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5F9FD77B"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Income &amp; Job Instability (IJI)</w:t>
            </w:r>
          </w:p>
        </w:tc>
        <w:tc>
          <w:tcPr>
            <w:tcW w:w="1065" w:type="dxa"/>
            <w:tcBorders>
              <w:top w:val="nil"/>
              <w:left w:val="nil"/>
              <w:bottom w:val="single" w:sz="4" w:space="0" w:color="auto"/>
              <w:right w:val="single" w:sz="4" w:space="0" w:color="auto"/>
            </w:tcBorders>
            <w:noWrap/>
            <w:vAlign w:val="bottom"/>
          </w:tcPr>
          <w:p w14:paraId="121A847F"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0.344</w:t>
            </w:r>
          </w:p>
        </w:tc>
        <w:tc>
          <w:tcPr>
            <w:tcW w:w="960" w:type="dxa"/>
            <w:tcBorders>
              <w:top w:val="nil"/>
              <w:left w:val="nil"/>
              <w:bottom w:val="single" w:sz="4" w:space="0" w:color="auto"/>
              <w:right w:val="single" w:sz="4" w:space="0" w:color="auto"/>
            </w:tcBorders>
            <w:noWrap/>
            <w:vAlign w:val="bottom"/>
          </w:tcPr>
          <w:p w14:paraId="1E59A473"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0.676</w:t>
            </w:r>
          </w:p>
        </w:tc>
        <w:tc>
          <w:tcPr>
            <w:tcW w:w="1093" w:type="dxa"/>
            <w:tcBorders>
              <w:top w:val="nil"/>
              <w:left w:val="nil"/>
              <w:bottom w:val="single" w:sz="4" w:space="0" w:color="auto"/>
              <w:right w:val="single" w:sz="4" w:space="0" w:color="auto"/>
            </w:tcBorders>
            <w:noWrap/>
            <w:vAlign w:val="bottom"/>
          </w:tcPr>
          <w:p w14:paraId="70069EF9"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0.766</w:t>
            </w:r>
          </w:p>
        </w:tc>
        <w:tc>
          <w:tcPr>
            <w:tcW w:w="960" w:type="dxa"/>
            <w:tcBorders>
              <w:top w:val="nil"/>
              <w:left w:val="nil"/>
              <w:bottom w:val="single" w:sz="4" w:space="0" w:color="auto"/>
              <w:right w:val="single" w:sz="4" w:space="0" w:color="auto"/>
            </w:tcBorders>
            <w:noWrap/>
            <w:vAlign w:val="bottom"/>
          </w:tcPr>
          <w:p w14:paraId="490DB66F"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1108" w:type="dxa"/>
            <w:tcBorders>
              <w:top w:val="nil"/>
              <w:left w:val="nil"/>
              <w:bottom w:val="single" w:sz="4" w:space="0" w:color="auto"/>
              <w:right w:val="single" w:sz="4" w:space="0" w:color="auto"/>
            </w:tcBorders>
            <w:noWrap/>
            <w:vAlign w:val="bottom"/>
          </w:tcPr>
          <w:p w14:paraId="2E1CA375"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992" w:type="dxa"/>
            <w:tcBorders>
              <w:top w:val="nil"/>
              <w:left w:val="nil"/>
              <w:bottom w:val="single" w:sz="4" w:space="0" w:color="auto"/>
              <w:right w:val="single" w:sz="4" w:space="0" w:color="auto"/>
            </w:tcBorders>
            <w:noWrap/>
            <w:vAlign w:val="bottom"/>
          </w:tcPr>
          <w:p w14:paraId="1BB77EE5"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r>
      <w:tr w:rsidR="00DB43FA" w:rsidRPr="00D45B1E" w14:paraId="788380D2" w14:textId="77777777">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36C1E790"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Low Debt Level (LDL)</w:t>
            </w:r>
          </w:p>
        </w:tc>
        <w:tc>
          <w:tcPr>
            <w:tcW w:w="1065" w:type="dxa"/>
            <w:tcBorders>
              <w:top w:val="nil"/>
              <w:left w:val="nil"/>
              <w:bottom w:val="single" w:sz="4" w:space="0" w:color="auto"/>
              <w:right w:val="single" w:sz="4" w:space="0" w:color="auto"/>
            </w:tcBorders>
            <w:noWrap/>
            <w:vAlign w:val="bottom"/>
          </w:tcPr>
          <w:p w14:paraId="47DD62BE"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0.607</w:t>
            </w:r>
          </w:p>
        </w:tc>
        <w:tc>
          <w:tcPr>
            <w:tcW w:w="960" w:type="dxa"/>
            <w:tcBorders>
              <w:top w:val="nil"/>
              <w:left w:val="nil"/>
              <w:bottom w:val="single" w:sz="4" w:space="0" w:color="auto"/>
              <w:right w:val="single" w:sz="4" w:space="0" w:color="auto"/>
            </w:tcBorders>
            <w:noWrap/>
            <w:vAlign w:val="bottom"/>
          </w:tcPr>
          <w:p w14:paraId="1321EE4A"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0.461</w:t>
            </w:r>
          </w:p>
        </w:tc>
        <w:tc>
          <w:tcPr>
            <w:tcW w:w="1093" w:type="dxa"/>
            <w:tcBorders>
              <w:top w:val="nil"/>
              <w:left w:val="nil"/>
              <w:bottom w:val="single" w:sz="4" w:space="0" w:color="auto"/>
              <w:right w:val="single" w:sz="4" w:space="0" w:color="auto"/>
            </w:tcBorders>
            <w:noWrap/>
            <w:vAlign w:val="bottom"/>
          </w:tcPr>
          <w:p w14:paraId="17BF4981"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0.542</w:t>
            </w:r>
          </w:p>
        </w:tc>
        <w:tc>
          <w:tcPr>
            <w:tcW w:w="960" w:type="dxa"/>
            <w:tcBorders>
              <w:top w:val="nil"/>
              <w:left w:val="nil"/>
              <w:bottom w:val="single" w:sz="4" w:space="0" w:color="auto"/>
              <w:right w:val="single" w:sz="4" w:space="0" w:color="auto"/>
            </w:tcBorders>
            <w:noWrap/>
            <w:vAlign w:val="bottom"/>
          </w:tcPr>
          <w:p w14:paraId="20738B51"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0.712</w:t>
            </w:r>
          </w:p>
        </w:tc>
        <w:tc>
          <w:tcPr>
            <w:tcW w:w="1108" w:type="dxa"/>
            <w:tcBorders>
              <w:top w:val="nil"/>
              <w:left w:val="nil"/>
              <w:bottom w:val="single" w:sz="4" w:space="0" w:color="auto"/>
              <w:right w:val="single" w:sz="4" w:space="0" w:color="auto"/>
            </w:tcBorders>
            <w:noWrap/>
            <w:vAlign w:val="bottom"/>
          </w:tcPr>
          <w:p w14:paraId="0BB477C6"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c>
          <w:tcPr>
            <w:tcW w:w="992" w:type="dxa"/>
            <w:tcBorders>
              <w:top w:val="nil"/>
              <w:left w:val="nil"/>
              <w:bottom w:val="single" w:sz="4" w:space="0" w:color="auto"/>
              <w:right w:val="single" w:sz="4" w:space="0" w:color="auto"/>
            </w:tcBorders>
            <w:noWrap/>
            <w:vAlign w:val="bottom"/>
          </w:tcPr>
          <w:p w14:paraId="25639623"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r>
      <w:tr w:rsidR="00DB43FA" w:rsidRPr="00D45B1E" w14:paraId="180B3BA2" w14:textId="77777777">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67F1FCC3"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Poverty &amp; Inequality (PI)</w:t>
            </w:r>
          </w:p>
        </w:tc>
        <w:tc>
          <w:tcPr>
            <w:tcW w:w="1065" w:type="dxa"/>
            <w:tcBorders>
              <w:top w:val="nil"/>
              <w:left w:val="nil"/>
              <w:bottom w:val="single" w:sz="4" w:space="0" w:color="auto"/>
              <w:right w:val="single" w:sz="4" w:space="0" w:color="auto"/>
            </w:tcBorders>
            <w:noWrap/>
            <w:vAlign w:val="bottom"/>
          </w:tcPr>
          <w:p w14:paraId="497AA413"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0.172</w:t>
            </w:r>
          </w:p>
        </w:tc>
        <w:tc>
          <w:tcPr>
            <w:tcW w:w="960" w:type="dxa"/>
            <w:tcBorders>
              <w:top w:val="nil"/>
              <w:left w:val="nil"/>
              <w:bottom w:val="single" w:sz="4" w:space="0" w:color="auto"/>
              <w:right w:val="single" w:sz="4" w:space="0" w:color="auto"/>
            </w:tcBorders>
            <w:noWrap/>
            <w:vAlign w:val="bottom"/>
          </w:tcPr>
          <w:p w14:paraId="00F54193"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0.590</w:t>
            </w:r>
          </w:p>
        </w:tc>
        <w:tc>
          <w:tcPr>
            <w:tcW w:w="1093" w:type="dxa"/>
            <w:tcBorders>
              <w:top w:val="nil"/>
              <w:left w:val="nil"/>
              <w:bottom w:val="single" w:sz="4" w:space="0" w:color="auto"/>
              <w:right w:val="single" w:sz="4" w:space="0" w:color="auto"/>
            </w:tcBorders>
            <w:noWrap/>
            <w:vAlign w:val="bottom"/>
          </w:tcPr>
          <w:p w14:paraId="5BE1619E"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0.527</w:t>
            </w:r>
          </w:p>
        </w:tc>
        <w:tc>
          <w:tcPr>
            <w:tcW w:w="960" w:type="dxa"/>
            <w:tcBorders>
              <w:top w:val="nil"/>
              <w:left w:val="nil"/>
              <w:bottom w:val="single" w:sz="4" w:space="0" w:color="auto"/>
              <w:right w:val="single" w:sz="4" w:space="0" w:color="auto"/>
            </w:tcBorders>
            <w:noWrap/>
            <w:vAlign w:val="bottom"/>
          </w:tcPr>
          <w:p w14:paraId="706AD399"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0.289</w:t>
            </w:r>
          </w:p>
        </w:tc>
        <w:tc>
          <w:tcPr>
            <w:tcW w:w="1108" w:type="dxa"/>
            <w:tcBorders>
              <w:top w:val="nil"/>
              <w:left w:val="nil"/>
              <w:bottom w:val="single" w:sz="4" w:space="0" w:color="auto"/>
              <w:right w:val="single" w:sz="4" w:space="0" w:color="auto"/>
            </w:tcBorders>
            <w:noWrap/>
            <w:vAlign w:val="bottom"/>
          </w:tcPr>
          <w:p w14:paraId="4D447AC9"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0.740</w:t>
            </w:r>
          </w:p>
        </w:tc>
        <w:tc>
          <w:tcPr>
            <w:tcW w:w="992" w:type="dxa"/>
            <w:tcBorders>
              <w:top w:val="nil"/>
              <w:left w:val="nil"/>
              <w:bottom w:val="single" w:sz="4" w:space="0" w:color="auto"/>
              <w:right w:val="single" w:sz="4" w:space="0" w:color="auto"/>
            </w:tcBorders>
            <w:noWrap/>
            <w:vAlign w:val="bottom"/>
          </w:tcPr>
          <w:p w14:paraId="57274191"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r>
      <w:tr w:rsidR="00DB43FA" w:rsidRPr="00D45B1E" w14:paraId="7D9FBD6D" w14:textId="77777777">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01FB752C"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Social Support Network (SSN)</w:t>
            </w:r>
          </w:p>
        </w:tc>
        <w:tc>
          <w:tcPr>
            <w:tcW w:w="1065" w:type="dxa"/>
            <w:tcBorders>
              <w:top w:val="nil"/>
              <w:left w:val="nil"/>
              <w:bottom w:val="single" w:sz="4" w:space="0" w:color="auto"/>
              <w:right w:val="single" w:sz="4" w:space="0" w:color="auto"/>
            </w:tcBorders>
            <w:noWrap/>
            <w:vAlign w:val="bottom"/>
          </w:tcPr>
          <w:p w14:paraId="26CAB8C1"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0.582</w:t>
            </w:r>
          </w:p>
        </w:tc>
        <w:tc>
          <w:tcPr>
            <w:tcW w:w="960" w:type="dxa"/>
            <w:tcBorders>
              <w:top w:val="nil"/>
              <w:left w:val="nil"/>
              <w:bottom w:val="single" w:sz="4" w:space="0" w:color="auto"/>
              <w:right w:val="single" w:sz="4" w:space="0" w:color="auto"/>
            </w:tcBorders>
            <w:noWrap/>
            <w:vAlign w:val="bottom"/>
          </w:tcPr>
          <w:p w14:paraId="4A1E9E8E"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0.467</w:t>
            </w:r>
          </w:p>
        </w:tc>
        <w:tc>
          <w:tcPr>
            <w:tcW w:w="1093" w:type="dxa"/>
            <w:tcBorders>
              <w:top w:val="nil"/>
              <w:left w:val="nil"/>
              <w:bottom w:val="single" w:sz="4" w:space="0" w:color="auto"/>
              <w:right w:val="single" w:sz="4" w:space="0" w:color="auto"/>
            </w:tcBorders>
            <w:noWrap/>
            <w:vAlign w:val="bottom"/>
          </w:tcPr>
          <w:p w14:paraId="13B58149"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0.436</w:t>
            </w:r>
          </w:p>
        </w:tc>
        <w:tc>
          <w:tcPr>
            <w:tcW w:w="960" w:type="dxa"/>
            <w:tcBorders>
              <w:top w:val="nil"/>
              <w:left w:val="nil"/>
              <w:bottom w:val="single" w:sz="4" w:space="0" w:color="auto"/>
              <w:right w:val="single" w:sz="4" w:space="0" w:color="auto"/>
            </w:tcBorders>
            <w:noWrap/>
            <w:vAlign w:val="bottom"/>
          </w:tcPr>
          <w:p w14:paraId="352D7CE0"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0.641</w:t>
            </w:r>
          </w:p>
        </w:tc>
        <w:tc>
          <w:tcPr>
            <w:tcW w:w="1108" w:type="dxa"/>
            <w:tcBorders>
              <w:top w:val="nil"/>
              <w:left w:val="nil"/>
              <w:bottom w:val="single" w:sz="4" w:space="0" w:color="auto"/>
              <w:right w:val="single" w:sz="4" w:space="0" w:color="auto"/>
            </w:tcBorders>
            <w:noWrap/>
            <w:vAlign w:val="bottom"/>
          </w:tcPr>
          <w:p w14:paraId="2D1C6F6C"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0.222</w:t>
            </w:r>
          </w:p>
        </w:tc>
        <w:tc>
          <w:tcPr>
            <w:tcW w:w="992" w:type="dxa"/>
            <w:tcBorders>
              <w:top w:val="nil"/>
              <w:left w:val="nil"/>
              <w:bottom w:val="single" w:sz="4" w:space="0" w:color="auto"/>
              <w:right w:val="single" w:sz="4" w:space="0" w:color="auto"/>
            </w:tcBorders>
            <w:noWrap/>
            <w:vAlign w:val="bottom"/>
          </w:tcPr>
          <w:p w14:paraId="36EB581A" w14:textId="77777777" w:rsidR="00DB43FA" w:rsidRPr="00D45B1E" w:rsidRDefault="00287096" w:rsidP="00462E7F">
            <w:pPr>
              <w:spacing w:after="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0.725</w:t>
            </w:r>
          </w:p>
        </w:tc>
      </w:tr>
    </w:tbl>
    <w:p w14:paraId="7432F295" w14:textId="1E0BEFD6" w:rsidR="00DB43FA" w:rsidRPr="00D45B1E" w:rsidRDefault="00287096"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Source: Smart</w:t>
      </w:r>
      <w:r w:rsidR="005B19ED" w:rsidRPr="00D45B1E">
        <w:rPr>
          <w:rFonts w:asciiTheme="majorHAnsi" w:hAnsiTheme="majorHAnsi" w:cs="Times New Roman"/>
          <w:bCs/>
          <w:sz w:val="20"/>
          <w:szCs w:val="20"/>
        </w:rPr>
        <w:t xml:space="preserve"> </w:t>
      </w:r>
      <w:r w:rsidRPr="00D45B1E">
        <w:rPr>
          <w:rFonts w:asciiTheme="majorHAnsi" w:hAnsiTheme="majorHAnsi" w:cs="Times New Roman"/>
          <w:bCs/>
          <w:sz w:val="20"/>
          <w:szCs w:val="20"/>
        </w:rPr>
        <w:t>PLS 4 (2025)</w:t>
      </w:r>
    </w:p>
    <w:p w14:paraId="61914539" w14:textId="77777777" w:rsidR="00DB43FA" w:rsidRPr="00D45B1E" w:rsidRDefault="00DB43FA" w:rsidP="0048350C">
      <w:pPr>
        <w:jc w:val="both"/>
        <w:rPr>
          <w:rFonts w:asciiTheme="majorHAnsi" w:hAnsiTheme="majorHAnsi" w:cs="Times New Roman"/>
          <w:bCs/>
          <w:sz w:val="20"/>
          <w:szCs w:val="20"/>
        </w:rPr>
      </w:pPr>
    </w:p>
    <w:p w14:paraId="31ECEBE4" w14:textId="77777777" w:rsidR="00F54398" w:rsidRPr="00D45B1E" w:rsidRDefault="00F54398" w:rsidP="0048350C">
      <w:pPr>
        <w:jc w:val="both"/>
        <w:rPr>
          <w:rFonts w:asciiTheme="majorHAnsi" w:hAnsiTheme="majorHAnsi" w:cs="Times New Roman"/>
          <w:bCs/>
          <w:sz w:val="20"/>
          <w:szCs w:val="20"/>
        </w:rPr>
      </w:pPr>
    </w:p>
    <w:p w14:paraId="1D1988BB" w14:textId="0F5DD6F3"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 xml:space="preserve">Table </w:t>
      </w:r>
      <w:r w:rsidR="00232E3F" w:rsidRPr="00D45B1E">
        <w:rPr>
          <w:rFonts w:asciiTheme="majorHAnsi" w:hAnsiTheme="majorHAnsi" w:cs="Times New Roman"/>
          <w:b/>
          <w:bCs/>
          <w:sz w:val="20"/>
          <w:szCs w:val="20"/>
        </w:rPr>
        <w:t>3</w:t>
      </w:r>
      <w:r w:rsidRPr="00D45B1E">
        <w:rPr>
          <w:rFonts w:asciiTheme="majorHAnsi" w:hAnsiTheme="majorHAnsi" w:cs="Times New Roman"/>
          <w:b/>
          <w:bCs/>
          <w:sz w:val="20"/>
          <w:szCs w:val="20"/>
        </w:rPr>
        <w:t xml:space="preserve">: </w:t>
      </w:r>
      <w:proofErr w:type="spellStart"/>
      <w:r w:rsidRPr="00D45B1E">
        <w:rPr>
          <w:rFonts w:asciiTheme="majorHAnsi" w:hAnsiTheme="majorHAnsi" w:cs="Times New Roman"/>
          <w:b/>
          <w:bCs/>
          <w:sz w:val="20"/>
          <w:szCs w:val="20"/>
        </w:rPr>
        <w:t>Heterotrait</w:t>
      </w:r>
      <w:proofErr w:type="spellEnd"/>
      <w:r w:rsidR="005B19ED" w:rsidRPr="00D45B1E">
        <w:rPr>
          <w:rFonts w:asciiTheme="majorHAnsi" w:hAnsiTheme="majorHAnsi" w:cs="Times New Roman"/>
          <w:b/>
          <w:bCs/>
          <w:sz w:val="20"/>
          <w:szCs w:val="20"/>
        </w:rPr>
        <w:t xml:space="preserve"> </w:t>
      </w:r>
      <w:proofErr w:type="spellStart"/>
      <w:r w:rsidRPr="00D45B1E">
        <w:rPr>
          <w:rFonts w:asciiTheme="majorHAnsi" w:hAnsiTheme="majorHAnsi" w:cs="Times New Roman"/>
          <w:b/>
          <w:bCs/>
          <w:sz w:val="20"/>
          <w:szCs w:val="20"/>
        </w:rPr>
        <w:t>Monotrait</w:t>
      </w:r>
      <w:proofErr w:type="spellEnd"/>
      <w:r w:rsidRPr="00D45B1E">
        <w:rPr>
          <w:rFonts w:asciiTheme="majorHAnsi" w:hAnsiTheme="majorHAnsi" w:cs="Times New Roman"/>
          <w:b/>
          <w:bCs/>
          <w:sz w:val="20"/>
          <w:szCs w:val="20"/>
        </w:rPr>
        <w:t xml:space="preserve"> Ratios</w:t>
      </w:r>
    </w:p>
    <w:tbl>
      <w:tblPr>
        <w:tblW w:w="9634" w:type="dxa"/>
        <w:jc w:val="center"/>
        <w:tblLook w:val="04A0" w:firstRow="1" w:lastRow="0" w:firstColumn="1" w:lastColumn="0" w:noHBand="0" w:noVBand="1"/>
      </w:tblPr>
      <w:tblGrid>
        <w:gridCol w:w="2972"/>
        <w:gridCol w:w="1418"/>
        <w:gridCol w:w="850"/>
        <w:gridCol w:w="1134"/>
        <w:gridCol w:w="992"/>
        <w:gridCol w:w="1276"/>
        <w:gridCol w:w="992"/>
      </w:tblGrid>
      <w:tr w:rsidR="00DB43FA" w:rsidRPr="00D45B1E" w14:paraId="2D33E0B3" w14:textId="77777777" w:rsidTr="00462E7F">
        <w:trPr>
          <w:trHeight w:val="300"/>
          <w:jc w:val="center"/>
        </w:trPr>
        <w:tc>
          <w:tcPr>
            <w:tcW w:w="2972" w:type="dxa"/>
            <w:tcBorders>
              <w:top w:val="single" w:sz="4" w:space="0" w:color="auto"/>
              <w:left w:val="single" w:sz="4" w:space="0" w:color="auto"/>
              <w:bottom w:val="single" w:sz="4" w:space="0" w:color="auto"/>
              <w:right w:val="single" w:sz="4" w:space="0" w:color="auto"/>
            </w:tcBorders>
            <w:noWrap/>
            <w:vAlign w:val="bottom"/>
          </w:tcPr>
          <w:p w14:paraId="779F2C6C"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1418" w:type="dxa"/>
            <w:tcBorders>
              <w:top w:val="single" w:sz="4" w:space="0" w:color="auto"/>
              <w:left w:val="nil"/>
              <w:bottom w:val="single" w:sz="4" w:space="0" w:color="auto"/>
              <w:right w:val="single" w:sz="4" w:space="0" w:color="auto"/>
            </w:tcBorders>
            <w:noWrap/>
            <w:vAlign w:val="bottom"/>
          </w:tcPr>
          <w:p w14:paraId="307817CF" w14:textId="1B728336" w:rsidR="00DB43FA" w:rsidRPr="00D45B1E" w:rsidRDefault="00287096" w:rsidP="00462E7F">
            <w:pPr>
              <w:spacing w:after="0" w:line="240" w:lineRule="auto"/>
              <w:ind w:right="-163"/>
              <w:jc w:val="both"/>
              <w:rPr>
                <w:rFonts w:asciiTheme="majorHAnsi" w:hAnsiTheme="majorHAnsi" w:cs="Times New Roman"/>
                <w:sz w:val="20"/>
                <w:szCs w:val="20"/>
              </w:rPr>
            </w:pPr>
            <w:r w:rsidRPr="00D45B1E">
              <w:rPr>
                <w:rFonts w:asciiTheme="majorHAnsi" w:hAnsiTheme="majorHAnsi" w:cs="Times New Roman"/>
                <w:sz w:val="20"/>
                <w:szCs w:val="20"/>
              </w:rPr>
              <w:t>Emergency Savings (ES)</w:t>
            </w:r>
          </w:p>
        </w:tc>
        <w:tc>
          <w:tcPr>
            <w:tcW w:w="850" w:type="dxa"/>
            <w:tcBorders>
              <w:top w:val="single" w:sz="4" w:space="0" w:color="auto"/>
              <w:left w:val="nil"/>
              <w:bottom w:val="single" w:sz="4" w:space="0" w:color="auto"/>
              <w:right w:val="single" w:sz="4" w:space="0" w:color="auto"/>
            </w:tcBorders>
            <w:noWrap/>
            <w:vAlign w:val="bottom"/>
          </w:tcPr>
          <w:p w14:paraId="0A361B52" w14:textId="264D0E68"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Health Crisis (HC)</w:t>
            </w:r>
          </w:p>
        </w:tc>
        <w:tc>
          <w:tcPr>
            <w:tcW w:w="1134" w:type="dxa"/>
            <w:tcBorders>
              <w:top w:val="single" w:sz="4" w:space="0" w:color="auto"/>
              <w:left w:val="nil"/>
              <w:bottom w:val="single" w:sz="4" w:space="0" w:color="auto"/>
              <w:right w:val="single" w:sz="4" w:space="0" w:color="auto"/>
            </w:tcBorders>
            <w:noWrap/>
            <w:vAlign w:val="bottom"/>
          </w:tcPr>
          <w:p w14:paraId="58C2D854" w14:textId="77777777" w:rsidR="00DB43FA" w:rsidRPr="00D45B1E" w:rsidRDefault="00287096" w:rsidP="00462E7F">
            <w:pPr>
              <w:spacing w:after="0" w:line="240" w:lineRule="auto"/>
              <w:ind w:right="-144"/>
              <w:jc w:val="both"/>
              <w:rPr>
                <w:rFonts w:asciiTheme="majorHAnsi" w:hAnsiTheme="majorHAnsi" w:cs="Times New Roman"/>
                <w:sz w:val="20"/>
                <w:szCs w:val="20"/>
              </w:rPr>
            </w:pPr>
            <w:r w:rsidRPr="00D45B1E">
              <w:rPr>
                <w:rFonts w:asciiTheme="majorHAnsi" w:hAnsiTheme="majorHAnsi" w:cs="Times New Roman"/>
                <w:sz w:val="20"/>
                <w:szCs w:val="20"/>
              </w:rPr>
              <w:t>Income &amp; Job Instability (IJI)</w:t>
            </w:r>
          </w:p>
        </w:tc>
        <w:tc>
          <w:tcPr>
            <w:tcW w:w="992" w:type="dxa"/>
            <w:tcBorders>
              <w:top w:val="single" w:sz="4" w:space="0" w:color="auto"/>
              <w:left w:val="nil"/>
              <w:bottom w:val="single" w:sz="4" w:space="0" w:color="auto"/>
              <w:right w:val="single" w:sz="4" w:space="0" w:color="auto"/>
            </w:tcBorders>
            <w:noWrap/>
            <w:vAlign w:val="bottom"/>
          </w:tcPr>
          <w:p w14:paraId="45F1E98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Low Debt Level (LDL)</w:t>
            </w:r>
          </w:p>
        </w:tc>
        <w:tc>
          <w:tcPr>
            <w:tcW w:w="1276" w:type="dxa"/>
            <w:tcBorders>
              <w:top w:val="single" w:sz="4" w:space="0" w:color="auto"/>
              <w:left w:val="nil"/>
              <w:bottom w:val="single" w:sz="4" w:space="0" w:color="auto"/>
              <w:right w:val="single" w:sz="4" w:space="0" w:color="auto"/>
            </w:tcBorders>
            <w:noWrap/>
            <w:vAlign w:val="bottom"/>
          </w:tcPr>
          <w:p w14:paraId="6C99BAA9" w14:textId="77777777" w:rsidR="00DB43FA" w:rsidRPr="00D45B1E" w:rsidRDefault="00287096" w:rsidP="00462E7F">
            <w:pPr>
              <w:spacing w:after="0" w:line="240" w:lineRule="auto"/>
              <w:ind w:left="-4" w:right="-124"/>
              <w:jc w:val="both"/>
              <w:rPr>
                <w:rFonts w:asciiTheme="majorHAnsi" w:hAnsiTheme="majorHAnsi" w:cs="Times New Roman"/>
                <w:sz w:val="20"/>
                <w:szCs w:val="20"/>
              </w:rPr>
            </w:pPr>
            <w:r w:rsidRPr="00D45B1E">
              <w:rPr>
                <w:rFonts w:asciiTheme="majorHAnsi" w:hAnsiTheme="majorHAnsi" w:cs="Times New Roman"/>
                <w:sz w:val="20"/>
                <w:szCs w:val="20"/>
              </w:rPr>
              <w:t>Poverty &amp; Inequality (PI)</w:t>
            </w:r>
          </w:p>
        </w:tc>
        <w:tc>
          <w:tcPr>
            <w:tcW w:w="992" w:type="dxa"/>
            <w:tcBorders>
              <w:top w:val="single" w:sz="4" w:space="0" w:color="auto"/>
              <w:left w:val="nil"/>
              <w:bottom w:val="single" w:sz="4" w:space="0" w:color="auto"/>
              <w:right w:val="single" w:sz="4" w:space="0" w:color="auto"/>
            </w:tcBorders>
            <w:noWrap/>
            <w:vAlign w:val="bottom"/>
          </w:tcPr>
          <w:p w14:paraId="609AC992"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Social Support Network (SSN)</w:t>
            </w:r>
          </w:p>
        </w:tc>
      </w:tr>
      <w:tr w:rsidR="00DB43FA" w:rsidRPr="00D45B1E" w14:paraId="2BF2C495" w14:textId="77777777" w:rsidTr="00462E7F">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3A3FF3C4"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Emergency Savings (ES)</w:t>
            </w:r>
          </w:p>
        </w:tc>
        <w:tc>
          <w:tcPr>
            <w:tcW w:w="1418" w:type="dxa"/>
            <w:tcBorders>
              <w:top w:val="nil"/>
              <w:left w:val="nil"/>
              <w:bottom w:val="single" w:sz="4" w:space="0" w:color="auto"/>
              <w:right w:val="single" w:sz="4" w:space="0" w:color="auto"/>
            </w:tcBorders>
            <w:noWrap/>
            <w:vAlign w:val="bottom"/>
          </w:tcPr>
          <w:p w14:paraId="42777DA5"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850" w:type="dxa"/>
            <w:tcBorders>
              <w:top w:val="nil"/>
              <w:left w:val="nil"/>
              <w:bottom w:val="single" w:sz="4" w:space="0" w:color="auto"/>
              <w:right w:val="single" w:sz="4" w:space="0" w:color="auto"/>
            </w:tcBorders>
            <w:noWrap/>
            <w:vAlign w:val="bottom"/>
          </w:tcPr>
          <w:p w14:paraId="7D1BFBC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1134" w:type="dxa"/>
            <w:tcBorders>
              <w:top w:val="nil"/>
              <w:left w:val="nil"/>
              <w:bottom w:val="single" w:sz="4" w:space="0" w:color="auto"/>
              <w:right w:val="single" w:sz="4" w:space="0" w:color="auto"/>
            </w:tcBorders>
            <w:noWrap/>
            <w:vAlign w:val="bottom"/>
          </w:tcPr>
          <w:p w14:paraId="3597F803"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992" w:type="dxa"/>
            <w:tcBorders>
              <w:top w:val="nil"/>
              <w:left w:val="nil"/>
              <w:bottom w:val="single" w:sz="4" w:space="0" w:color="auto"/>
              <w:right w:val="single" w:sz="4" w:space="0" w:color="auto"/>
            </w:tcBorders>
            <w:noWrap/>
            <w:vAlign w:val="bottom"/>
          </w:tcPr>
          <w:p w14:paraId="22124D67"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1276" w:type="dxa"/>
            <w:tcBorders>
              <w:top w:val="nil"/>
              <w:left w:val="nil"/>
              <w:bottom w:val="single" w:sz="4" w:space="0" w:color="auto"/>
              <w:right w:val="single" w:sz="4" w:space="0" w:color="auto"/>
            </w:tcBorders>
            <w:noWrap/>
            <w:vAlign w:val="bottom"/>
          </w:tcPr>
          <w:p w14:paraId="333038B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992" w:type="dxa"/>
            <w:tcBorders>
              <w:top w:val="nil"/>
              <w:left w:val="nil"/>
              <w:bottom w:val="single" w:sz="4" w:space="0" w:color="auto"/>
              <w:right w:val="single" w:sz="4" w:space="0" w:color="auto"/>
            </w:tcBorders>
            <w:noWrap/>
            <w:vAlign w:val="bottom"/>
          </w:tcPr>
          <w:p w14:paraId="5BFDA012"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r>
      <w:tr w:rsidR="00DB43FA" w:rsidRPr="00D45B1E" w14:paraId="3D09F621" w14:textId="77777777" w:rsidTr="00462E7F">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1B6C4D24" w14:textId="01C2B958"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Health Crisis (HC)</w:t>
            </w:r>
          </w:p>
        </w:tc>
        <w:tc>
          <w:tcPr>
            <w:tcW w:w="1418" w:type="dxa"/>
            <w:tcBorders>
              <w:top w:val="nil"/>
              <w:left w:val="nil"/>
              <w:bottom w:val="single" w:sz="4" w:space="0" w:color="auto"/>
              <w:right w:val="single" w:sz="4" w:space="0" w:color="auto"/>
            </w:tcBorders>
            <w:noWrap/>
            <w:vAlign w:val="bottom"/>
          </w:tcPr>
          <w:p w14:paraId="24D81CB8"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0.390</w:t>
            </w:r>
          </w:p>
        </w:tc>
        <w:tc>
          <w:tcPr>
            <w:tcW w:w="850" w:type="dxa"/>
            <w:tcBorders>
              <w:top w:val="nil"/>
              <w:left w:val="nil"/>
              <w:bottom w:val="single" w:sz="4" w:space="0" w:color="auto"/>
              <w:right w:val="single" w:sz="4" w:space="0" w:color="auto"/>
            </w:tcBorders>
            <w:noWrap/>
            <w:vAlign w:val="bottom"/>
          </w:tcPr>
          <w:p w14:paraId="11D292F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1134" w:type="dxa"/>
            <w:tcBorders>
              <w:top w:val="nil"/>
              <w:left w:val="nil"/>
              <w:bottom w:val="single" w:sz="4" w:space="0" w:color="auto"/>
              <w:right w:val="single" w:sz="4" w:space="0" w:color="auto"/>
            </w:tcBorders>
            <w:noWrap/>
            <w:vAlign w:val="bottom"/>
          </w:tcPr>
          <w:p w14:paraId="565DCD13"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992" w:type="dxa"/>
            <w:tcBorders>
              <w:top w:val="nil"/>
              <w:left w:val="nil"/>
              <w:bottom w:val="single" w:sz="4" w:space="0" w:color="auto"/>
              <w:right w:val="single" w:sz="4" w:space="0" w:color="auto"/>
            </w:tcBorders>
            <w:noWrap/>
            <w:vAlign w:val="bottom"/>
          </w:tcPr>
          <w:p w14:paraId="67913195"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1276" w:type="dxa"/>
            <w:tcBorders>
              <w:top w:val="nil"/>
              <w:left w:val="nil"/>
              <w:bottom w:val="single" w:sz="4" w:space="0" w:color="auto"/>
              <w:right w:val="single" w:sz="4" w:space="0" w:color="auto"/>
            </w:tcBorders>
            <w:noWrap/>
            <w:vAlign w:val="bottom"/>
          </w:tcPr>
          <w:p w14:paraId="48281F9C"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992" w:type="dxa"/>
            <w:tcBorders>
              <w:top w:val="nil"/>
              <w:left w:val="nil"/>
              <w:bottom w:val="single" w:sz="4" w:space="0" w:color="auto"/>
              <w:right w:val="single" w:sz="4" w:space="0" w:color="auto"/>
            </w:tcBorders>
            <w:noWrap/>
            <w:vAlign w:val="bottom"/>
          </w:tcPr>
          <w:p w14:paraId="46516E86"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r>
      <w:tr w:rsidR="00DB43FA" w:rsidRPr="00D45B1E" w14:paraId="1497A690" w14:textId="77777777" w:rsidTr="00462E7F">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42341599"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Income &amp; Job Instability (IJI)</w:t>
            </w:r>
          </w:p>
        </w:tc>
        <w:tc>
          <w:tcPr>
            <w:tcW w:w="1418" w:type="dxa"/>
            <w:tcBorders>
              <w:top w:val="nil"/>
              <w:left w:val="nil"/>
              <w:bottom w:val="single" w:sz="4" w:space="0" w:color="auto"/>
              <w:right w:val="single" w:sz="4" w:space="0" w:color="auto"/>
            </w:tcBorders>
            <w:noWrap/>
            <w:vAlign w:val="bottom"/>
          </w:tcPr>
          <w:p w14:paraId="632D5E9B"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0.411</w:t>
            </w:r>
          </w:p>
        </w:tc>
        <w:tc>
          <w:tcPr>
            <w:tcW w:w="850" w:type="dxa"/>
            <w:tcBorders>
              <w:top w:val="nil"/>
              <w:left w:val="nil"/>
              <w:bottom w:val="single" w:sz="4" w:space="0" w:color="auto"/>
              <w:right w:val="single" w:sz="4" w:space="0" w:color="auto"/>
            </w:tcBorders>
            <w:noWrap/>
            <w:vAlign w:val="bottom"/>
          </w:tcPr>
          <w:p w14:paraId="5E9339D9"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0.812</w:t>
            </w:r>
          </w:p>
        </w:tc>
        <w:tc>
          <w:tcPr>
            <w:tcW w:w="1134" w:type="dxa"/>
            <w:tcBorders>
              <w:top w:val="nil"/>
              <w:left w:val="nil"/>
              <w:bottom w:val="single" w:sz="4" w:space="0" w:color="auto"/>
              <w:right w:val="single" w:sz="4" w:space="0" w:color="auto"/>
            </w:tcBorders>
            <w:noWrap/>
            <w:vAlign w:val="bottom"/>
          </w:tcPr>
          <w:p w14:paraId="511F15F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992" w:type="dxa"/>
            <w:tcBorders>
              <w:top w:val="nil"/>
              <w:left w:val="nil"/>
              <w:bottom w:val="single" w:sz="4" w:space="0" w:color="auto"/>
              <w:right w:val="single" w:sz="4" w:space="0" w:color="auto"/>
            </w:tcBorders>
            <w:noWrap/>
            <w:vAlign w:val="bottom"/>
          </w:tcPr>
          <w:p w14:paraId="309B9B26"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1276" w:type="dxa"/>
            <w:tcBorders>
              <w:top w:val="nil"/>
              <w:left w:val="nil"/>
              <w:bottom w:val="single" w:sz="4" w:space="0" w:color="auto"/>
              <w:right w:val="single" w:sz="4" w:space="0" w:color="auto"/>
            </w:tcBorders>
            <w:noWrap/>
            <w:vAlign w:val="bottom"/>
          </w:tcPr>
          <w:p w14:paraId="5C9BCD88"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992" w:type="dxa"/>
            <w:tcBorders>
              <w:top w:val="nil"/>
              <w:left w:val="nil"/>
              <w:bottom w:val="single" w:sz="4" w:space="0" w:color="auto"/>
              <w:right w:val="single" w:sz="4" w:space="0" w:color="auto"/>
            </w:tcBorders>
            <w:noWrap/>
            <w:vAlign w:val="bottom"/>
          </w:tcPr>
          <w:p w14:paraId="6028B43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r>
      <w:tr w:rsidR="00DB43FA" w:rsidRPr="00D45B1E" w14:paraId="41F8BF70" w14:textId="77777777" w:rsidTr="00462E7F">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18DD9557"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Low Debt Level (LDL)</w:t>
            </w:r>
          </w:p>
        </w:tc>
        <w:tc>
          <w:tcPr>
            <w:tcW w:w="1418" w:type="dxa"/>
            <w:tcBorders>
              <w:top w:val="nil"/>
              <w:left w:val="nil"/>
              <w:bottom w:val="single" w:sz="4" w:space="0" w:color="auto"/>
              <w:right w:val="single" w:sz="4" w:space="0" w:color="auto"/>
            </w:tcBorders>
            <w:noWrap/>
            <w:vAlign w:val="bottom"/>
          </w:tcPr>
          <w:p w14:paraId="07B6F8D6"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0.786</w:t>
            </w:r>
          </w:p>
        </w:tc>
        <w:tc>
          <w:tcPr>
            <w:tcW w:w="850" w:type="dxa"/>
            <w:tcBorders>
              <w:top w:val="nil"/>
              <w:left w:val="nil"/>
              <w:bottom w:val="single" w:sz="4" w:space="0" w:color="auto"/>
              <w:right w:val="single" w:sz="4" w:space="0" w:color="auto"/>
            </w:tcBorders>
            <w:noWrap/>
            <w:vAlign w:val="bottom"/>
          </w:tcPr>
          <w:p w14:paraId="1174CF22"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0.608</w:t>
            </w:r>
          </w:p>
        </w:tc>
        <w:tc>
          <w:tcPr>
            <w:tcW w:w="1134" w:type="dxa"/>
            <w:tcBorders>
              <w:top w:val="nil"/>
              <w:left w:val="nil"/>
              <w:bottom w:val="single" w:sz="4" w:space="0" w:color="auto"/>
              <w:right w:val="single" w:sz="4" w:space="0" w:color="auto"/>
            </w:tcBorders>
            <w:noWrap/>
            <w:vAlign w:val="bottom"/>
          </w:tcPr>
          <w:p w14:paraId="493B1754"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0.687</w:t>
            </w:r>
          </w:p>
        </w:tc>
        <w:tc>
          <w:tcPr>
            <w:tcW w:w="992" w:type="dxa"/>
            <w:tcBorders>
              <w:top w:val="nil"/>
              <w:left w:val="nil"/>
              <w:bottom w:val="single" w:sz="4" w:space="0" w:color="auto"/>
              <w:right w:val="single" w:sz="4" w:space="0" w:color="auto"/>
            </w:tcBorders>
            <w:noWrap/>
            <w:vAlign w:val="bottom"/>
          </w:tcPr>
          <w:p w14:paraId="7AFAD265"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1276" w:type="dxa"/>
            <w:tcBorders>
              <w:top w:val="nil"/>
              <w:left w:val="nil"/>
              <w:bottom w:val="single" w:sz="4" w:space="0" w:color="auto"/>
              <w:right w:val="single" w:sz="4" w:space="0" w:color="auto"/>
            </w:tcBorders>
            <w:noWrap/>
            <w:vAlign w:val="bottom"/>
          </w:tcPr>
          <w:p w14:paraId="03666794"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992" w:type="dxa"/>
            <w:tcBorders>
              <w:top w:val="nil"/>
              <w:left w:val="nil"/>
              <w:bottom w:val="single" w:sz="4" w:space="0" w:color="auto"/>
              <w:right w:val="single" w:sz="4" w:space="0" w:color="auto"/>
            </w:tcBorders>
            <w:noWrap/>
            <w:vAlign w:val="bottom"/>
          </w:tcPr>
          <w:p w14:paraId="0AA0480D"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r>
      <w:tr w:rsidR="00DB43FA" w:rsidRPr="00D45B1E" w14:paraId="76BDA453" w14:textId="77777777" w:rsidTr="00462E7F">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7ED505AC"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Poverty &amp; Inequality (PI)</w:t>
            </w:r>
          </w:p>
        </w:tc>
        <w:tc>
          <w:tcPr>
            <w:tcW w:w="1418" w:type="dxa"/>
            <w:tcBorders>
              <w:top w:val="nil"/>
              <w:left w:val="nil"/>
              <w:bottom w:val="single" w:sz="4" w:space="0" w:color="auto"/>
              <w:right w:val="single" w:sz="4" w:space="0" w:color="auto"/>
            </w:tcBorders>
            <w:noWrap/>
            <w:vAlign w:val="bottom"/>
          </w:tcPr>
          <w:p w14:paraId="4D479D75"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0.189</w:t>
            </w:r>
          </w:p>
        </w:tc>
        <w:tc>
          <w:tcPr>
            <w:tcW w:w="850" w:type="dxa"/>
            <w:tcBorders>
              <w:top w:val="nil"/>
              <w:left w:val="nil"/>
              <w:bottom w:val="single" w:sz="4" w:space="0" w:color="auto"/>
              <w:right w:val="single" w:sz="4" w:space="0" w:color="auto"/>
            </w:tcBorders>
            <w:noWrap/>
            <w:vAlign w:val="bottom"/>
          </w:tcPr>
          <w:p w14:paraId="4F7062A7"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0.770</w:t>
            </w:r>
          </w:p>
        </w:tc>
        <w:tc>
          <w:tcPr>
            <w:tcW w:w="1134" w:type="dxa"/>
            <w:tcBorders>
              <w:top w:val="nil"/>
              <w:left w:val="nil"/>
              <w:bottom w:val="single" w:sz="4" w:space="0" w:color="auto"/>
              <w:right w:val="single" w:sz="4" w:space="0" w:color="auto"/>
            </w:tcBorders>
            <w:noWrap/>
            <w:vAlign w:val="bottom"/>
          </w:tcPr>
          <w:p w14:paraId="25856FA5"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0.672</w:t>
            </w:r>
          </w:p>
        </w:tc>
        <w:tc>
          <w:tcPr>
            <w:tcW w:w="992" w:type="dxa"/>
            <w:tcBorders>
              <w:top w:val="nil"/>
              <w:left w:val="nil"/>
              <w:bottom w:val="single" w:sz="4" w:space="0" w:color="auto"/>
              <w:right w:val="single" w:sz="4" w:space="0" w:color="auto"/>
            </w:tcBorders>
            <w:noWrap/>
            <w:vAlign w:val="bottom"/>
          </w:tcPr>
          <w:p w14:paraId="0B18D1A7"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0.324</w:t>
            </w:r>
          </w:p>
        </w:tc>
        <w:tc>
          <w:tcPr>
            <w:tcW w:w="1276" w:type="dxa"/>
            <w:tcBorders>
              <w:top w:val="nil"/>
              <w:left w:val="nil"/>
              <w:bottom w:val="single" w:sz="4" w:space="0" w:color="auto"/>
              <w:right w:val="single" w:sz="4" w:space="0" w:color="auto"/>
            </w:tcBorders>
            <w:noWrap/>
            <w:vAlign w:val="bottom"/>
          </w:tcPr>
          <w:p w14:paraId="522FBCCC"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c>
          <w:tcPr>
            <w:tcW w:w="992" w:type="dxa"/>
            <w:tcBorders>
              <w:top w:val="nil"/>
              <w:left w:val="nil"/>
              <w:bottom w:val="single" w:sz="4" w:space="0" w:color="auto"/>
              <w:right w:val="single" w:sz="4" w:space="0" w:color="auto"/>
            </w:tcBorders>
            <w:noWrap/>
            <w:vAlign w:val="bottom"/>
          </w:tcPr>
          <w:p w14:paraId="0C6AC2B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r>
      <w:tr w:rsidR="00DB43FA" w:rsidRPr="00D45B1E" w14:paraId="3ADB32F1" w14:textId="77777777" w:rsidTr="00462E7F">
        <w:trPr>
          <w:trHeight w:val="300"/>
          <w:jc w:val="center"/>
        </w:trPr>
        <w:tc>
          <w:tcPr>
            <w:tcW w:w="2972" w:type="dxa"/>
            <w:tcBorders>
              <w:top w:val="nil"/>
              <w:left w:val="single" w:sz="4" w:space="0" w:color="auto"/>
              <w:bottom w:val="single" w:sz="4" w:space="0" w:color="auto"/>
              <w:right w:val="single" w:sz="4" w:space="0" w:color="auto"/>
            </w:tcBorders>
            <w:noWrap/>
            <w:vAlign w:val="bottom"/>
          </w:tcPr>
          <w:p w14:paraId="6455F1EC"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Social Support Network (SSN)</w:t>
            </w:r>
          </w:p>
        </w:tc>
        <w:tc>
          <w:tcPr>
            <w:tcW w:w="1418" w:type="dxa"/>
            <w:tcBorders>
              <w:top w:val="nil"/>
              <w:left w:val="nil"/>
              <w:bottom w:val="single" w:sz="4" w:space="0" w:color="auto"/>
              <w:right w:val="single" w:sz="4" w:space="0" w:color="auto"/>
            </w:tcBorders>
            <w:noWrap/>
            <w:vAlign w:val="bottom"/>
          </w:tcPr>
          <w:p w14:paraId="502EC89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0.7300</w:t>
            </w:r>
          </w:p>
        </w:tc>
        <w:tc>
          <w:tcPr>
            <w:tcW w:w="850" w:type="dxa"/>
            <w:tcBorders>
              <w:top w:val="nil"/>
              <w:left w:val="nil"/>
              <w:bottom w:val="single" w:sz="4" w:space="0" w:color="auto"/>
              <w:right w:val="single" w:sz="4" w:space="0" w:color="auto"/>
            </w:tcBorders>
            <w:noWrap/>
            <w:vAlign w:val="bottom"/>
          </w:tcPr>
          <w:p w14:paraId="2DD34618"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0.620</w:t>
            </w:r>
          </w:p>
        </w:tc>
        <w:tc>
          <w:tcPr>
            <w:tcW w:w="1134" w:type="dxa"/>
            <w:tcBorders>
              <w:top w:val="nil"/>
              <w:left w:val="nil"/>
              <w:bottom w:val="single" w:sz="4" w:space="0" w:color="auto"/>
              <w:right w:val="single" w:sz="4" w:space="0" w:color="auto"/>
            </w:tcBorders>
            <w:noWrap/>
            <w:vAlign w:val="bottom"/>
          </w:tcPr>
          <w:p w14:paraId="1D34C164"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0.566</w:t>
            </w:r>
          </w:p>
        </w:tc>
        <w:tc>
          <w:tcPr>
            <w:tcW w:w="992" w:type="dxa"/>
            <w:tcBorders>
              <w:top w:val="nil"/>
              <w:left w:val="nil"/>
              <w:bottom w:val="single" w:sz="4" w:space="0" w:color="auto"/>
              <w:right w:val="single" w:sz="4" w:space="0" w:color="auto"/>
            </w:tcBorders>
            <w:noWrap/>
            <w:vAlign w:val="bottom"/>
          </w:tcPr>
          <w:p w14:paraId="0BEBD56D"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0.871</w:t>
            </w:r>
          </w:p>
        </w:tc>
        <w:tc>
          <w:tcPr>
            <w:tcW w:w="1276" w:type="dxa"/>
            <w:tcBorders>
              <w:top w:val="nil"/>
              <w:left w:val="nil"/>
              <w:bottom w:val="single" w:sz="4" w:space="0" w:color="auto"/>
              <w:right w:val="single" w:sz="4" w:space="0" w:color="auto"/>
            </w:tcBorders>
            <w:noWrap/>
            <w:vAlign w:val="bottom"/>
          </w:tcPr>
          <w:p w14:paraId="71675DA2"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0.260</w:t>
            </w:r>
          </w:p>
        </w:tc>
        <w:tc>
          <w:tcPr>
            <w:tcW w:w="992" w:type="dxa"/>
            <w:tcBorders>
              <w:top w:val="nil"/>
              <w:left w:val="nil"/>
              <w:bottom w:val="single" w:sz="4" w:space="0" w:color="auto"/>
              <w:right w:val="single" w:sz="4" w:space="0" w:color="auto"/>
            </w:tcBorders>
            <w:noWrap/>
            <w:vAlign w:val="bottom"/>
          </w:tcPr>
          <w:p w14:paraId="2580020B"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 </w:t>
            </w:r>
          </w:p>
        </w:tc>
      </w:tr>
    </w:tbl>
    <w:p w14:paraId="063E2451" w14:textId="5646B6C1"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 xml:space="preserve">Source: </w:t>
      </w:r>
      <w:r w:rsidR="005B19ED" w:rsidRPr="00D45B1E">
        <w:rPr>
          <w:rFonts w:asciiTheme="majorHAnsi" w:hAnsiTheme="majorHAnsi" w:cs="Times New Roman"/>
          <w:b/>
          <w:bCs/>
          <w:sz w:val="20"/>
          <w:szCs w:val="20"/>
        </w:rPr>
        <w:t>Smart-PLS</w:t>
      </w:r>
      <w:r w:rsidRPr="00D45B1E">
        <w:rPr>
          <w:rFonts w:asciiTheme="majorHAnsi" w:hAnsiTheme="majorHAnsi" w:cs="Times New Roman"/>
          <w:b/>
          <w:bCs/>
          <w:sz w:val="20"/>
          <w:szCs w:val="20"/>
        </w:rPr>
        <w:t xml:space="preserve"> 4 (2025)</w:t>
      </w:r>
    </w:p>
    <w:p w14:paraId="1903E5F5" w14:textId="77777777"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4.4 Path Analysis</w:t>
      </w:r>
    </w:p>
    <w:p w14:paraId="4599BA20" w14:textId="2AC0F3C9" w:rsidR="00E32C90" w:rsidRPr="00D45B1E" w:rsidRDefault="00A91B08"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Goodness-of-fit</w:t>
      </w:r>
      <w:r w:rsidR="00F62415" w:rsidRPr="00D45B1E">
        <w:rPr>
          <w:rFonts w:asciiTheme="majorHAnsi" w:hAnsiTheme="majorHAnsi" w:cs="Times New Roman"/>
          <w:bCs/>
          <w:sz w:val="20"/>
          <w:szCs w:val="20"/>
        </w:rPr>
        <w:t xml:space="preserve"> criteria for SEM are depicted in Table </w:t>
      </w:r>
      <w:r w:rsidR="00232E3F" w:rsidRPr="00D45B1E">
        <w:rPr>
          <w:rFonts w:asciiTheme="majorHAnsi" w:hAnsiTheme="majorHAnsi" w:cs="Times New Roman"/>
          <w:bCs/>
          <w:sz w:val="20"/>
          <w:szCs w:val="20"/>
        </w:rPr>
        <w:t>4</w:t>
      </w:r>
      <w:r w:rsidR="00F62415" w:rsidRPr="00D45B1E">
        <w:rPr>
          <w:rFonts w:asciiTheme="majorHAnsi" w:hAnsiTheme="majorHAnsi" w:cs="Times New Roman"/>
          <w:bCs/>
          <w:sz w:val="20"/>
          <w:szCs w:val="20"/>
        </w:rPr>
        <w:t xml:space="preserve">. According to the SRMR, the model has </w:t>
      </w:r>
      <w:r w:rsidRPr="00D45B1E">
        <w:rPr>
          <w:rFonts w:asciiTheme="majorHAnsi" w:hAnsiTheme="majorHAnsi" w:cs="Times New Roman"/>
          <w:bCs/>
          <w:sz w:val="20"/>
          <w:szCs w:val="20"/>
        </w:rPr>
        <w:t xml:space="preserve">good resolution at 0.078, as it should not exceed </w:t>
      </w:r>
      <w:r w:rsidR="00F62415" w:rsidRPr="00D45B1E">
        <w:rPr>
          <w:rFonts w:asciiTheme="majorHAnsi" w:hAnsiTheme="majorHAnsi" w:cs="Times New Roman"/>
          <w:bCs/>
          <w:sz w:val="20"/>
          <w:szCs w:val="20"/>
        </w:rPr>
        <w:t xml:space="preserve">0.08. Besides that, there are mixed indications for model fit indices. Although the value </w:t>
      </w:r>
      <w:proofErr w:type="spellStart"/>
      <w:r w:rsidR="00F62415" w:rsidRPr="00D45B1E">
        <w:rPr>
          <w:rFonts w:asciiTheme="majorHAnsi" w:hAnsiTheme="majorHAnsi" w:cs="Times New Roman"/>
          <w:bCs/>
          <w:sz w:val="20"/>
          <w:szCs w:val="20"/>
        </w:rPr>
        <w:t>d_ULS</w:t>
      </w:r>
      <w:proofErr w:type="spellEnd"/>
      <w:r w:rsidR="00F62415" w:rsidRPr="00D45B1E">
        <w:rPr>
          <w:rFonts w:asciiTheme="majorHAnsi" w:hAnsiTheme="majorHAnsi" w:cs="Times New Roman"/>
          <w:bCs/>
          <w:sz w:val="20"/>
          <w:szCs w:val="20"/>
        </w:rPr>
        <w:t xml:space="preserve">=2.28 is far above the acceptable threshold set by </w:t>
      </w:r>
      <w:r w:rsidR="00232E3F" w:rsidRPr="00D45B1E">
        <w:rPr>
          <w:rFonts w:asciiTheme="majorHAnsi" w:hAnsiTheme="majorHAnsi" w:cs="Times New Roman"/>
          <w:bCs/>
          <w:sz w:val="20"/>
          <w:szCs w:val="20"/>
        </w:rPr>
        <w:t xml:space="preserve">HI95=1.74, the value </w:t>
      </w:r>
      <w:proofErr w:type="spellStart"/>
      <w:r w:rsidR="00232E3F" w:rsidRPr="00D45B1E">
        <w:rPr>
          <w:rFonts w:asciiTheme="majorHAnsi" w:hAnsiTheme="majorHAnsi" w:cs="Times New Roman"/>
          <w:bCs/>
          <w:sz w:val="20"/>
          <w:szCs w:val="20"/>
        </w:rPr>
        <w:t>d_G</w:t>
      </w:r>
      <w:proofErr w:type="spellEnd"/>
      <w:r w:rsidR="00232E3F" w:rsidRPr="00D45B1E">
        <w:rPr>
          <w:rFonts w:asciiTheme="majorHAnsi" w:hAnsiTheme="majorHAnsi" w:cs="Times New Roman"/>
          <w:bCs/>
          <w:sz w:val="20"/>
          <w:szCs w:val="20"/>
        </w:rPr>
        <w:t>=0.568 is below it, qualifying within the required threshold of HI95=1.27</w:t>
      </w:r>
      <w:r w:rsidR="00F62415" w:rsidRPr="00D45B1E">
        <w:rPr>
          <w:rFonts w:asciiTheme="majorHAnsi" w:hAnsiTheme="majorHAnsi" w:cs="Times New Roman"/>
          <w:bCs/>
          <w:sz w:val="20"/>
          <w:szCs w:val="20"/>
        </w:rPr>
        <w:t xml:space="preserve">. Furthermore, the NFI is </w:t>
      </w:r>
      <w:r w:rsidRPr="00D45B1E">
        <w:rPr>
          <w:rFonts w:asciiTheme="majorHAnsi" w:hAnsiTheme="majorHAnsi" w:cs="Times New Roman"/>
          <w:bCs/>
          <w:sz w:val="20"/>
          <w:szCs w:val="20"/>
        </w:rPr>
        <w:t>approaching 1 for the goodness-of-fit</w:t>
      </w:r>
      <w:r w:rsidR="00F62415" w:rsidRPr="00D45B1E">
        <w:rPr>
          <w:rFonts w:asciiTheme="majorHAnsi" w:hAnsiTheme="majorHAnsi" w:cs="Times New Roman"/>
          <w:bCs/>
          <w:sz w:val="20"/>
          <w:szCs w:val="20"/>
        </w:rPr>
        <w:t xml:space="preserve"> criterion. The overall fit </w:t>
      </w:r>
      <w:r w:rsidRPr="00D45B1E">
        <w:rPr>
          <w:rFonts w:asciiTheme="majorHAnsi" w:hAnsiTheme="majorHAnsi" w:cs="Times New Roman"/>
          <w:bCs/>
          <w:sz w:val="20"/>
          <w:szCs w:val="20"/>
        </w:rPr>
        <w:t>of the structural model is therefore assessed as</w:t>
      </w:r>
      <w:r w:rsidR="00F62415" w:rsidRPr="00D45B1E">
        <w:rPr>
          <w:rFonts w:asciiTheme="majorHAnsi" w:hAnsiTheme="majorHAnsi" w:cs="Times New Roman"/>
          <w:bCs/>
          <w:sz w:val="20"/>
          <w:szCs w:val="20"/>
        </w:rPr>
        <w:t xml:space="preserve"> good.</w:t>
      </w:r>
    </w:p>
    <w:p w14:paraId="35863A76" w14:textId="03D88144" w:rsidR="00DB43FA" w:rsidRPr="00D45B1E" w:rsidRDefault="00FD0188"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 xml:space="preserve">Table </w:t>
      </w:r>
      <w:r w:rsidR="00232E3F" w:rsidRPr="00D45B1E">
        <w:rPr>
          <w:rFonts w:asciiTheme="majorHAnsi" w:hAnsiTheme="majorHAnsi" w:cs="Times New Roman"/>
          <w:b/>
          <w:bCs/>
          <w:sz w:val="20"/>
          <w:szCs w:val="20"/>
        </w:rPr>
        <w:t>4</w:t>
      </w:r>
      <w:r w:rsidRPr="00D45B1E">
        <w:rPr>
          <w:rFonts w:asciiTheme="majorHAnsi" w:hAnsiTheme="majorHAnsi" w:cs="Times New Roman"/>
          <w:b/>
          <w:bCs/>
          <w:sz w:val="20"/>
          <w:szCs w:val="20"/>
        </w:rPr>
        <w:t xml:space="preserve">: </w:t>
      </w:r>
      <w:r w:rsidR="00287096" w:rsidRPr="00D45B1E">
        <w:rPr>
          <w:rFonts w:asciiTheme="majorHAnsi" w:hAnsiTheme="majorHAnsi" w:cs="Times New Roman"/>
          <w:b/>
          <w:bCs/>
          <w:sz w:val="20"/>
          <w:szCs w:val="20"/>
        </w:rPr>
        <w:t>Model Fit</w:t>
      </w:r>
    </w:p>
    <w:tbl>
      <w:tblPr>
        <w:tblW w:w="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43"/>
        <w:gridCol w:w="1568"/>
      </w:tblGrid>
      <w:tr w:rsidR="00DB43FA" w:rsidRPr="00D45B1E" w14:paraId="2EBCFE7B" w14:textId="77777777">
        <w:trPr>
          <w:trHeight w:val="430"/>
          <w:jc w:val="center"/>
        </w:trPr>
        <w:tc>
          <w:tcPr>
            <w:tcW w:w="1838" w:type="dxa"/>
            <w:noWrap/>
            <w:vAlign w:val="center"/>
          </w:tcPr>
          <w:p w14:paraId="797D9CBA"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Criteria </w:t>
            </w:r>
          </w:p>
        </w:tc>
        <w:tc>
          <w:tcPr>
            <w:tcW w:w="2243" w:type="dxa"/>
            <w:noWrap/>
            <w:vAlign w:val="center"/>
          </w:tcPr>
          <w:p w14:paraId="62F27FEF"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Saturated Model</w:t>
            </w:r>
          </w:p>
        </w:tc>
        <w:tc>
          <w:tcPr>
            <w:tcW w:w="1568" w:type="dxa"/>
            <w:vAlign w:val="center"/>
          </w:tcPr>
          <w:p w14:paraId="0C22D11D"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Benchmark</w:t>
            </w:r>
          </w:p>
        </w:tc>
      </w:tr>
      <w:tr w:rsidR="00DB43FA" w:rsidRPr="00D45B1E" w14:paraId="1E893916" w14:textId="77777777">
        <w:trPr>
          <w:trHeight w:val="197"/>
          <w:jc w:val="center"/>
        </w:trPr>
        <w:tc>
          <w:tcPr>
            <w:tcW w:w="1838" w:type="dxa"/>
            <w:noWrap/>
            <w:vAlign w:val="center"/>
          </w:tcPr>
          <w:p w14:paraId="237B9053"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SRMR</w:t>
            </w:r>
          </w:p>
        </w:tc>
        <w:tc>
          <w:tcPr>
            <w:tcW w:w="2243" w:type="dxa"/>
            <w:noWrap/>
            <w:vAlign w:val="center"/>
          </w:tcPr>
          <w:p w14:paraId="565C793F"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0.078</w:t>
            </w:r>
          </w:p>
        </w:tc>
        <w:tc>
          <w:tcPr>
            <w:tcW w:w="1568" w:type="dxa"/>
            <w:vAlign w:val="center"/>
          </w:tcPr>
          <w:p w14:paraId="34A44F76"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&lt; 0.08</w:t>
            </w:r>
          </w:p>
        </w:tc>
      </w:tr>
      <w:tr w:rsidR="00DB43FA" w:rsidRPr="00D45B1E" w14:paraId="26866E8E" w14:textId="77777777">
        <w:trPr>
          <w:trHeight w:val="215"/>
          <w:jc w:val="center"/>
        </w:trPr>
        <w:tc>
          <w:tcPr>
            <w:tcW w:w="1838" w:type="dxa"/>
            <w:noWrap/>
            <w:vAlign w:val="center"/>
          </w:tcPr>
          <w:p w14:paraId="115FC4F5" w14:textId="77777777" w:rsidR="00DB43FA" w:rsidRPr="00D45B1E" w:rsidRDefault="00287096" w:rsidP="00462E7F">
            <w:pPr>
              <w:spacing w:after="120" w:line="240" w:lineRule="auto"/>
              <w:jc w:val="both"/>
              <w:rPr>
                <w:rFonts w:asciiTheme="majorHAnsi" w:hAnsiTheme="majorHAnsi" w:cs="Times New Roman"/>
                <w:bCs/>
                <w:sz w:val="20"/>
                <w:szCs w:val="20"/>
              </w:rPr>
            </w:pPr>
            <w:proofErr w:type="spellStart"/>
            <w:r w:rsidRPr="00D45B1E">
              <w:rPr>
                <w:rFonts w:asciiTheme="majorHAnsi" w:hAnsiTheme="majorHAnsi" w:cs="Times New Roman"/>
                <w:bCs/>
                <w:sz w:val="20"/>
                <w:szCs w:val="20"/>
              </w:rPr>
              <w:t>d_ULS</w:t>
            </w:r>
            <w:proofErr w:type="spellEnd"/>
          </w:p>
        </w:tc>
        <w:tc>
          <w:tcPr>
            <w:tcW w:w="2243" w:type="dxa"/>
            <w:noWrap/>
            <w:vAlign w:val="center"/>
          </w:tcPr>
          <w:p w14:paraId="221394D1"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2.28</w:t>
            </w:r>
          </w:p>
        </w:tc>
        <w:tc>
          <w:tcPr>
            <w:tcW w:w="1568" w:type="dxa"/>
            <w:vAlign w:val="center"/>
          </w:tcPr>
          <w:p w14:paraId="6440D709"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&lt;HI</w:t>
            </w:r>
            <w:r w:rsidRPr="00D45B1E">
              <w:rPr>
                <w:rFonts w:asciiTheme="majorHAnsi" w:hAnsiTheme="majorHAnsi" w:cs="Times New Roman"/>
                <w:bCs/>
                <w:sz w:val="20"/>
                <w:szCs w:val="20"/>
                <w:vertAlign w:val="subscript"/>
              </w:rPr>
              <w:t>95</w:t>
            </w:r>
            <w:r w:rsidRPr="00D45B1E">
              <w:rPr>
                <w:rFonts w:asciiTheme="majorHAnsi" w:hAnsiTheme="majorHAnsi" w:cs="Times New Roman"/>
                <w:bCs/>
                <w:sz w:val="20"/>
                <w:szCs w:val="20"/>
              </w:rPr>
              <w:t>=1.74</w:t>
            </w:r>
          </w:p>
        </w:tc>
      </w:tr>
      <w:tr w:rsidR="00DB43FA" w:rsidRPr="00D45B1E" w14:paraId="44F39E55" w14:textId="77777777">
        <w:trPr>
          <w:trHeight w:val="91"/>
          <w:jc w:val="center"/>
        </w:trPr>
        <w:tc>
          <w:tcPr>
            <w:tcW w:w="1838" w:type="dxa"/>
            <w:noWrap/>
            <w:vAlign w:val="center"/>
          </w:tcPr>
          <w:p w14:paraId="0E4C01D9" w14:textId="77777777" w:rsidR="00DB43FA" w:rsidRPr="00D45B1E" w:rsidRDefault="00287096" w:rsidP="00462E7F">
            <w:pPr>
              <w:spacing w:after="120" w:line="240" w:lineRule="auto"/>
              <w:jc w:val="both"/>
              <w:rPr>
                <w:rFonts w:asciiTheme="majorHAnsi" w:hAnsiTheme="majorHAnsi" w:cs="Times New Roman"/>
                <w:bCs/>
                <w:sz w:val="20"/>
                <w:szCs w:val="20"/>
              </w:rPr>
            </w:pPr>
            <w:proofErr w:type="spellStart"/>
            <w:r w:rsidRPr="00D45B1E">
              <w:rPr>
                <w:rFonts w:asciiTheme="majorHAnsi" w:hAnsiTheme="majorHAnsi" w:cs="Times New Roman"/>
                <w:bCs/>
                <w:sz w:val="20"/>
                <w:szCs w:val="20"/>
              </w:rPr>
              <w:t>d_G</w:t>
            </w:r>
            <w:proofErr w:type="spellEnd"/>
          </w:p>
        </w:tc>
        <w:tc>
          <w:tcPr>
            <w:tcW w:w="2243" w:type="dxa"/>
            <w:noWrap/>
            <w:vAlign w:val="center"/>
          </w:tcPr>
          <w:p w14:paraId="14EFA785"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0.568</w:t>
            </w:r>
          </w:p>
        </w:tc>
        <w:tc>
          <w:tcPr>
            <w:tcW w:w="1568" w:type="dxa"/>
            <w:vAlign w:val="center"/>
          </w:tcPr>
          <w:p w14:paraId="48FA49F2"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&lt;HI</w:t>
            </w:r>
            <w:r w:rsidRPr="00D45B1E">
              <w:rPr>
                <w:rFonts w:asciiTheme="majorHAnsi" w:hAnsiTheme="majorHAnsi" w:cs="Times New Roman"/>
                <w:bCs/>
                <w:sz w:val="20"/>
                <w:szCs w:val="20"/>
                <w:vertAlign w:val="subscript"/>
              </w:rPr>
              <w:t>95</w:t>
            </w:r>
            <w:r w:rsidRPr="00D45B1E">
              <w:rPr>
                <w:rFonts w:asciiTheme="majorHAnsi" w:hAnsiTheme="majorHAnsi" w:cs="Times New Roman"/>
                <w:bCs/>
                <w:sz w:val="20"/>
                <w:szCs w:val="20"/>
              </w:rPr>
              <w:t>=1.27</w:t>
            </w:r>
          </w:p>
        </w:tc>
      </w:tr>
      <w:tr w:rsidR="00DB43FA" w:rsidRPr="00D45B1E" w14:paraId="3B46327E" w14:textId="77777777">
        <w:trPr>
          <w:trHeight w:val="109"/>
          <w:jc w:val="center"/>
        </w:trPr>
        <w:tc>
          <w:tcPr>
            <w:tcW w:w="1838" w:type="dxa"/>
            <w:noWrap/>
            <w:vAlign w:val="center"/>
          </w:tcPr>
          <w:p w14:paraId="510DFF6A" w14:textId="7308156F" w:rsidR="00DB43FA" w:rsidRPr="00D45B1E" w:rsidRDefault="00287096" w:rsidP="00462E7F">
            <w:pPr>
              <w:spacing w:after="120" w:line="240" w:lineRule="auto"/>
              <w:jc w:val="both"/>
              <w:rPr>
                <w:rFonts w:asciiTheme="majorHAnsi" w:hAnsiTheme="majorHAnsi" w:cs="Times New Roman"/>
                <w:bCs/>
                <w:sz w:val="20"/>
                <w:szCs w:val="20"/>
              </w:rPr>
            </w:pPr>
            <w:proofErr w:type="spellStart"/>
            <w:r w:rsidRPr="00D45B1E">
              <w:rPr>
                <w:rFonts w:asciiTheme="majorHAnsi" w:hAnsiTheme="majorHAnsi" w:cs="Times New Roman"/>
                <w:bCs/>
                <w:sz w:val="20"/>
                <w:szCs w:val="20"/>
              </w:rPr>
              <w:t>ChiSquare</w:t>
            </w:r>
            <w:proofErr w:type="spellEnd"/>
          </w:p>
        </w:tc>
        <w:tc>
          <w:tcPr>
            <w:tcW w:w="2243" w:type="dxa"/>
            <w:noWrap/>
            <w:vAlign w:val="center"/>
          </w:tcPr>
          <w:p w14:paraId="210C6BDD"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1308.23</w:t>
            </w:r>
          </w:p>
        </w:tc>
        <w:tc>
          <w:tcPr>
            <w:tcW w:w="1568" w:type="dxa"/>
            <w:vAlign w:val="bottom"/>
          </w:tcPr>
          <w:p w14:paraId="7492B567"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 </w:t>
            </w:r>
          </w:p>
        </w:tc>
      </w:tr>
      <w:tr w:rsidR="00DB43FA" w:rsidRPr="00D45B1E" w14:paraId="334701BB" w14:textId="77777777">
        <w:trPr>
          <w:trHeight w:val="58"/>
          <w:jc w:val="center"/>
        </w:trPr>
        <w:tc>
          <w:tcPr>
            <w:tcW w:w="1838" w:type="dxa"/>
            <w:noWrap/>
            <w:vAlign w:val="center"/>
          </w:tcPr>
          <w:p w14:paraId="0F0BF234"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NFI</w:t>
            </w:r>
          </w:p>
        </w:tc>
        <w:tc>
          <w:tcPr>
            <w:tcW w:w="2243" w:type="dxa"/>
            <w:noWrap/>
            <w:vAlign w:val="center"/>
          </w:tcPr>
          <w:p w14:paraId="585773FB"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0.715</w:t>
            </w:r>
          </w:p>
        </w:tc>
        <w:tc>
          <w:tcPr>
            <w:tcW w:w="1568" w:type="dxa"/>
            <w:vAlign w:val="bottom"/>
          </w:tcPr>
          <w:p w14:paraId="2E093BC7" w14:textId="77777777" w:rsidR="00DB43FA" w:rsidRPr="00D45B1E" w:rsidRDefault="00287096" w:rsidP="00462E7F">
            <w:pPr>
              <w:spacing w:after="120" w:line="240" w:lineRule="auto"/>
              <w:jc w:val="both"/>
              <w:rPr>
                <w:rFonts w:asciiTheme="majorHAnsi" w:hAnsiTheme="majorHAnsi" w:cs="Times New Roman"/>
                <w:bCs/>
                <w:sz w:val="20"/>
                <w:szCs w:val="20"/>
              </w:rPr>
            </w:pPr>
            <w:r w:rsidRPr="00D45B1E">
              <w:rPr>
                <w:rFonts w:asciiTheme="majorHAnsi" w:hAnsiTheme="majorHAnsi" w:cs="Times New Roman"/>
                <w:bCs/>
                <w:sz w:val="20"/>
                <w:szCs w:val="20"/>
              </w:rPr>
              <w:t>Approx = 1</w:t>
            </w:r>
          </w:p>
        </w:tc>
      </w:tr>
    </w:tbl>
    <w:p w14:paraId="461A44DD" w14:textId="1405DB78" w:rsidR="00DB43FA" w:rsidRPr="00D45B1E" w:rsidRDefault="00287096"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Source: </w:t>
      </w:r>
      <w:r w:rsidR="005B19ED" w:rsidRPr="00D45B1E">
        <w:rPr>
          <w:rFonts w:asciiTheme="majorHAnsi" w:hAnsiTheme="majorHAnsi" w:cs="Times New Roman"/>
          <w:bCs/>
          <w:sz w:val="20"/>
          <w:szCs w:val="20"/>
        </w:rPr>
        <w:t>Smart-PLS</w:t>
      </w:r>
      <w:r w:rsidRPr="00D45B1E">
        <w:rPr>
          <w:rFonts w:asciiTheme="majorHAnsi" w:hAnsiTheme="majorHAnsi" w:cs="Times New Roman"/>
          <w:bCs/>
          <w:sz w:val="20"/>
          <w:szCs w:val="20"/>
        </w:rPr>
        <w:t xml:space="preserve"> 4 (2025)</w:t>
      </w:r>
    </w:p>
    <w:p w14:paraId="68701C1E" w14:textId="77777777" w:rsidR="00F54398" w:rsidRPr="00D45B1E" w:rsidRDefault="00F54398" w:rsidP="0048350C">
      <w:pPr>
        <w:jc w:val="both"/>
        <w:rPr>
          <w:rFonts w:asciiTheme="majorHAnsi" w:hAnsiTheme="majorHAnsi" w:cs="Times New Roman"/>
          <w:b/>
          <w:bCs/>
          <w:sz w:val="20"/>
          <w:szCs w:val="20"/>
        </w:rPr>
      </w:pPr>
    </w:p>
    <w:p w14:paraId="78D0BBA2" w14:textId="69226B02"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4.5 Structural Model</w:t>
      </w:r>
    </w:p>
    <w:p w14:paraId="7ABB1E86" w14:textId="20641A20" w:rsidR="00DB43FA" w:rsidRPr="00D45B1E" w:rsidRDefault="00287096" w:rsidP="0048350C">
      <w:pPr>
        <w:jc w:val="both"/>
        <w:rPr>
          <w:rFonts w:asciiTheme="majorHAnsi" w:hAnsiTheme="majorHAnsi" w:cs="Times New Roman"/>
          <w:bCs/>
          <w:sz w:val="20"/>
          <w:szCs w:val="20"/>
        </w:rPr>
      </w:pPr>
      <w:r w:rsidRPr="00D45B1E">
        <w:rPr>
          <w:rFonts w:asciiTheme="majorHAnsi" w:hAnsiTheme="majorHAnsi" w:cs="Times New Roman"/>
          <w:bCs/>
          <w:sz w:val="20"/>
          <w:szCs w:val="20"/>
        </w:rPr>
        <w:t xml:space="preserve">Figure </w:t>
      </w:r>
      <w:r w:rsidR="000C5364" w:rsidRPr="00D45B1E">
        <w:rPr>
          <w:rFonts w:asciiTheme="majorHAnsi" w:hAnsiTheme="majorHAnsi" w:cs="Times New Roman"/>
          <w:bCs/>
          <w:sz w:val="20"/>
          <w:szCs w:val="20"/>
        </w:rPr>
        <w:t>3</w:t>
      </w:r>
      <w:r w:rsidRPr="00D45B1E">
        <w:rPr>
          <w:rFonts w:asciiTheme="majorHAnsi" w:hAnsiTheme="majorHAnsi" w:cs="Times New Roman"/>
          <w:bCs/>
          <w:sz w:val="20"/>
          <w:szCs w:val="20"/>
        </w:rPr>
        <w:t xml:space="preserve"> shows the </w:t>
      </w:r>
      <w:r w:rsidR="00A91B08" w:rsidRPr="00D45B1E">
        <w:rPr>
          <w:rFonts w:asciiTheme="majorHAnsi" w:hAnsiTheme="majorHAnsi" w:cs="Times New Roman"/>
          <w:bCs/>
          <w:sz w:val="20"/>
          <w:szCs w:val="20"/>
        </w:rPr>
        <w:t>hypothesised</w:t>
      </w:r>
      <w:r w:rsidRPr="00D45B1E">
        <w:rPr>
          <w:rFonts w:asciiTheme="majorHAnsi" w:hAnsiTheme="majorHAnsi" w:cs="Times New Roman"/>
          <w:bCs/>
          <w:sz w:val="20"/>
          <w:szCs w:val="20"/>
        </w:rPr>
        <w:t xml:space="preserve"> paths in this study. This includes the </w:t>
      </w:r>
      <w:r w:rsidR="005B19ED" w:rsidRPr="00D45B1E">
        <w:rPr>
          <w:rFonts w:asciiTheme="majorHAnsi" w:hAnsiTheme="majorHAnsi" w:cs="Times New Roman"/>
          <w:bCs/>
          <w:sz w:val="20"/>
          <w:szCs w:val="20"/>
        </w:rPr>
        <w:t>t-statistics</w:t>
      </w:r>
      <w:r w:rsidRPr="00D45B1E">
        <w:rPr>
          <w:rFonts w:asciiTheme="majorHAnsi" w:hAnsiTheme="majorHAnsi" w:cs="Times New Roman"/>
          <w:bCs/>
          <w:sz w:val="20"/>
          <w:szCs w:val="20"/>
        </w:rPr>
        <w:t xml:space="preserve"> of the regression results of the path relationships</w:t>
      </w:r>
      <w:r w:rsidR="00462E7F" w:rsidRPr="00D45B1E">
        <w:rPr>
          <w:rFonts w:asciiTheme="majorHAnsi" w:hAnsiTheme="majorHAnsi" w:cs="Times New Roman"/>
          <w:bCs/>
          <w:sz w:val="20"/>
          <w:szCs w:val="20"/>
        </w:rPr>
        <w:t>.</w:t>
      </w:r>
    </w:p>
    <w:p w14:paraId="778EF170" w14:textId="77777777"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noProof/>
          <w:sz w:val="20"/>
          <w:szCs w:val="20"/>
        </w:rPr>
        <w:lastRenderedPageBreak/>
        <w:drawing>
          <wp:inline distT="0" distB="0" distL="0" distR="0" wp14:anchorId="269025DB" wp14:editId="03090B8B">
            <wp:extent cx="5549900" cy="4387850"/>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11" cstate="print"/>
                    <a:srcRect/>
                    <a:stretch>
                      <a:fillRect/>
                    </a:stretch>
                  </pic:blipFill>
                  <pic:spPr>
                    <a:xfrm>
                      <a:off x="0" y="0"/>
                      <a:ext cx="5549900" cy="4387850"/>
                    </a:xfrm>
                    <a:prstGeom prst="rect">
                      <a:avLst/>
                    </a:prstGeom>
                    <a:ln>
                      <a:noFill/>
                    </a:ln>
                  </pic:spPr>
                </pic:pic>
              </a:graphicData>
            </a:graphic>
          </wp:inline>
        </w:drawing>
      </w:r>
    </w:p>
    <w:p w14:paraId="41D15225" w14:textId="667040E8" w:rsidR="00DB43FA" w:rsidRPr="00D45B1E" w:rsidRDefault="00287096" w:rsidP="0048350C">
      <w:pPr>
        <w:jc w:val="both"/>
        <w:rPr>
          <w:rFonts w:asciiTheme="majorHAnsi" w:hAnsiTheme="majorHAnsi" w:cs="Times New Roman"/>
          <w:b/>
          <w:sz w:val="20"/>
          <w:szCs w:val="20"/>
        </w:rPr>
      </w:pPr>
      <w:r w:rsidRPr="00D45B1E">
        <w:rPr>
          <w:rFonts w:asciiTheme="majorHAnsi" w:hAnsiTheme="majorHAnsi" w:cs="Times New Roman"/>
          <w:b/>
          <w:sz w:val="20"/>
          <w:szCs w:val="20"/>
        </w:rPr>
        <w:t>Figure</w:t>
      </w:r>
      <w:r w:rsidR="000C5364" w:rsidRPr="00D45B1E">
        <w:rPr>
          <w:rFonts w:asciiTheme="majorHAnsi" w:hAnsiTheme="majorHAnsi" w:cs="Times New Roman"/>
          <w:b/>
          <w:sz w:val="20"/>
          <w:szCs w:val="20"/>
        </w:rPr>
        <w:t xml:space="preserve"> 3</w:t>
      </w:r>
      <w:r w:rsidRPr="00D45B1E">
        <w:rPr>
          <w:rFonts w:asciiTheme="majorHAnsi" w:hAnsiTheme="majorHAnsi" w:cs="Times New Roman"/>
          <w:b/>
          <w:sz w:val="20"/>
          <w:szCs w:val="20"/>
        </w:rPr>
        <w:t>: Path Diagram</w:t>
      </w:r>
    </w:p>
    <w:p w14:paraId="7F58F0F8" w14:textId="77777777" w:rsidR="00232E3F" w:rsidRPr="00D45B1E" w:rsidRDefault="00232E3F" w:rsidP="0048350C">
      <w:pPr>
        <w:jc w:val="both"/>
        <w:rPr>
          <w:rFonts w:asciiTheme="majorHAnsi" w:hAnsiTheme="majorHAnsi" w:cs="Times New Roman"/>
          <w:b/>
          <w:bCs/>
          <w:sz w:val="20"/>
          <w:szCs w:val="20"/>
        </w:rPr>
      </w:pPr>
    </w:p>
    <w:p w14:paraId="54A47E1A" w14:textId="77777777" w:rsidR="00232E3F" w:rsidRPr="00D45B1E" w:rsidRDefault="00232E3F" w:rsidP="0048350C">
      <w:pPr>
        <w:jc w:val="both"/>
        <w:rPr>
          <w:rFonts w:asciiTheme="majorHAnsi" w:hAnsiTheme="majorHAnsi" w:cs="Times New Roman"/>
          <w:b/>
          <w:bCs/>
          <w:sz w:val="20"/>
          <w:szCs w:val="20"/>
        </w:rPr>
      </w:pPr>
    </w:p>
    <w:p w14:paraId="14834C97" w14:textId="77777777" w:rsidR="00232E3F" w:rsidRPr="00D45B1E" w:rsidRDefault="00232E3F" w:rsidP="0048350C">
      <w:pPr>
        <w:jc w:val="both"/>
        <w:rPr>
          <w:rFonts w:asciiTheme="majorHAnsi" w:hAnsiTheme="majorHAnsi" w:cs="Times New Roman"/>
          <w:b/>
          <w:bCs/>
          <w:sz w:val="20"/>
          <w:szCs w:val="20"/>
        </w:rPr>
      </w:pPr>
    </w:p>
    <w:p w14:paraId="1649240B" w14:textId="4FF56728"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4.6 Hypotheses Testing</w:t>
      </w:r>
    </w:p>
    <w:p w14:paraId="0EF8823B" w14:textId="3DBD6B8B"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 xml:space="preserve">Table </w:t>
      </w:r>
      <w:r w:rsidR="00232E3F" w:rsidRPr="00D45B1E">
        <w:rPr>
          <w:rFonts w:asciiTheme="majorHAnsi" w:hAnsiTheme="majorHAnsi" w:cs="Times New Roman"/>
          <w:b/>
          <w:bCs/>
          <w:sz w:val="20"/>
          <w:szCs w:val="20"/>
        </w:rPr>
        <w:t>5</w:t>
      </w:r>
      <w:r w:rsidRPr="00D45B1E">
        <w:rPr>
          <w:rFonts w:asciiTheme="majorHAnsi" w:hAnsiTheme="majorHAnsi" w:cs="Times New Roman"/>
          <w:b/>
          <w:bCs/>
          <w:sz w:val="20"/>
          <w:szCs w:val="20"/>
        </w:rPr>
        <w:t>: Path Estimates</w:t>
      </w:r>
    </w:p>
    <w:tbl>
      <w:tblPr>
        <w:tblW w:w="9351" w:type="dxa"/>
        <w:jc w:val="center"/>
        <w:tblLook w:val="04A0" w:firstRow="1" w:lastRow="0" w:firstColumn="1" w:lastColumn="0" w:noHBand="0" w:noVBand="1"/>
      </w:tblPr>
      <w:tblGrid>
        <w:gridCol w:w="4673"/>
        <w:gridCol w:w="756"/>
        <w:gridCol w:w="1276"/>
        <w:gridCol w:w="1370"/>
        <w:gridCol w:w="1276"/>
      </w:tblGrid>
      <w:tr w:rsidR="00DB43FA" w:rsidRPr="00D45B1E" w14:paraId="7AF19440" w14:textId="77777777" w:rsidTr="00462E7F">
        <w:trPr>
          <w:trHeight w:val="318"/>
          <w:jc w:val="center"/>
        </w:trPr>
        <w:tc>
          <w:tcPr>
            <w:tcW w:w="4673" w:type="dxa"/>
            <w:tcBorders>
              <w:top w:val="single" w:sz="4" w:space="0" w:color="auto"/>
              <w:left w:val="single" w:sz="4" w:space="0" w:color="auto"/>
              <w:bottom w:val="single" w:sz="4" w:space="0" w:color="auto"/>
              <w:right w:val="single" w:sz="4" w:space="0" w:color="auto"/>
            </w:tcBorders>
            <w:noWrap/>
            <w:vAlign w:val="center"/>
          </w:tcPr>
          <w:p w14:paraId="6EA8C8C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Paths</w:t>
            </w:r>
          </w:p>
        </w:tc>
        <w:tc>
          <w:tcPr>
            <w:tcW w:w="756" w:type="dxa"/>
            <w:tcBorders>
              <w:top w:val="single" w:sz="4" w:space="0" w:color="auto"/>
              <w:left w:val="nil"/>
              <w:bottom w:val="single" w:sz="4" w:space="0" w:color="auto"/>
              <w:right w:val="single" w:sz="4" w:space="0" w:color="auto"/>
            </w:tcBorders>
            <w:noWrap/>
            <w:vAlign w:val="bottom"/>
          </w:tcPr>
          <w:p w14:paraId="5C2C6997"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Beta</w:t>
            </w:r>
          </w:p>
        </w:tc>
        <w:tc>
          <w:tcPr>
            <w:tcW w:w="1276" w:type="dxa"/>
            <w:tcBorders>
              <w:top w:val="single" w:sz="4" w:space="0" w:color="auto"/>
              <w:left w:val="nil"/>
              <w:bottom w:val="single" w:sz="4" w:space="0" w:color="auto"/>
              <w:right w:val="single" w:sz="4" w:space="0" w:color="auto"/>
            </w:tcBorders>
            <w:noWrap/>
            <w:vAlign w:val="bottom"/>
          </w:tcPr>
          <w:p w14:paraId="2EDBAF48" w14:textId="1CEACEB1" w:rsidR="00DB43FA" w:rsidRPr="00D45B1E" w:rsidRDefault="00287096" w:rsidP="00462E7F">
            <w:pPr>
              <w:spacing w:after="0" w:line="240" w:lineRule="auto"/>
              <w:ind w:right="-63"/>
              <w:jc w:val="both"/>
              <w:rPr>
                <w:rFonts w:asciiTheme="majorHAnsi" w:hAnsiTheme="majorHAnsi" w:cs="Times New Roman"/>
                <w:sz w:val="20"/>
                <w:szCs w:val="20"/>
              </w:rPr>
            </w:pPr>
            <w:r w:rsidRPr="00D45B1E">
              <w:rPr>
                <w:rFonts w:asciiTheme="majorHAnsi" w:hAnsiTheme="majorHAnsi" w:cs="Times New Roman"/>
                <w:sz w:val="20"/>
                <w:szCs w:val="20"/>
              </w:rPr>
              <w:t>T</w:t>
            </w:r>
            <w:r w:rsidR="00462E7F" w:rsidRPr="00D45B1E">
              <w:rPr>
                <w:rFonts w:asciiTheme="majorHAnsi" w:hAnsiTheme="majorHAnsi" w:cs="Times New Roman"/>
                <w:sz w:val="20"/>
                <w:szCs w:val="20"/>
              </w:rPr>
              <w:t>-</w:t>
            </w:r>
            <w:r w:rsidRPr="00D45B1E">
              <w:rPr>
                <w:rFonts w:asciiTheme="majorHAnsi" w:hAnsiTheme="majorHAnsi" w:cs="Times New Roman"/>
                <w:sz w:val="20"/>
                <w:szCs w:val="20"/>
              </w:rPr>
              <w:t>Statistics</w:t>
            </w:r>
          </w:p>
        </w:tc>
        <w:tc>
          <w:tcPr>
            <w:tcW w:w="1370" w:type="dxa"/>
            <w:tcBorders>
              <w:top w:val="single" w:sz="4" w:space="0" w:color="auto"/>
              <w:left w:val="nil"/>
              <w:bottom w:val="single" w:sz="4" w:space="0" w:color="auto"/>
              <w:right w:val="single" w:sz="4" w:space="0" w:color="auto"/>
            </w:tcBorders>
            <w:noWrap/>
            <w:vAlign w:val="bottom"/>
          </w:tcPr>
          <w:p w14:paraId="3CE02670" w14:textId="6796F908"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w:t>
            </w:r>
            <w:r w:rsidR="00462E7F" w:rsidRPr="00D45B1E">
              <w:rPr>
                <w:rFonts w:asciiTheme="majorHAnsi" w:hAnsiTheme="majorHAnsi" w:cs="Times New Roman"/>
                <w:sz w:val="20"/>
                <w:szCs w:val="20"/>
              </w:rPr>
              <w:t>-</w:t>
            </w:r>
            <w:r w:rsidRPr="00D45B1E">
              <w:rPr>
                <w:rFonts w:asciiTheme="majorHAnsi" w:hAnsiTheme="majorHAnsi" w:cs="Times New Roman"/>
                <w:sz w:val="20"/>
                <w:szCs w:val="20"/>
              </w:rPr>
              <w:t>values</w:t>
            </w:r>
          </w:p>
        </w:tc>
        <w:tc>
          <w:tcPr>
            <w:tcW w:w="1276" w:type="dxa"/>
            <w:tcBorders>
              <w:top w:val="single" w:sz="4" w:space="0" w:color="auto"/>
              <w:left w:val="nil"/>
              <w:bottom w:val="single" w:sz="4" w:space="0" w:color="auto"/>
              <w:right w:val="single" w:sz="4" w:space="0" w:color="auto"/>
            </w:tcBorders>
          </w:tcPr>
          <w:p w14:paraId="7E2F62E3"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Decision on Ho</w:t>
            </w:r>
          </w:p>
        </w:tc>
      </w:tr>
      <w:tr w:rsidR="00DB43FA" w:rsidRPr="00D45B1E" w14:paraId="638A044E" w14:textId="77777777" w:rsidTr="00462E7F">
        <w:trPr>
          <w:trHeight w:val="303"/>
          <w:jc w:val="center"/>
        </w:trPr>
        <w:tc>
          <w:tcPr>
            <w:tcW w:w="4673" w:type="dxa"/>
            <w:tcBorders>
              <w:top w:val="nil"/>
              <w:left w:val="single" w:sz="4" w:space="0" w:color="auto"/>
              <w:bottom w:val="single" w:sz="4" w:space="0" w:color="auto"/>
              <w:right w:val="single" w:sz="4" w:space="0" w:color="auto"/>
            </w:tcBorders>
            <w:noWrap/>
            <w:vAlign w:val="bottom"/>
          </w:tcPr>
          <w:p w14:paraId="20D149C5" w14:textId="41DB4B71"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Health Crisis (HC)_ &gt; Emergency Savings (ES)</w:t>
            </w:r>
          </w:p>
        </w:tc>
        <w:tc>
          <w:tcPr>
            <w:tcW w:w="756" w:type="dxa"/>
            <w:tcBorders>
              <w:top w:val="nil"/>
              <w:left w:val="nil"/>
              <w:bottom w:val="single" w:sz="4" w:space="0" w:color="auto"/>
              <w:right w:val="single" w:sz="4" w:space="0" w:color="auto"/>
            </w:tcBorders>
            <w:noWrap/>
            <w:vAlign w:val="bottom"/>
          </w:tcPr>
          <w:p w14:paraId="1807E169"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0.177</w:t>
            </w:r>
          </w:p>
        </w:tc>
        <w:tc>
          <w:tcPr>
            <w:tcW w:w="1276" w:type="dxa"/>
            <w:tcBorders>
              <w:top w:val="nil"/>
              <w:left w:val="nil"/>
              <w:bottom w:val="single" w:sz="4" w:space="0" w:color="auto"/>
              <w:right w:val="single" w:sz="4" w:space="0" w:color="auto"/>
            </w:tcBorders>
            <w:noWrap/>
            <w:vAlign w:val="bottom"/>
          </w:tcPr>
          <w:p w14:paraId="015F40A1"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2.581</w:t>
            </w:r>
          </w:p>
        </w:tc>
        <w:tc>
          <w:tcPr>
            <w:tcW w:w="1370" w:type="dxa"/>
            <w:tcBorders>
              <w:top w:val="nil"/>
              <w:left w:val="nil"/>
              <w:bottom w:val="single" w:sz="4" w:space="0" w:color="auto"/>
              <w:right w:val="single" w:sz="4" w:space="0" w:color="auto"/>
            </w:tcBorders>
            <w:noWrap/>
            <w:vAlign w:val="bottom"/>
          </w:tcPr>
          <w:p w14:paraId="3E3F1EE7"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0.01</w:t>
            </w:r>
          </w:p>
        </w:tc>
        <w:tc>
          <w:tcPr>
            <w:tcW w:w="1276" w:type="dxa"/>
            <w:tcBorders>
              <w:top w:val="nil"/>
              <w:left w:val="nil"/>
              <w:bottom w:val="single" w:sz="4" w:space="0" w:color="auto"/>
              <w:right w:val="single" w:sz="4" w:space="0" w:color="auto"/>
            </w:tcBorders>
          </w:tcPr>
          <w:p w14:paraId="16916986"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Reject</w:t>
            </w:r>
          </w:p>
        </w:tc>
      </w:tr>
      <w:tr w:rsidR="00DB43FA" w:rsidRPr="00D45B1E" w14:paraId="1ACFA0E2" w14:textId="77777777" w:rsidTr="00462E7F">
        <w:trPr>
          <w:trHeight w:val="303"/>
          <w:jc w:val="center"/>
        </w:trPr>
        <w:tc>
          <w:tcPr>
            <w:tcW w:w="4673" w:type="dxa"/>
            <w:tcBorders>
              <w:top w:val="nil"/>
              <w:left w:val="single" w:sz="4" w:space="0" w:color="auto"/>
              <w:bottom w:val="single" w:sz="4" w:space="0" w:color="auto"/>
              <w:right w:val="single" w:sz="4" w:space="0" w:color="auto"/>
            </w:tcBorders>
            <w:noWrap/>
            <w:vAlign w:val="bottom"/>
          </w:tcPr>
          <w:p w14:paraId="40D4213E" w14:textId="14EA0040"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Health Crisis (HC)_ &gt; Low Debt Level (LDL)</w:t>
            </w:r>
          </w:p>
        </w:tc>
        <w:tc>
          <w:tcPr>
            <w:tcW w:w="756" w:type="dxa"/>
            <w:tcBorders>
              <w:top w:val="nil"/>
              <w:left w:val="nil"/>
              <w:bottom w:val="single" w:sz="4" w:space="0" w:color="auto"/>
              <w:right w:val="single" w:sz="4" w:space="0" w:color="auto"/>
            </w:tcBorders>
            <w:noWrap/>
            <w:vAlign w:val="bottom"/>
          </w:tcPr>
          <w:p w14:paraId="250C197F"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0.20</w:t>
            </w:r>
          </w:p>
        </w:tc>
        <w:tc>
          <w:tcPr>
            <w:tcW w:w="1276" w:type="dxa"/>
            <w:tcBorders>
              <w:top w:val="nil"/>
              <w:left w:val="nil"/>
              <w:bottom w:val="single" w:sz="4" w:space="0" w:color="auto"/>
              <w:right w:val="single" w:sz="4" w:space="0" w:color="auto"/>
            </w:tcBorders>
            <w:noWrap/>
            <w:vAlign w:val="bottom"/>
          </w:tcPr>
          <w:p w14:paraId="5C3AEC09"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2.964</w:t>
            </w:r>
          </w:p>
        </w:tc>
        <w:tc>
          <w:tcPr>
            <w:tcW w:w="1370" w:type="dxa"/>
            <w:tcBorders>
              <w:top w:val="nil"/>
              <w:left w:val="nil"/>
              <w:bottom w:val="single" w:sz="4" w:space="0" w:color="auto"/>
              <w:right w:val="single" w:sz="4" w:space="0" w:color="auto"/>
            </w:tcBorders>
            <w:noWrap/>
            <w:vAlign w:val="bottom"/>
          </w:tcPr>
          <w:p w14:paraId="5B7DF95F"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0.003</w:t>
            </w:r>
          </w:p>
        </w:tc>
        <w:tc>
          <w:tcPr>
            <w:tcW w:w="1276" w:type="dxa"/>
            <w:tcBorders>
              <w:top w:val="nil"/>
              <w:left w:val="nil"/>
              <w:bottom w:val="single" w:sz="4" w:space="0" w:color="auto"/>
              <w:right w:val="single" w:sz="4" w:space="0" w:color="auto"/>
            </w:tcBorders>
          </w:tcPr>
          <w:p w14:paraId="0AD4A521"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Reject</w:t>
            </w:r>
          </w:p>
        </w:tc>
      </w:tr>
      <w:tr w:rsidR="00DB43FA" w:rsidRPr="00D45B1E" w14:paraId="48767F14" w14:textId="77777777" w:rsidTr="00462E7F">
        <w:trPr>
          <w:trHeight w:val="303"/>
          <w:jc w:val="center"/>
        </w:trPr>
        <w:tc>
          <w:tcPr>
            <w:tcW w:w="4673" w:type="dxa"/>
            <w:tcBorders>
              <w:top w:val="nil"/>
              <w:left w:val="single" w:sz="4" w:space="0" w:color="auto"/>
              <w:bottom w:val="single" w:sz="4" w:space="0" w:color="auto"/>
              <w:right w:val="single" w:sz="4" w:space="0" w:color="auto"/>
            </w:tcBorders>
            <w:noWrap/>
            <w:vAlign w:val="bottom"/>
          </w:tcPr>
          <w:p w14:paraId="2A5BB2ED" w14:textId="701854B0"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Health Crisis (HC)_ &gt; Social Support Network (SSN)</w:t>
            </w:r>
          </w:p>
        </w:tc>
        <w:tc>
          <w:tcPr>
            <w:tcW w:w="756" w:type="dxa"/>
            <w:tcBorders>
              <w:top w:val="nil"/>
              <w:left w:val="nil"/>
              <w:bottom w:val="single" w:sz="4" w:space="0" w:color="auto"/>
              <w:right w:val="single" w:sz="4" w:space="0" w:color="auto"/>
            </w:tcBorders>
            <w:noWrap/>
            <w:vAlign w:val="bottom"/>
          </w:tcPr>
          <w:p w14:paraId="1AEC0A1D"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0.373</w:t>
            </w:r>
          </w:p>
        </w:tc>
        <w:tc>
          <w:tcPr>
            <w:tcW w:w="1276" w:type="dxa"/>
            <w:tcBorders>
              <w:top w:val="nil"/>
              <w:left w:val="nil"/>
              <w:bottom w:val="single" w:sz="4" w:space="0" w:color="auto"/>
              <w:right w:val="single" w:sz="4" w:space="0" w:color="auto"/>
            </w:tcBorders>
            <w:noWrap/>
            <w:vAlign w:val="bottom"/>
          </w:tcPr>
          <w:p w14:paraId="6C4CB01B"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6.357</w:t>
            </w:r>
          </w:p>
        </w:tc>
        <w:tc>
          <w:tcPr>
            <w:tcW w:w="1370" w:type="dxa"/>
            <w:tcBorders>
              <w:top w:val="nil"/>
              <w:left w:val="nil"/>
              <w:bottom w:val="single" w:sz="4" w:space="0" w:color="auto"/>
              <w:right w:val="single" w:sz="4" w:space="0" w:color="auto"/>
            </w:tcBorders>
            <w:noWrap/>
            <w:vAlign w:val="bottom"/>
          </w:tcPr>
          <w:p w14:paraId="550CF724"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0.00</w:t>
            </w:r>
          </w:p>
        </w:tc>
        <w:tc>
          <w:tcPr>
            <w:tcW w:w="1276" w:type="dxa"/>
            <w:tcBorders>
              <w:top w:val="nil"/>
              <w:left w:val="nil"/>
              <w:bottom w:val="single" w:sz="4" w:space="0" w:color="auto"/>
              <w:right w:val="single" w:sz="4" w:space="0" w:color="auto"/>
            </w:tcBorders>
          </w:tcPr>
          <w:p w14:paraId="6D71F951"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Reject</w:t>
            </w:r>
          </w:p>
        </w:tc>
      </w:tr>
      <w:tr w:rsidR="00DB43FA" w:rsidRPr="00D45B1E" w14:paraId="3F7EBB01" w14:textId="77777777" w:rsidTr="00462E7F">
        <w:trPr>
          <w:trHeight w:val="303"/>
          <w:jc w:val="center"/>
        </w:trPr>
        <w:tc>
          <w:tcPr>
            <w:tcW w:w="4673" w:type="dxa"/>
            <w:tcBorders>
              <w:top w:val="nil"/>
              <w:left w:val="single" w:sz="4" w:space="0" w:color="auto"/>
              <w:bottom w:val="single" w:sz="4" w:space="0" w:color="auto"/>
              <w:right w:val="single" w:sz="4" w:space="0" w:color="auto"/>
            </w:tcBorders>
            <w:noWrap/>
            <w:vAlign w:val="bottom"/>
          </w:tcPr>
          <w:p w14:paraId="04F5F66A" w14:textId="7075E20A"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Income &amp; Job Instability (IJI) &gt; Emergency Savings (ES)</w:t>
            </w:r>
          </w:p>
        </w:tc>
        <w:tc>
          <w:tcPr>
            <w:tcW w:w="756" w:type="dxa"/>
            <w:tcBorders>
              <w:top w:val="nil"/>
              <w:left w:val="nil"/>
              <w:bottom w:val="single" w:sz="4" w:space="0" w:color="auto"/>
              <w:right w:val="single" w:sz="4" w:space="0" w:color="auto"/>
            </w:tcBorders>
            <w:noWrap/>
            <w:vAlign w:val="bottom"/>
          </w:tcPr>
          <w:p w14:paraId="6AFAF34F"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0.262</w:t>
            </w:r>
          </w:p>
        </w:tc>
        <w:tc>
          <w:tcPr>
            <w:tcW w:w="1276" w:type="dxa"/>
            <w:tcBorders>
              <w:top w:val="nil"/>
              <w:left w:val="nil"/>
              <w:bottom w:val="single" w:sz="4" w:space="0" w:color="auto"/>
              <w:right w:val="single" w:sz="4" w:space="0" w:color="auto"/>
            </w:tcBorders>
            <w:noWrap/>
            <w:vAlign w:val="bottom"/>
          </w:tcPr>
          <w:p w14:paraId="3854FD62"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3.856</w:t>
            </w:r>
          </w:p>
        </w:tc>
        <w:tc>
          <w:tcPr>
            <w:tcW w:w="1370" w:type="dxa"/>
            <w:tcBorders>
              <w:top w:val="nil"/>
              <w:left w:val="nil"/>
              <w:bottom w:val="single" w:sz="4" w:space="0" w:color="auto"/>
              <w:right w:val="single" w:sz="4" w:space="0" w:color="auto"/>
            </w:tcBorders>
            <w:noWrap/>
            <w:vAlign w:val="bottom"/>
          </w:tcPr>
          <w:p w14:paraId="2F8970CB"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0.00</w:t>
            </w:r>
          </w:p>
        </w:tc>
        <w:tc>
          <w:tcPr>
            <w:tcW w:w="1276" w:type="dxa"/>
            <w:tcBorders>
              <w:top w:val="nil"/>
              <w:left w:val="nil"/>
              <w:bottom w:val="single" w:sz="4" w:space="0" w:color="auto"/>
              <w:right w:val="single" w:sz="4" w:space="0" w:color="auto"/>
            </w:tcBorders>
          </w:tcPr>
          <w:p w14:paraId="46B8ED91"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Reject</w:t>
            </w:r>
          </w:p>
        </w:tc>
      </w:tr>
      <w:tr w:rsidR="00DB43FA" w:rsidRPr="00D45B1E" w14:paraId="2FA4A624" w14:textId="77777777" w:rsidTr="00462E7F">
        <w:trPr>
          <w:trHeight w:val="303"/>
          <w:jc w:val="center"/>
        </w:trPr>
        <w:tc>
          <w:tcPr>
            <w:tcW w:w="4673" w:type="dxa"/>
            <w:tcBorders>
              <w:top w:val="nil"/>
              <w:left w:val="single" w:sz="4" w:space="0" w:color="auto"/>
              <w:bottom w:val="single" w:sz="4" w:space="0" w:color="auto"/>
              <w:right w:val="single" w:sz="4" w:space="0" w:color="auto"/>
            </w:tcBorders>
            <w:noWrap/>
            <w:vAlign w:val="bottom"/>
          </w:tcPr>
          <w:p w14:paraId="7BD8DB58" w14:textId="756D8E71"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Income &amp; Job Instability (IJI) &gt; Low Debt Level (LDL)</w:t>
            </w:r>
          </w:p>
        </w:tc>
        <w:tc>
          <w:tcPr>
            <w:tcW w:w="756" w:type="dxa"/>
            <w:tcBorders>
              <w:top w:val="nil"/>
              <w:left w:val="nil"/>
              <w:bottom w:val="single" w:sz="4" w:space="0" w:color="auto"/>
              <w:right w:val="single" w:sz="4" w:space="0" w:color="auto"/>
            </w:tcBorders>
            <w:noWrap/>
            <w:vAlign w:val="bottom"/>
          </w:tcPr>
          <w:p w14:paraId="4963B1D5"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0.438</w:t>
            </w:r>
          </w:p>
        </w:tc>
        <w:tc>
          <w:tcPr>
            <w:tcW w:w="1276" w:type="dxa"/>
            <w:tcBorders>
              <w:top w:val="nil"/>
              <w:left w:val="nil"/>
              <w:bottom w:val="single" w:sz="4" w:space="0" w:color="auto"/>
              <w:right w:val="single" w:sz="4" w:space="0" w:color="auto"/>
            </w:tcBorders>
            <w:noWrap/>
            <w:vAlign w:val="bottom"/>
          </w:tcPr>
          <w:p w14:paraId="10AA23C1"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7.591</w:t>
            </w:r>
          </w:p>
        </w:tc>
        <w:tc>
          <w:tcPr>
            <w:tcW w:w="1370" w:type="dxa"/>
            <w:tcBorders>
              <w:top w:val="nil"/>
              <w:left w:val="nil"/>
              <w:bottom w:val="single" w:sz="4" w:space="0" w:color="auto"/>
              <w:right w:val="single" w:sz="4" w:space="0" w:color="auto"/>
            </w:tcBorders>
            <w:noWrap/>
            <w:vAlign w:val="bottom"/>
          </w:tcPr>
          <w:p w14:paraId="6A2A61C0"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0.00</w:t>
            </w:r>
          </w:p>
        </w:tc>
        <w:tc>
          <w:tcPr>
            <w:tcW w:w="1276" w:type="dxa"/>
            <w:tcBorders>
              <w:top w:val="nil"/>
              <w:left w:val="nil"/>
              <w:bottom w:val="single" w:sz="4" w:space="0" w:color="auto"/>
              <w:right w:val="single" w:sz="4" w:space="0" w:color="auto"/>
            </w:tcBorders>
          </w:tcPr>
          <w:p w14:paraId="76F4FD41"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Reject</w:t>
            </w:r>
          </w:p>
        </w:tc>
      </w:tr>
      <w:tr w:rsidR="00DB43FA" w:rsidRPr="00D45B1E" w14:paraId="7C6130D6" w14:textId="77777777" w:rsidTr="00462E7F">
        <w:trPr>
          <w:trHeight w:val="303"/>
          <w:jc w:val="center"/>
        </w:trPr>
        <w:tc>
          <w:tcPr>
            <w:tcW w:w="4673" w:type="dxa"/>
            <w:tcBorders>
              <w:top w:val="nil"/>
              <w:left w:val="single" w:sz="4" w:space="0" w:color="auto"/>
              <w:bottom w:val="single" w:sz="4" w:space="0" w:color="auto"/>
              <w:right w:val="single" w:sz="4" w:space="0" w:color="auto"/>
            </w:tcBorders>
            <w:noWrap/>
            <w:vAlign w:val="bottom"/>
          </w:tcPr>
          <w:p w14:paraId="5A8692E9" w14:textId="06FE8C26"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Income &amp; Job Instability (IJI) &gt; Social Support Network (SSN)</w:t>
            </w:r>
          </w:p>
        </w:tc>
        <w:tc>
          <w:tcPr>
            <w:tcW w:w="756" w:type="dxa"/>
            <w:tcBorders>
              <w:top w:val="nil"/>
              <w:left w:val="nil"/>
              <w:bottom w:val="single" w:sz="4" w:space="0" w:color="auto"/>
              <w:right w:val="single" w:sz="4" w:space="0" w:color="auto"/>
            </w:tcBorders>
            <w:noWrap/>
            <w:vAlign w:val="bottom"/>
          </w:tcPr>
          <w:p w14:paraId="77BEDAB2"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0.254</w:t>
            </w:r>
          </w:p>
        </w:tc>
        <w:tc>
          <w:tcPr>
            <w:tcW w:w="1276" w:type="dxa"/>
            <w:tcBorders>
              <w:top w:val="nil"/>
              <w:left w:val="nil"/>
              <w:bottom w:val="single" w:sz="4" w:space="0" w:color="auto"/>
              <w:right w:val="single" w:sz="4" w:space="0" w:color="auto"/>
            </w:tcBorders>
            <w:noWrap/>
            <w:vAlign w:val="bottom"/>
          </w:tcPr>
          <w:p w14:paraId="6FD8C7A3"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4.44</w:t>
            </w:r>
          </w:p>
        </w:tc>
        <w:tc>
          <w:tcPr>
            <w:tcW w:w="1370" w:type="dxa"/>
            <w:tcBorders>
              <w:top w:val="nil"/>
              <w:left w:val="nil"/>
              <w:bottom w:val="single" w:sz="4" w:space="0" w:color="auto"/>
              <w:right w:val="single" w:sz="4" w:space="0" w:color="auto"/>
            </w:tcBorders>
            <w:noWrap/>
            <w:vAlign w:val="bottom"/>
          </w:tcPr>
          <w:p w14:paraId="6A6FA47C"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0.00</w:t>
            </w:r>
          </w:p>
        </w:tc>
        <w:tc>
          <w:tcPr>
            <w:tcW w:w="1276" w:type="dxa"/>
            <w:tcBorders>
              <w:top w:val="nil"/>
              <w:left w:val="nil"/>
              <w:bottom w:val="single" w:sz="4" w:space="0" w:color="auto"/>
              <w:right w:val="single" w:sz="4" w:space="0" w:color="auto"/>
            </w:tcBorders>
          </w:tcPr>
          <w:p w14:paraId="58061504"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Reject</w:t>
            </w:r>
          </w:p>
        </w:tc>
      </w:tr>
      <w:tr w:rsidR="00DB43FA" w:rsidRPr="00D45B1E" w14:paraId="3544C5CA" w14:textId="77777777" w:rsidTr="00462E7F">
        <w:trPr>
          <w:trHeight w:val="303"/>
          <w:jc w:val="center"/>
        </w:trPr>
        <w:tc>
          <w:tcPr>
            <w:tcW w:w="4673" w:type="dxa"/>
            <w:tcBorders>
              <w:top w:val="nil"/>
              <w:left w:val="single" w:sz="4" w:space="0" w:color="auto"/>
              <w:bottom w:val="single" w:sz="4" w:space="0" w:color="auto"/>
              <w:right w:val="single" w:sz="4" w:space="0" w:color="auto"/>
            </w:tcBorders>
            <w:noWrap/>
            <w:vAlign w:val="bottom"/>
          </w:tcPr>
          <w:p w14:paraId="379B81A5" w14:textId="6E535476"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Poverty &amp; Inequality (PI) &gt; Emergency Savings (ES)</w:t>
            </w:r>
          </w:p>
        </w:tc>
        <w:tc>
          <w:tcPr>
            <w:tcW w:w="756" w:type="dxa"/>
            <w:tcBorders>
              <w:top w:val="nil"/>
              <w:left w:val="nil"/>
              <w:bottom w:val="single" w:sz="4" w:space="0" w:color="auto"/>
              <w:right w:val="single" w:sz="4" w:space="0" w:color="auto"/>
            </w:tcBorders>
            <w:noWrap/>
            <w:vAlign w:val="bottom"/>
          </w:tcPr>
          <w:p w14:paraId="63C9732D" w14:textId="0DDC17B9"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0.07</w:t>
            </w:r>
          </w:p>
        </w:tc>
        <w:tc>
          <w:tcPr>
            <w:tcW w:w="1276" w:type="dxa"/>
            <w:tcBorders>
              <w:top w:val="nil"/>
              <w:left w:val="nil"/>
              <w:bottom w:val="single" w:sz="4" w:space="0" w:color="auto"/>
              <w:right w:val="single" w:sz="4" w:space="0" w:color="auto"/>
            </w:tcBorders>
            <w:noWrap/>
            <w:vAlign w:val="bottom"/>
          </w:tcPr>
          <w:p w14:paraId="42547631"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1.099</w:t>
            </w:r>
          </w:p>
        </w:tc>
        <w:tc>
          <w:tcPr>
            <w:tcW w:w="1370" w:type="dxa"/>
            <w:tcBorders>
              <w:top w:val="nil"/>
              <w:left w:val="nil"/>
              <w:bottom w:val="single" w:sz="4" w:space="0" w:color="auto"/>
              <w:right w:val="single" w:sz="4" w:space="0" w:color="auto"/>
            </w:tcBorders>
            <w:noWrap/>
            <w:vAlign w:val="bottom"/>
          </w:tcPr>
          <w:p w14:paraId="3D46FE68"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0.272</w:t>
            </w:r>
          </w:p>
        </w:tc>
        <w:tc>
          <w:tcPr>
            <w:tcW w:w="1276" w:type="dxa"/>
            <w:tcBorders>
              <w:top w:val="nil"/>
              <w:left w:val="nil"/>
              <w:bottom w:val="single" w:sz="4" w:space="0" w:color="auto"/>
              <w:right w:val="single" w:sz="4" w:space="0" w:color="auto"/>
            </w:tcBorders>
          </w:tcPr>
          <w:p w14:paraId="679AB5FE"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Accept</w:t>
            </w:r>
          </w:p>
        </w:tc>
      </w:tr>
      <w:tr w:rsidR="00DB43FA" w:rsidRPr="00D45B1E" w14:paraId="557B9091" w14:textId="77777777" w:rsidTr="00462E7F">
        <w:trPr>
          <w:trHeight w:val="303"/>
          <w:jc w:val="center"/>
        </w:trPr>
        <w:tc>
          <w:tcPr>
            <w:tcW w:w="4673" w:type="dxa"/>
            <w:tcBorders>
              <w:top w:val="nil"/>
              <w:left w:val="single" w:sz="4" w:space="0" w:color="auto"/>
              <w:bottom w:val="single" w:sz="4" w:space="0" w:color="auto"/>
              <w:right w:val="single" w:sz="4" w:space="0" w:color="auto"/>
            </w:tcBorders>
            <w:noWrap/>
            <w:vAlign w:val="bottom"/>
          </w:tcPr>
          <w:p w14:paraId="2A649B2B" w14:textId="4F86DA90"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Poverty &amp; Inequality (PI) &gt; Low Debt Level (LDL)</w:t>
            </w:r>
          </w:p>
        </w:tc>
        <w:tc>
          <w:tcPr>
            <w:tcW w:w="756" w:type="dxa"/>
            <w:tcBorders>
              <w:top w:val="nil"/>
              <w:left w:val="nil"/>
              <w:bottom w:val="single" w:sz="4" w:space="0" w:color="auto"/>
              <w:right w:val="single" w:sz="4" w:space="0" w:color="auto"/>
            </w:tcBorders>
            <w:noWrap/>
            <w:vAlign w:val="bottom"/>
          </w:tcPr>
          <w:p w14:paraId="70A190B7" w14:textId="037BB5A9"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0.06</w:t>
            </w:r>
          </w:p>
        </w:tc>
        <w:tc>
          <w:tcPr>
            <w:tcW w:w="1276" w:type="dxa"/>
            <w:tcBorders>
              <w:top w:val="nil"/>
              <w:left w:val="nil"/>
              <w:bottom w:val="single" w:sz="4" w:space="0" w:color="auto"/>
              <w:right w:val="single" w:sz="4" w:space="0" w:color="auto"/>
            </w:tcBorders>
            <w:noWrap/>
            <w:vAlign w:val="bottom"/>
          </w:tcPr>
          <w:p w14:paraId="0139C35B"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1.083</w:t>
            </w:r>
          </w:p>
        </w:tc>
        <w:tc>
          <w:tcPr>
            <w:tcW w:w="1370" w:type="dxa"/>
            <w:tcBorders>
              <w:top w:val="nil"/>
              <w:left w:val="nil"/>
              <w:bottom w:val="single" w:sz="4" w:space="0" w:color="auto"/>
              <w:right w:val="single" w:sz="4" w:space="0" w:color="auto"/>
            </w:tcBorders>
            <w:noWrap/>
            <w:vAlign w:val="bottom"/>
          </w:tcPr>
          <w:p w14:paraId="20082BBD"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0.279</w:t>
            </w:r>
          </w:p>
        </w:tc>
        <w:tc>
          <w:tcPr>
            <w:tcW w:w="1276" w:type="dxa"/>
            <w:tcBorders>
              <w:top w:val="nil"/>
              <w:left w:val="nil"/>
              <w:bottom w:val="single" w:sz="4" w:space="0" w:color="auto"/>
              <w:right w:val="single" w:sz="4" w:space="0" w:color="auto"/>
            </w:tcBorders>
          </w:tcPr>
          <w:p w14:paraId="7482B58B"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Accept</w:t>
            </w:r>
          </w:p>
        </w:tc>
      </w:tr>
      <w:tr w:rsidR="00DB43FA" w:rsidRPr="00D45B1E" w14:paraId="0AE07B97" w14:textId="77777777" w:rsidTr="00462E7F">
        <w:trPr>
          <w:trHeight w:val="303"/>
          <w:jc w:val="center"/>
        </w:trPr>
        <w:tc>
          <w:tcPr>
            <w:tcW w:w="4673" w:type="dxa"/>
            <w:tcBorders>
              <w:top w:val="nil"/>
              <w:left w:val="single" w:sz="4" w:space="0" w:color="auto"/>
              <w:bottom w:val="single" w:sz="4" w:space="0" w:color="auto"/>
              <w:right w:val="single" w:sz="4" w:space="0" w:color="auto"/>
            </w:tcBorders>
            <w:noWrap/>
            <w:vAlign w:val="bottom"/>
          </w:tcPr>
          <w:p w14:paraId="0065DEAD" w14:textId="3BF4C4B9"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Poverty &amp; Inequality (PI) &gt; Social Support Network (SSN)</w:t>
            </w:r>
          </w:p>
        </w:tc>
        <w:tc>
          <w:tcPr>
            <w:tcW w:w="756" w:type="dxa"/>
            <w:tcBorders>
              <w:top w:val="nil"/>
              <w:left w:val="nil"/>
              <w:bottom w:val="single" w:sz="4" w:space="0" w:color="auto"/>
              <w:right w:val="single" w:sz="4" w:space="0" w:color="auto"/>
            </w:tcBorders>
            <w:noWrap/>
            <w:vAlign w:val="bottom"/>
          </w:tcPr>
          <w:p w14:paraId="5F1C37B6" w14:textId="382BCD1E"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0.132</w:t>
            </w:r>
          </w:p>
        </w:tc>
        <w:tc>
          <w:tcPr>
            <w:tcW w:w="1276" w:type="dxa"/>
            <w:tcBorders>
              <w:top w:val="nil"/>
              <w:left w:val="nil"/>
              <w:bottom w:val="single" w:sz="4" w:space="0" w:color="auto"/>
              <w:right w:val="single" w:sz="4" w:space="0" w:color="auto"/>
            </w:tcBorders>
            <w:noWrap/>
            <w:vAlign w:val="bottom"/>
          </w:tcPr>
          <w:p w14:paraId="5892290B"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2.515</w:t>
            </w:r>
          </w:p>
        </w:tc>
        <w:tc>
          <w:tcPr>
            <w:tcW w:w="1370" w:type="dxa"/>
            <w:tcBorders>
              <w:top w:val="nil"/>
              <w:left w:val="nil"/>
              <w:bottom w:val="single" w:sz="4" w:space="0" w:color="auto"/>
              <w:right w:val="single" w:sz="4" w:space="0" w:color="auto"/>
            </w:tcBorders>
            <w:noWrap/>
            <w:vAlign w:val="bottom"/>
          </w:tcPr>
          <w:p w14:paraId="7A3D70BF"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0.012</w:t>
            </w:r>
          </w:p>
        </w:tc>
        <w:tc>
          <w:tcPr>
            <w:tcW w:w="1276" w:type="dxa"/>
            <w:tcBorders>
              <w:top w:val="nil"/>
              <w:left w:val="nil"/>
              <w:bottom w:val="single" w:sz="4" w:space="0" w:color="auto"/>
              <w:right w:val="single" w:sz="4" w:space="0" w:color="auto"/>
            </w:tcBorders>
          </w:tcPr>
          <w:p w14:paraId="221B42DA" w14:textId="77777777" w:rsidR="00DB43FA" w:rsidRPr="00D45B1E" w:rsidRDefault="00287096" w:rsidP="00462E7F">
            <w:pPr>
              <w:spacing w:after="0" w:line="240" w:lineRule="auto"/>
              <w:jc w:val="both"/>
              <w:rPr>
                <w:rFonts w:asciiTheme="majorHAnsi" w:hAnsiTheme="majorHAnsi" w:cs="Times New Roman"/>
                <w:sz w:val="20"/>
                <w:szCs w:val="20"/>
              </w:rPr>
            </w:pPr>
            <w:r w:rsidRPr="00D45B1E">
              <w:rPr>
                <w:rFonts w:asciiTheme="majorHAnsi" w:hAnsiTheme="majorHAnsi" w:cs="Times New Roman"/>
                <w:sz w:val="20"/>
                <w:szCs w:val="20"/>
              </w:rPr>
              <w:t>Reject</w:t>
            </w:r>
          </w:p>
        </w:tc>
      </w:tr>
    </w:tbl>
    <w:p w14:paraId="60F213E4" w14:textId="72F5B007"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lastRenderedPageBreak/>
        <w:t xml:space="preserve">Source: </w:t>
      </w:r>
      <w:r w:rsidR="005B19ED" w:rsidRPr="00D45B1E">
        <w:rPr>
          <w:rFonts w:asciiTheme="majorHAnsi" w:hAnsiTheme="majorHAnsi" w:cs="Times New Roman"/>
          <w:b/>
          <w:bCs/>
          <w:sz w:val="20"/>
          <w:szCs w:val="20"/>
        </w:rPr>
        <w:t>Smart-PLS</w:t>
      </w:r>
      <w:r w:rsidRPr="00D45B1E">
        <w:rPr>
          <w:rFonts w:asciiTheme="majorHAnsi" w:hAnsiTheme="majorHAnsi" w:cs="Times New Roman"/>
          <w:b/>
          <w:bCs/>
          <w:sz w:val="20"/>
          <w:szCs w:val="20"/>
        </w:rPr>
        <w:t xml:space="preserve"> 4 (2025)</w:t>
      </w:r>
    </w:p>
    <w:p w14:paraId="41F1E8F8" w14:textId="77777777" w:rsidR="00DB43FA" w:rsidRPr="00D45B1E" w:rsidRDefault="00287096"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4.6.1 Results</w:t>
      </w:r>
    </w:p>
    <w:p w14:paraId="78835572" w14:textId="1FC898FE" w:rsidR="00F816C2" w:rsidRPr="00D45B1E" w:rsidRDefault="00F816C2" w:rsidP="0048350C">
      <w:pPr>
        <w:jc w:val="both"/>
        <w:rPr>
          <w:rFonts w:asciiTheme="majorHAnsi" w:hAnsiTheme="majorHAnsi" w:cs="Times New Roman"/>
          <w:sz w:val="20"/>
          <w:szCs w:val="20"/>
        </w:rPr>
      </w:pPr>
      <w:r w:rsidRPr="00D45B1E">
        <w:rPr>
          <w:rFonts w:asciiTheme="majorHAnsi" w:hAnsiTheme="majorHAnsi" w:cs="Times New Roman"/>
          <w:sz w:val="20"/>
          <w:szCs w:val="20"/>
        </w:rPr>
        <w:t xml:space="preserve">Table </w:t>
      </w:r>
      <w:r w:rsidR="00232E3F" w:rsidRPr="00D45B1E">
        <w:rPr>
          <w:rFonts w:asciiTheme="majorHAnsi" w:hAnsiTheme="majorHAnsi" w:cs="Times New Roman"/>
          <w:sz w:val="20"/>
          <w:szCs w:val="20"/>
        </w:rPr>
        <w:t>5</w:t>
      </w:r>
      <w:r w:rsidRPr="00D45B1E">
        <w:rPr>
          <w:rFonts w:asciiTheme="majorHAnsi" w:hAnsiTheme="majorHAnsi" w:cs="Times New Roman"/>
          <w:sz w:val="20"/>
          <w:szCs w:val="20"/>
        </w:rPr>
        <w:t xml:space="preserve"> </w:t>
      </w:r>
      <w:r w:rsidR="00A91B08" w:rsidRPr="00D45B1E">
        <w:rPr>
          <w:rFonts w:asciiTheme="majorHAnsi" w:hAnsiTheme="majorHAnsi" w:cs="Times New Roman"/>
          <w:sz w:val="20"/>
          <w:szCs w:val="20"/>
        </w:rPr>
        <w:t>summarises the t-statistics and p-values</w:t>
      </w:r>
      <w:r w:rsidRPr="00D45B1E">
        <w:rPr>
          <w:rFonts w:asciiTheme="majorHAnsi" w:hAnsiTheme="majorHAnsi" w:cs="Times New Roman"/>
          <w:sz w:val="20"/>
          <w:szCs w:val="20"/>
        </w:rPr>
        <w:t xml:space="preserve"> for the path coefficients. </w:t>
      </w:r>
      <w:r w:rsidR="00232E3F" w:rsidRPr="00D45B1E">
        <w:rPr>
          <w:rFonts w:asciiTheme="majorHAnsi" w:hAnsiTheme="majorHAnsi" w:cs="Times New Roman"/>
          <w:sz w:val="20"/>
          <w:szCs w:val="20"/>
        </w:rPr>
        <w:t xml:space="preserve">In the COVID Health Crisis, the positive path coefficient (β = 0.177) and the accompanying </w:t>
      </w:r>
      <w:r w:rsidR="00A91B08" w:rsidRPr="00D45B1E">
        <w:rPr>
          <w:rFonts w:asciiTheme="majorHAnsi" w:hAnsiTheme="majorHAnsi" w:cs="Times New Roman"/>
          <w:sz w:val="20"/>
          <w:szCs w:val="20"/>
        </w:rPr>
        <w:t>t-statistic</w:t>
      </w:r>
      <w:r w:rsidR="00232E3F" w:rsidRPr="00D45B1E">
        <w:rPr>
          <w:rFonts w:asciiTheme="majorHAnsi" w:hAnsiTheme="majorHAnsi" w:cs="Times New Roman"/>
          <w:sz w:val="20"/>
          <w:szCs w:val="20"/>
        </w:rPr>
        <w:t xml:space="preserve"> (t = 2.581) attain </w:t>
      </w:r>
      <w:r w:rsidR="00462E7F" w:rsidRPr="00D45B1E">
        <w:rPr>
          <w:rFonts w:asciiTheme="majorHAnsi" w:hAnsiTheme="majorHAnsi" w:cs="Times New Roman"/>
          <w:sz w:val="20"/>
          <w:szCs w:val="20"/>
        </w:rPr>
        <w:t xml:space="preserve">significance at the 5% level </w:t>
      </w:r>
      <w:r w:rsidRPr="00D45B1E">
        <w:rPr>
          <w:rFonts w:asciiTheme="majorHAnsi" w:hAnsiTheme="majorHAnsi" w:cs="Times New Roman"/>
          <w:sz w:val="20"/>
          <w:szCs w:val="20"/>
        </w:rPr>
        <w:t xml:space="preserve">(p = 0.01). Thus, accepting the alternative hypothesis, health crises were found to have a significant effect on emergency savings. Likewise, the path from Health Crisis to Low Debt Level is </w:t>
      </w:r>
      <w:r w:rsidR="00232E3F" w:rsidRPr="00D45B1E">
        <w:rPr>
          <w:rFonts w:asciiTheme="majorHAnsi" w:hAnsiTheme="majorHAnsi" w:cs="Times New Roman"/>
          <w:sz w:val="20"/>
          <w:szCs w:val="20"/>
        </w:rPr>
        <w:t xml:space="preserve">positive (β = 0.20), and the </w:t>
      </w:r>
      <w:r w:rsidR="00A91B08" w:rsidRPr="00D45B1E">
        <w:rPr>
          <w:rFonts w:asciiTheme="majorHAnsi" w:hAnsiTheme="majorHAnsi" w:cs="Times New Roman"/>
          <w:sz w:val="20"/>
          <w:szCs w:val="20"/>
        </w:rPr>
        <w:t>t-statistic</w:t>
      </w:r>
      <w:r w:rsidR="00232E3F" w:rsidRPr="00D45B1E">
        <w:rPr>
          <w:rFonts w:asciiTheme="majorHAnsi" w:hAnsiTheme="majorHAnsi" w:cs="Times New Roman"/>
          <w:sz w:val="20"/>
          <w:szCs w:val="20"/>
        </w:rPr>
        <w:t xml:space="preserve"> indicates a significant effect of health crises at the 0.003 significance threshold </w:t>
      </w:r>
      <w:r w:rsidRPr="00D45B1E">
        <w:rPr>
          <w:rFonts w:asciiTheme="majorHAnsi" w:hAnsiTheme="majorHAnsi" w:cs="Times New Roman"/>
          <w:sz w:val="20"/>
          <w:szCs w:val="20"/>
        </w:rPr>
        <w:t xml:space="preserve">(t = 2.964; p = 0.003). The coefficient linking Health Crisis to Social Support Network </w:t>
      </w:r>
      <w:r w:rsidR="00232E3F" w:rsidRPr="00D45B1E">
        <w:rPr>
          <w:rFonts w:asciiTheme="majorHAnsi" w:hAnsiTheme="majorHAnsi" w:cs="Times New Roman"/>
          <w:sz w:val="20"/>
          <w:szCs w:val="20"/>
        </w:rPr>
        <w:t>is positive (β = 0.373) and significant (t = 6.357; p = 0.00), indicating a</w:t>
      </w:r>
      <w:r w:rsidRPr="00D45B1E">
        <w:rPr>
          <w:rFonts w:asciiTheme="majorHAnsi" w:hAnsiTheme="majorHAnsi" w:cs="Times New Roman"/>
          <w:sz w:val="20"/>
          <w:szCs w:val="20"/>
        </w:rPr>
        <w:t xml:space="preserve"> strong influence of health cris</w:t>
      </w:r>
      <w:r w:rsidR="008F18CF" w:rsidRPr="00D45B1E">
        <w:rPr>
          <w:rFonts w:asciiTheme="majorHAnsi" w:hAnsiTheme="majorHAnsi" w:cs="Times New Roman"/>
          <w:sz w:val="20"/>
          <w:szCs w:val="20"/>
        </w:rPr>
        <w:t xml:space="preserve">es on social support networks. </w:t>
      </w:r>
    </w:p>
    <w:p w14:paraId="215A28F8" w14:textId="2C567CF0" w:rsidR="00355BCC" w:rsidRPr="00D45B1E" w:rsidRDefault="00F816C2" w:rsidP="00355BCC">
      <w:pPr>
        <w:jc w:val="both"/>
        <w:rPr>
          <w:rFonts w:asciiTheme="majorHAnsi" w:hAnsiTheme="majorHAnsi" w:cs="Times New Roman"/>
          <w:sz w:val="20"/>
          <w:szCs w:val="20"/>
        </w:rPr>
      </w:pPr>
      <w:r w:rsidRPr="00D45B1E">
        <w:rPr>
          <w:rFonts w:asciiTheme="majorHAnsi" w:hAnsiTheme="majorHAnsi" w:cs="Times New Roman"/>
          <w:sz w:val="20"/>
          <w:szCs w:val="20"/>
        </w:rPr>
        <w:t xml:space="preserve">Furthermore, the coefficient from Income &amp; Job Instability to Emergency Savings is positive (β = 0.262), </w:t>
      </w:r>
      <w:r w:rsidR="00232E3F" w:rsidRPr="00D45B1E">
        <w:rPr>
          <w:rFonts w:asciiTheme="majorHAnsi" w:hAnsiTheme="majorHAnsi" w:cs="Times New Roman"/>
          <w:sz w:val="20"/>
          <w:szCs w:val="20"/>
        </w:rPr>
        <w:t xml:space="preserve">and the </w:t>
      </w:r>
      <w:r w:rsidR="00A91B08" w:rsidRPr="00D45B1E">
        <w:rPr>
          <w:rFonts w:asciiTheme="majorHAnsi" w:hAnsiTheme="majorHAnsi" w:cs="Times New Roman"/>
          <w:sz w:val="20"/>
          <w:szCs w:val="20"/>
        </w:rPr>
        <w:t>t-statistic</w:t>
      </w:r>
      <w:r w:rsidR="00232E3F" w:rsidRPr="00D45B1E">
        <w:rPr>
          <w:rFonts w:asciiTheme="majorHAnsi" w:hAnsiTheme="majorHAnsi" w:cs="Times New Roman"/>
          <w:sz w:val="20"/>
          <w:szCs w:val="20"/>
        </w:rPr>
        <w:t xml:space="preserve"> is significant (t = 3.856; p = 0.00), indicating a direct,</w:t>
      </w:r>
      <w:r w:rsidRPr="00D45B1E">
        <w:rPr>
          <w:rFonts w:asciiTheme="majorHAnsi" w:hAnsiTheme="majorHAnsi" w:cs="Times New Roman"/>
          <w:sz w:val="20"/>
          <w:szCs w:val="20"/>
        </w:rPr>
        <w:t xml:space="preserve"> significant correlation. Such direct and significant results are again corroborated when we </w:t>
      </w:r>
      <w:r w:rsidR="00A91B08" w:rsidRPr="00D45B1E">
        <w:rPr>
          <w:rFonts w:asciiTheme="majorHAnsi" w:hAnsiTheme="majorHAnsi" w:cs="Times New Roman"/>
          <w:sz w:val="20"/>
          <w:szCs w:val="20"/>
        </w:rPr>
        <w:t>analyse</w:t>
      </w:r>
      <w:r w:rsidRPr="00D45B1E">
        <w:rPr>
          <w:rFonts w:asciiTheme="majorHAnsi" w:hAnsiTheme="majorHAnsi" w:cs="Times New Roman"/>
          <w:sz w:val="20"/>
          <w:szCs w:val="20"/>
        </w:rPr>
        <w:t xml:space="preserve"> the paths from Income &amp; Job Instability to Low Debt Level (β = 0.438) and Social Support Network (β = 0.254). </w:t>
      </w:r>
      <w:r w:rsidR="00355BCC" w:rsidRPr="00D45B1E">
        <w:rPr>
          <w:rFonts w:asciiTheme="majorHAnsi" w:hAnsiTheme="majorHAnsi" w:cs="Times New Roman"/>
          <w:sz w:val="20"/>
          <w:szCs w:val="20"/>
        </w:rPr>
        <w:t xml:space="preserve">T-tests indicate </w:t>
      </w:r>
      <w:r w:rsidR="005B4D91" w:rsidRPr="00D45B1E">
        <w:rPr>
          <w:rFonts w:asciiTheme="majorHAnsi" w:hAnsiTheme="majorHAnsi" w:cs="Times New Roman"/>
          <w:sz w:val="20"/>
          <w:szCs w:val="20"/>
        </w:rPr>
        <w:t>that these measures are significant at the 5% level (p &lt; 0.05), thus rejecting the null hypothesis that income and job instability do not affect</w:t>
      </w:r>
      <w:r w:rsidR="00355BCC" w:rsidRPr="00D45B1E">
        <w:rPr>
          <w:rFonts w:asciiTheme="majorHAnsi" w:hAnsiTheme="majorHAnsi" w:cs="Times New Roman"/>
          <w:sz w:val="20"/>
          <w:szCs w:val="20"/>
        </w:rPr>
        <w:t xml:space="preserve"> low levels of debt and social support networks.</w:t>
      </w:r>
    </w:p>
    <w:p w14:paraId="6B3A26B7" w14:textId="1AE26BA4" w:rsidR="00F816C2" w:rsidRPr="00D45B1E" w:rsidRDefault="00F816C2" w:rsidP="0048350C">
      <w:pPr>
        <w:jc w:val="both"/>
        <w:rPr>
          <w:rFonts w:asciiTheme="majorHAnsi" w:hAnsiTheme="majorHAnsi" w:cs="Times New Roman"/>
          <w:sz w:val="20"/>
          <w:szCs w:val="20"/>
        </w:rPr>
      </w:pPr>
      <w:r w:rsidRPr="00D45B1E">
        <w:rPr>
          <w:rFonts w:asciiTheme="majorHAnsi" w:hAnsiTheme="majorHAnsi" w:cs="Times New Roman"/>
          <w:sz w:val="20"/>
          <w:szCs w:val="20"/>
        </w:rPr>
        <w:t xml:space="preserve">Conversely, the coefficients from Poverty &amp; Inequality to Emergency Savings (β = 0.07), Low Debt Level (β = 0.06), and Social Support Network (β = 0.132) yield </w:t>
      </w:r>
      <w:r w:rsidR="00462E7F" w:rsidRPr="00D45B1E">
        <w:rPr>
          <w:rFonts w:asciiTheme="majorHAnsi" w:hAnsiTheme="majorHAnsi" w:cs="Times New Roman"/>
          <w:sz w:val="20"/>
          <w:szCs w:val="20"/>
        </w:rPr>
        <w:t>adverse</w:t>
      </w:r>
      <w:r w:rsidRPr="00D45B1E">
        <w:rPr>
          <w:rFonts w:asciiTheme="majorHAnsi" w:hAnsiTheme="majorHAnsi" w:cs="Times New Roman"/>
          <w:sz w:val="20"/>
          <w:szCs w:val="20"/>
        </w:rPr>
        <w:t xml:space="preserve"> outcomes. The </w:t>
      </w:r>
      <w:r w:rsidR="00A91B08" w:rsidRPr="00D45B1E">
        <w:rPr>
          <w:rFonts w:asciiTheme="majorHAnsi" w:hAnsiTheme="majorHAnsi" w:cs="Times New Roman"/>
          <w:sz w:val="20"/>
          <w:szCs w:val="20"/>
        </w:rPr>
        <w:t>t-</w:t>
      </w:r>
      <w:proofErr w:type="spellStart"/>
      <w:r w:rsidR="00A91B08" w:rsidRPr="00D45B1E">
        <w:rPr>
          <w:rFonts w:asciiTheme="majorHAnsi" w:hAnsiTheme="majorHAnsi" w:cs="Times New Roman"/>
          <w:sz w:val="20"/>
          <w:szCs w:val="20"/>
        </w:rPr>
        <w:t>statistic</w:t>
      </w:r>
      <w:proofErr w:type="spellEnd"/>
      <w:r w:rsidRPr="00D45B1E">
        <w:rPr>
          <w:rFonts w:asciiTheme="majorHAnsi" w:hAnsiTheme="majorHAnsi" w:cs="Times New Roman"/>
          <w:sz w:val="20"/>
          <w:szCs w:val="20"/>
        </w:rPr>
        <w:t xml:space="preserve"> analyses for Emergency Savings (t = 1.099; p = 0.272) and Low Debt Level (t = 1.083; p = 0.279) at the 5% level </w:t>
      </w:r>
      <w:r w:rsidR="00232E3F" w:rsidRPr="00D45B1E">
        <w:rPr>
          <w:rFonts w:asciiTheme="majorHAnsi" w:hAnsiTheme="majorHAnsi" w:cs="Times New Roman"/>
          <w:sz w:val="20"/>
          <w:szCs w:val="20"/>
        </w:rPr>
        <w:t>are not statistically significant</w:t>
      </w:r>
      <w:r w:rsidRPr="00D45B1E">
        <w:rPr>
          <w:rFonts w:asciiTheme="majorHAnsi" w:hAnsiTheme="majorHAnsi" w:cs="Times New Roman"/>
          <w:sz w:val="20"/>
          <w:szCs w:val="20"/>
        </w:rPr>
        <w:t xml:space="preserve">. Hence, the null hypotheses for these paths cannot be rejected, implying that poverty and inequality do not have any significant effect on emergency savings or low debt levels. However, the Social Support Network yields significant </w:t>
      </w:r>
      <w:r w:rsidR="005B19ED" w:rsidRPr="00D45B1E">
        <w:rPr>
          <w:rFonts w:asciiTheme="majorHAnsi" w:hAnsiTheme="majorHAnsi" w:cs="Times New Roman"/>
          <w:sz w:val="20"/>
          <w:szCs w:val="20"/>
        </w:rPr>
        <w:t>t-statistics</w:t>
      </w:r>
      <w:r w:rsidRPr="00D45B1E">
        <w:rPr>
          <w:rFonts w:asciiTheme="majorHAnsi" w:hAnsiTheme="majorHAnsi" w:cs="Times New Roman"/>
          <w:sz w:val="20"/>
          <w:szCs w:val="20"/>
        </w:rPr>
        <w:t xml:space="preserve"> (t = 2.515; p = 0.012), indicating that poverty and inequality significantly influence social support networks. </w:t>
      </w:r>
    </w:p>
    <w:p w14:paraId="30EC18E4" w14:textId="77777777" w:rsidR="00F816C2" w:rsidRPr="00D45B1E" w:rsidRDefault="00F816C2" w:rsidP="0048350C">
      <w:pPr>
        <w:jc w:val="both"/>
        <w:rPr>
          <w:rFonts w:asciiTheme="majorHAnsi" w:hAnsiTheme="majorHAnsi" w:cs="Times New Roman"/>
          <w:b/>
          <w:sz w:val="20"/>
          <w:szCs w:val="20"/>
        </w:rPr>
      </w:pPr>
      <w:r w:rsidRPr="00D45B1E">
        <w:rPr>
          <w:rFonts w:asciiTheme="majorHAnsi" w:hAnsiTheme="majorHAnsi" w:cs="Times New Roman"/>
          <w:b/>
          <w:sz w:val="20"/>
          <w:szCs w:val="20"/>
        </w:rPr>
        <w:t xml:space="preserve">4.6.2 Discussion </w:t>
      </w:r>
    </w:p>
    <w:p w14:paraId="526652F9" w14:textId="5D156CE6" w:rsidR="00DE23E2" w:rsidRPr="00D45B1E" w:rsidRDefault="00F816C2" w:rsidP="00DE23E2">
      <w:pPr>
        <w:jc w:val="both"/>
        <w:rPr>
          <w:rFonts w:asciiTheme="majorHAnsi" w:hAnsiTheme="majorHAnsi" w:cs="Times New Roman"/>
          <w:sz w:val="20"/>
          <w:szCs w:val="20"/>
        </w:rPr>
      </w:pPr>
      <w:r w:rsidRPr="00D45B1E">
        <w:rPr>
          <w:rFonts w:asciiTheme="majorHAnsi" w:hAnsiTheme="majorHAnsi" w:cs="Times New Roman"/>
          <w:sz w:val="20"/>
          <w:szCs w:val="20"/>
        </w:rPr>
        <w:t xml:space="preserve">Results from our study establish that health crises are strong determinants of personal financial resilience, exerting significant effects on emergency savings, low debt levels, and social support networks. Worldwide, these findings </w:t>
      </w:r>
      <w:r w:rsidR="00A91B08" w:rsidRPr="00D45B1E">
        <w:rPr>
          <w:rFonts w:asciiTheme="majorHAnsi" w:hAnsiTheme="majorHAnsi" w:cs="Times New Roman"/>
          <w:sz w:val="20"/>
          <w:szCs w:val="20"/>
        </w:rPr>
        <w:t>harmonise</w:t>
      </w:r>
      <w:r w:rsidRPr="00D45B1E">
        <w:rPr>
          <w:rFonts w:asciiTheme="majorHAnsi" w:hAnsiTheme="majorHAnsi" w:cs="Times New Roman"/>
          <w:sz w:val="20"/>
          <w:szCs w:val="20"/>
        </w:rPr>
        <w:t xml:space="preserve"> well with the assertion that </w:t>
      </w:r>
      <w:r w:rsidR="00A91B08" w:rsidRPr="00D45B1E">
        <w:rPr>
          <w:rFonts w:asciiTheme="majorHAnsi" w:hAnsiTheme="majorHAnsi" w:cs="Times New Roman"/>
          <w:sz w:val="20"/>
          <w:szCs w:val="20"/>
        </w:rPr>
        <w:t>health-related</w:t>
      </w:r>
      <w:r w:rsidRPr="00D45B1E">
        <w:rPr>
          <w:rFonts w:asciiTheme="majorHAnsi" w:hAnsiTheme="majorHAnsi" w:cs="Times New Roman"/>
          <w:sz w:val="20"/>
          <w:szCs w:val="20"/>
        </w:rPr>
        <w:t xml:space="preserve"> shocks, sudden illness, or pandemics do bring about severe interruptions in terms of household financial stability while reinforcing the adaptive coping strategies that are so externally stimulated in this manner (Jalili</w:t>
      </w:r>
      <w:r w:rsidR="00232E3F" w:rsidRPr="00D45B1E">
        <w:rPr>
          <w:rFonts w:asciiTheme="majorHAnsi" w:hAnsiTheme="majorHAnsi" w:cs="Times New Roman"/>
          <w:sz w:val="20"/>
          <w:szCs w:val="20"/>
        </w:rPr>
        <w:t xml:space="preserve"> et al,</w:t>
      </w:r>
      <w:r w:rsidRPr="00D45B1E">
        <w:rPr>
          <w:rFonts w:asciiTheme="majorHAnsi" w:hAnsiTheme="majorHAnsi" w:cs="Times New Roman"/>
          <w:sz w:val="20"/>
          <w:szCs w:val="20"/>
        </w:rPr>
        <w:t xml:space="preserve"> 2025; Kumar et al., 2021; Banerjee &amp; Duflo, 2019). </w:t>
      </w:r>
      <w:r w:rsidR="00DE23E2" w:rsidRPr="00D45B1E">
        <w:rPr>
          <w:rFonts w:asciiTheme="majorHAnsi" w:hAnsiTheme="majorHAnsi" w:cs="Times New Roman"/>
          <w:sz w:val="20"/>
          <w:szCs w:val="20"/>
        </w:rPr>
        <w:t xml:space="preserve">Research conducted during health crises in regions </w:t>
      </w:r>
      <w:r w:rsidR="005B4D91" w:rsidRPr="00D45B1E">
        <w:rPr>
          <w:rFonts w:asciiTheme="majorHAnsi" w:hAnsiTheme="majorHAnsi" w:cs="Times New Roman"/>
          <w:sz w:val="20"/>
          <w:szCs w:val="20"/>
        </w:rPr>
        <w:t>such as South Asia and Sub-Saharan Africa shows that households spend (or liquidate) their savings, borrow from informal lenders, and tap their social networks (i.e., family and friends) to manage the new financial risks</w:t>
      </w:r>
      <w:r w:rsidR="00DE23E2" w:rsidRPr="00D45B1E">
        <w:rPr>
          <w:rFonts w:asciiTheme="majorHAnsi" w:hAnsiTheme="majorHAnsi" w:cs="Times New Roman"/>
          <w:sz w:val="20"/>
          <w:szCs w:val="20"/>
        </w:rPr>
        <w:t xml:space="preserve"> (</w:t>
      </w:r>
      <w:proofErr w:type="spellStart"/>
      <w:r w:rsidR="00DE23E2" w:rsidRPr="00D45B1E">
        <w:rPr>
          <w:rFonts w:asciiTheme="majorHAnsi" w:hAnsiTheme="majorHAnsi" w:cs="Times New Roman"/>
          <w:sz w:val="20"/>
          <w:szCs w:val="20"/>
        </w:rPr>
        <w:t>Okomu</w:t>
      </w:r>
      <w:proofErr w:type="spellEnd"/>
      <w:r w:rsidR="00DE23E2" w:rsidRPr="00D45B1E">
        <w:rPr>
          <w:rFonts w:asciiTheme="majorHAnsi" w:hAnsiTheme="majorHAnsi" w:cs="Times New Roman"/>
          <w:sz w:val="20"/>
          <w:szCs w:val="20"/>
        </w:rPr>
        <w:t xml:space="preserve"> et al., 2021). This suggests that social capital may mitigate the effect of health crises on financial fragility.  </w:t>
      </w:r>
    </w:p>
    <w:p w14:paraId="3A8A023C" w14:textId="77777777" w:rsidR="00DE23E2" w:rsidRPr="00D45B1E" w:rsidRDefault="00DE23E2" w:rsidP="00DE23E2">
      <w:pPr>
        <w:jc w:val="both"/>
        <w:rPr>
          <w:rFonts w:asciiTheme="majorHAnsi" w:hAnsiTheme="majorHAnsi" w:cs="Times New Roman"/>
          <w:sz w:val="20"/>
          <w:szCs w:val="20"/>
        </w:rPr>
      </w:pPr>
    </w:p>
    <w:p w14:paraId="14264697" w14:textId="7422209B" w:rsidR="00F816C2" w:rsidRPr="00D45B1E" w:rsidRDefault="00DE23E2" w:rsidP="00DE23E2">
      <w:pPr>
        <w:jc w:val="both"/>
        <w:rPr>
          <w:rFonts w:asciiTheme="majorHAnsi" w:hAnsiTheme="majorHAnsi" w:cs="Times New Roman"/>
          <w:sz w:val="20"/>
          <w:szCs w:val="20"/>
        </w:rPr>
      </w:pPr>
      <w:r w:rsidRPr="00D45B1E">
        <w:rPr>
          <w:rFonts w:asciiTheme="majorHAnsi" w:hAnsiTheme="majorHAnsi" w:cs="Times New Roman"/>
          <w:sz w:val="20"/>
          <w:szCs w:val="20"/>
        </w:rPr>
        <w:t xml:space="preserve">The same income and job instability that </w:t>
      </w:r>
      <w:r w:rsidR="005B4D91" w:rsidRPr="00D45B1E">
        <w:rPr>
          <w:rFonts w:asciiTheme="majorHAnsi" w:hAnsiTheme="majorHAnsi" w:cs="Times New Roman"/>
          <w:sz w:val="20"/>
          <w:szCs w:val="20"/>
        </w:rPr>
        <w:t>characterised financial resilience and influenced savings, debt, and social borrowing also described turbulence in the labour market and inconsistencies in income flows</w:t>
      </w:r>
      <w:r w:rsidRPr="00D45B1E">
        <w:rPr>
          <w:rFonts w:asciiTheme="majorHAnsi" w:hAnsiTheme="majorHAnsi" w:cs="Times New Roman"/>
          <w:sz w:val="20"/>
          <w:szCs w:val="20"/>
        </w:rPr>
        <w:t xml:space="preserve"> in Nigeria and emerging markets. Such conditions have been described as debilitating to </w:t>
      </w:r>
      <w:r w:rsidR="005B4D91" w:rsidRPr="00D45B1E">
        <w:rPr>
          <w:rFonts w:asciiTheme="majorHAnsi" w:hAnsiTheme="majorHAnsi" w:cs="Times New Roman"/>
          <w:sz w:val="20"/>
          <w:szCs w:val="20"/>
        </w:rPr>
        <w:t xml:space="preserve">households' ability </w:t>
      </w:r>
      <w:r w:rsidRPr="00D45B1E">
        <w:rPr>
          <w:rFonts w:asciiTheme="majorHAnsi" w:hAnsiTheme="majorHAnsi" w:cs="Times New Roman"/>
          <w:sz w:val="20"/>
          <w:szCs w:val="20"/>
        </w:rPr>
        <w:t xml:space="preserve">to protect themselves from economic shocks (Afolabi et al., 2023b; </w:t>
      </w:r>
      <w:proofErr w:type="spellStart"/>
      <w:r w:rsidRPr="00D45B1E">
        <w:rPr>
          <w:rFonts w:asciiTheme="majorHAnsi" w:hAnsiTheme="majorHAnsi" w:cs="Times New Roman"/>
          <w:sz w:val="20"/>
          <w:szCs w:val="20"/>
        </w:rPr>
        <w:t>Osabohien</w:t>
      </w:r>
      <w:proofErr w:type="spellEnd"/>
      <w:r w:rsidRPr="00D45B1E">
        <w:rPr>
          <w:rFonts w:asciiTheme="majorHAnsi" w:hAnsiTheme="majorHAnsi" w:cs="Times New Roman"/>
          <w:sz w:val="20"/>
          <w:szCs w:val="20"/>
        </w:rPr>
        <w:t xml:space="preserve"> et al., 2020). There is global evidence </w:t>
      </w:r>
      <w:r w:rsidR="005B4D91" w:rsidRPr="00D45B1E">
        <w:rPr>
          <w:rFonts w:asciiTheme="majorHAnsi" w:hAnsiTheme="majorHAnsi" w:cs="Times New Roman"/>
          <w:sz w:val="20"/>
          <w:szCs w:val="20"/>
        </w:rPr>
        <w:t>that labour market insecurity leads to less financial planning, lower savings, and increased</w:t>
      </w:r>
      <w:r w:rsidRPr="00D45B1E">
        <w:rPr>
          <w:rFonts w:asciiTheme="majorHAnsi" w:hAnsiTheme="majorHAnsi" w:cs="Times New Roman"/>
          <w:sz w:val="20"/>
          <w:szCs w:val="20"/>
        </w:rPr>
        <w:t xml:space="preserve"> community participation. </w:t>
      </w:r>
      <w:r w:rsidR="00F816C2" w:rsidRPr="00D45B1E">
        <w:rPr>
          <w:rFonts w:asciiTheme="majorHAnsi" w:hAnsiTheme="majorHAnsi" w:cs="Times New Roman"/>
          <w:sz w:val="20"/>
          <w:szCs w:val="20"/>
        </w:rPr>
        <w:t xml:space="preserve">Therefore, the importance of resilience </w:t>
      </w:r>
      <w:r w:rsidR="00232E3F" w:rsidRPr="00D45B1E">
        <w:rPr>
          <w:rFonts w:asciiTheme="majorHAnsi" w:hAnsiTheme="majorHAnsi" w:cs="Times New Roman"/>
          <w:sz w:val="20"/>
          <w:szCs w:val="20"/>
        </w:rPr>
        <w:t>in</w:t>
      </w:r>
      <w:r w:rsidR="00F816C2" w:rsidRPr="00D45B1E">
        <w:rPr>
          <w:rFonts w:asciiTheme="majorHAnsi" w:hAnsiTheme="majorHAnsi" w:cs="Times New Roman"/>
          <w:sz w:val="20"/>
          <w:szCs w:val="20"/>
        </w:rPr>
        <w:t xml:space="preserve"> having uninterrupted income becomes amplified (OECD, 2020; Furman et al., 2018). The other side </w:t>
      </w:r>
      <w:r w:rsidR="00232E3F" w:rsidRPr="00D45B1E">
        <w:rPr>
          <w:rFonts w:asciiTheme="majorHAnsi" w:hAnsiTheme="majorHAnsi" w:cs="Times New Roman"/>
          <w:sz w:val="20"/>
          <w:szCs w:val="20"/>
        </w:rPr>
        <w:t>discusses significant but nearly insignificant deleterious effects of poverty and the unequal distribution of wealth on emergency savings and low debt levels, implying that households chronically deprived socioeconomically may lack the financial muscle to rely on other means of support in times of crisis</w:t>
      </w:r>
      <w:r w:rsidR="009C1053" w:rsidRPr="00D45B1E">
        <w:rPr>
          <w:rFonts w:asciiTheme="majorHAnsi" w:hAnsiTheme="majorHAnsi" w:cs="Times New Roman"/>
          <w:sz w:val="20"/>
          <w:szCs w:val="20"/>
        </w:rPr>
        <w:t xml:space="preserve">. </w:t>
      </w:r>
    </w:p>
    <w:p w14:paraId="42A9A843" w14:textId="5733B980" w:rsidR="00DE23E2" w:rsidRPr="00D45B1E" w:rsidRDefault="00F816C2" w:rsidP="00DE23E2">
      <w:pPr>
        <w:jc w:val="both"/>
        <w:rPr>
          <w:rFonts w:asciiTheme="majorHAnsi" w:hAnsiTheme="majorHAnsi" w:cs="Times New Roman"/>
          <w:sz w:val="20"/>
          <w:szCs w:val="20"/>
        </w:rPr>
      </w:pPr>
      <w:r w:rsidRPr="00D45B1E">
        <w:rPr>
          <w:rFonts w:asciiTheme="majorHAnsi" w:hAnsiTheme="majorHAnsi" w:cs="Times New Roman"/>
          <w:sz w:val="20"/>
          <w:szCs w:val="20"/>
        </w:rPr>
        <w:lastRenderedPageBreak/>
        <w:t xml:space="preserve">Such consequences </w:t>
      </w:r>
      <w:r w:rsidR="00232E3F" w:rsidRPr="00D45B1E">
        <w:rPr>
          <w:rFonts w:asciiTheme="majorHAnsi" w:hAnsiTheme="majorHAnsi" w:cs="Times New Roman"/>
          <w:sz w:val="20"/>
          <w:szCs w:val="20"/>
        </w:rPr>
        <w:t xml:space="preserve">have been observed in studies in LMICs operating in </w:t>
      </w:r>
      <w:r w:rsidR="00A91B08" w:rsidRPr="00D45B1E">
        <w:rPr>
          <w:rFonts w:asciiTheme="majorHAnsi" w:hAnsiTheme="majorHAnsi" w:cs="Times New Roman"/>
          <w:sz w:val="20"/>
          <w:szCs w:val="20"/>
        </w:rPr>
        <w:t>resource-poor contexts, where resource-poor</w:t>
      </w:r>
      <w:r w:rsidR="00232E3F" w:rsidRPr="00D45B1E">
        <w:rPr>
          <w:rFonts w:asciiTheme="majorHAnsi" w:hAnsiTheme="majorHAnsi" w:cs="Times New Roman"/>
          <w:sz w:val="20"/>
          <w:szCs w:val="20"/>
        </w:rPr>
        <w:t xml:space="preserve"> households exhibit low resilience to economic shocks even though their potential is supported by social networks</w:t>
      </w:r>
      <w:r w:rsidRPr="00D45B1E">
        <w:rPr>
          <w:rFonts w:asciiTheme="majorHAnsi" w:hAnsiTheme="majorHAnsi" w:cs="Times New Roman"/>
          <w:sz w:val="20"/>
          <w:szCs w:val="20"/>
        </w:rPr>
        <w:t xml:space="preserve"> (</w:t>
      </w:r>
      <w:proofErr w:type="spellStart"/>
      <w:r w:rsidRPr="00D45B1E">
        <w:rPr>
          <w:rFonts w:asciiTheme="majorHAnsi" w:hAnsiTheme="majorHAnsi" w:cs="Times New Roman"/>
          <w:sz w:val="20"/>
          <w:szCs w:val="20"/>
        </w:rPr>
        <w:t>DemirgüçKunt</w:t>
      </w:r>
      <w:proofErr w:type="spellEnd"/>
      <w:r w:rsidRPr="00D45B1E">
        <w:rPr>
          <w:rFonts w:asciiTheme="majorHAnsi" w:hAnsiTheme="majorHAnsi" w:cs="Times New Roman"/>
          <w:sz w:val="20"/>
          <w:szCs w:val="20"/>
        </w:rPr>
        <w:t xml:space="preserve"> et al., 2020; World Bank, 2021). In this study, poverty and inequality exerted a </w:t>
      </w:r>
      <w:r w:rsidR="00462E7F" w:rsidRPr="00D45B1E">
        <w:rPr>
          <w:rFonts w:asciiTheme="majorHAnsi" w:hAnsiTheme="majorHAnsi" w:cs="Times New Roman"/>
          <w:sz w:val="20"/>
          <w:szCs w:val="20"/>
        </w:rPr>
        <w:t>substantial</w:t>
      </w:r>
      <w:r w:rsidR="00232E3F" w:rsidRPr="00D45B1E">
        <w:rPr>
          <w:rFonts w:asciiTheme="majorHAnsi" w:hAnsiTheme="majorHAnsi" w:cs="Times New Roman"/>
          <w:sz w:val="20"/>
          <w:szCs w:val="20"/>
        </w:rPr>
        <w:t xml:space="preserve"> effect on social support, reinforcing the idea that the more </w:t>
      </w:r>
      <w:r w:rsidR="00A91B08" w:rsidRPr="00D45B1E">
        <w:rPr>
          <w:rFonts w:asciiTheme="majorHAnsi" w:hAnsiTheme="majorHAnsi" w:cs="Times New Roman"/>
          <w:sz w:val="20"/>
          <w:szCs w:val="20"/>
        </w:rPr>
        <w:t>marginalised</w:t>
      </w:r>
      <w:r w:rsidR="00232E3F" w:rsidRPr="00D45B1E">
        <w:rPr>
          <w:rFonts w:asciiTheme="majorHAnsi" w:hAnsiTheme="majorHAnsi" w:cs="Times New Roman"/>
          <w:sz w:val="20"/>
          <w:szCs w:val="20"/>
        </w:rPr>
        <w:t xml:space="preserve"> a population is</w:t>
      </w:r>
      <w:r w:rsidRPr="00D45B1E">
        <w:rPr>
          <w:rFonts w:asciiTheme="majorHAnsi" w:hAnsiTheme="majorHAnsi" w:cs="Times New Roman"/>
          <w:sz w:val="20"/>
          <w:szCs w:val="20"/>
        </w:rPr>
        <w:t>, the more it tends to rely on community ties and informal support to cope with adverse conditions (Hill et al., 2020). Their overall findings suggest that acute</w:t>
      </w:r>
      <w:r w:rsidR="00462E7F" w:rsidRPr="00D45B1E">
        <w:rPr>
          <w:rFonts w:asciiTheme="majorHAnsi" w:hAnsiTheme="majorHAnsi" w:cs="Times New Roman"/>
          <w:sz w:val="20"/>
          <w:szCs w:val="20"/>
        </w:rPr>
        <w:t>, short-term shocks, such as health crises and income losses, affect personal financial resilience much more directly and seriously than do structural,</w:t>
      </w:r>
      <w:r w:rsidR="00A91B08" w:rsidRPr="00D45B1E">
        <w:rPr>
          <w:rFonts w:asciiTheme="majorHAnsi" w:hAnsiTheme="majorHAnsi" w:cs="Times New Roman"/>
          <w:sz w:val="20"/>
          <w:szCs w:val="20"/>
        </w:rPr>
        <w:t xml:space="preserve"> long-term</w:t>
      </w:r>
      <w:r w:rsidRPr="00D45B1E">
        <w:rPr>
          <w:rFonts w:asciiTheme="majorHAnsi" w:hAnsiTheme="majorHAnsi" w:cs="Times New Roman"/>
          <w:sz w:val="20"/>
          <w:szCs w:val="20"/>
        </w:rPr>
        <w:t xml:space="preserve"> shocks, namely poverty and inequality. Such differentiation confirms a </w:t>
      </w:r>
      <w:r w:rsidR="00462E7F" w:rsidRPr="00D45B1E">
        <w:rPr>
          <w:rFonts w:asciiTheme="majorHAnsi" w:hAnsiTheme="majorHAnsi" w:cs="Times New Roman"/>
          <w:sz w:val="20"/>
          <w:szCs w:val="20"/>
        </w:rPr>
        <w:t>significant</w:t>
      </w:r>
      <w:r w:rsidRPr="00D45B1E">
        <w:rPr>
          <w:rFonts w:asciiTheme="majorHAnsi" w:hAnsiTheme="majorHAnsi" w:cs="Times New Roman"/>
          <w:sz w:val="20"/>
          <w:szCs w:val="20"/>
        </w:rPr>
        <w:t xml:space="preserve"> finding from the literature worldwide</w:t>
      </w:r>
      <w:r w:rsidR="00232E3F" w:rsidRPr="00D45B1E">
        <w:rPr>
          <w:rFonts w:asciiTheme="majorHAnsi" w:hAnsiTheme="majorHAnsi" w:cs="Times New Roman"/>
          <w:sz w:val="20"/>
          <w:szCs w:val="20"/>
        </w:rPr>
        <w:t xml:space="preserve">: while structures of disadvantage limit financial capacity, acute shocks prompt immediate behavioural changes and </w:t>
      </w:r>
      <w:r w:rsidR="00A91B08" w:rsidRPr="00D45B1E">
        <w:rPr>
          <w:rFonts w:asciiTheme="majorHAnsi" w:hAnsiTheme="majorHAnsi" w:cs="Times New Roman"/>
          <w:sz w:val="20"/>
          <w:szCs w:val="20"/>
        </w:rPr>
        <w:t>decision-making</w:t>
      </w:r>
      <w:r w:rsidR="00232E3F" w:rsidRPr="00D45B1E">
        <w:rPr>
          <w:rFonts w:asciiTheme="majorHAnsi" w:hAnsiTheme="majorHAnsi" w:cs="Times New Roman"/>
          <w:sz w:val="20"/>
          <w:szCs w:val="20"/>
        </w:rPr>
        <w:t xml:space="preserve"> that rely</w:t>
      </w:r>
      <w:r w:rsidRPr="00D45B1E">
        <w:rPr>
          <w:rFonts w:asciiTheme="majorHAnsi" w:hAnsiTheme="majorHAnsi" w:cs="Times New Roman"/>
          <w:sz w:val="20"/>
          <w:szCs w:val="20"/>
        </w:rPr>
        <w:t xml:space="preserve"> on the social setup (Thu et al., 2022; Bufe et al., 2021). </w:t>
      </w:r>
      <w:r w:rsidR="00DE23E2" w:rsidRPr="00D45B1E">
        <w:rPr>
          <w:rFonts w:asciiTheme="majorHAnsi" w:hAnsiTheme="majorHAnsi" w:cs="Times New Roman"/>
          <w:sz w:val="20"/>
          <w:szCs w:val="20"/>
        </w:rPr>
        <w:t>The findings underline the importance of combining financial, social</w:t>
      </w:r>
      <w:r w:rsidR="005B4D91" w:rsidRPr="00D45B1E">
        <w:rPr>
          <w:rFonts w:asciiTheme="majorHAnsi" w:hAnsiTheme="majorHAnsi" w:cs="Times New Roman"/>
          <w:sz w:val="20"/>
          <w:szCs w:val="20"/>
        </w:rPr>
        <w:t>, and policy strategies to strengthen the</w:t>
      </w:r>
      <w:r w:rsidR="00DE23E2" w:rsidRPr="00D45B1E">
        <w:rPr>
          <w:rFonts w:asciiTheme="majorHAnsi" w:hAnsiTheme="majorHAnsi" w:cs="Times New Roman"/>
          <w:sz w:val="20"/>
          <w:szCs w:val="20"/>
        </w:rPr>
        <w:t xml:space="preserve"> resilience of the most vulnerable to health and economic shocks.</w:t>
      </w:r>
    </w:p>
    <w:p w14:paraId="04D6F4E6" w14:textId="01A8E54A" w:rsidR="00464B28" w:rsidRPr="00D45B1E" w:rsidRDefault="00137CB7" w:rsidP="0048350C">
      <w:pPr>
        <w:jc w:val="both"/>
        <w:rPr>
          <w:rFonts w:asciiTheme="majorHAnsi" w:hAnsiTheme="majorHAnsi" w:cs="Times New Roman"/>
          <w:b/>
          <w:bCs/>
          <w:sz w:val="20"/>
          <w:szCs w:val="20"/>
        </w:rPr>
      </w:pPr>
      <w:r w:rsidRPr="00D45B1E">
        <w:rPr>
          <w:rFonts w:asciiTheme="majorHAnsi" w:hAnsiTheme="majorHAnsi" w:cs="Times New Roman"/>
          <w:b/>
          <w:bCs/>
          <w:sz w:val="20"/>
          <w:szCs w:val="20"/>
        </w:rPr>
        <w:t xml:space="preserve">4.7 </w:t>
      </w:r>
      <w:r w:rsidR="00464B28" w:rsidRPr="00D45B1E">
        <w:rPr>
          <w:rFonts w:asciiTheme="majorHAnsi" w:hAnsiTheme="majorHAnsi" w:cs="Times New Roman"/>
          <w:b/>
          <w:bCs/>
          <w:sz w:val="20"/>
          <w:szCs w:val="20"/>
        </w:rPr>
        <w:t xml:space="preserve">Limitations and Future Research </w:t>
      </w:r>
    </w:p>
    <w:p w14:paraId="43D4CF81" w14:textId="7BF2CEDA" w:rsidR="00993134" w:rsidRPr="00D45B1E" w:rsidRDefault="00993134" w:rsidP="00993134">
      <w:pPr>
        <w:spacing w:after="0" w:line="240" w:lineRule="auto"/>
        <w:ind w:right="567"/>
        <w:jc w:val="both"/>
        <w:rPr>
          <w:rFonts w:asciiTheme="majorHAnsi" w:hAnsiTheme="majorHAnsi" w:cs="Times New Roman"/>
          <w:bCs/>
          <w:sz w:val="20"/>
          <w:szCs w:val="20"/>
        </w:rPr>
      </w:pPr>
      <w:r w:rsidRPr="00D45B1E">
        <w:rPr>
          <w:rFonts w:asciiTheme="majorHAnsi" w:hAnsiTheme="majorHAnsi" w:cs="Times New Roman"/>
          <w:bCs/>
          <w:sz w:val="20"/>
          <w:szCs w:val="20"/>
        </w:rPr>
        <w:t>It is paradoxical and painful to state the obvious</w:t>
      </w:r>
      <w:r w:rsidR="005B4D91" w:rsidRPr="00D45B1E">
        <w:rPr>
          <w:rFonts w:asciiTheme="majorHAnsi" w:hAnsiTheme="majorHAnsi" w:cs="Times New Roman"/>
          <w:bCs/>
          <w:sz w:val="20"/>
          <w:szCs w:val="20"/>
        </w:rPr>
        <w:t xml:space="preserve">, only to then acknowledge </w:t>
      </w:r>
      <w:r w:rsidRPr="00D45B1E">
        <w:rPr>
          <w:rFonts w:asciiTheme="majorHAnsi" w:hAnsiTheme="majorHAnsi" w:cs="Times New Roman"/>
          <w:bCs/>
          <w:sz w:val="20"/>
          <w:szCs w:val="20"/>
        </w:rPr>
        <w:t xml:space="preserve">the known limitations. Measuring the impact of socioeconomic crises on individual financial resilience is cross-sectional in design, capturing financial resilience at </w:t>
      </w:r>
      <w:r w:rsidR="005B4D91" w:rsidRPr="00D45B1E">
        <w:rPr>
          <w:rFonts w:asciiTheme="majorHAnsi" w:hAnsiTheme="majorHAnsi" w:cs="Times New Roman"/>
          <w:bCs/>
          <w:sz w:val="20"/>
          <w:szCs w:val="20"/>
        </w:rPr>
        <w:t>a single point in time and making no provision for causal inference or longitudinal observations of behavioural</w:t>
      </w:r>
      <w:r w:rsidRPr="00D45B1E">
        <w:rPr>
          <w:rFonts w:asciiTheme="majorHAnsi" w:hAnsiTheme="majorHAnsi" w:cs="Times New Roman"/>
          <w:bCs/>
          <w:sz w:val="20"/>
          <w:szCs w:val="20"/>
        </w:rPr>
        <w:t xml:space="preserve"> changes. As the responses were self-reported, the </w:t>
      </w:r>
      <w:r w:rsidR="005B4D91" w:rsidRPr="00D45B1E">
        <w:rPr>
          <w:rFonts w:asciiTheme="majorHAnsi" w:hAnsiTheme="majorHAnsi" w:cs="Times New Roman"/>
          <w:bCs/>
          <w:sz w:val="20"/>
          <w:szCs w:val="20"/>
        </w:rPr>
        <w:t>dataset is subject to response, social desirability, and self-presentation biases</w:t>
      </w:r>
      <w:r w:rsidRPr="00D45B1E">
        <w:rPr>
          <w:rFonts w:asciiTheme="majorHAnsi" w:hAnsiTheme="majorHAnsi" w:cs="Times New Roman"/>
          <w:bCs/>
          <w:sz w:val="20"/>
          <w:szCs w:val="20"/>
        </w:rPr>
        <w:t xml:space="preserve">. Within </w:t>
      </w:r>
      <w:r w:rsidR="005B4D91" w:rsidRPr="00D45B1E">
        <w:rPr>
          <w:rFonts w:asciiTheme="majorHAnsi" w:hAnsiTheme="majorHAnsi" w:cs="Times New Roman"/>
          <w:bCs/>
          <w:sz w:val="20"/>
          <w:szCs w:val="20"/>
        </w:rPr>
        <w:t>the specific study population, the findings may support other studies at the intersection of risk tolerance, financial anxiety, coping strategies, and related areas. However, they may not be wholly applicable to other sociodemographic, geographical, or contextual settings empirically studied or theorised</w:t>
      </w:r>
      <w:r w:rsidRPr="00D45B1E">
        <w:rPr>
          <w:rFonts w:asciiTheme="majorHAnsi" w:hAnsiTheme="majorHAnsi" w:cs="Times New Roman"/>
          <w:bCs/>
          <w:sz w:val="20"/>
          <w:szCs w:val="20"/>
        </w:rPr>
        <w:t xml:space="preserve">. </w:t>
      </w:r>
    </w:p>
    <w:p w14:paraId="5629594F" w14:textId="77777777" w:rsidR="00993134" w:rsidRPr="00D45B1E" w:rsidRDefault="00993134" w:rsidP="00993134">
      <w:pPr>
        <w:spacing w:after="0" w:line="240" w:lineRule="auto"/>
        <w:ind w:right="567"/>
        <w:jc w:val="both"/>
        <w:rPr>
          <w:rFonts w:asciiTheme="majorHAnsi" w:hAnsiTheme="majorHAnsi" w:cs="Times New Roman"/>
          <w:bCs/>
          <w:sz w:val="20"/>
          <w:szCs w:val="20"/>
        </w:rPr>
      </w:pPr>
    </w:p>
    <w:p w14:paraId="0B54168D" w14:textId="31D72A6B" w:rsidR="00993134" w:rsidRPr="00D45B1E" w:rsidRDefault="005B4D91" w:rsidP="00993134">
      <w:pPr>
        <w:spacing w:after="0" w:line="240" w:lineRule="auto"/>
        <w:ind w:right="567"/>
        <w:jc w:val="both"/>
        <w:rPr>
          <w:rFonts w:asciiTheme="majorHAnsi" w:hAnsiTheme="majorHAnsi" w:cs="Times New Roman"/>
          <w:bCs/>
          <w:sz w:val="20"/>
          <w:szCs w:val="20"/>
        </w:rPr>
      </w:pPr>
      <w:r w:rsidRPr="00D45B1E">
        <w:rPr>
          <w:rFonts w:asciiTheme="majorHAnsi" w:hAnsiTheme="majorHAnsi" w:cs="Times New Roman"/>
          <w:bCs/>
          <w:sz w:val="20"/>
          <w:szCs w:val="20"/>
        </w:rPr>
        <w:t>To overcome these shortcomings, future studies should employ a longitudinal or panel design to explore</w:t>
      </w:r>
      <w:r w:rsidR="00993134" w:rsidRPr="00D45B1E">
        <w:rPr>
          <w:rFonts w:asciiTheme="majorHAnsi" w:hAnsiTheme="majorHAnsi" w:cs="Times New Roman"/>
          <w:bCs/>
          <w:sz w:val="20"/>
          <w:szCs w:val="20"/>
        </w:rPr>
        <w:t xml:space="preserve"> financial resilience over time. Moreover, the studies should </w:t>
      </w:r>
      <w:r w:rsidRPr="00D45B1E">
        <w:rPr>
          <w:rFonts w:asciiTheme="majorHAnsi" w:hAnsiTheme="majorHAnsi" w:cs="Times New Roman"/>
          <w:bCs/>
          <w:sz w:val="20"/>
          <w:szCs w:val="20"/>
        </w:rPr>
        <w:t>empirically examine as many psychological and behavioural variables as possible to conceptualise the underlying mechanisms of financial resilience fully</w:t>
      </w:r>
      <w:r w:rsidR="00993134" w:rsidRPr="00D45B1E">
        <w:rPr>
          <w:rFonts w:asciiTheme="majorHAnsi" w:hAnsiTheme="majorHAnsi" w:cs="Times New Roman"/>
          <w:bCs/>
          <w:sz w:val="20"/>
          <w:szCs w:val="20"/>
        </w:rPr>
        <w:t>.</w:t>
      </w:r>
    </w:p>
    <w:p w14:paraId="411A037A" w14:textId="77777777" w:rsidR="005C3440" w:rsidRPr="00D45B1E" w:rsidRDefault="005C3440" w:rsidP="0048350C">
      <w:pPr>
        <w:spacing w:after="0" w:line="240" w:lineRule="auto"/>
        <w:ind w:right="567"/>
        <w:jc w:val="both"/>
        <w:rPr>
          <w:rFonts w:asciiTheme="majorHAnsi" w:hAnsiTheme="majorHAnsi" w:cs="Times New Roman"/>
          <w:bCs/>
          <w:sz w:val="20"/>
          <w:szCs w:val="20"/>
        </w:rPr>
      </w:pPr>
    </w:p>
    <w:p w14:paraId="1E042A2D" w14:textId="77777777" w:rsidR="005C3440" w:rsidRPr="00D45B1E" w:rsidRDefault="005B70AE" w:rsidP="0048350C">
      <w:pPr>
        <w:spacing w:after="0" w:line="240" w:lineRule="auto"/>
        <w:ind w:right="567"/>
        <w:jc w:val="both"/>
        <w:rPr>
          <w:rFonts w:asciiTheme="majorHAnsi" w:hAnsiTheme="majorHAnsi" w:cs="Times New Roman"/>
          <w:b/>
          <w:bCs/>
          <w:sz w:val="20"/>
          <w:szCs w:val="20"/>
        </w:rPr>
      </w:pPr>
      <w:r w:rsidRPr="00D45B1E">
        <w:rPr>
          <w:rFonts w:asciiTheme="majorHAnsi" w:hAnsiTheme="majorHAnsi" w:cs="Times New Roman"/>
          <w:b/>
          <w:bCs/>
          <w:sz w:val="20"/>
          <w:szCs w:val="20"/>
        </w:rPr>
        <w:t>5. CONCLUSION</w:t>
      </w:r>
    </w:p>
    <w:p w14:paraId="20D2C56F" w14:textId="77777777" w:rsidR="005B70AE" w:rsidRPr="00D45B1E" w:rsidRDefault="005B70AE" w:rsidP="0048350C">
      <w:pPr>
        <w:spacing w:after="0" w:line="240" w:lineRule="auto"/>
        <w:ind w:right="567"/>
        <w:jc w:val="both"/>
        <w:rPr>
          <w:rFonts w:asciiTheme="majorHAnsi" w:hAnsiTheme="majorHAnsi" w:cs="Times New Roman"/>
          <w:bCs/>
          <w:sz w:val="20"/>
          <w:szCs w:val="20"/>
        </w:rPr>
      </w:pPr>
    </w:p>
    <w:p w14:paraId="63070D75" w14:textId="1866798E" w:rsidR="001A10CC" w:rsidRPr="00D45B1E" w:rsidRDefault="001A10CC" w:rsidP="001A10CC">
      <w:pPr>
        <w:spacing w:after="0" w:line="240" w:lineRule="auto"/>
        <w:ind w:right="567"/>
        <w:jc w:val="both"/>
        <w:rPr>
          <w:rFonts w:asciiTheme="majorHAnsi" w:hAnsiTheme="majorHAnsi" w:cs="Times New Roman"/>
          <w:bCs/>
          <w:sz w:val="20"/>
          <w:szCs w:val="20"/>
        </w:rPr>
      </w:pPr>
      <w:r w:rsidRPr="00D45B1E">
        <w:rPr>
          <w:rFonts w:asciiTheme="majorHAnsi" w:hAnsiTheme="majorHAnsi" w:cs="Times New Roman"/>
          <w:bCs/>
          <w:sz w:val="20"/>
          <w:szCs w:val="20"/>
        </w:rPr>
        <w:t xml:space="preserve">Health crises motivate households to exhaust emergency savings, mitigate debt, and more deeply rely on social support networks, resulting in detrimental impacts on personal financial resilience. Income and job instability, on the other hand, are positive drivers of the social support and financial coping strategies </w:t>
      </w:r>
      <w:r w:rsidR="005B4D91" w:rsidRPr="00D45B1E">
        <w:rPr>
          <w:rFonts w:asciiTheme="majorHAnsi" w:hAnsiTheme="majorHAnsi" w:cs="Times New Roman"/>
          <w:bCs/>
          <w:sz w:val="20"/>
          <w:szCs w:val="20"/>
        </w:rPr>
        <w:t>households employ</w:t>
      </w:r>
      <w:r w:rsidRPr="00D45B1E">
        <w:rPr>
          <w:rFonts w:asciiTheme="majorHAnsi" w:hAnsiTheme="majorHAnsi" w:cs="Times New Roman"/>
          <w:bCs/>
          <w:sz w:val="20"/>
          <w:szCs w:val="20"/>
        </w:rPr>
        <w:t xml:space="preserve">. The prevailing social networks of support and community action in response to crises </w:t>
      </w:r>
      <w:r w:rsidR="005B4D91" w:rsidRPr="00D45B1E">
        <w:rPr>
          <w:rFonts w:asciiTheme="majorHAnsi" w:hAnsiTheme="majorHAnsi" w:cs="Times New Roman"/>
          <w:bCs/>
          <w:sz w:val="20"/>
          <w:szCs w:val="20"/>
        </w:rPr>
        <w:t>result from a lack of financial resources and inequality and reflect</w:t>
      </w:r>
      <w:r w:rsidRPr="00D45B1E">
        <w:rPr>
          <w:rFonts w:asciiTheme="majorHAnsi" w:hAnsiTheme="majorHAnsi" w:cs="Times New Roman"/>
          <w:bCs/>
          <w:sz w:val="20"/>
          <w:szCs w:val="20"/>
        </w:rPr>
        <w:t xml:space="preserve"> a more marginalised status.</w:t>
      </w:r>
    </w:p>
    <w:p w14:paraId="209C1A99" w14:textId="77777777" w:rsidR="001A10CC" w:rsidRPr="00D45B1E" w:rsidRDefault="001A10CC" w:rsidP="001A10CC">
      <w:pPr>
        <w:spacing w:after="0" w:line="240" w:lineRule="auto"/>
        <w:ind w:right="567"/>
        <w:jc w:val="both"/>
        <w:rPr>
          <w:rFonts w:asciiTheme="majorHAnsi" w:hAnsiTheme="majorHAnsi" w:cs="Times New Roman"/>
          <w:bCs/>
          <w:sz w:val="20"/>
          <w:szCs w:val="20"/>
        </w:rPr>
      </w:pPr>
    </w:p>
    <w:p w14:paraId="7723624A" w14:textId="16F4C385" w:rsidR="001A10CC" w:rsidRPr="00D45B1E" w:rsidRDefault="001A10CC" w:rsidP="001A10CC">
      <w:pPr>
        <w:spacing w:after="0" w:line="240" w:lineRule="auto"/>
        <w:ind w:right="567"/>
        <w:jc w:val="both"/>
        <w:rPr>
          <w:rFonts w:asciiTheme="majorHAnsi" w:hAnsiTheme="majorHAnsi" w:cs="Times New Roman"/>
          <w:bCs/>
          <w:sz w:val="20"/>
          <w:szCs w:val="20"/>
        </w:rPr>
      </w:pPr>
      <w:r w:rsidRPr="00D45B1E">
        <w:rPr>
          <w:rFonts w:asciiTheme="majorHAnsi" w:hAnsiTheme="majorHAnsi" w:cs="Times New Roman"/>
          <w:bCs/>
          <w:sz w:val="20"/>
          <w:szCs w:val="20"/>
        </w:rPr>
        <w:t xml:space="preserve">Compared to structural issues such as poverty and inequality, shocks </w:t>
      </w:r>
      <w:r w:rsidR="005B4D91" w:rsidRPr="00D45B1E">
        <w:rPr>
          <w:rFonts w:asciiTheme="majorHAnsi" w:hAnsiTheme="majorHAnsi" w:cs="Times New Roman"/>
          <w:bCs/>
          <w:sz w:val="20"/>
          <w:szCs w:val="20"/>
        </w:rPr>
        <w:t xml:space="preserve">to the system (such as health and income disruptions) </w:t>
      </w:r>
      <w:r w:rsidRPr="00D45B1E">
        <w:rPr>
          <w:rFonts w:asciiTheme="majorHAnsi" w:hAnsiTheme="majorHAnsi" w:cs="Times New Roman"/>
          <w:bCs/>
          <w:sz w:val="20"/>
          <w:szCs w:val="20"/>
        </w:rPr>
        <w:t>affect financial behaviours more deeply and immediately. Financial resilience</w:t>
      </w:r>
      <w:r w:rsidR="005B4D91" w:rsidRPr="00D45B1E">
        <w:rPr>
          <w:rFonts w:asciiTheme="majorHAnsi" w:hAnsiTheme="majorHAnsi" w:cs="Times New Roman"/>
          <w:bCs/>
          <w:sz w:val="20"/>
          <w:szCs w:val="20"/>
        </w:rPr>
        <w:t>, as a concept, encompasses social capital and a set of financial strategies; enhanced social support and financial literacy increase</w:t>
      </w:r>
      <w:r w:rsidRPr="00D45B1E">
        <w:rPr>
          <w:rFonts w:asciiTheme="majorHAnsi" w:hAnsiTheme="majorHAnsi" w:cs="Times New Roman"/>
          <w:bCs/>
          <w:sz w:val="20"/>
          <w:szCs w:val="20"/>
        </w:rPr>
        <w:t xml:space="preserve"> a household's adaptive, coping, and resilience thresholds. The findings aimed at emerging economies, especially Nigeria, signal the need for integrated approaches to increase the functioning (or operational) space of social support to improve financial socialisation and preparedness. More specifically, we observe that acute health and income disruptions affect social support networks, savings, debt, and emergency funds.</w:t>
      </w:r>
    </w:p>
    <w:p w14:paraId="237E9FDB" w14:textId="77777777" w:rsidR="001A10CC" w:rsidRPr="00D45B1E" w:rsidRDefault="001A10CC" w:rsidP="001A10CC">
      <w:pPr>
        <w:spacing w:after="0" w:line="240" w:lineRule="auto"/>
        <w:ind w:right="567"/>
        <w:jc w:val="both"/>
        <w:rPr>
          <w:rFonts w:asciiTheme="majorHAnsi" w:hAnsiTheme="majorHAnsi" w:cs="Times New Roman"/>
          <w:bCs/>
          <w:sz w:val="20"/>
          <w:szCs w:val="20"/>
        </w:rPr>
      </w:pPr>
    </w:p>
    <w:p w14:paraId="08026A67" w14:textId="1A6B84B9" w:rsidR="00A91B08" w:rsidRPr="00D45B1E" w:rsidRDefault="001A10CC" w:rsidP="0048350C">
      <w:pPr>
        <w:spacing w:after="0" w:line="240" w:lineRule="auto"/>
        <w:ind w:right="567"/>
        <w:jc w:val="both"/>
        <w:rPr>
          <w:rFonts w:asciiTheme="majorHAnsi" w:hAnsiTheme="majorHAnsi" w:cs="Times New Roman"/>
          <w:bCs/>
          <w:sz w:val="20"/>
          <w:szCs w:val="20"/>
        </w:rPr>
      </w:pPr>
      <w:r w:rsidRPr="00D45B1E">
        <w:rPr>
          <w:rFonts w:asciiTheme="majorHAnsi" w:hAnsiTheme="majorHAnsi" w:cs="Times New Roman"/>
          <w:bCs/>
          <w:sz w:val="20"/>
          <w:szCs w:val="20"/>
        </w:rPr>
        <w:t xml:space="preserve">In contrast, </w:t>
      </w:r>
      <w:r w:rsidR="005B4D91" w:rsidRPr="00D45B1E">
        <w:rPr>
          <w:rFonts w:asciiTheme="majorHAnsi" w:hAnsiTheme="majorHAnsi" w:cs="Times New Roman"/>
          <w:bCs/>
          <w:sz w:val="20"/>
          <w:szCs w:val="20"/>
        </w:rPr>
        <w:t>long-term illnesses appear to have little direct impact on financial activities, but the opposite is true for social capacities, pertaining to social issues such as</w:t>
      </w:r>
      <w:r w:rsidRPr="00D45B1E">
        <w:rPr>
          <w:rFonts w:asciiTheme="majorHAnsi" w:hAnsiTheme="majorHAnsi" w:cs="Times New Roman"/>
          <w:bCs/>
          <w:sz w:val="20"/>
          <w:szCs w:val="20"/>
        </w:rPr>
        <w:t xml:space="preserve"> poverty and inequality. However, the results still reinforce the idea that financial resilience is not solely dependent on the monetary aspect, but </w:t>
      </w:r>
      <w:r w:rsidR="005B4D91" w:rsidRPr="00D45B1E">
        <w:rPr>
          <w:rFonts w:asciiTheme="majorHAnsi" w:hAnsiTheme="majorHAnsi" w:cs="Times New Roman"/>
          <w:bCs/>
          <w:sz w:val="20"/>
          <w:szCs w:val="20"/>
        </w:rPr>
        <w:t>also on social and community support structures, as well as the individual's coping mechanisms</w:t>
      </w:r>
      <w:r w:rsidRPr="00D45B1E">
        <w:rPr>
          <w:rFonts w:asciiTheme="majorHAnsi" w:hAnsiTheme="majorHAnsi" w:cs="Times New Roman"/>
          <w:bCs/>
          <w:sz w:val="20"/>
          <w:szCs w:val="20"/>
        </w:rPr>
        <w:t xml:space="preserve">. Therefore, building resilience would encompass systemic thinking that integrates the diverse strategic components of financial social planning, coupled with supportive frameworks that steer people and families </w:t>
      </w:r>
      <w:r w:rsidR="005B4D91" w:rsidRPr="00D45B1E">
        <w:rPr>
          <w:rFonts w:asciiTheme="majorHAnsi" w:hAnsiTheme="majorHAnsi" w:cs="Times New Roman"/>
          <w:bCs/>
          <w:sz w:val="20"/>
          <w:szCs w:val="20"/>
        </w:rPr>
        <w:t>toward greater proactivity, adaptability, and economically disruptive recovery resilience</w:t>
      </w:r>
      <w:r w:rsidRPr="00D45B1E">
        <w:rPr>
          <w:rFonts w:asciiTheme="majorHAnsi" w:hAnsiTheme="majorHAnsi" w:cs="Times New Roman"/>
          <w:bCs/>
          <w:sz w:val="20"/>
          <w:szCs w:val="20"/>
        </w:rPr>
        <w:t>.</w:t>
      </w:r>
    </w:p>
    <w:p w14:paraId="4844A641" w14:textId="77777777" w:rsidR="00A91B08" w:rsidRPr="00D45B1E" w:rsidRDefault="00A91B08" w:rsidP="0048350C">
      <w:pPr>
        <w:spacing w:after="0" w:line="240" w:lineRule="auto"/>
        <w:ind w:right="567"/>
        <w:jc w:val="both"/>
        <w:rPr>
          <w:rFonts w:asciiTheme="majorHAnsi" w:eastAsia="Calibri" w:hAnsiTheme="majorHAnsi" w:cs="Times New Roman"/>
          <w:b/>
          <w:sz w:val="20"/>
          <w:szCs w:val="20"/>
        </w:rPr>
      </w:pPr>
    </w:p>
    <w:p w14:paraId="11E113F2" w14:textId="77777777" w:rsidR="00A91B08" w:rsidRPr="00D45B1E" w:rsidRDefault="00A91B08" w:rsidP="0048350C">
      <w:pPr>
        <w:spacing w:after="0" w:line="240" w:lineRule="auto"/>
        <w:ind w:right="567"/>
        <w:jc w:val="both"/>
        <w:rPr>
          <w:rFonts w:asciiTheme="majorHAnsi" w:eastAsia="Calibri" w:hAnsiTheme="majorHAnsi" w:cs="Times New Roman"/>
          <w:b/>
          <w:sz w:val="20"/>
          <w:szCs w:val="20"/>
        </w:rPr>
      </w:pPr>
    </w:p>
    <w:p w14:paraId="38BE365F" w14:textId="0CAADCB0" w:rsidR="00DB43FA" w:rsidRPr="00D45B1E" w:rsidRDefault="00287096" w:rsidP="0048350C">
      <w:pPr>
        <w:spacing w:after="0" w:line="240" w:lineRule="auto"/>
        <w:ind w:right="567"/>
        <w:jc w:val="both"/>
        <w:rPr>
          <w:rFonts w:asciiTheme="majorHAnsi" w:eastAsia="Calibri" w:hAnsiTheme="majorHAnsi" w:cs="Times New Roman"/>
          <w:b/>
          <w:sz w:val="20"/>
          <w:szCs w:val="20"/>
        </w:rPr>
      </w:pPr>
      <w:r w:rsidRPr="00D45B1E">
        <w:rPr>
          <w:rFonts w:asciiTheme="majorHAnsi" w:eastAsia="Calibri" w:hAnsiTheme="majorHAnsi" w:cs="Times New Roman"/>
          <w:b/>
          <w:sz w:val="20"/>
          <w:szCs w:val="20"/>
        </w:rPr>
        <w:lastRenderedPageBreak/>
        <w:t>REFERENCES</w:t>
      </w:r>
    </w:p>
    <w:p w14:paraId="2581AF25" w14:textId="77777777" w:rsidR="00A91B08" w:rsidRPr="00D45B1E" w:rsidRDefault="00A91B08" w:rsidP="009D733F">
      <w:pPr>
        <w:spacing w:after="120" w:line="240" w:lineRule="auto"/>
        <w:ind w:left="851" w:right="567" w:hanging="851"/>
        <w:jc w:val="both"/>
        <w:rPr>
          <w:rFonts w:asciiTheme="majorHAnsi" w:hAnsiTheme="majorHAnsi" w:cs="Times New Roman"/>
          <w:sz w:val="20"/>
          <w:szCs w:val="20"/>
          <w:shd w:val="clear" w:color="auto" w:fill="FFFFFF"/>
        </w:rPr>
      </w:pPr>
    </w:p>
    <w:p w14:paraId="06E36FF1" w14:textId="569ACDA1" w:rsidR="009D733F" w:rsidRPr="00D45B1E" w:rsidRDefault="00462E7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Abrantes Braga</w:t>
      </w:r>
      <w:r w:rsidR="009D733F" w:rsidRPr="00D45B1E">
        <w:rPr>
          <w:rFonts w:asciiTheme="majorHAnsi" w:hAnsiTheme="majorHAnsi" w:cs="Times New Roman"/>
          <w:sz w:val="20"/>
          <w:szCs w:val="20"/>
          <w:shd w:val="clear" w:color="auto" w:fill="FFFFFF"/>
        </w:rPr>
        <w:t xml:space="preserve">, F. D. M., &amp; </w:t>
      </w:r>
      <w:proofErr w:type="spellStart"/>
      <w:r w:rsidR="009D733F" w:rsidRPr="00D45B1E">
        <w:rPr>
          <w:rFonts w:asciiTheme="majorHAnsi" w:hAnsiTheme="majorHAnsi" w:cs="Times New Roman"/>
          <w:sz w:val="20"/>
          <w:szCs w:val="20"/>
          <w:shd w:val="clear" w:color="auto" w:fill="FFFFFF"/>
        </w:rPr>
        <w:t>VeludodeOliveira</w:t>
      </w:r>
      <w:proofErr w:type="spellEnd"/>
      <w:r w:rsidR="009D733F" w:rsidRPr="00D45B1E">
        <w:rPr>
          <w:rFonts w:asciiTheme="majorHAnsi" w:hAnsiTheme="majorHAnsi" w:cs="Times New Roman"/>
          <w:sz w:val="20"/>
          <w:szCs w:val="20"/>
          <w:shd w:val="clear" w:color="auto" w:fill="FFFFFF"/>
        </w:rPr>
        <w:t xml:space="preserve">, T. (2019). Development and validation of </w:t>
      </w:r>
      <w:r w:rsidR="005B4D91" w:rsidRPr="00D45B1E">
        <w:rPr>
          <w:rFonts w:asciiTheme="majorHAnsi" w:hAnsiTheme="majorHAnsi" w:cs="Times New Roman"/>
          <w:sz w:val="20"/>
          <w:szCs w:val="20"/>
          <w:shd w:val="clear" w:color="auto" w:fill="FFFFFF"/>
        </w:rPr>
        <w:t>scales related to financial well-being</w:t>
      </w:r>
      <w:r w:rsidR="009D733F" w:rsidRPr="00D45B1E">
        <w:rPr>
          <w:rFonts w:asciiTheme="majorHAnsi" w:hAnsiTheme="majorHAnsi" w:cs="Times New Roman"/>
          <w:sz w:val="20"/>
          <w:szCs w:val="20"/>
          <w:shd w:val="clear" w:color="auto" w:fill="FFFFFF"/>
        </w:rPr>
        <w:t xml:space="preserve">. </w:t>
      </w:r>
      <w:r w:rsidR="009D733F" w:rsidRPr="00D45B1E">
        <w:rPr>
          <w:rFonts w:asciiTheme="majorHAnsi" w:hAnsiTheme="majorHAnsi" w:cs="Times New Roman"/>
          <w:i/>
          <w:iCs/>
          <w:sz w:val="20"/>
          <w:szCs w:val="20"/>
          <w:shd w:val="clear" w:color="auto" w:fill="FFFFFF"/>
        </w:rPr>
        <w:t>International Journal of Bank Marketing</w:t>
      </w:r>
      <w:r w:rsidR="009D733F" w:rsidRPr="00D45B1E">
        <w:rPr>
          <w:rFonts w:asciiTheme="majorHAnsi" w:hAnsiTheme="majorHAnsi" w:cs="Times New Roman"/>
          <w:sz w:val="20"/>
          <w:szCs w:val="20"/>
          <w:shd w:val="clear" w:color="auto" w:fill="FFFFFF"/>
        </w:rPr>
        <w:t xml:space="preserve"> </w:t>
      </w:r>
      <w:r w:rsidR="009D733F" w:rsidRPr="00D45B1E">
        <w:rPr>
          <w:rFonts w:asciiTheme="majorHAnsi" w:hAnsiTheme="majorHAnsi" w:cs="Times New Roman"/>
          <w:i/>
          <w:iCs/>
          <w:sz w:val="20"/>
          <w:szCs w:val="20"/>
          <w:shd w:val="clear" w:color="auto" w:fill="FFFFFF"/>
        </w:rPr>
        <w:t xml:space="preserve">37 </w:t>
      </w:r>
      <w:r w:rsidR="009D733F" w:rsidRPr="00D45B1E">
        <w:rPr>
          <w:rFonts w:asciiTheme="majorHAnsi" w:hAnsiTheme="majorHAnsi" w:cs="Times New Roman"/>
          <w:sz w:val="20"/>
          <w:szCs w:val="20"/>
          <w:shd w:val="clear" w:color="auto" w:fill="FFFFFF"/>
        </w:rPr>
        <w:t xml:space="preserve">(4), 1025–1040. </w:t>
      </w:r>
    </w:p>
    <w:p w14:paraId="5E4A3675"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Adger, W. N. (2006). Vulnerability. </w:t>
      </w:r>
      <w:r w:rsidRPr="00D45B1E">
        <w:rPr>
          <w:rFonts w:asciiTheme="majorHAnsi" w:hAnsiTheme="majorHAnsi" w:cs="Times New Roman"/>
          <w:i/>
          <w:iCs/>
          <w:sz w:val="20"/>
          <w:szCs w:val="20"/>
        </w:rPr>
        <w:t>Global Environmental Change, 16</w:t>
      </w:r>
      <w:r w:rsidRPr="00D45B1E">
        <w:rPr>
          <w:rFonts w:asciiTheme="majorHAnsi" w:hAnsiTheme="majorHAnsi" w:cs="Times New Roman"/>
          <w:sz w:val="20"/>
          <w:szCs w:val="20"/>
        </w:rPr>
        <w:t>(3), 268–281. </w:t>
      </w:r>
      <w:hyperlink r:id="rId12" w:tgtFrame="_blank" w:history="1">
        <w:r w:rsidRPr="00D45B1E">
          <w:rPr>
            <w:rStyle w:val="Hyperlink"/>
            <w:rFonts w:asciiTheme="majorHAnsi" w:hAnsiTheme="majorHAnsi" w:cs="Times New Roman"/>
            <w:sz w:val="20"/>
            <w:szCs w:val="20"/>
          </w:rPr>
          <w:t>https://doi.org/10.1016/j.gloenvcha.2006.02.006</w:t>
        </w:r>
      </w:hyperlink>
    </w:p>
    <w:p w14:paraId="60181266"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 xml:space="preserve">Afolabi, B., Adeyemo, S., &amp; Oladipo, O. (2023a). Socioeconomic shocks and household financial resilience in Nigeria. </w:t>
      </w:r>
      <w:r w:rsidRPr="00D45B1E">
        <w:rPr>
          <w:rFonts w:asciiTheme="majorHAnsi" w:hAnsiTheme="majorHAnsi" w:cs="Times New Roman"/>
          <w:i/>
          <w:iCs/>
          <w:sz w:val="20"/>
          <w:szCs w:val="20"/>
        </w:rPr>
        <w:t>Journal of African Economies</w:t>
      </w:r>
      <w:r w:rsidRPr="00D45B1E">
        <w:rPr>
          <w:rFonts w:asciiTheme="majorHAnsi" w:hAnsiTheme="majorHAnsi" w:cs="Times New Roman"/>
          <w:sz w:val="20"/>
          <w:szCs w:val="20"/>
        </w:rPr>
        <w:t>, 32(1), 45–65.</w:t>
      </w:r>
    </w:p>
    <w:p w14:paraId="1686C27A" w14:textId="54B8B6BB"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 xml:space="preserve">Afolabi, T. S., Ayodele, T. D., </w:t>
      </w:r>
      <w:proofErr w:type="spellStart"/>
      <w:r w:rsidRPr="00D45B1E">
        <w:rPr>
          <w:rFonts w:asciiTheme="majorHAnsi" w:hAnsiTheme="majorHAnsi" w:cs="Times New Roman"/>
          <w:sz w:val="20"/>
          <w:szCs w:val="20"/>
          <w:shd w:val="clear" w:color="auto" w:fill="FFFFFF"/>
        </w:rPr>
        <w:t>Akinyede</w:t>
      </w:r>
      <w:proofErr w:type="spellEnd"/>
      <w:r w:rsidRPr="00D45B1E">
        <w:rPr>
          <w:rFonts w:asciiTheme="majorHAnsi" w:hAnsiTheme="majorHAnsi" w:cs="Times New Roman"/>
          <w:sz w:val="20"/>
          <w:szCs w:val="20"/>
          <w:shd w:val="clear" w:color="auto" w:fill="FFFFFF"/>
        </w:rPr>
        <w:t xml:space="preserve">, O. M., Williams, H. T., &amp; Adeyanju, O. D. (2023b). Banking Resilience and Government Response During </w:t>
      </w:r>
      <w:r w:rsidR="00462E7F" w:rsidRPr="00D45B1E">
        <w:rPr>
          <w:rFonts w:asciiTheme="majorHAnsi" w:hAnsiTheme="majorHAnsi" w:cs="Times New Roman"/>
          <w:sz w:val="20"/>
          <w:szCs w:val="20"/>
          <w:shd w:val="clear" w:color="auto" w:fill="FFFFFF"/>
        </w:rPr>
        <w:t>the COVID-19</w:t>
      </w:r>
      <w:r w:rsidRPr="00D45B1E">
        <w:rPr>
          <w:rFonts w:asciiTheme="majorHAnsi" w:hAnsiTheme="majorHAnsi" w:cs="Times New Roman"/>
          <w:sz w:val="20"/>
          <w:szCs w:val="20"/>
          <w:shd w:val="clear" w:color="auto" w:fill="FFFFFF"/>
        </w:rPr>
        <w:t xml:space="preserve"> Pandemic: Evidence from Nigeria. </w:t>
      </w:r>
      <w:r w:rsidRPr="00D45B1E">
        <w:rPr>
          <w:rFonts w:asciiTheme="majorHAnsi" w:hAnsiTheme="majorHAnsi" w:cs="Times New Roman"/>
          <w:i/>
          <w:iCs/>
          <w:sz w:val="20"/>
          <w:szCs w:val="20"/>
          <w:shd w:val="clear" w:color="auto" w:fill="FFFFFF"/>
        </w:rPr>
        <w:t>Banks and Banking Systems</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18</w:t>
      </w:r>
      <w:r w:rsidRPr="00D45B1E">
        <w:rPr>
          <w:rFonts w:asciiTheme="majorHAnsi" w:hAnsiTheme="majorHAnsi" w:cs="Times New Roman"/>
          <w:sz w:val="20"/>
          <w:szCs w:val="20"/>
          <w:shd w:val="clear" w:color="auto" w:fill="FFFFFF"/>
        </w:rPr>
        <w:t xml:space="preserve"> (2). </w:t>
      </w:r>
    </w:p>
    <w:p w14:paraId="4ADF799E"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 xml:space="preserve">Banerjee, A., &amp; Duflo, E. (2019). </w:t>
      </w:r>
      <w:r w:rsidRPr="00D45B1E">
        <w:rPr>
          <w:rFonts w:asciiTheme="majorHAnsi" w:hAnsiTheme="majorHAnsi" w:cs="Times New Roman"/>
          <w:i/>
          <w:iCs/>
          <w:sz w:val="20"/>
          <w:szCs w:val="20"/>
        </w:rPr>
        <w:t>Good Economics for Hard Times</w:t>
      </w:r>
      <w:r w:rsidRPr="00D45B1E">
        <w:rPr>
          <w:rFonts w:asciiTheme="majorHAnsi" w:hAnsiTheme="majorHAnsi" w:cs="Times New Roman"/>
          <w:sz w:val="20"/>
          <w:szCs w:val="20"/>
        </w:rPr>
        <w:t>. PublicAffairs.</w:t>
      </w:r>
    </w:p>
    <w:p w14:paraId="7A497E2F"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Bourdieu, P. (1986). The forms of capital. In J. G. Richardson (Ed.), </w:t>
      </w:r>
      <w:r w:rsidRPr="00D45B1E">
        <w:rPr>
          <w:rFonts w:asciiTheme="majorHAnsi" w:hAnsiTheme="majorHAnsi" w:cs="Times New Roman"/>
          <w:i/>
          <w:iCs/>
          <w:sz w:val="20"/>
          <w:szCs w:val="20"/>
        </w:rPr>
        <w:t>Handbook of theory and research for the sociology of education</w:t>
      </w:r>
      <w:r w:rsidRPr="00D45B1E">
        <w:rPr>
          <w:rFonts w:asciiTheme="majorHAnsi" w:hAnsiTheme="majorHAnsi" w:cs="Times New Roman"/>
          <w:sz w:val="20"/>
          <w:szCs w:val="20"/>
        </w:rPr>
        <w:t> (pp. 241–258). Greenwood Press.</w:t>
      </w:r>
    </w:p>
    <w:p w14:paraId="707ABE78" w14:textId="50ECE216"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proofErr w:type="spellStart"/>
      <w:r w:rsidRPr="00D45B1E">
        <w:rPr>
          <w:rFonts w:asciiTheme="majorHAnsi" w:hAnsiTheme="majorHAnsi" w:cs="Times New Roman"/>
          <w:sz w:val="20"/>
          <w:szCs w:val="20"/>
          <w:shd w:val="clear" w:color="auto" w:fill="FFFFFF"/>
        </w:rPr>
        <w:t>Brasil</w:t>
      </w:r>
      <w:proofErr w:type="spellEnd"/>
      <w:r w:rsidRPr="00D45B1E">
        <w:rPr>
          <w:rFonts w:asciiTheme="majorHAnsi" w:hAnsiTheme="majorHAnsi" w:cs="Times New Roman"/>
          <w:sz w:val="20"/>
          <w:szCs w:val="20"/>
          <w:shd w:val="clear" w:color="auto" w:fill="FFFFFF"/>
        </w:rPr>
        <w:t xml:space="preserve">, C.V., Bressan, A. A., &amp; Vieira, K. M., et al. (2024). Financial Resilience, Financial Ignorance, and their impact on financial wellbeing during the </w:t>
      </w:r>
      <w:r w:rsidR="00462E7F" w:rsidRPr="00D45B1E">
        <w:rPr>
          <w:rFonts w:asciiTheme="majorHAnsi" w:hAnsiTheme="majorHAnsi" w:cs="Times New Roman"/>
          <w:sz w:val="20"/>
          <w:szCs w:val="20"/>
          <w:shd w:val="clear" w:color="auto" w:fill="FFFFFF"/>
        </w:rPr>
        <w:t>COVID-19</w:t>
      </w:r>
      <w:r w:rsidRPr="00D45B1E">
        <w:rPr>
          <w:rFonts w:asciiTheme="majorHAnsi" w:hAnsiTheme="majorHAnsi" w:cs="Times New Roman"/>
          <w:sz w:val="20"/>
          <w:szCs w:val="20"/>
          <w:shd w:val="clear" w:color="auto" w:fill="FFFFFF"/>
        </w:rPr>
        <w:t xml:space="preserve"> pandemic: evidence from Brazil. </w:t>
      </w:r>
      <w:r w:rsidRPr="00D45B1E">
        <w:rPr>
          <w:rFonts w:asciiTheme="majorHAnsi" w:hAnsiTheme="majorHAnsi" w:cs="Times New Roman"/>
          <w:i/>
          <w:iCs/>
          <w:sz w:val="20"/>
          <w:szCs w:val="20"/>
          <w:shd w:val="clear" w:color="auto" w:fill="FFFFFF"/>
        </w:rPr>
        <w:t>Int Rev Econ</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71</w:t>
      </w:r>
      <w:r w:rsidRPr="00D45B1E">
        <w:rPr>
          <w:rFonts w:asciiTheme="majorHAnsi" w:hAnsiTheme="majorHAnsi" w:cs="Times New Roman"/>
          <w:sz w:val="20"/>
          <w:szCs w:val="20"/>
          <w:shd w:val="clear" w:color="auto" w:fill="FFFFFF"/>
        </w:rPr>
        <w:t xml:space="preserve">, 273–299. </w:t>
      </w:r>
      <w:hyperlink r:id="rId13" w:tgtFrame="_blank" w:history="1">
        <w:r w:rsidRPr="00D45B1E">
          <w:rPr>
            <w:rStyle w:val="Hyperlink"/>
            <w:rFonts w:asciiTheme="majorHAnsi" w:hAnsiTheme="majorHAnsi" w:cs="Times New Roman"/>
            <w:sz w:val="20"/>
            <w:szCs w:val="20"/>
            <w:shd w:val="clear" w:color="auto" w:fill="FFFFFF"/>
          </w:rPr>
          <w:t>https://doi.org/10.1007/s12232023004436</w:t>
        </w:r>
      </w:hyperlink>
      <w:r w:rsidRPr="00D45B1E">
        <w:rPr>
          <w:rFonts w:asciiTheme="majorHAnsi" w:hAnsiTheme="majorHAnsi" w:cs="Times New Roman"/>
          <w:sz w:val="20"/>
          <w:szCs w:val="20"/>
          <w:shd w:val="clear" w:color="auto" w:fill="FFFFFF"/>
        </w:rPr>
        <w:t xml:space="preserve">. </w:t>
      </w:r>
    </w:p>
    <w:p w14:paraId="2FE9E2ED"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proofErr w:type="spellStart"/>
      <w:r w:rsidRPr="00D45B1E">
        <w:rPr>
          <w:rFonts w:asciiTheme="majorHAnsi" w:hAnsiTheme="majorHAnsi" w:cs="Times New Roman"/>
          <w:sz w:val="20"/>
          <w:szCs w:val="20"/>
          <w:shd w:val="clear" w:color="auto" w:fill="FFFFFF"/>
        </w:rPr>
        <w:t>Bruneckiene</w:t>
      </w:r>
      <w:proofErr w:type="spellEnd"/>
      <w:r w:rsidRPr="00D45B1E">
        <w:rPr>
          <w:rFonts w:asciiTheme="majorHAnsi" w:hAnsiTheme="majorHAnsi" w:cs="Times New Roman"/>
          <w:sz w:val="20"/>
          <w:szCs w:val="20"/>
          <w:shd w:val="clear" w:color="auto" w:fill="FFFFFF"/>
        </w:rPr>
        <w:t xml:space="preserve">, J., </w:t>
      </w:r>
      <w:proofErr w:type="spellStart"/>
      <w:r w:rsidRPr="00D45B1E">
        <w:rPr>
          <w:rFonts w:asciiTheme="majorHAnsi" w:hAnsiTheme="majorHAnsi" w:cs="Times New Roman"/>
          <w:sz w:val="20"/>
          <w:szCs w:val="20"/>
          <w:shd w:val="clear" w:color="auto" w:fill="FFFFFF"/>
        </w:rPr>
        <w:t>Pekarskiene</w:t>
      </w:r>
      <w:proofErr w:type="spellEnd"/>
      <w:r w:rsidRPr="00D45B1E">
        <w:rPr>
          <w:rFonts w:asciiTheme="majorHAnsi" w:hAnsiTheme="majorHAnsi" w:cs="Times New Roman"/>
          <w:sz w:val="20"/>
          <w:szCs w:val="20"/>
          <w:shd w:val="clear" w:color="auto" w:fill="FFFFFF"/>
        </w:rPr>
        <w:t xml:space="preserve">, I., </w:t>
      </w:r>
      <w:proofErr w:type="spellStart"/>
      <w:r w:rsidRPr="00D45B1E">
        <w:rPr>
          <w:rFonts w:asciiTheme="majorHAnsi" w:hAnsiTheme="majorHAnsi" w:cs="Times New Roman"/>
          <w:sz w:val="20"/>
          <w:szCs w:val="20"/>
          <w:shd w:val="clear" w:color="auto" w:fill="FFFFFF"/>
        </w:rPr>
        <w:t>SPalekiene</w:t>
      </w:r>
      <w:proofErr w:type="spellEnd"/>
      <w:r w:rsidRPr="00D45B1E">
        <w:rPr>
          <w:rFonts w:asciiTheme="majorHAnsi" w:hAnsiTheme="majorHAnsi" w:cs="Times New Roman"/>
          <w:sz w:val="20"/>
          <w:szCs w:val="20"/>
          <w:shd w:val="clear" w:color="auto" w:fill="FFFFFF"/>
        </w:rPr>
        <w:t xml:space="preserve">, O., &amp; </w:t>
      </w:r>
      <w:proofErr w:type="spellStart"/>
      <w:r w:rsidRPr="00D45B1E">
        <w:rPr>
          <w:rFonts w:asciiTheme="majorHAnsi" w:hAnsiTheme="majorHAnsi" w:cs="Times New Roman"/>
          <w:sz w:val="20"/>
          <w:szCs w:val="20"/>
          <w:shd w:val="clear" w:color="auto" w:fill="FFFFFF"/>
        </w:rPr>
        <w:t>Simanaviciene</w:t>
      </w:r>
      <w:proofErr w:type="spellEnd"/>
      <w:r w:rsidRPr="00D45B1E">
        <w:rPr>
          <w:rFonts w:asciiTheme="majorHAnsi" w:hAnsiTheme="majorHAnsi" w:cs="Times New Roman"/>
          <w:sz w:val="20"/>
          <w:szCs w:val="20"/>
          <w:shd w:val="clear" w:color="auto" w:fill="FFFFFF"/>
        </w:rPr>
        <w:t xml:space="preserve">, Z. (2019). An assessment of socioeconomic systems’ resilience to economic shocks: The case of Lithuanian regions. </w:t>
      </w:r>
      <w:r w:rsidRPr="00D45B1E">
        <w:rPr>
          <w:rFonts w:asciiTheme="majorHAnsi" w:hAnsiTheme="majorHAnsi" w:cs="Times New Roman"/>
          <w:i/>
          <w:iCs/>
          <w:sz w:val="20"/>
          <w:szCs w:val="20"/>
          <w:shd w:val="clear" w:color="auto" w:fill="FFFFFF"/>
        </w:rPr>
        <w:t>Sustainability</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11</w:t>
      </w:r>
      <w:r w:rsidRPr="00D45B1E">
        <w:rPr>
          <w:rFonts w:asciiTheme="majorHAnsi" w:hAnsiTheme="majorHAnsi" w:cs="Times New Roman"/>
          <w:sz w:val="20"/>
          <w:szCs w:val="20"/>
          <w:shd w:val="clear" w:color="auto" w:fill="FFFFFF"/>
        </w:rPr>
        <w:t xml:space="preserve"> (3), 566. </w:t>
      </w:r>
    </w:p>
    <w:p w14:paraId="3AB37624" w14:textId="28CCC18A"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eastAsia="Consolas" w:hAnsiTheme="majorHAnsi" w:cs="Times New Roman"/>
          <w:color w:val="1B1B1B"/>
          <w:sz w:val="20"/>
          <w:szCs w:val="20"/>
          <w:shd w:val="clear" w:color="auto" w:fill="FFFFFF"/>
        </w:rPr>
        <w:t xml:space="preserve">Bufe, S., Roll, S., </w:t>
      </w:r>
      <w:proofErr w:type="spellStart"/>
      <w:r w:rsidRPr="00D45B1E">
        <w:rPr>
          <w:rFonts w:asciiTheme="majorHAnsi" w:eastAsia="Consolas" w:hAnsiTheme="majorHAnsi" w:cs="Times New Roman"/>
          <w:color w:val="1B1B1B"/>
          <w:sz w:val="20"/>
          <w:szCs w:val="20"/>
          <w:shd w:val="clear" w:color="auto" w:fill="FFFFFF"/>
        </w:rPr>
        <w:t>Kondratjeva</w:t>
      </w:r>
      <w:proofErr w:type="spellEnd"/>
      <w:r w:rsidRPr="00D45B1E">
        <w:rPr>
          <w:rFonts w:asciiTheme="majorHAnsi" w:eastAsia="Consolas" w:hAnsiTheme="majorHAnsi" w:cs="Times New Roman"/>
          <w:color w:val="1B1B1B"/>
          <w:sz w:val="20"/>
          <w:szCs w:val="20"/>
          <w:shd w:val="clear" w:color="auto" w:fill="FFFFFF"/>
        </w:rPr>
        <w:t xml:space="preserve">, O., Skees, S., &amp; </w:t>
      </w:r>
      <w:r w:rsidR="00462E7F" w:rsidRPr="00D45B1E">
        <w:rPr>
          <w:rFonts w:asciiTheme="majorHAnsi" w:eastAsia="Consolas" w:hAnsiTheme="majorHAnsi" w:cs="Times New Roman"/>
          <w:color w:val="1B1B1B"/>
          <w:sz w:val="20"/>
          <w:szCs w:val="20"/>
          <w:shd w:val="clear" w:color="auto" w:fill="FFFFFF"/>
        </w:rPr>
        <w:t>Grinstein-Weiss,</w:t>
      </w:r>
      <w:r w:rsidRPr="00D45B1E">
        <w:rPr>
          <w:rFonts w:asciiTheme="majorHAnsi" w:eastAsia="Consolas" w:hAnsiTheme="majorHAnsi" w:cs="Times New Roman"/>
          <w:color w:val="1B1B1B"/>
          <w:sz w:val="20"/>
          <w:szCs w:val="20"/>
          <w:shd w:val="clear" w:color="auto" w:fill="FFFFFF"/>
        </w:rPr>
        <w:t xml:space="preserve"> M. (2022). Financial Shocks and Financial </w:t>
      </w:r>
      <w:r w:rsidR="008748BE" w:rsidRPr="00D45B1E">
        <w:rPr>
          <w:rFonts w:asciiTheme="majorHAnsi" w:eastAsia="Consolas" w:hAnsiTheme="majorHAnsi" w:cs="Times New Roman"/>
          <w:color w:val="1B1B1B"/>
          <w:sz w:val="20"/>
          <w:szCs w:val="20"/>
          <w:shd w:val="clear" w:color="auto" w:fill="FFFFFF"/>
        </w:rPr>
        <w:t>Well-Being: What Builds Resiliency in Lower-Income</w:t>
      </w:r>
      <w:r w:rsidRPr="00D45B1E">
        <w:rPr>
          <w:rFonts w:asciiTheme="majorHAnsi" w:eastAsia="Consolas" w:hAnsiTheme="majorHAnsi" w:cs="Times New Roman"/>
          <w:color w:val="1B1B1B"/>
          <w:sz w:val="20"/>
          <w:szCs w:val="20"/>
          <w:shd w:val="clear" w:color="auto" w:fill="FFFFFF"/>
        </w:rPr>
        <w:t xml:space="preserve"> Households? </w:t>
      </w:r>
      <w:r w:rsidRPr="00D45B1E">
        <w:rPr>
          <w:rFonts w:asciiTheme="majorHAnsi" w:eastAsia="Consolas" w:hAnsiTheme="majorHAnsi" w:cs="Times New Roman"/>
          <w:i/>
          <w:iCs/>
          <w:color w:val="1B1B1B"/>
          <w:sz w:val="20"/>
          <w:szCs w:val="20"/>
          <w:shd w:val="clear" w:color="auto" w:fill="FFFFFF"/>
        </w:rPr>
        <w:t>Soc Indic Res</w:t>
      </w:r>
      <w:r w:rsidRPr="00D45B1E">
        <w:rPr>
          <w:rFonts w:asciiTheme="majorHAnsi" w:eastAsia="Consolas" w:hAnsiTheme="majorHAnsi" w:cs="Times New Roman"/>
          <w:color w:val="1B1B1B"/>
          <w:sz w:val="20"/>
          <w:szCs w:val="20"/>
          <w:shd w:val="clear" w:color="auto" w:fill="FFFFFF"/>
        </w:rPr>
        <w:t xml:space="preserve">. </w:t>
      </w:r>
      <w:r w:rsidRPr="00D45B1E">
        <w:rPr>
          <w:rFonts w:asciiTheme="majorHAnsi" w:eastAsia="Consolas" w:hAnsiTheme="majorHAnsi" w:cs="Times New Roman"/>
          <w:i/>
          <w:iCs/>
          <w:color w:val="1B1B1B"/>
          <w:sz w:val="20"/>
          <w:szCs w:val="20"/>
          <w:shd w:val="clear" w:color="auto" w:fill="FFFFFF"/>
        </w:rPr>
        <w:t>161</w:t>
      </w:r>
      <w:r w:rsidRPr="00D45B1E">
        <w:rPr>
          <w:rFonts w:asciiTheme="majorHAnsi" w:eastAsia="Consolas" w:hAnsiTheme="majorHAnsi" w:cs="Times New Roman"/>
          <w:color w:val="1B1B1B"/>
          <w:sz w:val="20"/>
          <w:szCs w:val="20"/>
          <w:shd w:val="clear" w:color="auto" w:fill="FFFFFF"/>
        </w:rPr>
        <w:t xml:space="preserve">(1):379407. </w:t>
      </w:r>
      <w:proofErr w:type="spellStart"/>
      <w:r w:rsidRPr="00D45B1E">
        <w:rPr>
          <w:rFonts w:asciiTheme="majorHAnsi" w:eastAsia="Consolas" w:hAnsiTheme="majorHAnsi" w:cs="Times New Roman"/>
          <w:color w:val="1B1B1B"/>
          <w:sz w:val="20"/>
          <w:szCs w:val="20"/>
          <w:shd w:val="clear" w:color="auto" w:fill="FFFFFF"/>
        </w:rPr>
        <w:t>doi</w:t>
      </w:r>
      <w:proofErr w:type="spellEnd"/>
      <w:r w:rsidRPr="00D45B1E">
        <w:rPr>
          <w:rFonts w:asciiTheme="majorHAnsi" w:eastAsia="Consolas" w:hAnsiTheme="majorHAnsi" w:cs="Times New Roman"/>
          <w:color w:val="1B1B1B"/>
          <w:sz w:val="20"/>
          <w:szCs w:val="20"/>
          <w:shd w:val="clear" w:color="auto" w:fill="FFFFFF"/>
        </w:rPr>
        <w:t xml:space="preserve">: 10.1007/s1120502102828y. </w:t>
      </w:r>
      <w:proofErr w:type="spellStart"/>
      <w:r w:rsidRPr="00D45B1E">
        <w:rPr>
          <w:rFonts w:asciiTheme="majorHAnsi" w:eastAsia="Consolas" w:hAnsiTheme="majorHAnsi" w:cs="Times New Roman"/>
          <w:color w:val="1B1B1B"/>
          <w:sz w:val="20"/>
          <w:szCs w:val="20"/>
          <w:shd w:val="clear" w:color="auto" w:fill="FFFFFF"/>
        </w:rPr>
        <w:t>Epub</w:t>
      </w:r>
      <w:proofErr w:type="spellEnd"/>
      <w:r w:rsidRPr="00D45B1E">
        <w:rPr>
          <w:rFonts w:asciiTheme="majorHAnsi" w:eastAsia="Consolas" w:hAnsiTheme="majorHAnsi" w:cs="Times New Roman"/>
          <w:color w:val="1B1B1B"/>
          <w:sz w:val="20"/>
          <w:szCs w:val="20"/>
          <w:shd w:val="clear" w:color="auto" w:fill="FFFFFF"/>
        </w:rPr>
        <w:t xml:space="preserve"> 2021 Oct 21. PMID: 34697514; PMCID: PMC8528660.</w:t>
      </w:r>
    </w:p>
    <w:p w14:paraId="11C806F7"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proofErr w:type="spellStart"/>
      <w:r w:rsidRPr="00D45B1E">
        <w:rPr>
          <w:rFonts w:asciiTheme="majorHAnsi" w:hAnsiTheme="majorHAnsi" w:cs="Times New Roman"/>
          <w:sz w:val="20"/>
          <w:szCs w:val="20"/>
        </w:rPr>
        <w:t>DemirgüçKunt</w:t>
      </w:r>
      <w:proofErr w:type="spellEnd"/>
      <w:r w:rsidRPr="00D45B1E">
        <w:rPr>
          <w:rFonts w:asciiTheme="majorHAnsi" w:hAnsiTheme="majorHAnsi" w:cs="Times New Roman"/>
          <w:sz w:val="20"/>
          <w:szCs w:val="20"/>
        </w:rPr>
        <w:t xml:space="preserve">, A., Klapper, L., Singer, D., &amp; Van </w:t>
      </w:r>
      <w:proofErr w:type="spellStart"/>
      <w:r w:rsidRPr="00D45B1E">
        <w:rPr>
          <w:rFonts w:asciiTheme="majorHAnsi" w:hAnsiTheme="majorHAnsi" w:cs="Times New Roman"/>
          <w:sz w:val="20"/>
          <w:szCs w:val="20"/>
        </w:rPr>
        <w:t>Oudheusden</w:t>
      </w:r>
      <w:proofErr w:type="spellEnd"/>
      <w:r w:rsidRPr="00D45B1E">
        <w:rPr>
          <w:rFonts w:asciiTheme="majorHAnsi" w:hAnsiTheme="majorHAnsi" w:cs="Times New Roman"/>
          <w:sz w:val="20"/>
          <w:szCs w:val="20"/>
        </w:rPr>
        <w:t xml:space="preserve">, P. (2020). </w:t>
      </w:r>
      <w:r w:rsidRPr="00D45B1E">
        <w:rPr>
          <w:rFonts w:asciiTheme="majorHAnsi" w:hAnsiTheme="majorHAnsi" w:cs="Times New Roman"/>
          <w:i/>
          <w:iCs/>
          <w:sz w:val="20"/>
          <w:szCs w:val="20"/>
        </w:rPr>
        <w:t>The Global Findex Database 2017: Measuring Financial Inclusion and the Fintech Revolution</w:t>
      </w:r>
      <w:r w:rsidRPr="00D45B1E">
        <w:rPr>
          <w:rFonts w:asciiTheme="majorHAnsi" w:hAnsiTheme="majorHAnsi" w:cs="Times New Roman"/>
          <w:sz w:val="20"/>
          <w:szCs w:val="20"/>
        </w:rPr>
        <w:t>. World Bank.</w:t>
      </w:r>
    </w:p>
    <w:p w14:paraId="41BFFAF0"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 xml:space="preserve">French, D., McKillop, D., &amp; Stewart, E. (2021). Personal finance apps and low‐income households. </w:t>
      </w:r>
      <w:r w:rsidRPr="00D45B1E">
        <w:rPr>
          <w:rFonts w:asciiTheme="majorHAnsi" w:hAnsiTheme="majorHAnsi" w:cs="Times New Roman"/>
          <w:i/>
          <w:iCs/>
          <w:sz w:val="20"/>
          <w:szCs w:val="20"/>
          <w:shd w:val="clear" w:color="auto" w:fill="FFFFFF"/>
        </w:rPr>
        <w:t>Strategic Change</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30</w:t>
      </w:r>
      <w:r w:rsidRPr="00D45B1E">
        <w:rPr>
          <w:rFonts w:asciiTheme="majorHAnsi" w:hAnsiTheme="majorHAnsi" w:cs="Times New Roman"/>
          <w:sz w:val="20"/>
          <w:szCs w:val="20"/>
          <w:shd w:val="clear" w:color="auto" w:fill="FFFFFF"/>
        </w:rPr>
        <w:t xml:space="preserve"> (4), 367–375. </w:t>
      </w:r>
    </w:p>
    <w:p w14:paraId="7D0A8E6B" w14:textId="487ED295"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 xml:space="preserve">Furman, J., et al. (2019). </w:t>
      </w:r>
      <w:r w:rsidR="005B4D91" w:rsidRPr="00D45B1E">
        <w:rPr>
          <w:rFonts w:asciiTheme="majorHAnsi" w:hAnsiTheme="majorHAnsi" w:cs="Times New Roman"/>
          <w:sz w:val="20"/>
          <w:szCs w:val="20"/>
        </w:rPr>
        <w:t>Labour</w:t>
      </w:r>
      <w:r w:rsidRPr="00D45B1E">
        <w:rPr>
          <w:rFonts w:asciiTheme="majorHAnsi" w:hAnsiTheme="majorHAnsi" w:cs="Times New Roman"/>
          <w:sz w:val="20"/>
          <w:szCs w:val="20"/>
        </w:rPr>
        <w:t xml:space="preserve"> market dynamics and household financial resilience. </w:t>
      </w:r>
      <w:r w:rsidRPr="00D45B1E">
        <w:rPr>
          <w:rFonts w:asciiTheme="majorHAnsi" w:hAnsiTheme="majorHAnsi" w:cs="Times New Roman"/>
          <w:i/>
          <w:iCs/>
          <w:sz w:val="20"/>
          <w:szCs w:val="20"/>
        </w:rPr>
        <w:t>Brookings Papers on Economic Activity</w:t>
      </w:r>
      <w:r w:rsidRPr="00D45B1E">
        <w:rPr>
          <w:rFonts w:asciiTheme="majorHAnsi" w:hAnsiTheme="majorHAnsi" w:cs="Times New Roman"/>
          <w:sz w:val="20"/>
          <w:szCs w:val="20"/>
        </w:rPr>
        <w:t>, 2019(1), 45–101.</w:t>
      </w:r>
    </w:p>
    <w:p w14:paraId="190698C8"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proofErr w:type="spellStart"/>
      <w:r w:rsidRPr="00D45B1E">
        <w:rPr>
          <w:rFonts w:asciiTheme="majorHAnsi" w:hAnsiTheme="majorHAnsi" w:cs="Times New Roman"/>
          <w:sz w:val="20"/>
          <w:szCs w:val="20"/>
          <w:shd w:val="clear" w:color="auto" w:fill="FFFFFF"/>
        </w:rPr>
        <w:t>GarcíaMata</w:t>
      </w:r>
      <w:proofErr w:type="spellEnd"/>
      <w:r w:rsidRPr="00D45B1E">
        <w:rPr>
          <w:rFonts w:asciiTheme="majorHAnsi" w:hAnsiTheme="majorHAnsi" w:cs="Times New Roman"/>
          <w:sz w:val="20"/>
          <w:szCs w:val="20"/>
          <w:shd w:val="clear" w:color="auto" w:fill="FFFFFF"/>
        </w:rPr>
        <w:t xml:space="preserve">, O., &amp; </w:t>
      </w:r>
      <w:proofErr w:type="spellStart"/>
      <w:r w:rsidRPr="00D45B1E">
        <w:rPr>
          <w:rFonts w:asciiTheme="majorHAnsi" w:hAnsiTheme="majorHAnsi" w:cs="Times New Roman"/>
          <w:sz w:val="20"/>
          <w:szCs w:val="20"/>
          <w:shd w:val="clear" w:color="auto" w:fill="FFFFFF"/>
        </w:rPr>
        <w:t>ZerónFélix</w:t>
      </w:r>
      <w:proofErr w:type="spellEnd"/>
      <w:r w:rsidRPr="00D45B1E">
        <w:rPr>
          <w:rFonts w:asciiTheme="majorHAnsi" w:hAnsiTheme="majorHAnsi" w:cs="Times New Roman"/>
          <w:sz w:val="20"/>
          <w:szCs w:val="20"/>
          <w:shd w:val="clear" w:color="auto" w:fill="FFFFFF"/>
        </w:rPr>
        <w:t xml:space="preserve">, M. (2022). A review of the theoretical foundations of financial wellbeing. </w:t>
      </w:r>
      <w:r w:rsidRPr="00D45B1E">
        <w:rPr>
          <w:rFonts w:asciiTheme="majorHAnsi" w:hAnsiTheme="majorHAnsi" w:cs="Times New Roman"/>
          <w:i/>
          <w:iCs/>
          <w:sz w:val="20"/>
          <w:szCs w:val="20"/>
          <w:shd w:val="clear" w:color="auto" w:fill="FFFFFF"/>
        </w:rPr>
        <w:t>International Review of Economics</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69</w:t>
      </w:r>
      <w:r w:rsidRPr="00D45B1E">
        <w:rPr>
          <w:rFonts w:asciiTheme="majorHAnsi" w:hAnsiTheme="majorHAnsi" w:cs="Times New Roman"/>
          <w:sz w:val="20"/>
          <w:szCs w:val="20"/>
          <w:shd w:val="clear" w:color="auto" w:fill="FFFFFF"/>
        </w:rPr>
        <w:t xml:space="preserve"> (2), 145–176. </w:t>
      </w:r>
    </w:p>
    <w:p w14:paraId="2D1FF884"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 xml:space="preserve">Goyal, K., Kumar, S., Rao, S., </w:t>
      </w:r>
      <w:proofErr w:type="spellStart"/>
      <w:r w:rsidRPr="00D45B1E">
        <w:rPr>
          <w:rFonts w:asciiTheme="majorHAnsi" w:hAnsiTheme="majorHAnsi" w:cs="Times New Roman"/>
          <w:sz w:val="20"/>
          <w:szCs w:val="20"/>
          <w:shd w:val="clear" w:color="auto" w:fill="FFFFFF"/>
        </w:rPr>
        <w:t>Colombage</w:t>
      </w:r>
      <w:proofErr w:type="spellEnd"/>
      <w:r w:rsidRPr="00D45B1E">
        <w:rPr>
          <w:rFonts w:asciiTheme="majorHAnsi" w:hAnsiTheme="majorHAnsi" w:cs="Times New Roman"/>
          <w:sz w:val="20"/>
          <w:szCs w:val="20"/>
          <w:shd w:val="clear" w:color="auto" w:fill="FFFFFF"/>
        </w:rPr>
        <w:t xml:space="preserve">, S., &amp; Sharma, A. (2021). Financial distress and COVID19: evidence from working individuals in India. </w:t>
      </w:r>
      <w:r w:rsidRPr="00D45B1E">
        <w:rPr>
          <w:rFonts w:asciiTheme="majorHAnsi" w:hAnsiTheme="majorHAnsi" w:cs="Times New Roman"/>
          <w:i/>
          <w:iCs/>
          <w:sz w:val="20"/>
          <w:szCs w:val="20"/>
          <w:shd w:val="clear" w:color="auto" w:fill="FFFFFF"/>
        </w:rPr>
        <w:t>Qualitative Research in Financial Markets</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13</w:t>
      </w:r>
      <w:r w:rsidRPr="00D45B1E">
        <w:rPr>
          <w:rFonts w:asciiTheme="majorHAnsi" w:hAnsiTheme="majorHAnsi" w:cs="Times New Roman"/>
          <w:sz w:val="20"/>
          <w:szCs w:val="20"/>
          <w:shd w:val="clear" w:color="auto" w:fill="FFFFFF"/>
        </w:rPr>
        <w:t xml:space="preserve"> (4), 503–528. </w:t>
      </w:r>
    </w:p>
    <w:p w14:paraId="3E8D9AD9"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proofErr w:type="spellStart"/>
      <w:r w:rsidRPr="00D45B1E">
        <w:rPr>
          <w:rFonts w:asciiTheme="majorHAnsi" w:hAnsiTheme="majorHAnsi" w:cs="Times New Roman"/>
          <w:sz w:val="20"/>
          <w:szCs w:val="20"/>
          <w:shd w:val="clear" w:color="auto" w:fill="FFFFFF"/>
        </w:rPr>
        <w:t>Hallegatte</w:t>
      </w:r>
      <w:proofErr w:type="spellEnd"/>
      <w:r w:rsidRPr="00D45B1E">
        <w:rPr>
          <w:rFonts w:asciiTheme="majorHAnsi" w:hAnsiTheme="majorHAnsi" w:cs="Times New Roman"/>
          <w:sz w:val="20"/>
          <w:szCs w:val="20"/>
          <w:shd w:val="clear" w:color="auto" w:fill="FFFFFF"/>
        </w:rPr>
        <w:t xml:space="preserve">, S. (2014). Economic resilience: definition and measurement. </w:t>
      </w:r>
      <w:r w:rsidRPr="00D45B1E">
        <w:rPr>
          <w:rFonts w:asciiTheme="majorHAnsi" w:hAnsiTheme="majorHAnsi" w:cs="Times New Roman"/>
          <w:i/>
          <w:iCs/>
          <w:sz w:val="20"/>
          <w:szCs w:val="20"/>
          <w:shd w:val="clear" w:color="auto" w:fill="FFFFFF"/>
        </w:rPr>
        <w:t>World Bank Policy Research Working Paper</w:t>
      </w:r>
      <w:r w:rsidRPr="00D45B1E">
        <w:rPr>
          <w:rFonts w:asciiTheme="majorHAnsi" w:hAnsiTheme="majorHAnsi" w:cs="Times New Roman"/>
          <w:sz w:val="20"/>
          <w:szCs w:val="20"/>
          <w:shd w:val="clear" w:color="auto" w:fill="FFFFFF"/>
        </w:rPr>
        <w:t xml:space="preserve">, no. 6852. </w:t>
      </w:r>
    </w:p>
    <w:p w14:paraId="597A47D4"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eastAsia="Segoe UI" w:hAnsiTheme="majorHAnsi" w:cs="Times New Roman"/>
          <w:color w:val="333333"/>
          <w:sz w:val="20"/>
          <w:szCs w:val="20"/>
          <w:shd w:val="clear" w:color="auto" w:fill="F7F7F7"/>
        </w:rPr>
        <w:t>Hamid, F. S., Loke, Y. J., &amp; Chin, P. N. (2023). Determinants of financial resilience: Insights from an emerging economy. Journal of Social and Economic Development, 25, 479499. </w:t>
      </w:r>
      <w:hyperlink r:id="rId14" w:history="1">
        <w:r w:rsidRPr="00D45B1E">
          <w:rPr>
            <w:rStyle w:val="Hyperlink"/>
            <w:rFonts w:asciiTheme="majorHAnsi" w:eastAsia="Segoe UI" w:hAnsiTheme="majorHAnsi" w:cs="Times New Roman"/>
            <w:color w:val="00C05A"/>
            <w:sz w:val="20"/>
            <w:szCs w:val="20"/>
            <w:u w:val="none"/>
            <w:shd w:val="clear" w:color="auto" w:fill="F7F7F7"/>
          </w:rPr>
          <w:t>https://doi.org/10.1007/s4084702300239y</w:t>
        </w:r>
      </w:hyperlink>
    </w:p>
    <w:p w14:paraId="4322776B"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 xml:space="preserve">Hill, K. &amp; Hirsch, D. &amp; Davis, A. (2020). The Role of Social Support Networks in Helping </w:t>
      </w:r>
      <w:proofErr w:type="spellStart"/>
      <w:r w:rsidRPr="00D45B1E">
        <w:rPr>
          <w:rFonts w:asciiTheme="majorHAnsi" w:hAnsiTheme="majorHAnsi" w:cs="Times New Roman"/>
          <w:sz w:val="20"/>
          <w:szCs w:val="20"/>
        </w:rPr>
        <w:t>LowIncome</w:t>
      </w:r>
      <w:proofErr w:type="spellEnd"/>
      <w:r w:rsidRPr="00D45B1E">
        <w:rPr>
          <w:rFonts w:asciiTheme="majorHAnsi" w:hAnsiTheme="majorHAnsi" w:cs="Times New Roman"/>
          <w:sz w:val="20"/>
          <w:szCs w:val="20"/>
        </w:rPr>
        <w:t xml:space="preserve"> Families through Uncertain Times. Social Policy and Society. </w:t>
      </w:r>
      <w:r w:rsidRPr="00D45B1E">
        <w:rPr>
          <w:rFonts w:asciiTheme="majorHAnsi" w:hAnsiTheme="majorHAnsi" w:cs="Times New Roman"/>
          <w:i/>
          <w:iCs/>
          <w:sz w:val="20"/>
          <w:szCs w:val="20"/>
        </w:rPr>
        <w:t>20,</w:t>
      </w:r>
      <w:r w:rsidRPr="00D45B1E">
        <w:rPr>
          <w:rFonts w:asciiTheme="majorHAnsi" w:hAnsiTheme="majorHAnsi" w:cs="Times New Roman"/>
          <w:sz w:val="20"/>
          <w:szCs w:val="20"/>
        </w:rPr>
        <w:t xml:space="preserve"> 116. 10.1017/S1474746420000184. </w:t>
      </w:r>
    </w:p>
    <w:p w14:paraId="1C4C10D3"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eastAsia="Segoe UI" w:hAnsiTheme="majorHAnsi" w:cs="Times New Roman"/>
          <w:color w:val="333333"/>
          <w:sz w:val="20"/>
          <w:szCs w:val="20"/>
          <w:shd w:val="clear" w:color="auto" w:fill="FFFFFF"/>
        </w:rPr>
        <w:t>Jalili, R., Gilani, N., Najafi, B. </w:t>
      </w:r>
      <w:r w:rsidRPr="00D45B1E">
        <w:rPr>
          <w:rFonts w:asciiTheme="majorHAnsi" w:eastAsia="Segoe UI" w:hAnsiTheme="majorHAnsi" w:cs="Times New Roman"/>
          <w:i/>
          <w:iCs/>
          <w:color w:val="333333"/>
          <w:sz w:val="20"/>
          <w:szCs w:val="20"/>
          <w:shd w:val="clear" w:color="auto" w:fill="FFFFFF"/>
        </w:rPr>
        <w:t>et al.</w:t>
      </w:r>
      <w:r w:rsidRPr="00D45B1E">
        <w:rPr>
          <w:rFonts w:asciiTheme="majorHAnsi" w:eastAsia="Segoe UI" w:hAnsiTheme="majorHAnsi" w:cs="Times New Roman"/>
          <w:color w:val="333333"/>
          <w:sz w:val="20"/>
          <w:szCs w:val="20"/>
          <w:shd w:val="clear" w:color="auto" w:fill="FFFFFF"/>
        </w:rPr>
        <w:t> (2025). Health financial resilience in individuals and households: a scoping review of components, strategies and outcomes. </w:t>
      </w:r>
      <w:r w:rsidRPr="00D45B1E">
        <w:rPr>
          <w:rFonts w:asciiTheme="majorHAnsi" w:eastAsia="Segoe UI" w:hAnsiTheme="majorHAnsi" w:cs="Times New Roman"/>
          <w:i/>
          <w:iCs/>
          <w:color w:val="333333"/>
          <w:sz w:val="20"/>
          <w:szCs w:val="20"/>
          <w:shd w:val="clear" w:color="auto" w:fill="FFFFFF"/>
        </w:rPr>
        <w:t>BMC Public Health</w:t>
      </w:r>
      <w:r w:rsidRPr="00D45B1E">
        <w:rPr>
          <w:rFonts w:asciiTheme="majorHAnsi" w:eastAsia="Segoe UI" w:hAnsiTheme="majorHAnsi" w:cs="Times New Roman"/>
          <w:color w:val="333333"/>
          <w:sz w:val="20"/>
          <w:szCs w:val="20"/>
          <w:shd w:val="clear" w:color="auto" w:fill="FFFFFF"/>
        </w:rPr>
        <w:t> </w:t>
      </w:r>
      <w:r w:rsidRPr="00D45B1E">
        <w:rPr>
          <w:rFonts w:asciiTheme="majorHAnsi" w:eastAsia="Segoe UI" w:hAnsiTheme="majorHAnsi" w:cs="Times New Roman"/>
          <w:b/>
          <w:bCs/>
          <w:color w:val="333333"/>
          <w:sz w:val="20"/>
          <w:szCs w:val="20"/>
          <w:shd w:val="clear" w:color="auto" w:fill="FFFFFF"/>
        </w:rPr>
        <w:t>25</w:t>
      </w:r>
      <w:r w:rsidRPr="00D45B1E">
        <w:rPr>
          <w:rFonts w:asciiTheme="majorHAnsi" w:eastAsia="Segoe UI" w:hAnsiTheme="majorHAnsi" w:cs="Times New Roman"/>
          <w:color w:val="333333"/>
          <w:sz w:val="20"/>
          <w:szCs w:val="20"/>
          <w:shd w:val="clear" w:color="auto" w:fill="FFFFFF"/>
        </w:rPr>
        <w:t xml:space="preserve">, 3021. </w:t>
      </w:r>
      <w:hyperlink r:id="rId15" w:history="1">
        <w:r w:rsidRPr="00D45B1E">
          <w:rPr>
            <w:rStyle w:val="Hyperlink"/>
            <w:rFonts w:asciiTheme="majorHAnsi" w:eastAsia="Segoe UI" w:hAnsiTheme="majorHAnsi" w:cs="Times New Roman"/>
            <w:sz w:val="20"/>
            <w:szCs w:val="20"/>
            <w:shd w:val="clear" w:color="auto" w:fill="FFFFFF"/>
          </w:rPr>
          <w:t>https://doi.org/10.1186/s12889025244675</w:t>
        </w:r>
      </w:hyperlink>
    </w:p>
    <w:p w14:paraId="2D2E3709"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 xml:space="preserve">Johnston, D. W., Kung, C. S., &amp; Shields M. A. 2021. Who is resilient in a time of crisis? The importance of financial and non‐financial resources. </w:t>
      </w:r>
      <w:r w:rsidRPr="00D45B1E">
        <w:rPr>
          <w:rFonts w:asciiTheme="majorHAnsi" w:hAnsiTheme="majorHAnsi" w:cs="Times New Roman"/>
          <w:i/>
          <w:iCs/>
          <w:sz w:val="20"/>
          <w:szCs w:val="20"/>
          <w:shd w:val="clear" w:color="auto" w:fill="FFFFFF"/>
        </w:rPr>
        <w:t>Health Economics</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30</w:t>
      </w:r>
      <w:r w:rsidRPr="00D45B1E">
        <w:rPr>
          <w:rFonts w:asciiTheme="majorHAnsi" w:hAnsiTheme="majorHAnsi" w:cs="Times New Roman"/>
          <w:sz w:val="20"/>
          <w:szCs w:val="20"/>
          <w:shd w:val="clear" w:color="auto" w:fill="FFFFFF"/>
        </w:rPr>
        <w:t xml:space="preserve"> (12), 3051–3073. </w:t>
      </w:r>
    </w:p>
    <w:p w14:paraId="61021994"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lang w:val="pl-PL"/>
        </w:rPr>
        <w:t xml:space="preserve">Kaftan, V., Kandalov, W., Molodtsov, I., Sherstobitova, A., &amp; Strielkowski, W. (2023). </w:t>
      </w:r>
      <w:r w:rsidRPr="00D45B1E">
        <w:rPr>
          <w:rFonts w:asciiTheme="majorHAnsi" w:hAnsiTheme="majorHAnsi" w:cs="Times New Roman"/>
          <w:sz w:val="20"/>
          <w:szCs w:val="20"/>
          <w:shd w:val="clear" w:color="auto" w:fill="FFFFFF"/>
        </w:rPr>
        <w:t xml:space="preserve">Socioeconomic stability and sustainable development in the </w:t>
      </w:r>
      <w:proofErr w:type="spellStart"/>
      <w:r w:rsidRPr="00D45B1E">
        <w:rPr>
          <w:rFonts w:asciiTheme="majorHAnsi" w:hAnsiTheme="majorHAnsi" w:cs="Times New Roman"/>
          <w:sz w:val="20"/>
          <w:szCs w:val="20"/>
          <w:shd w:val="clear" w:color="auto" w:fill="FFFFFF"/>
        </w:rPr>
        <w:t>postCOVID</w:t>
      </w:r>
      <w:proofErr w:type="spellEnd"/>
      <w:r w:rsidRPr="00D45B1E">
        <w:rPr>
          <w:rFonts w:asciiTheme="majorHAnsi" w:hAnsiTheme="majorHAnsi" w:cs="Times New Roman"/>
          <w:sz w:val="20"/>
          <w:szCs w:val="20"/>
          <w:shd w:val="clear" w:color="auto" w:fill="FFFFFF"/>
        </w:rPr>
        <w:t xml:space="preserve"> era: lessons for the business and economic leaders. </w:t>
      </w:r>
      <w:r w:rsidRPr="00D45B1E">
        <w:rPr>
          <w:rFonts w:asciiTheme="majorHAnsi" w:hAnsiTheme="majorHAnsi" w:cs="Times New Roman"/>
          <w:i/>
          <w:iCs/>
          <w:sz w:val="20"/>
          <w:szCs w:val="20"/>
          <w:shd w:val="clear" w:color="auto" w:fill="FFFFFF"/>
        </w:rPr>
        <w:t>Sustainability</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15</w:t>
      </w:r>
      <w:r w:rsidRPr="00D45B1E">
        <w:rPr>
          <w:rFonts w:asciiTheme="majorHAnsi" w:hAnsiTheme="majorHAnsi" w:cs="Times New Roman"/>
          <w:sz w:val="20"/>
          <w:szCs w:val="20"/>
          <w:shd w:val="clear" w:color="auto" w:fill="FFFFFF"/>
        </w:rPr>
        <w:t xml:space="preserve"> (4), 2876. </w:t>
      </w:r>
    </w:p>
    <w:p w14:paraId="289C1D48"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lastRenderedPageBreak/>
        <w:t xml:space="preserve">Khetan, A. K., Yusuf, S., </w:t>
      </w:r>
      <w:proofErr w:type="spellStart"/>
      <w:r w:rsidRPr="00D45B1E">
        <w:rPr>
          <w:rFonts w:asciiTheme="majorHAnsi" w:hAnsiTheme="majorHAnsi" w:cs="Times New Roman"/>
          <w:sz w:val="20"/>
          <w:szCs w:val="20"/>
          <w:shd w:val="clear" w:color="auto" w:fill="FFFFFF"/>
        </w:rPr>
        <w:t>LopezJaramillo</w:t>
      </w:r>
      <w:proofErr w:type="spellEnd"/>
      <w:r w:rsidRPr="00D45B1E">
        <w:rPr>
          <w:rFonts w:asciiTheme="majorHAnsi" w:hAnsiTheme="majorHAnsi" w:cs="Times New Roman"/>
          <w:sz w:val="20"/>
          <w:szCs w:val="20"/>
          <w:shd w:val="clear" w:color="auto" w:fill="FFFFFF"/>
        </w:rPr>
        <w:t xml:space="preserve">, P., Szuba, A., Orlandini, A., </w:t>
      </w:r>
      <w:proofErr w:type="spellStart"/>
      <w:r w:rsidRPr="00D45B1E">
        <w:rPr>
          <w:rFonts w:asciiTheme="majorHAnsi" w:hAnsiTheme="majorHAnsi" w:cs="Times New Roman"/>
          <w:sz w:val="20"/>
          <w:szCs w:val="20"/>
          <w:shd w:val="clear" w:color="auto" w:fill="FFFFFF"/>
        </w:rPr>
        <w:t>MatNasir</w:t>
      </w:r>
      <w:proofErr w:type="spellEnd"/>
      <w:r w:rsidRPr="00D45B1E">
        <w:rPr>
          <w:rFonts w:asciiTheme="majorHAnsi" w:hAnsiTheme="majorHAnsi" w:cs="Times New Roman"/>
          <w:sz w:val="20"/>
          <w:szCs w:val="20"/>
          <w:shd w:val="clear" w:color="auto" w:fill="FFFFFF"/>
        </w:rPr>
        <w:t xml:space="preserve">, N., et al. (2022). Variations in the financial impact of the COVID19 pandemic across 5 continents: a </w:t>
      </w:r>
      <w:proofErr w:type="spellStart"/>
      <w:r w:rsidRPr="00D45B1E">
        <w:rPr>
          <w:rFonts w:asciiTheme="majorHAnsi" w:hAnsiTheme="majorHAnsi" w:cs="Times New Roman"/>
          <w:sz w:val="20"/>
          <w:szCs w:val="20"/>
          <w:shd w:val="clear" w:color="auto" w:fill="FFFFFF"/>
        </w:rPr>
        <w:t>crosssectional</w:t>
      </w:r>
      <w:proofErr w:type="spellEnd"/>
      <w:r w:rsidRPr="00D45B1E">
        <w:rPr>
          <w:rFonts w:asciiTheme="majorHAnsi" w:hAnsiTheme="majorHAnsi" w:cs="Times New Roman"/>
          <w:sz w:val="20"/>
          <w:szCs w:val="20"/>
          <w:shd w:val="clear" w:color="auto" w:fill="FFFFFF"/>
        </w:rPr>
        <w:t xml:space="preserve">, individual level analysis. </w:t>
      </w:r>
      <w:proofErr w:type="spellStart"/>
      <w:r w:rsidRPr="00D45B1E">
        <w:rPr>
          <w:rFonts w:asciiTheme="majorHAnsi" w:hAnsiTheme="majorHAnsi" w:cs="Times New Roman"/>
          <w:i/>
          <w:iCs/>
          <w:sz w:val="20"/>
          <w:szCs w:val="20"/>
          <w:shd w:val="clear" w:color="auto" w:fill="FFFFFF"/>
        </w:rPr>
        <w:t>EClinicalMedicine</w:t>
      </w:r>
      <w:proofErr w:type="spellEnd"/>
      <w:r w:rsidRPr="00D45B1E">
        <w:rPr>
          <w:rFonts w:asciiTheme="majorHAnsi" w:hAnsiTheme="majorHAnsi" w:cs="Times New Roman"/>
          <w:sz w:val="20"/>
          <w:szCs w:val="20"/>
          <w:shd w:val="clear" w:color="auto" w:fill="FFFFFF"/>
        </w:rPr>
        <w:t>.</w:t>
      </w:r>
    </w:p>
    <w:p w14:paraId="081C16D2"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 xml:space="preserve">Kumar, S., et al. (2021). Health shocks and financial resilience: Evidence from India. </w:t>
      </w:r>
      <w:r w:rsidRPr="00D45B1E">
        <w:rPr>
          <w:rFonts w:asciiTheme="majorHAnsi" w:hAnsiTheme="majorHAnsi" w:cs="Times New Roman"/>
          <w:i/>
          <w:iCs/>
          <w:sz w:val="20"/>
          <w:szCs w:val="20"/>
        </w:rPr>
        <w:t>World Development</w:t>
      </w:r>
      <w:r w:rsidRPr="00D45B1E">
        <w:rPr>
          <w:rFonts w:asciiTheme="majorHAnsi" w:hAnsiTheme="majorHAnsi" w:cs="Times New Roman"/>
          <w:sz w:val="20"/>
          <w:szCs w:val="20"/>
        </w:rPr>
        <w:t>, 140, 105348.</w:t>
      </w:r>
    </w:p>
    <w:p w14:paraId="38A42A97"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 xml:space="preserve">Liu, Z., &amp; Chen, J. K. (2023). Financial Resilience in China: Conceptual Framework, Risk and Protective Factors, and Empirical Evidence. </w:t>
      </w:r>
      <w:r w:rsidRPr="00D45B1E">
        <w:rPr>
          <w:rFonts w:asciiTheme="majorHAnsi" w:hAnsiTheme="majorHAnsi" w:cs="Times New Roman"/>
          <w:i/>
          <w:iCs/>
          <w:sz w:val="20"/>
          <w:szCs w:val="20"/>
          <w:shd w:val="clear" w:color="auto" w:fill="FFFFFF"/>
        </w:rPr>
        <w:t xml:space="preserve">J Fam Econ </w:t>
      </w:r>
      <w:proofErr w:type="spellStart"/>
      <w:r w:rsidRPr="00D45B1E">
        <w:rPr>
          <w:rFonts w:asciiTheme="majorHAnsi" w:hAnsiTheme="majorHAnsi" w:cs="Times New Roman"/>
          <w:i/>
          <w:iCs/>
          <w:sz w:val="20"/>
          <w:szCs w:val="20"/>
          <w:shd w:val="clear" w:color="auto" w:fill="FFFFFF"/>
        </w:rPr>
        <w:t>Iss</w:t>
      </w:r>
      <w:proofErr w:type="spellEnd"/>
      <w:r w:rsidRPr="00D45B1E">
        <w:rPr>
          <w:rFonts w:asciiTheme="majorHAnsi" w:hAnsiTheme="majorHAnsi" w:cs="Times New Roman"/>
          <w:sz w:val="20"/>
          <w:szCs w:val="20"/>
          <w:shd w:val="clear" w:color="auto" w:fill="FFFFFF"/>
        </w:rPr>
        <w:t xml:space="preserve">. </w:t>
      </w:r>
      <w:hyperlink r:id="rId16" w:tgtFrame="_blank" w:history="1">
        <w:r w:rsidRPr="00D45B1E">
          <w:rPr>
            <w:rStyle w:val="Hyperlink"/>
            <w:rFonts w:asciiTheme="majorHAnsi" w:hAnsiTheme="majorHAnsi" w:cs="Times New Roman"/>
            <w:sz w:val="20"/>
            <w:szCs w:val="20"/>
            <w:shd w:val="clear" w:color="auto" w:fill="FFFFFF"/>
          </w:rPr>
          <w:t>https://doi.org/10.1007/s10834023099437</w:t>
        </w:r>
      </w:hyperlink>
      <w:r w:rsidRPr="00D45B1E">
        <w:rPr>
          <w:rFonts w:asciiTheme="majorHAnsi" w:hAnsiTheme="majorHAnsi" w:cs="Times New Roman"/>
          <w:sz w:val="20"/>
          <w:szCs w:val="20"/>
          <w:shd w:val="clear" w:color="auto" w:fill="FFFFFF"/>
        </w:rPr>
        <w:t xml:space="preserve">. </w:t>
      </w:r>
    </w:p>
    <w:p w14:paraId="0D02B475"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 xml:space="preserve">Lusardi, A., Hasler, A., &amp; </w:t>
      </w:r>
      <w:proofErr w:type="spellStart"/>
      <w:r w:rsidRPr="00D45B1E">
        <w:rPr>
          <w:rFonts w:asciiTheme="majorHAnsi" w:hAnsiTheme="majorHAnsi" w:cs="Times New Roman"/>
          <w:sz w:val="20"/>
          <w:szCs w:val="20"/>
          <w:shd w:val="clear" w:color="auto" w:fill="FFFFFF"/>
        </w:rPr>
        <w:t>Yakoboski</w:t>
      </w:r>
      <w:proofErr w:type="spellEnd"/>
      <w:r w:rsidRPr="00D45B1E">
        <w:rPr>
          <w:rFonts w:asciiTheme="majorHAnsi" w:hAnsiTheme="majorHAnsi" w:cs="Times New Roman"/>
          <w:sz w:val="20"/>
          <w:szCs w:val="20"/>
          <w:shd w:val="clear" w:color="auto" w:fill="FFFFFF"/>
        </w:rPr>
        <w:t xml:space="preserve">, P. J. (2021). Building up financial literacy and financial resilience. </w:t>
      </w:r>
      <w:r w:rsidRPr="00D45B1E">
        <w:rPr>
          <w:rFonts w:asciiTheme="majorHAnsi" w:hAnsiTheme="majorHAnsi" w:cs="Times New Roman"/>
          <w:i/>
          <w:iCs/>
          <w:sz w:val="20"/>
          <w:szCs w:val="20"/>
          <w:shd w:val="clear" w:color="auto" w:fill="FFFFFF"/>
        </w:rPr>
        <w:t>Mind &amp; Society</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sz w:val="20"/>
          <w:szCs w:val="20"/>
          <w:shd w:val="clear" w:color="auto" w:fill="FFFFFF"/>
        </w:rPr>
        <w:t>20</w:t>
      </w:r>
      <w:r w:rsidRPr="00D45B1E">
        <w:rPr>
          <w:rFonts w:asciiTheme="majorHAnsi" w:hAnsiTheme="majorHAnsi" w:cs="Times New Roman"/>
          <w:sz w:val="20"/>
          <w:szCs w:val="20"/>
          <w:shd w:val="clear" w:color="auto" w:fill="FFFFFF"/>
        </w:rPr>
        <w:t xml:space="preserve">, 181–187. </w:t>
      </w:r>
    </w:p>
    <w:p w14:paraId="3BD19890"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McKnight, A., &amp; Rucci, M. (2020). The financial resilience of households: 22 country study with new estimates, breakdowns by household characteristics and a review of policy options.</w:t>
      </w:r>
    </w:p>
    <w:p w14:paraId="72D69EA8"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eastAsia="SimSun" w:hAnsiTheme="majorHAnsi" w:cs="Times New Roman"/>
          <w:sz w:val="20"/>
          <w:szCs w:val="20"/>
          <w:lang w:val="pl-PL"/>
        </w:rPr>
        <w:t xml:space="preserve">Mirjalili, S. H., &amp; Saadat, H. (2020). </w:t>
      </w:r>
      <w:r w:rsidRPr="00D45B1E">
        <w:rPr>
          <w:rFonts w:asciiTheme="majorHAnsi" w:eastAsia="SimSun" w:hAnsiTheme="majorHAnsi" w:cs="Times New Roman"/>
          <w:sz w:val="20"/>
          <w:szCs w:val="20"/>
        </w:rPr>
        <w:t>Indicators of economic Vulnerability. MPRA Paper 125887, University Library of Munich, Germany.</w:t>
      </w:r>
    </w:p>
    <w:p w14:paraId="2E9184C6"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 xml:space="preserve">Mundi, H. S., &amp; Vashisht, S. (2023). Cognitive abilities and financial resilience: evidence from an emerging market. </w:t>
      </w:r>
      <w:r w:rsidRPr="00D45B1E">
        <w:rPr>
          <w:rFonts w:asciiTheme="majorHAnsi" w:hAnsiTheme="majorHAnsi" w:cs="Times New Roman"/>
          <w:i/>
          <w:iCs/>
          <w:sz w:val="20"/>
          <w:szCs w:val="20"/>
          <w:shd w:val="clear" w:color="auto" w:fill="FFFFFF"/>
        </w:rPr>
        <w:t>International Journal of Bank Marketing</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41</w:t>
      </w:r>
      <w:r w:rsidRPr="00D45B1E">
        <w:rPr>
          <w:rFonts w:asciiTheme="majorHAnsi" w:hAnsiTheme="majorHAnsi" w:cs="Times New Roman"/>
          <w:sz w:val="20"/>
          <w:szCs w:val="20"/>
          <w:shd w:val="clear" w:color="auto" w:fill="FFFFFF"/>
        </w:rPr>
        <w:t xml:space="preserve"> (5), 1010–1036. </w:t>
      </w:r>
    </w:p>
    <w:p w14:paraId="1F9F6F95"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 xml:space="preserve">Obasaju, B., </w:t>
      </w:r>
      <w:proofErr w:type="spellStart"/>
      <w:r w:rsidRPr="00D45B1E">
        <w:rPr>
          <w:rFonts w:asciiTheme="majorHAnsi" w:hAnsiTheme="majorHAnsi" w:cs="Times New Roman"/>
          <w:sz w:val="20"/>
          <w:szCs w:val="20"/>
        </w:rPr>
        <w:t>Aiyepola</w:t>
      </w:r>
      <w:proofErr w:type="spellEnd"/>
      <w:r w:rsidRPr="00D45B1E">
        <w:rPr>
          <w:rFonts w:asciiTheme="majorHAnsi" w:hAnsiTheme="majorHAnsi" w:cs="Times New Roman"/>
          <w:sz w:val="20"/>
          <w:szCs w:val="20"/>
        </w:rPr>
        <w:t xml:space="preserve">, O., &amp; </w:t>
      </w:r>
      <w:proofErr w:type="spellStart"/>
      <w:r w:rsidRPr="00D45B1E">
        <w:rPr>
          <w:rFonts w:asciiTheme="majorHAnsi" w:hAnsiTheme="majorHAnsi" w:cs="Times New Roman"/>
          <w:sz w:val="20"/>
          <w:szCs w:val="20"/>
        </w:rPr>
        <w:t>Onanuga</w:t>
      </w:r>
      <w:proofErr w:type="spellEnd"/>
      <w:r w:rsidRPr="00D45B1E">
        <w:rPr>
          <w:rFonts w:asciiTheme="majorHAnsi" w:hAnsiTheme="majorHAnsi" w:cs="Times New Roman"/>
          <w:sz w:val="20"/>
          <w:szCs w:val="20"/>
        </w:rPr>
        <w:t>, O. T. (2023). Digital hustles and social threads: Capital conversion and livelihood adaptation in Lagos during economic downturn. </w:t>
      </w:r>
      <w:r w:rsidRPr="00D45B1E">
        <w:rPr>
          <w:rFonts w:asciiTheme="majorHAnsi" w:hAnsiTheme="majorHAnsi" w:cs="Times New Roman"/>
          <w:i/>
          <w:iCs/>
          <w:sz w:val="20"/>
          <w:szCs w:val="20"/>
        </w:rPr>
        <w:t>Journal of Asian and African Studies, 58</w:t>
      </w:r>
      <w:r w:rsidRPr="00D45B1E">
        <w:rPr>
          <w:rFonts w:asciiTheme="majorHAnsi" w:hAnsiTheme="majorHAnsi" w:cs="Times New Roman"/>
          <w:sz w:val="20"/>
          <w:szCs w:val="20"/>
        </w:rPr>
        <w:t>(7), 1245–1263. </w:t>
      </w:r>
      <w:hyperlink r:id="rId17" w:tgtFrame="_blank" w:history="1">
        <w:r w:rsidRPr="00D45B1E">
          <w:rPr>
            <w:rStyle w:val="Hyperlink"/>
            <w:rFonts w:asciiTheme="majorHAnsi" w:hAnsiTheme="majorHAnsi" w:cs="Times New Roman"/>
            <w:sz w:val="20"/>
            <w:szCs w:val="20"/>
          </w:rPr>
          <w:t>https://doi.org/10.1177/00219096221121345</w:t>
        </w:r>
      </w:hyperlink>
    </w:p>
    <w:p w14:paraId="42885DD4"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OECD (2020). Employment and social outcomes in times of crisis. OECD Publishing.</w:t>
      </w:r>
    </w:p>
    <w:p w14:paraId="0484586C"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rPr>
        <w:t xml:space="preserve">Oke, O. E., &amp; </w:t>
      </w:r>
      <w:proofErr w:type="spellStart"/>
      <w:r w:rsidRPr="00D45B1E">
        <w:rPr>
          <w:rFonts w:asciiTheme="majorHAnsi" w:hAnsiTheme="majorHAnsi" w:cs="Times New Roman"/>
          <w:sz w:val="20"/>
          <w:szCs w:val="20"/>
          <w:shd w:val="clear" w:color="auto" w:fill="FFFFFF"/>
        </w:rPr>
        <w:t>Akinyede</w:t>
      </w:r>
      <w:proofErr w:type="spellEnd"/>
      <w:r w:rsidRPr="00D45B1E">
        <w:rPr>
          <w:rFonts w:asciiTheme="majorHAnsi" w:hAnsiTheme="majorHAnsi" w:cs="Times New Roman"/>
          <w:sz w:val="20"/>
          <w:szCs w:val="20"/>
          <w:shd w:val="clear" w:color="auto" w:fill="FFFFFF"/>
        </w:rPr>
        <w:t xml:space="preserve">, O. M. (2024). Financial Inclusion in PostCOVID19 Era: Effects on Income and Employment. </w:t>
      </w:r>
      <w:r w:rsidRPr="00D45B1E">
        <w:rPr>
          <w:rFonts w:asciiTheme="majorHAnsi" w:hAnsiTheme="majorHAnsi" w:cs="Times New Roman"/>
          <w:i/>
          <w:iCs/>
          <w:sz w:val="20"/>
          <w:szCs w:val="20"/>
          <w:shd w:val="clear" w:color="auto" w:fill="FFFFFF"/>
        </w:rPr>
        <w:t>Journal of Management</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1</w:t>
      </w:r>
      <w:r w:rsidRPr="00D45B1E">
        <w:rPr>
          <w:rFonts w:asciiTheme="majorHAnsi" w:hAnsiTheme="majorHAnsi" w:cs="Times New Roman"/>
          <w:sz w:val="20"/>
          <w:szCs w:val="20"/>
          <w:shd w:val="clear" w:color="auto" w:fill="FFFFFF"/>
        </w:rPr>
        <w:t xml:space="preserve">(1), 1–11. </w:t>
      </w:r>
    </w:p>
    <w:p w14:paraId="6440E8DF"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eastAsia="NexusSansWebPro" w:hAnsiTheme="majorHAnsi" w:cs="Times New Roman"/>
          <w:color w:val="505050"/>
          <w:sz w:val="20"/>
          <w:szCs w:val="20"/>
          <w:shd w:val="clear" w:color="auto" w:fill="FFFFFF"/>
        </w:rPr>
        <w:t xml:space="preserve">Okumu, M., Ansong, D., Ansong, D., Koomson, I., &amp; Chen, D. (2021). How Financial Resilience Shapes Social and Public Health Policy Choices in </w:t>
      </w:r>
      <w:proofErr w:type="spellStart"/>
      <w:r w:rsidRPr="00D45B1E">
        <w:rPr>
          <w:rFonts w:asciiTheme="majorHAnsi" w:eastAsia="NexusSansWebPro" w:hAnsiTheme="majorHAnsi" w:cs="Times New Roman"/>
          <w:color w:val="505050"/>
          <w:sz w:val="20"/>
          <w:szCs w:val="20"/>
          <w:shd w:val="clear" w:color="auto" w:fill="FFFFFF"/>
        </w:rPr>
        <w:t>SubSaharan</w:t>
      </w:r>
      <w:proofErr w:type="spellEnd"/>
      <w:r w:rsidRPr="00D45B1E">
        <w:rPr>
          <w:rFonts w:asciiTheme="majorHAnsi" w:eastAsia="NexusSansWebPro" w:hAnsiTheme="majorHAnsi" w:cs="Times New Roman"/>
          <w:color w:val="505050"/>
          <w:sz w:val="20"/>
          <w:szCs w:val="20"/>
          <w:shd w:val="clear" w:color="auto" w:fill="FFFFFF"/>
        </w:rPr>
        <w:t xml:space="preserve"> Africa: Empirical Insights from the COVID19 Pandemic. Available at SSRN: </w:t>
      </w:r>
      <w:hyperlink r:id="rId18" w:tgtFrame="https://papers.ssrn.com/sol3/_blank" w:history="1">
        <w:r w:rsidRPr="00D45B1E">
          <w:rPr>
            <w:rStyle w:val="Hyperlink"/>
            <w:rFonts w:asciiTheme="majorHAnsi" w:eastAsia="NexusSansWebPro" w:hAnsiTheme="majorHAnsi" w:cs="Times New Roman"/>
            <w:color w:val="505050"/>
            <w:sz w:val="20"/>
            <w:szCs w:val="20"/>
            <w:shd w:val="clear" w:color="auto" w:fill="FFFFFF"/>
          </w:rPr>
          <w:t>https://ssrn.com/abstract=3955418</w:t>
        </w:r>
      </w:hyperlink>
      <w:r w:rsidRPr="00D45B1E">
        <w:rPr>
          <w:rFonts w:asciiTheme="majorHAnsi" w:eastAsia="NexusSansWebPro" w:hAnsiTheme="majorHAnsi" w:cs="Times New Roman"/>
          <w:color w:val="505050"/>
          <w:sz w:val="20"/>
          <w:szCs w:val="20"/>
          <w:shd w:val="clear" w:color="auto" w:fill="FFFFFF"/>
        </w:rPr>
        <w:t> or </w:t>
      </w:r>
      <w:hyperlink r:id="rId19" w:tgtFrame="https://papers.ssrn.com/sol3/_blank" w:history="1">
        <w:r w:rsidRPr="00D45B1E">
          <w:rPr>
            <w:rStyle w:val="Hyperlink"/>
            <w:rFonts w:asciiTheme="majorHAnsi" w:eastAsia="NexusSansWebPro" w:hAnsiTheme="majorHAnsi" w:cs="Times New Roman"/>
            <w:color w:val="505050"/>
            <w:sz w:val="20"/>
            <w:szCs w:val="20"/>
            <w:shd w:val="clear" w:color="auto" w:fill="FFFFFF"/>
          </w:rPr>
          <w:t>http://dx.doi.org/10.2139/ssrn.3955418</w:t>
        </w:r>
      </w:hyperlink>
    </w:p>
    <w:p w14:paraId="29329159"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 xml:space="preserve">Oluwatobi, S., </w:t>
      </w:r>
      <w:proofErr w:type="spellStart"/>
      <w:r w:rsidRPr="00D45B1E">
        <w:rPr>
          <w:rFonts w:asciiTheme="majorHAnsi" w:hAnsiTheme="majorHAnsi" w:cs="Times New Roman"/>
          <w:sz w:val="20"/>
          <w:szCs w:val="20"/>
        </w:rPr>
        <w:t>Olurinola</w:t>
      </w:r>
      <w:proofErr w:type="spellEnd"/>
      <w:r w:rsidRPr="00D45B1E">
        <w:rPr>
          <w:rFonts w:asciiTheme="majorHAnsi" w:hAnsiTheme="majorHAnsi" w:cs="Times New Roman"/>
          <w:sz w:val="20"/>
          <w:szCs w:val="20"/>
        </w:rPr>
        <w:t xml:space="preserve">, I., </w:t>
      </w:r>
      <w:proofErr w:type="spellStart"/>
      <w:r w:rsidRPr="00D45B1E">
        <w:rPr>
          <w:rFonts w:asciiTheme="majorHAnsi" w:hAnsiTheme="majorHAnsi" w:cs="Times New Roman"/>
          <w:sz w:val="20"/>
          <w:szCs w:val="20"/>
        </w:rPr>
        <w:t>Alege</w:t>
      </w:r>
      <w:proofErr w:type="spellEnd"/>
      <w:r w:rsidRPr="00D45B1E">
        <w:rPr>
          <w:rFonts w:asciiTheme="majorHAnsi" w:hAnsiTheme="majorHAnsi" w:cs="Times New Roman"/>
          <w:sz w:val="20"/>
          <w:szCs w:val="20"/>
        </w:rPr>
        <w:t>, P., &amp; Ogundipe, A. (2022). Heterogeneous impacts of macroeconomic shocks on household welfare in Nigeria: A microsimulation analysis. </w:t>
      </w:r>
      <w:r w:rsidRPr="00D45B1E">
        <w:rPr>
          <w:rFonts w:asciiTheme="majorHAnsi" w:hAnsiTheme="majorHAnsi" w:cs="Times New Roman"/>
          <w:i/>
          <w:iCs/>
          <w:sz w:val="20"/>
          <w:szCs w:val="20"/>
        </w:rPr>
        <w:t>Economic Modelling, 116</w:t>
      </w:r>
      <w:r w:rsidRPr="00D45B1E">
        <w:rPr>
          <w:rFonts w:asciiTheme="majorHAnsi" w:hAnsiTheme="majorHAnsi" w:cs="Times New Roman"/>
          <w:sz w:val="20"/>
          <w:szCs w:val="20"/>
        </w:rPr>
        <w:t>, 106000. </w:t>
      </w:r>
      <w:hyperlink r:id="rId20" w:tgtFrame="_blank" w:history="1">
        <w:r w:rsidRPr="00D45B1E">
          <w:rPr>
            <w:rStyle w:val="Hyperlink"/>
            <w:rFonts w:asciiTheme="majorHAnsi" w:hAnsiTheme="majorHAnsi" w:cs="Times New Roman"/>
            <w:sz w:val="20"/>
            <w:szCs w:val="20"/>
          </w:rPr>
          <w:t>https://doi.org/10.1016/j.econmod.2022.106000</w:t>
        </w:r>
      </w:hyperlink>
    </w:p>
    <w:p w14:paraId="13FED11C"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proofErr w:type="spellStart"/>
      <w:r w:rsidRPr="00D45B1E">
        <w:rPr>
          <w:rFonts w:asciiTheme="majorHAnsi" w:hAnsiTheme="majorHAnsi" w:cs="Times New Roman"/>
          <w:sz w:val="20"/>
          <w:szCs w:val="20"/>
        </w:rPr>
        <w:t>Osabohien</w:t>
      </w:r>
      <w:proofErr w:type="spellEnd"/>
      <w:r w:rsidRPr="00D45B1E">
        <w:rPr>
          <w:rFonts w:asciiTheme="majorHAnsi" w:hAnsiTheme="majorHAnsi" w:cs="Times New Roman"/>
          <w:sz w:val="20"/>
          <w:szCs w:val="20"/>
        </w:rPr>
        <w:t xml:space="preserve">, R., et al. (2020). Economic shocks and household resilience in </w:t>
      </w:r>
      <w:proofErr w:type="spellStart"/>
      <w:r w:rsidRPr="00D45B1E">
        <w:rPr>
          <w:rFonts w:asciiTheme="majorHAnsi" w:hAnsiTheme="majorHAnsi" w:cs="Times New Roman"/>
          <w:sz w:val="20"/>
          <w:szCs w:val="20"/>
        </w:rPr>
        <w:t>SubSaharan</w:t>
      </w:r>
      <w:proofErr w:type="spellEnd"/>
      <w:r w:rsidRPr="00D45B1E">
        <w:rPr>
          <w:rFonts w:asciiTheme="majorHAnsi" w:hAnsiTheme="majorHAnsi" w:cs="Times New Roman"/>
          <w:sz w:val="20"/>
          <w:szCs w:val="20"/>
        </w:rPr>
        <w:t xml:space="preserve"> Africa. </w:t>
      </w:r>
      <w:r w:rsidRPr="00D45B1E">
        <w:rPr>
          <w:rFonts w:asciiTheme="majorHAnsi" w:hAnsiTheme="majorHAnsi" w:cs="Times New Roman"/>
          <w:i/>
          <w:iCs/>
          <w:sz w:val="20"/>
          <w:szCs w:val="20"/>
        </w:rPr>
        <w:t>African Development Review</w:t>
      </w:r>
      <w:r w:rsidRPr="00D45B1E">
        <w:rPr>
          <w:rFonts w:asciiTheme="majorHAnsi" w:hAnsiTheme="majorHAnsi" w:cs="Times New Roman"/>
          <w:sz w:val="20"/>
          <w:szCs w:val="20"/>
        </w:rPr>
        <w:t>, 32(3), 341–356.</w:t>
      </w:r>
    </w:p>
    <w:p w14:paraId="31A8E77B"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lang w:val="pl-PL"/>
        </w:rPr>
      </w:pPr>
      <w:proofErr w:type="spellStart"/>
      <w:r w:rsidRPr="00D45B1E">
        <w:rPr>
          <w:rFonts w:asciiTheme="majorHAnsi" w:hAnsiTheme="majorHAnsi" w:cs="Times New Roman"/>
          <w:sz w:val="20"/>
          <w:szCs w:val="20"/>
          <w:shd w:val="clear" w:color="auto" w:fill="FFFFFF"/>
        </w:rPr>
        <w:t>Pandin</w:t>
      </w:r>
      <w:proofErr w:type="spellEnd"/>
      <w:r w:rsidRPr="00D45B1E">
        <w:rPr>
          <w:rFonts w:asciiTheme="majorHAnsi" w:hAnsiTheme="majorHAnsi" w:cs="Times New Roman"/>
          <w:sz w:val="20"/>
          <w:szCs w:val="20"/>
          <w:shd w:val="clear" w:color="auto" w:fill="FFFFFF"/>
        </w:rPr>
        <w:t xml:space="preserve">, M. Y. R., </w:t>
      </w:r>
      <w:proofErr w:type="spellStart"/>
      <w:r w:rsidRPr="00D45B1E">
        <w:rPr>
          <w:rFonts w:asciiTheme="majorHAnsi" w:hAnsiTheme="majorHAnsi" w:cs="Times New Roman"/>
          <w:sz w:val="20"/>
          <w:szCs w:val="20"/>
          <w:shd w:val="clear" w:color="auto" w:fill="FFFFFF"/>
        </w:rPr>
        <w:t>Sandari</w:t>
      </w:r>
      <w:proofErr w:type="spellEnd"/>
      <w:r w:rsidRPr="00D45B1E">
        <w:rPr>
          <w:rFonts w:asciiTheme="majorHAnsi" w:hAnsiTheme="majorHAnsi" w:cs="Times New Roman"/>
          <w:sz w:val="20"/>
          <w:szCs w:val="20"/>
          <w:shd w:val="clear" w:color="auto" w:fill="FFFFFF"/>
        </w:rPr>
        <w:t xml:space="preserve">, T. E., </w:t>
      </w:r>
      <w:proofErr w:type="spellStart"/>
      <w:r w:rsidRPr="00D45B1E">
        <w:rPr>
          <w:rFonts w:asciiTheme="majorHAnsi" w:hAnsiTheme="majorHAnsi" w:cs="Times New Roman"/>
          <w:sz w:val="20"/>
          <w:szCs w:val="20"/>
          <w:shd w:val="clear" w:color="auto" w:fill="FFFFFF"/>
        </w:rPr>
        <w:t>Surahman</w:t>
      </w:r>
      <w:proofErr w:type="spellEnd"/>
      <w:r w:rsidRPr="00D45B1E">
        <w:rPr>
          <w:rFonts w:asciiTheme="majorHAnsi" w:hAnsiTheme="majorHAnsi" w:cs="Times New Roman"/>
          <w:sz w:val="20"/>
          <w:szCs w:val="20"/>
          <w:shd w:val="clear" w:color="auto" w:fill="FFFFFF"/>
        </w:rPr>
        <w:t xml:space="preserve">, D., &amp; GS, A. D. (2023). Financial Resilience Strategy on Cancer Survivors Household in East Java. </w:t>
      </w:r>
      <w:r w:rsidRPr="00D45B1E">
        <w:rPr>
          <w:rFonts w:asciiTheme="majorHAnsi" w:hAnsiTheme="majorHAnsi" w:cs="Times New Roman"/>
          <w:i/>
          <w:iCs/>
          <w:sz w:val="20"/>
          <w:szCs w:val="20"/>
          <w:shd w:val="clear" w:color="auto" w:fill="FFFFFF"/>
          <w:lang w:val="pl-PL"/>
        </w:rPr>
        <w:t>JEJAK: Jurnal Ekonomi dan Kebijakan</w:t>
      </w:r>
      <w:r w:rsidRPr="00D45B1E">
        <w:rPr>
          <w:rFonts w:asciiTheme="majorHAnsi" w:hAnsiTheme="majorHAnsi" w:cs="Times New Roman"/>
          <w:sz w:val="20"/>
          <w:szCs w:val="20"/>
          <w:shd w:val="clear" w:color="auto" w:fill="FFFFFF"/>
          <w:lang w:val="pl-PL"/>
        </w:rPr>
        <w:t xml:space="preserve"> </w:t>
      </w:r>
      <w:r w:rsidRPr="00D45B1E">
        <w:rPr>
          <w:rFonts w:asciiTheme="majorHAnsi" w:hAnsiTheme="majorHAnsi" w:cs="Times New Roman"/>
          <w:i/>
          <w:iCs/>
          <w:sz w:val="20"/>
          <w:szCs w:val="20"/>
          <w:shd w:val="clear" w:color="auto" w:fill="FFFFFF"/>
          <w:lang w:val="pl-PL"/>
        </w:rPr>
        <w:t>16</w:t>
      </w:r>
      <w:r w:rsidRPr="00D45B1E">
        <w:rPr>
          <w:rFonts w:asciiTheme="majorHAnsi" w:hAnsiTheme="majorHAnsi" w:cs="Times New Roman"/>
          <w:sz w:val="20"/>
          <w:szCs w:val="20"/>
          <w:shd w:val="clear" w:color="auto" w:fill="FFFFFF"/>
          <w:lang w:val="pl-PL"/>
        </w:rPr>
        <w:t xml:space="preserve"> (1). </w:t>
      </w:r>
    </w:p>
    <w:p w14:paraId="37C51806"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r w:rsidRPr="00D45B1E">
        <w:rPr>
          <w:rFonts w:asciiTheme="majorHAnsi" w:hAnsiTheme="majorHAnsi" w:cs="Times New Roman"/>
          <w:sz w:val="20"/>
          <w:szCs w:val="20"/>
          <w:shd w:val="clear" w:color="auto" w:fill="FFFFFF"/>
          <w:lang w:val="pl-PL"/>
        </w:rPr>
        <w:t xml:space="preserve">Salignac, F., Hanoteau, J., &amp; Ramia, I. (2022). </w:t>
      </w:r>
      <w:r w:rsidRPr="00D45B1E">
        <w:rPr>
          <w:rFonts w:asciiTheme="majorHAnsi" w:hAnsiTheme="majorHAnsi" w:cs="Times New Roman"/>
          <w:sz w:val="20"/>
          <w:szCs w:val="20"/>
          <w:shd w:val="clear" w:color="auto" w:fill="FFFFFF"/>
        </w:rPr>
        <w:t xml:space="preserve">Financial resilience: a way forward towards economic development in developing countries. </w:t>
      </w:r>
      <w:r w:rsidRPr="00D45B1E">
        <w:rPr>
          <w:rFonts w:asciiTheme="majorHAnsi" w:hAnsiTheme="majorHAnsi" w:cs="Times New Roman"/>
          <w:i/>
          <w:iCs/>
          <w:sz w:val="20"/>
          <w:szCs w:val="20"/>
          <w:shd w:val="clear" w:color="auto" w:fill="FFFFFF"/>
        </w:rPr>
        <w:t>Social Indicators Research</w:t>
      </w:r>
      <w:r w:rsidRPr="00D45B1E">
        <w:rPr>
          <w:rFonts w:asciiTheme="majorHAnsi" w:hAnsiTheme="majorHAnsi" w:cs="Times New Roman"/>
          <w:sz w:val="20"/>
          <w:szCs w:val="20"/>
          <w:shd w:val="clear" w:color="auto" w:fill="FFFFFF"/>
        </w:rPr>
        <w:t xml:space="preserve">, 1–33. </w:t>
      </w:r>
    </w:p>
    <w:p w14:paraId="1F377CD1"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proofErr w:type="spellStart"/>
      <w:r w:rsidRPr="00D45B1E">
        <w:rPr>
          <w:rFonts w:asciiTheme="majorHAnsi" w:hAnsiTheme="majorHAnsi" w:cs="Times New Roman"/>
          <w:sz w:val="20"/>
          <w:szCs w:val="20"/>
          <w:shd w:val="clear" w:color="auto" w:fill="FFFFFF"/>
        </w:rPr>
        <w:t>Salignac</w:t>
      </w:r>
      <w:proofErr w:type="spellEnd"/>
      <w:r w:rsidRPr="00D45B1E">
        <w:rPr>
          <w:rFonts w:asciiTheme="majorHAnsi" w:hAnsiTheme="majorHAnsi" w:cs="Times New Roman"/>
          <w:sz w:val="20"/>
          <w:szCs w:val="20"/>
          <w:shd w:val="clear" w:color="auto" w:fill="FFFFFF"/>
        </w:rPr>
        <w:t xml:space="preserve">, F., </w:t>
      </w:r>
      <w:proofErr w:type="spellStart"/>
      <w:r w:rsidRPr="00D45B1E">
        <w:rPr>
          <w:rFonts w:asciiTheme="majorHAnsi" w:hAnsiTheme="majorHAnsi" w:cs="Times New Roman"/>
          <w:sz w:val="20"/>
          <w:szCs w:val="20"/>
          <w:shd w:val="clear" w:color="auto" w:fill="FFFFFF"/>
        </w:rPr>
        <w:t>Marjolin</w:t>
      </w:r>
      <w:proofErr w:type="spellEnd"/>
      <w:r w:rsidRPr="00D45B1E">
        <w:rPr>
          <w:rFonts w:asciiTheme="majorHAnsi" w:hAnsiTheme="majorHAnsi" w:cs="Times New Roman"/>
          <w:sz w:val="20"/>
          <w:szCs w:val="20"/>
          <w:shd w:val="clear" w:color="auto" w:fill="FFFFFF"/>
        </w:rPr>
        <w:t xml:space="preserve">, A., Reeve, A., &amp; Muir, K. (2019). Conceptualizing and measuring financial resilience: A multidimensional framework. </w:t>
      </w:r>
      <w:r w:rsidRPr="00D45B1E">
        <w:rPr>
          <w:rFonts w:asciiTheme="majorHAnsi" w:hAnsiTheme="majorHAnsi" w:cs="Times New Roman"/>
          <w:i/>
          <w:iCs/>
          <w:sz w:val="20"/>
          <w:szCs w:val="20"/>
          <w:shd w:val="clear" w:color="auto" w:fill="FFFFFF"/>
        </w:rPr>
        <w:t>Social Indicators Research</w:t>
      </w:r>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145</w:t>
      </w:r>
      <w:r w:rsidRPr="00D45B1E">
        <w:rPr>
          <w:rFonts w:asciiTheme="majorHAnsi" w:hAnsiTheme="majorHAnsi" w:cs="Times New Roman"/>
          <w:sz w:val="20"/>
          <w:szCs w:val="20"/>
          <w:shd w:val="clear" w:color="auto" w:fill="FFFFFF"/>
        </w:rPr>
        <w:t xml:space="preserve">, 17–38. </w:t>
      </w:r>
    </w:p>
    <w:p w14:paraId="2EBC2136" w14:textId="77777777" w:rsidR="009D733F" w:rsidRPr="00D45B1E" w:rsidRDefault="009D733F" w:rsidP="009D733F">
      <w:pPr>
        <w:spacing w:after="120" w:line="240" w:lineRule="auto"/>
        <w:ind w:left="851" w:right="567" w:hanging="851"/>
        <w:jc w:val="both"/>
        <w:rPr>
          <w:rFonts w:asciiTheme="majorHAnsi" w:hAnsiTheme="majorHAnsi" w:cs="Times New Roman"/>
          <w:sz w:val="20"/>
          <w:szCs w:val="20"/>
          <w:shd w:val="clear" w:color="auto" w:fill="FFFFFF"/>
        </w:rPr>
      </w:pPr>
      <w:proofErr w:type="spellStart"/>
      <w:r w:rsidRPr="00D45B1E">
        <w:rPr>
          <w:rFonts w:asciiTheme="majorHAnsi" w:hAnsiTheme="majorHAnsi" w:cs="Times New Roman"/>
          <w:sz w:val="20"/>
          <w:szCs w:val="20"/>
          <w:shd w:val="clear" w:color="auto" w:fill="FFFFFF"/>
        </w:rPr>
        <w:t>Setyorini</w:t>
      </w:r>
      <w:proofErr w:type="spellEnd"/>
      <w:r w:rsidRPr="00D45B1E">
        <w:rPr>
          <w:rFonts w:asciiTheme="majorHAnsi" w:hAnsiTheme="majorHAnsi" w:cs="Times New Roman"/>
          <w:sz w:val="20"/>
          <w:szCs w:val="20"/>
          <w:shd w:val="clear" w:color="auto" w:fill="FFFFFF"/>
        </w:rPr>
        <w:t xml:space="preserve">, N., </w:t>
      </w:r>
      <w:proofErr w:type="spellStart"/>
      <w:r w:rsidRPr="00D45B1E">
        <w:rPr>
          <w:rFonts w:asciiTheme="majorHAnsi" w:hAnsiTheme="majorHAnsi" w:cs="Times New Roman"/>
          <w:sz w:val="20"/>
          <w:szCs w:val="20"/>
          <w:shd w:val="clear" w:color="auto" w:fill="FFFFFF"/>
        </w:rPr>
        <w:t>Indiworo</w:t>
      </w:r>
      <w:proofErr w:type="spellEnd"/>
      <w:r w:rsidRPr="00D45B1E">
        <w:rPr>
          <w:rFonts w:asciiTheme="majorHAnsi" w:hAnsiTheme="majorHAnsi" w:cs="Times New Roman"/>
          <w:sz w:val="20"/>
          <w:szCs w:val="20"/>
          <w:shd w:val="clear" w:color="auto" w:fill="FFFFFF"/>
        </w:rPr>
        <w:t xml:space="preserve">, R.H.E., &amp; Sutrisno, S. 2021. The role financial literacy and financial planning to increase financial resilience: household behaviour as mediating variable. </w:t>
      </w:r>
      <w:r w:rsidRPr="00D45B1E">
        <w:rPr>
          <w:rFonts w:asciiTheme="majorHAnsi" w:hAnsiTheme="majorHAnsi" w:cs="Times New Roman"/>
          <w:i/>
          <w:iCs/>
          <w:sz w:val="20"/>
          <w:szCs w:val="20"/>
          <w:shd w:val="clear" w:color="auto" w:fill="FFFFFF"/>
        </w:rPr>
        <w:t xml:space="preserve">Media Ekonomi dan </w:t>
      </w:r>
      <w:proofErr w:type="spellStart"/>
      <w:r w:rsidRPr="00D45B1E">
        <w:rPr>
          <w:rFonts w:asciiTheme="majorHAnsi" w:hAnsiTheme="majorHAnsi" w:cs="Times New Roman"/>
          <w:i/>
          <w:iCs/>
          <w:sz w:val="20"/>
          <w:szCs w:val="20"/>
          <w:shd w:val="clear" w:color="auto" w:fill="FFFFFF"/>
        </w:rPr>
        <w:t>manajemen</w:t>
      </w:r>
      <w:proofErr w:type="spellEnd"/>
      <w:r w:rsidRPr="00D45B1E">
        <w:rPr>
          <w:rFonts w:asciiTheme="majorHAnsi" w:hAnsiTheme="majorHAnsi" w:cs="Times New Roman"/>
          <w:sz w:val="20"/>
          <w:szCs w:val="20"/>
          <w:shd w:val="clear" w:color="auto" w:fill="FFFFFF"/>
        </w:rPr>
        <w:t xml:space="preserve"> </w:t>
      </w:r>
      <w:r w:rsidRPr="00D45B1E">
        <w:rPr>
          <w:rFonts w:asciiTheme="majorHAnsi" w:hAnsiTheme="majorHAnsi" w:cs="Times New Roman"/>
          <w:i/>
          <w:iCs/>
          <w:sz w:val="20"/>
          <w:szCs w:val="20"/>
          <w:shd w:val="clear" w:color="auto" w:fill="FFFFFF"/>
        </w:rPr>
        <w:t xml:space="preserve">36 </w:t>
      </w:r>
      <w:r w:rsidRPr="00D45B1E">
        <w:rPr>
          <w:rFonts w:asciiTheme="majorHAnsi" w:hAnsiTheme="majorHAnsi" w:cs="Times New Roman"/>
          <w:sz w:val="20"/>
          <w:szCs w:val="20"/>
          <w:shd w:val="clear" w:color="auto" w:fill="FFFFFF"/>
        </w:rPr>
        <w:t xml:space="preserve">(2), 243–255. </w:t>
      </w:r>
    </w:p>
    <w:p w14:paraId="0252F2CE"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eastAsia="Segoe UI" w:hAnsiTheme="majorHAnsi" w:cs="Times New Roman"/>
          <w:color w:val="333333"/>
          <w:sz w:val="20"/>
          <w:szCs w:val="20"/>
          <w:shd w:val="clear" w:color="auto" w:fill="FFFFFF"/>
        </w:rPr>
        <w:t>Szyja, P. (2025). Economic resilience to natural hazards and its measurement. </w:t>
      </w:r>
      <w:r w:rsidRPr="00D45B1E">
        <w:rPr>
          <w:rFonts w:asciiTheme="majorHAnsi" w:eastAsia="Segoe UI" w:hAnsiTheme="majorHAnsi" w:cs="Times New Roman"/>
          <w:i/>
          <w:iCs/>
          <w:color w:val="333333"/>
          <w:sz w:val="20"/>
          <w:szCs w:val="20"/>
          <w:shd w:val="clear" w:color="auto" w:fill="FFFFFF"/>
        </w:rPr>
        <w:t>Economics and Environment</w:t>
      </w:r>
      <w:r w:rsidRPr="00D45B1E">
        <w:rPr>
          <w:rFonts w:asciiTheme="majorHAnsi" w:eastAsia="Segoe UI" w:hAnsiTheme="majorHAnsi" w:cs="Times New Roman"/>
          <w:color w:val="333333"/>
          <w:sz w:val="20"/>
          <w:szCs w:val="20"/>
          <w:shd w:val="clear" w:color="auto" w:fill="FFFFFF"/>
        </w:rPr>
        <w:t>, </w:t>
      </w:r>
      <w:r w:rsidRPr="00D45B1E">
        <w:rPr>
          <w:rFonts w:asciiTheme="majorHAnsi" w:eastAsia="Segoe UI" w:hAnsiTheme="majorHAnsi" w:cs="Times New Roman"/>
          <w:i/>
          <w:iCs/>
          <w:color w:val="333333"/>
          <w:sz w:val="20"/>
          <w:szCs w:val="20"/>
          <w:shd w:val="clear" w:color="auto" w:fill="FFFFFF"/>
        </w:rPr>
        <w:t>93</w:t>
      </w:r>
      <w:r w:rsidRPr="00D45B1E">
        <w:rPr>
          <w:rFonts w:asciiTheme="majorHAnsi" w:eastAsia="Segoe UI" w:hAnsiTheme="majorHAnsi" w:cs="Times New Roman"/>
          <w:color w:val="333333"/>
          <w:sz w:val="20"/>
          <w:szCs w:val="20"/>
          <w:shd w:val="clear" w:color="auto" w:fill="FFFFFF"/>
        </w:rPr>
        <w:t>(2), 1041. </w:t>
      </w:r>
      <w:hyperlink r:id="rId21" w:history="1">
        <w:r w:rsidRPr="00D45B1E">
          <w:rPr>
            <w:rStyle w:val="Hyperlink"/>
            <w:rFonts w:asciiTheme="majorHAnsi" w:eastAsia="Segoe UI" w:hAnsiTheme="majorHAnsi" w:cs="Times New Roman"/>
            <w:color w:val="00C05A"/>
            <w:sz w:val="20"/>
            <w:szCs w:val="20"/>
            <w:u w:val="none"/>
            <w:shd w:val="clear" w:color="auto" w:fill="FFFFFF"/>
          </w:rPr>
          <w:t>https://doi.org/10.34659/eis.2025.93.2.1041</w:t>
        </w:r>
      </w:hyperlink>
    </w:p>
    <w:p w14:paraId="433988AD" w14:textId="77777777" w:rsidR="009D733F" w:rsidRPr="00D45B1E" w:rsidRDefault="009D733F" w:rsidP="009D733F">
      <w:pPr>
        <w:spacing w:after="120" w:line="240" w:lineRule="auto"/>
        <w:ind w:left="851" w:hanging="851"/>
        <w:jc w:val="both"/>
        <w:rPr>
          <w:rFonts w:asciiTheme="majorHAnsi" w:eastAsia="Segoe UI" w:hAnsiTheme="majorHAnsi" w:cs="Times New Roman"/>
          <w:color w:val="333333"/>
          <w:sz w:val="20"/>
          <w:szCs w:val="20"/>
          <w:shd w:val="clear" w:color="auto" w:fill="FFFFFF"/>
        </w:rPr>
      </w:pPr>
      <w:r w:rsidRPr="00D45B1E">
        <w:rPr>
          <w:rFonts w:asciiTheme="majorHAnsi" w:eastAsia="Segoe UI" w:hAnsiTheme="majorHAnsi" w:cs="Times New Roman"/>
          <w:color w:val="333333"/>
          <w:sz w:val="20"/>
          <w:szCs w:val="20"/>
          <w:shd w:val="clear" w:color="auto" w:fill="FFFFFF"/>
        </w:rPr>
        <w:t xml:space="preserve">Thu, K.M., Bernays, S. &amp; Abimbola, S. A literature review exploring how health systems respond to acute shocks in fragile and </w:t>
      </w:r>
      <w:proofErr w:type="spellStart"/>
      <w:r w:rsidRPr="00D45B1E">
        <w:rPr>
          <w:rFonts w:asciiTheme="majorHAnsi" w:eastAsia="Segoe UI" w:hAnsiTheme="majorHAnsi" w:cs="Times New Roman"/>
          <w:color w:val="333333"/>
          <w:sz w:val="20"/>
          <w:szCs w:val="20"/>
          <w:shd w:val="clear" w:color="auto" w:fill="FFFFFF"/>
        </w:rPr>
        <w:t>conflictaffected</w:t>
      </w:r>
      <w:proofErr w:type="spellEnd"/>
      <w:r w:rsidRPr="00D45B1E">
        <w:rPr>
          <w:rFonts w:asciiTheme="majorHAnsi" w:eastAsia="Segoe UI" w:hAnsiTheme="majorHAnsi" w:cs="Times New Roman"/>
          <w:color w:val="333333"/>
          <w:sz w:val="20"/>
          <w:szCs w:val="20"/>
          <w:shd w:val="clear" w:color="auto" w:fill="FFFFFF"/>
        </w:rPr>
        <w:t xml:space="preserve"> countries. </w:t>
      </w:r>
      <w:proofErr w:type="spellStart"/>
      <w:r w:rsidRPr="00D45B1E">
        <w:rPr>
          <w:rFonts w:asciiTheme="majorHAnsi" w:eastAsia="Segoe UI" w:hAnsiTheme="majorHAnsi" w:cs="Times New Roman"/>
          <w:i/>
          <w:iCs/>
          <w:color w:val="333333"/>
          <w:sz w:val="20"/>
          <w:szCs w:val="20"/>
          <w:shd w:val="clear" w:color="auto" w:fill="FFFFFF"/>
        </w:rPr>
        <w:t>Confl</w:t>
      </w:r>
      <w:proofErr w:type="spellEnd"/>
      <w:r w:rsidRPr="00D45B1E">
        <w:rPr>
          <w:rFonts w:asciiTheme="majorHAnsi" w:eastAsia="Segoe UI" w:hAnsiTheme="majorHAnsi" w:cs="Times New Roman"/>
          <w:i/>
          <w:iCs/>
          <w:color w:val="333333"/>
          <w:sz w:val="20"/>
          <w:szCs w:val="20"/>
          <w:shd w:val="clear" w:color="auto" w:fill="FFFFFF"/>
        </w:rPr>
        <w:t xml:space="preserve"> Health</w:t>
      </w:r>
      <w:r w:rsidRPr="00D45B1E">
        <w:rPr>
          <w:rFonts w:asciiTheme="majorHAnsi" w:eastAsia="Segoe UI" w:hAnsiTheme="majorHAnsi" w:cs="Times New Roman"/>
          <w:color w:val="333333"/>
          <w:sz w:val="20"/>
          <w:szCs w:val="20"/>
          <w:shd w:val="clear" w:color="auto" w:fill="FFFFFF"/>
        </w:rPr>
        <w:t> </w:t>
      </w:r>
      <w:r w:rsidRPr="00D45B1E">
        <w:rPr>
          <w:rFonts w:asciiTheme="majorHAnsi" w:eastAsia="Segoe UI" w:hAnsiTheme="majorHAnsi" w:cs="Times New Roman"/>
          <w:b/>
          <w:bCs/>
          <w:color w:val="333333"/>
          <w:sz w:val="20"/>
          <w:szCs w:val="20"/>
          <w:shd w:val="clear" w:color="auto" w:fill="FFFFFF"/>
        </w:rPr>
        <w:t>16</w:t>
      </w:r>
      <w:r w:rsidRPr="00D45B1E">
        <w:rPr>
          <w:rFonts w:asciiTheme="majorHAnsi" w:eastAsia="Segoe UI" w:hAnsiTheme="majorHAnsi" w:cs="Times New Roman"/>
          <w:color w:val="333333"/>
          <w:sz w:val="20"/>
          <w:szCs w:val="20"/>
          <w:shd w:val="clear" w:color="auto" w:fill="FFFFFF"/>
        </w:rPr>
        <w:t xml:space="preserve">, 60 (2022). </w:t>
      </w:r>
      <w:hyperlink r:id="rId22" w:history="1">
        <w:r w:rsidRPr="00D45B1E">
          <w:rPr>
            <w:rStyle w:val="Hyperlink"/>
            <w:rFonts w:asciiTheme="majorHAnsi" w:eastAsia="Segoe UI" w:hAnsiTheme="majorHAnsi" w:cs="Times New Roman"/>
            <w:sz w:val="20"/>
            <w:szCs w:val="20"/>
            <w:shd w:val="clear" w:color="auto" w:fill="FFFFFF"/>
          </w:rPr>
          <w:t>https://doi.org/10.1186/s13031022004848</w:t>
        </w:r>
      </w:hyperlink>
    </w:p>
    <w:p w14:paraId="113D2567"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t>Turner, B. L., Kasperson, R. E., Matson, P. A., McCarthy, J. J., Corell, R. W., Christensen, L., Eckley, N., Kasperson, J. X., Luers, A., Martello, M. L., Polsky, C., Pulsipher, A., &amp; Schiller, A. (2003). A framework for vulnerability analysis in sustainability science. </w:t>
      </w:r>
      <w:r w:rsidRPr="00D45B1E">
        <w:rPr>
          <w:rFonts w:asciiTheme="majorHAnsi" w:hAnsiTheme="majorHAnsi" w:cs="Times New Roman"/>
          <w:i/>
          <w:iCs/>
          <w:sz w:val="20"/>
          <w:szCs w:val="20"/>
        </w:rPr>
        <w:t>Proceedings of the National Academy of Sciences, 100</w:t>
      </w:r>
      <w:r w:rsidRPr="00D45B1E">
        <w:rPr>
          <w:rFonts w:asciiTheme="majorHAnsi" w:hAnsiTheme="majorHAnsi" w:cs="Times New Roman"/>
          <w:sz w:val="20"/>
          <w:szCs w:val="20"/>
        </w:rPr>
        <w:t>(14), 8074–8079. </w:t>
      </w:r>
      <w:hyperlink r:id="rId23" w:tgtFrame="_blank" w:history="1">
        <w:r w:rsidRPr="00D45B1E">
          <w:rPr>
            <w:rStyle w:val="Hyperlink"/>
            <w:rFonts w:asciiTheme="majorHAnsi" w:hAnsiTheme="majorHAnsi" w:cs="Times New Roman"/>
            <w:sz w:val="20"/>
            <w:szCs w:val="20"/>
          </w:rPr>
          <w:t>https://doi.org/10.1073/pnas.1231335100</w:t>
        </w:r>
      </w:hyperlink>
    </w:p>
    <w:p w14:paraId="71D08EA5" w14:textId="77777777" w:rsidR="009D733F" w:rsidRPr="00D45B1E" w:rsidRDefault="009D733F" w:rsidP="009D733F">
      <w:pPr>
        <w:spacing w:after="120" w:line="240" w:lineRule="auto"/>
        <w:ind w:left="851" w:hanging="851"/>
        <w:jc w:val="both"/>
        <w:rPr>
          <w:rFonts w:asciiTheme="majorHAnsi" w:hAnsiTheme="majorHAnsi" w:cs="Times New Roman"/>
          <w:sz w:val="20"/>
          <w:szCs w:val="20"/>
        </w:rPr>
      </w:pPr>
      <w:r w:rsidRPr="00D45B1E">
        <w:rPr>
          <w:rFonts w:asciiTheme="majorHAnsi" w:hAnsiTheme="majorHAnsi" w:cs="Times New Roman"/>
          <w:sz w:val="20"/>
          <w:szCs w:val="20"/>
        </w:rPr>
        <w:lastRenderedPageBreak/>
        <w:t xml:space="preserve">World Bank (2021). </w:t>
      </w:r>
      <w:r w:rsidRPr="00D45B1E">
        <w:rPr>
          <w:rFonts w:asciiTheme="majorHAnsi" w:hAnsiTheme="majorHAnsi" w:cs="Times New Roman"/>
          <w:i/>
          <w:iCs/>
          <w:sz w:val="20"/>
          <w:szCs w:val="20"/>
        </w:rPr>
        <w:t>Poverty and Shared Prosperity 2020: Reversals of Fortune</w:t>
      </w:r>
      <w:r w:rsidRPr="00D45B1E">
        <w:rPr>
          <w:rFonts w:asciiTheme="majorHAnsi" w:hAnsiTheme="majorHAnsi" w:cs="Times New Roman"/>
          <w:sz w:val="20"/>
          <w:szCs w:val="20"/>
        </w:rPr>
        <w:t>. Midgley, J. (2021). Reversals of Fortune: Poverty and Shared Prosperity.</w:t>
      </w:r>
    </w:p>
    <w:p w14:paraId="73173C28" w14:textId="77777777" w:rsidR="009D733F" w:rsidRPr="00291F5A" w:rsidRDefault="009D733F" w:rsidP="0048350C">
      <w:pPr>
        <w:jc w:val="both"/>
        <w:rPr>
          <w:rFonts w:ascii="Times New Roman" w:hAnsi="Times New Roman" w:cs="Times New Roman"/>
          <w:sz w:val="24"/>
          <w:szCs w:val="24"/>
        </w:rPr>
      </w:pPr>
    </w:p>
    <w:sectPr w:rsidR="009D733F" w:rsidRPr="00291F5A">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370B" w14:textId="77777777" w:rsidR="00143A5A" w:rsidRPr="007B00F5" w:rsidRDefault="00143A5A">
      <w:pPr>
        <w:spacing w:line="240" w:lineRule="auto"/>
      </w:pPr>
      <w:r w:rsidRPr="007B00F5">
        <w:separator/>
      </w:r>
    </w:p>
  </w:endnote>
  <w:endnote w:type="continuationSeparator" w:id="0">
    <w:p w14:paraId="3B6E8013" w14:textId="77777777" w:rsidR="00143A5A" w:rsidRPr="007B00F5" w:rsidRDefault="00143A5A">
      <w:pPr>
        <w:spacing w:line="240" w:lineRule="auto"/>
      </w:pPr>
      <w:r w:rsidRPr="007B0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xusSansWebPro">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2737"/>
    </w:sdtPr>
    <w:sdtContent>
      <w:p w14:paraId="495D68A2" w14:textId="77777777" w:rsidR="004C2BD9" w:rsidRPr="007B00F5" w:rsidRDefault="004C2BD9">
        <w:pPr>
          <w:pStyle w:val="Footer"/>
          <w:jc w:val="center"/>
        </w:pPr>
        <w:r w:rsidRPr="007B00F5">
          <w:fldChar w:fldCharType="begin"/>
        </w:r>
        <w:r w:rsidRPr="007B00F5">
          <w:instrText xml:space="preserve"> PAGE   \* MERGEFORMAT </w:instrText>
        </w:r>
        <w:r w:rsidRPr="007B00F5">
          <w:fldChar w:fldCharType="separate"/>
        </w:r>
        <w:r w:rsidR="00605333" w:rsidRPr="007B00F5">
          <w:t>1</w:t>
        </w:r>
        <w:r w:rsidRPr="007B00F5">
          <w:fldChar w:fldCharType="end"/>
        </w:r>
      </w:p>
    </w:sdtContent>
  </w:sdt>
  <w:p w14:paraId="1F83F475" w14:textId="77777777" w:rsidR="004C2BD9" w:rsidRPr="007B00F5" w:rsidRDefault="004C2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E6FF" w14:textId="77777777" w:rsidR="00143A5A" w:rsidRPr="007B00F5" w:rsidRDefault="00143A5A">
      <w:pPr>
        <w:spacing w:after="0"/>
      </w:pPr>
      <w:r w:rsidRPr="007B00F5">
        <w:separator/>
      </w:r>
    </w:p>
  </w:footnote>
  <w:footnote w:type="continuationSeparator" w:id="0">
    <w:p w14:paraId="6B3AF52F" w14:textId="77777777" w:rsidR="00143A5A" w:rsidRPr="007B00F5" w:rsidRDefault="00143A5A">
      <w:pPr>
        <w:spacing w:after="0"/>
      </w:pPr>
      <w:r w:rsidRPr="007B00F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E7CDD"/>
    <w:multiLevelType w:val="hybridMultilevel"/>
    <w:tmpl w:val="14043C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4462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4A9"/>
    <w:rsid w:val="00007790"/>
    <w:rsid w:val="00017CBB"/>
    <w:rsid w:val="0002339A"/>
    <w:rsid w:val="00025D3B"/>
    <w:rsid w:val="00034A37"/>
    <w:rsid w:val="00040ABC"/>
    <w:rsid w:val="000437FB"/>
    <w:rsid w:val="00054AA5"/>
    <w:rsid w:val="0005706C"/>
    <w:rsid w:val="00075C53"/>
    <w:rsid w:val="000777A2"/>
    <w:rsid w:val="00081074"/>
    <w:rsid w:val="00086A35"/>
    <w:rsid w:val="0009204B"/>
    <w:rsid w:val="000A5DE2"/>
    <w:rsid w:val="000C48D5"/>
    <w:rsid w:val="000C5364"/>
    <w:rsid w:val="000C62CF"/>
    <w:rsid w:val="000D0A7A"/>
    <w:rsid w:val="000E4ABB"/>
    <w:rsid w:val="000F1D4D"/>
    <w:rsid w:val="00103024"/>
    <w:rsid w:val="00111356"/>
    <w:rsid w:val="0011307F"/>
    <w:rsid w:val="00115094"/>
    <w:rsid w:val="00117671"/>
    <w:rsid w:val="00121B83"/>
    <w:rsid w:val="00123721"/>
    <w:rsid w:val="0012712C"/>
    <w:rsid w:val="00133F6A"/>
    <w:rsid w:val="00135645"/>
    <w:rsid w:val="00137CB7"/>
    <w:rsid w:val="00143A5A"/>
    <w:rsid w:val="001614E2"/>
    <w:rsid w:val="001628F6"/>
    <w:rsid w:val="0016672C"/>
    <w:rsid w:val="00175AB1"/>
    <w:rsid w:val="00181363"/>
    <w:rsid w:val="00181578"/>
    <w:rsid w:val="00183399"/>
    <w:rsid w:val="0018434C"/>
    <w:rsid w:val="0019135A"/>
    <w:rsid w:val="001A0613"/>
    <w:rsid w:val="001A10CC"/>
    <w:rsid w:val="001C18F1"/>
    <w:rsid w:val="001D0B93"/>
    <w:rsid w:val="001D5E35"/>
    <w:rsid w:val="001E214C"/>
    <w:rsid w:val="00223794"/>
    <w:rsid w:val="00232E3F"/>
    <w:rsid w:val="002412E4"/>
    <w:rsid w:val="00242BF0"/>
    <w:rsid w:val="00251A59"/>
    <w:rsid w:val="002564A9"/>
    <w:rsid w:val="00256FAA"/>
    <w:rsid w:val="00270BF4"/>
    <w:rsid w:val="00275601"/>
    <w:rsid w:val="00283F0A"/>
    <w:rsid w:val="00287096"/>
    <w:rsid w:val="00290ACE"/>
    <w:rsid w:val="00291F5A"/>
    <w:rsid w:val="00295151"/>
    <w:rsid w:val="00296640"/>
    <w:rsid w:val="002A333C"/>
    <w:rsid w:val="002B105A"/>
    <w:rsid w:val="002B526C"/>
    <w:rsid w:val="002B5780"/>
    <w:rsid w:val="002B621A"/>
    <w:rsid w:val="002B64B1"/>
    <w:rsid w:val="002B6EBD"/>
    <w:rsid w:val="002B75F9"/>
    <w:rsid w:val="002C0682"/>
    <w:rsid w:val="002C34FB"/>
    <w:rsid w:val="002D4B1F"/>
    <w:rsid w:val="002F396F"/>
    <w:rsid w:val="002F6AB9"/>
    <w:rsid w:val="00304FDB"/>
    <w:rsid w:val="00310D08"/>
    <w:rsid w:val="00343E42"/>
    <w:rsid w:val="00347D7F"/>
    <w:rsid w:val="00355BCC"/>
    <w:rsid w:val="00361E35"/>
    <w:rsid w:val="00362219"/>
    <w:rsid w:val="00367181"/>
    <w:rsid w:val="003702E8"/>
    <w:rsid w:val="00373D23"/>
    <w:rsid w:val="003852AE"/>
    <w:rsid w:val="003912AF"/>
    <w:rsid w:val="003B22C4"/>
    <w:rsid w:val="003B78BC"/>
    <w:rsid w:val="003D194D"/>
    <w:rsid w:val="003E27C5"/>
    <w:rsid w:val="004017ED"/>
    <w:rsid w:val="00401E6C"/>
    <w:rsid w:val="00403796"/>
    <w:rsid w:val="00427067"/>
    <w:rsid w:val="00440EC0"/>
    <w:rsid w:val="00442475"/>
    <w:rsid w:val="00462E7F"/>
    <w:rsid w:val="00464B28"/>
    <w:rsid w:val="004768E9"/>
    <w:rsid w:val="0048350C"/>
    <w:rsid w:val="00490384"/>
    <w:rsid w:val="00496CED"/>
    <w:rsid w:val="004A2BC4"/>
    <w:rsid w:val="004A3FA9"/>
    <w:rsid w:val="004C18B3"/>
    <w:rsid w:val="004C2BD9"/>
    <w:rsid w:val="004E66A6"/>
    <w:rsid w:val="00505F2C"/>
    <w:rsid w:val="00516006"/>
    <w:rsid w:val="00516F47"/>
    <w:rsid w:val="00546DC6"/>
    <w:rsid w:val="00547815"/>
    <w:rsid w:val="00547E05"/>
    <w:rsid w:val="005523D5"/>
    <w:rsid w:val="00566401"/>
    <w:rsid w:val="005925DD"/>
    <w:rsid w:val="005A32AD"/>
    <w:rsid w:val="005B19ED"/>
    <w:rsid w:val="005B4D91"/>
    <w:rsid w:val="005B70AE"/>
    <w:rsid w:val="005C11D6"/>
    <w:rsid w:val="005C3440"/>
    <w:rsid w:val="005C4DC1"/>
    <w:rsid w:val="005D6134"/>
    <w:rsid w:val="005D64AE"/>
    <w:rsid w:val="005D73B9"/>
    <w:rsid w:val="005F4337"/>
    <w:rsid w:val="006042A0"/>
    <w:rsid w:val="00605333"/>
    <w:rsid w:val="00607B79"/>
    <w:rsid w:val="00623635"/>
    <w:rsid w:val="006343B5"/>
    <w:rsid w:val="00650E13"/>
    <w:rsid w:val="00651606"/>
    <w:rsid w:val="00651643"/>
    <w:rsid w:val="00653F3B"/>
    <w:rsid w:val="00670C5A"/>
    <w:rsid w:val="00676E80"/>
    <w:rsid w:val="006774D1"/>
    <w:rsid w:val="006821C3"/>
    <w:rsid w:val="0068630D"/>
    <w:rsid w:val="00691664"/>
    <w:rsid w:val="00695B8C"/>
    <w:rsid w:val="006B4C91"/>
    <w:rsid w:val="006C283D"/>
    <w:rsid w:val="006D19EC"/>
    <w:rsid w:val="006D59E9"/>
    <w:rsid w:val="006D7742"/>
    <w:rsid w:val="006D7F3A"/>
    <w:rsid w:val="006E39F7"/>
    <w:rsid w:val="006F08C8"/>
    <w:rsid w:val="006F7051"/>
    <w:rsid w:val="00700E41"/>
    <w:rsid w:val="007145D0"/>
    <w:rsid w:val="00723CF5"/>
    <w:rsid w:val="00744ACF"/>
    <w:rsid w:val="007475AE"/>
    <w:rsid w:val="00761CCF"/>
    <w:rsid w:val="007673C6"/>
    <w:rsid w:val="007B00F5"/>
    <w:rsid w:val="007B3626"/>
    <w:rsid w:val="007C0AB9"/>
    <w:rsid w:val="007C153A"/>
    <w:rsid w:val="007C2BD9"/>
    <w:rsid w:val="007C79AB"/>
    <w:rsid w:val="007D1D9A"/>
    <w:rsid w:val="007E29EB"/>
    <w:rsid w:val="007E4049"/>
    <w:rsid w:val="007E658B"/>
    <w:rsid w:val="007E7297"/>
    <w:rsid w:val="008144B5"/>
    <w:rsid w:val="00824E72"/>
    <w:rsid w:val="008300E3"/>
    <w:rsid w:val="00833953"/>
    <w:rsid w:val="00835F62"/>
    <w:rsid w:val="00843406"/>
    <w:rsid w:val="00845628"/>
    <w:rsid w:val="008625AB"/>
    <w:rsid w:val="00867FA8"/>
    <w:rsid w:val="008748BE"/>
    <w:rsid w:val="00883E83"/>
    <w:rsid w:val="0089487B"/>
    <w:rsid w:val="008A08E9"/>
    <w:rsid w:val="008B78CD"/>
    <w:rsid w:val="008D0B2F"/>
    <w:rsid w:val="008D358F"/>
    <w:rsid w:val="008E1375"/>
    <w:rsid w:val="008E1756"/>
    <w:rsid w:val="008F10BF"/>
    <w:rsid w:val="008F18CF"/>
    <w:rsid w:val="008F5448"/>
    <w:rsid w:val="00903727"/>
    <w:rsid w:val="0092740E"/>
    <w:rsid w:val="00934571"/>
    <w:rsid w:val="00942392"/>
    <w:rsid w:val="00955A95"/>
    <w:rsid w:val="00966E7A"/>
    <w:rsid w:val="00972FBD"/>
    <w:rsid w:val="0098174D"/>
    <w:rsid w:val="00984A11"/>
    <w:rsid w:val="00985A8A"/>
    <w:rsid w:val="00991FA9"/>
    <w:rsid w:val="00993134"/>
    <w:rsid w:val="009A52B8"/>
    <w:rsid w:val="009B6625"/>
    <w:rsid w:val="009C1053"/>
    <w:rsid w:val="009C10C5"/>
    <w:rsid w:val="009C14C4"/>
    <w:rsid w:val="009C4BF3"/>
    <w:rsid w:val="009D5B98"/>
    <w:rsid w:val="009D733F"/>
    <w:rsid w:val="009E1CB0"/>
    <w:rsid w:val="009F4AEF"/>
    <w:rsid w:val="009F7708"/>
    <w:rsid w:val="00A03B22"/>
    <w:rsid w:val="00A03D21"/>
    <w:rsid w:val="00A11ED2"/>
    <w:rsid w:val="00A3349F"/>
    <w:rsid w:val="00A42BBB"/>
    <w:rsid w:val="00A44D1C"/>
    <w:rsid w:val="00A4756E"/>
    <w:rsid w:val="00A5264C"/>
    <w:rsid w:val="00A60D2D"/>
    <w:rsid w:val="00A776D0"/>
    <w:rsid w:val="00A91B08"/>
    <w:rsid w:val="00A93C40"/>
    <w:rsid w:val="00AA1173"/>
    <w:rsid w:val="00AA13BB"/>
    <w:rsid w:val="00AB5CE3"/>
    <w:rsid w:val="00AB7DA6"/>
    <w:rsid w:val="00AD6C66"/>
    <w:rsid w:val="00AE44E1"/>
    <w:rsid w:val="00AE5ADC"/>
    <w:rsid w:val="00AF1C26"/>
    <w:rsid w:val="00AF4E0D"/>
    <w:rsid w:val="00B15AB9"/>
    <w:rsid w:val="00B33835"/>
    <w:rsid w:val="00B44ADB"/>
    <w:rsid w:val="00B463E1"/>
    <w:rsid w:val="00B47EE5"/>
    <w:rsid w:val="00B55C22"/>
    <w:rsid w:val="00B65CC6"/>
    <w:rsid w:val="00B66583"/>
    <w:rsid w:val="00B71A0B"/>
    <w:rsid w:val="00B72828"/>
    <w:rsid w:val="00B7435B"/>
    <w:rsid w:val="00B752A3"/>
    <w:rsid w:val="00B822C3"/>
    <w:rsid w:val="00B878F4"/>
    <w:rsid w:val="00B9668C"/>
    <w:rsid w:val="00BA2569"/>
    <w:rsid w:val="00BC1D71"/>
    <w:rsid w:val="00BC6F9E"/>
    <w:rsid w:val="00BD1C06"/>
    <w:rsid w:val="00BF2E0A"/>
    <w:rsid w:val="00BF3316"/>
    <w:rsid w:val="00BF3AF2"/>
    <w:rsid w:val="00C14CAF"/>
    <w:rsid w:val="00C3213E"/>
    <w:rsid w:val="00C37312"/>
    <w:rsid w:val="00C55679"/>
    <w:rsid w:val="00C74A10"/>
    <w:rsid w:val="00C74B76"/>
    <w:rsid w:val="00C80852"/>
    <w:rsid w:val="00C90595"/>
    <w:rsid w:val="00C9388D"/>
    <w:rsid w:val="00C97697"/>
    <w:rsid w:val="00CB5FCF"/>
    <w:rsid w:val="00CB7FEA"/>
    <w:rsid w:val="00CC1EB5"/>
    <w:rsid w:val="00CF4866"/>
    <w:rsid w:val="00D037C5"/>
    <w:rsid w:val="00D1451D"/>
    <w:rsid w:val="00D45B1E"/>
    <w:rsid w:val="00D539D2"/>
    <w:rsid w:val="00D64377"/>
    <w:rsid w:val="00D668AD"/>
    <w:rsid w:val="00D736D5"/>
    <w:rsid w:val="00D909A0"/>
    <w:rsid w:val="00D9223D"/>
    <w:rsid w:val="00DA1C25"/>
    <w:rsid w:val="00DB43FA"/>
    <w:rsid w:val="00DC0B5E"/>
    <w:rsid w:val="00DD1A4F"/>
    <w:rsid w:val="00DE23E2"/>
    <w:rsid w:val="00DE3D1C"/>
    <w:rsid w:val="00DE5E26"/>
    <w:rsid w:val="00DF2EBA"/>
    <w:rsid w:val="00E01B63"/>
    <w:rsid w:val="00E060CB"/>
    <w:rsid w:val="00E22B4D"/>
    <w:rsid w:val="00E32C90"/>
    <w:rsid w:val="00E37826"/>
    <w:rsid w:val="00E42D96"/>
    <w:rsid w:val="00E42F28"/>
    <w:rsid w:val="00E4739E"/>
    <w:rsid w:val="00E71768"/>
    <w:rsid w:val="00E81198"/>
    <w:rsid w:val="00E871FC"/>
    <w:rsid w:val="00EA2E40"/>
    <w:rsid w:val="00EB1EDB"/>
    <w:rsid w:val="00EB21BA"/>
    <w:rsid w:val="00EC2FBD"/>
    <w:rsid w:val="00F0057F"/>
    <w:rsid w:val="00F01DE9"/>
    <w:rsid w:val="00F05106"/>
    <w:rsid w:val="00F30B4A"/>
    <w:rsid w:val="00F326B1"/>
    <w:rsid w:val="00F416C5"/>
    <w:rsid w:val="00F4660E"/>
    <w:rsid w:val="00F54398"/>
    <w:rsid w:val="00F60537"/>
    <w:rsid w:val="00F61311"/>
    <w:rsid w:val="00F62415"/>
    <w:rsid w:val="00F677E7"/>
    <w:rsid w:val="00F72393"/>
    <w:rsid w:val="00F752AB"/>
    <w:rsid w:val="00F7728D"/>
    <w:rsid w:val="00F800FB"/>
    <w:rsid w:val="00F816C2"/>
    <w:rsid w:val="00F86AAE"/>
    <w:rsid w:val="00F87FD6"/>
    <w:rsid w:val="00FA574E"/>
    <w:rsid w:val="00FB1B63"/>
    <w:rsid w:val="00FB30A9"/>
    <w:rsid w:val="00FB43A9"/>
    <w:rsid w:val="00FC6765"/>
    <w:rsid w:val="00FD0188"/>
    <w:rsid w:val="00FD7240"/>
    <w:rsid w:val="00FE123E"/>
    <w:rsid w:val="01810DD9"/>
    <w:rsid w:val="02C921C9"/>
    <w:rsid w:val="02D37EB0"/>
    <w:rsid w:val="03D45B62"/>
    <w:rsid w:val="059A66E2"/>
    <w:rsid w:val="05ED0162"/>
    <w:rsid w:val="0A9F38F9"/>
    <w:rsid w:val="0B4B7295"/>
    <w:rsid w:val="0EE61FFF"/>
    <w:rsid w:val="15503391"/>
    <w:rsid w:val="163E5C06"/>
    <w:rsid w:val="195A1F72"/>
    <w:rsid w:val="1AB84A8D"/>
    <w:rsid w:val="1BD01240"/>
    <w:rsid w:val="1CAB4206"/>
    <w:rsid w:val="1E93016B"/>
    <w:rsid w:val="22681CD5"/>
    <w:rsid w:val="23B66515"/>
    <w:rsid w:val="28DC7F0B"/>
    <w:rsid w:val="28E26B52"/>
    <w:rsid w:val="29AE4672"/>
    <w:rsid w:val="29BB12DF"/>
    <w:rsid w:val="2C4F7706"/>
    <w:rsid w:val="2C7176F9"/>
    <w:rsid w:val="2EA978FC"/>
    <w:rsid w:val="31653D42"/>
    <w:rsid w:val="34C56E73"/>
    <w:rsid w:val="34E03C50"/>
    <w:rsid w:val="36327D7A"/>
    <w:rsid w:val="391A5D66"/>
    <w:rsid w:val="39487007"/>
    <w:rsid w:val="39E71089"/>
    <w:rsid w:val="3C64516F"/>
    <w:rsid w:val="3CFE1183"/>
    <w:rsid w:val="3D5620B0"/>
    <w:rsid w:val="3DF876BB"/>
    <w:rsid w:val="3E122463"/>
    <w:rsid w:val="3F2A5A1C"/>
    <w:rsid w:val="3FFF678B"/>
    <w:rsid w:val="402A4AA5"/>
    <w:rsid w:val="42B93D61"/>
    <w:rsid w:val="4540320C"/>
    <w:rsid w:val="45ED734F"/>
    <w:rsid w:val="47257848"/>
    <w:rsid w:val="48ED6E34"/>
    <w:rsid w:val="49981337"/>
    <w:rsid w:val="4B162FC1"/>
    <w:rsid w:val="4BD33374"/>
    <w:rsid w:val="52802512"/>
    <w:rsid w:val="52BB0D49"/>
    <w:rsid w:val="54143413"/>
    <w:rsid w:val="552A3C28"/>
    <w:rsid w:val="56A9070B"/>
    <w:rsid w:val="58D33D61"/>
    <w:rsid w:val="5B8752E7"/>
    <w:rsid w:val="5C2A728E"/>
    <w:rsid w:val="5F307FD0"/>
    <w:rsid w:val="635A2795"/>
    <w:rsid w:val="63C92CB3"/>
    <w:rsid w:val="64423289"/>
    <w:rsid w:val="65B31E66"/>
    <w:rsid w:val="666C056A"/>
    <w:rsid w:val="66964C57"/>
    <w:rsid w:val="6A5C730C"/>
    <w:rsid w:val="6ACF007D"/>
    <w:rsid w:val="6BD77E7D"/>
    <w:rsid w:val="6F472C87"/>
    <w:rsid w:val="6FE81A12"/>
    <w:rsid w:val="73397A01"/>
    <w:rsid w:val="73586CCA"/>
    <w:rsid w:val="736B376C"/>
    <w:rsid w:val="75C03A54"/>
    <w:rsid w:val="76350FF7"/>
    <w:rsid w:val="78076539"/>
    <w:rsid w:val="78991A95"/>
    <w:rsid w:val="796D6DEC"/>
    <w:rsid w:val="7A1355F8"/>
    <w:rsid w:val="7CAD001B"/>
    <w:rsid w:val="7DB3614E"/>
    <w:rsid w:val="7F31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9323"/>
  <w15:docId w15:val="{136B00A6-D74D-4679-BA2F-A0D69369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Revision">
    <w:name w:val="Revision"/>
    <w:hidden/>
    <w:uiPriority w:val="99"/>
    <w:semiHidden/>
    <w:rsid w:val="006D7F3A"/>
    <w:rPr>
      <w:rFonts w:asciiTheme="minorHAnsi" w:eastAsiaTheme="minorHAnsi" w:hAnsiTheme="minorHAnsi" w:cstheme="minorBidi"/>
      <w:sz w:val="22"/>
      <w:szCs w:val="22"/>
    </w:rPr>
  </w:style>
  <w:style w:type="paragraph" w:styleId="ListParagraph">
    <w:name w:val="List Paragraph"/>
    <w:basedOn w:val="Normal"/>
    <w:uiPriority w:val="99"/>
    <w:rsid w:val="00440EC0"/>
    <w:pPr>
      <w:ind w:left="720"/>
      <w:contextualSpacing/>
    </w:pPr>
  </w:style>
  <w:style w:type="character" w:styleId="UnresolvedMention">
    <w:name w:val="Unresolved Mention"/>
    <w:basedOn w:val="DefaultParagraphFont"/>
    <w:uiPriority w:val="99"/>
    <w:semiHidden/>
    <w:unhideWhenUsed/>
    <w:rsid w:val="009D7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cholad7@gmail.com" TargetMode="External"/><Relationship Id="rId13" Type="http://schemas.openxmlformats.org/officeDocument/2006/relationships/hyperlink" Target="https://doi.org/10.1007/s12232-023-00443-6" TargetMode="External"/><Relationship Id="rId18" Type="http://schemas.openxmlformats.org/officeDocument/2006/relationships/hyperlink" Target="https://ssrn.com/abstract=39554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4659/eis.2025.93.2.1041" TargetMode="External"/><Relationship Id="rId7" Type="http://schemas.openxmlformats.org/officeDocument/2006/relationships/endnotes" Target="endnotes.xml"/><Relationship Id="rId12" Type="http://schemas.openxmlformats.org/officeDocument/2006/relationships/hyperlink" Target="https://doi.org/10.1016/j.gloenvcha.2006.02.006" TargetMode="External"/><Relationship Id="rId17" Type="http://schemas.openxmlformats.org/officeDocument/2006/relationships/hyperlink" Target="https://doi.org/10.1177/002190962211213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834-023-09943-7" TargetMode="External"/><Relationship Id="rId20" Type="http://schemas.openxmlformats.org/officeDocument/2006/relationships/hyperlink" Target="https://doi.org/10.1016/j.econmod.2022.106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86/s12889-025-24467-5" TargetMode="External"/><Relationship Id="rId23" Type="http://schemas.openxmlformats.org/officeDocument/2006/relationships/hyperlink" Target="https://doi.org/10.1073/pnas.1231335100" TargetMode="External"/><Relationship Id="rId10" Type="http://schemas.openxmlformats.org/officeDocument/2006/relationships/image" Target="media/image1.png"/><Relationship Id="rId19" Type="http://schemas.openxmlformats.org/officeDocument/2006/relationships/hyperlink" Target="https://dx.doi.org/10.2139/ssrn.3955418" TargetMode="External"/><Relationship Id="rId4" Type="http://schemas.openxmlformats.org/officeDocument/2006/relationships/settings" Target="settings.xml"/><Relationship Id="rId9" Type="http://schemas.openxmlformats.org/officeDocument/2006/relationships/hyperlink" Target="mailto:sundayikhuomoregbe@gmail.com" TargetMode="External"/><Relationship Id="rId14" Type="http://schemas.openxmlformats.org/officeDocument/2006/relationships/hyperlink" Target="https://doi.org/10.1007/s40847-023-00239-y" TargetMode="External"/><Relationship Id="rId22" Type="http://schemas.openxmlformats.org/officeDocument/2006/relationships/hyperlink" Target="https://doi.org/10.1186/s13031-022-004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429F2C-4846-4994-81B6-F1C54C97A3E0}">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75B9-A875-49AA-BF27-754883E0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6279</Words>
  <Characters>35791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AOM</cp:lastModifiedBy>
  <cp:revision>4</cp:revision>
  <dcterms:created xsi:type="dcterms:W3CDTF">2026-02-02T23:54:00Z</dcterms:created>
  <dcterms:modified xsi:type="dcterms:W3CDTF">2026-02-03T09:26:00Z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014D0D6BCA31440390E7D6E462C276E0_13</vt:lpwstr>
  </property>
  <property fmtid="{D5CDD505-2E9C-101B-9397-08002B2CF9AE}" pid="4" name="GrammarlyDocumentId">
    <vt:lpwstr>f8c0f4a3-dc87-45b7-aa2b-c8f5ad6c0558</vt:lpwstr>
  </property>
</Properties>
</file>