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87A07" w14:textId="77777777" w:rsidR="001705C6" w:rsidRDefault="001705C6" w:rsidP="001705C6">
      <w:pPr>
        <w:spacing w:before="180" w:after="180" w:line="240" w:lineRule="auto"/>
        <w:jc w:val="center"/>
        <w:rPr>
          <w:rFonts w:asciiTheme="majorBidi" w:hAnsiTheme="majorBidi" w:cstheme="majorBidi"/>
          <w:b/>
          <w:bCs/>
          <w:sz w:val="28"/>
          <w:szCs w:val="28"/>
          <w:rtl/>
          <w:lang w:val="en-US"/>
        </w:rPr>
      </w:pPr>
      <w:r w:rsidRPr="001705C6">
        <w:rPr>
          <w:rFonts w:asciiTheme="majorBidi" w:hAnsiTheme="majorBidi" w:cstheme="majorBidi"/>
          <w:b/>
          <w:bCs/>
          <w:sz w:val="28"/>
          <w:szCs w:val="28"/>
          <w:lang w:val="en-US"/>
        </w:rPr>
        <w:t>Urban Transformation in the Rif Mountains: Assessing the Development Challenges of Emerging Centers in Al Hoceima</w:t>
      </w:r>
    </w:p>
    <w:p w14:paraId="760747A0" w14:textId="327267C5" w:rsidR="00DC18F7" w:rsidRPr="00DC18F7" w:rsidRDefault="00DC18F7" w:rsidP="00DC18F7">
      <w:pPr>
        <w:spacing w:before="180" w:after="180" w:line="240" w:lineRule="auto"/>
        <w:rPr>
          <w:rFonts w:asciiTheme="majorBidi" w:eastAsia="Calibri" w:hAnsiTheme="majorBidi" w:cstheme="majorBidi"/>
          <w:b/>
          <w:bCs/>
          <w:i/>
          <w:iCs/>
          <w:kern w:val="0"/>
          <w:sz w:val="18"/>
          <w:szCs w:val="18"/>
          <w:lang w:val="en-US"/>
          <w14:ligatures w14:val="none"/>
        </w:rPr>
      </w:pPr>
      <w:r w:rsidRPr="00DC18F7">
        <w:rPr>
          <w:rFonts w:asciiTheme="majorBidi" w:eastAsia="Calibri" w:hAnsiTheme="majorBidi" w:cstheme="majorBidi"/>
          <w:b/>
          <w:bCs/>
          <w:i/>
          <w:iCs/>
          <w:kern w:val="0"/>
          <w:sz w:val="18"/>
          <w:szCs w:val="18"/>
          <w:lang w:val="en-US"/>
          <w14:ligatures w14:val="none"/>
        </w:rPr>
        <w:t>Iliass Bouhlal</w:t>
      </w:r>
    </w:p>
    <w:p w14:paraId="1053AC01" w14:textId="5F35D889" w:rsidR="00DC18F7" w:rsidRPr="00DC18F7" w:rsidRDefault="00DC18F7" w:rsidP="00DC18F7">
      <w:pPr>
        <w:spacing w:after="0" w:line="240" w:lineRule="auto"/>
        <w:jc w:val="both"/>
        <w:rPr>
          <w:rFonts w:asciiTheme="majorBidi" w:eastAsia="Calibri" w:hAnsiTheme="majorBidi" w:cstheme="majorBidi"/>
          <w:kern w:val="0"/>
          <w:sz w:val="16"/>
          <w:szCs w:val="18"/>
          <w:lang w:val="en-US"/>
          <w14:ligatures w14:val="none"/>
        </w:rPr>
      </w:pPr>
      <w:r w:rsidRPr="00DC18F7">
        <w:rPr>
          <w:rFonts w:asciiTheme="majorBidi" w:eastAsia="Calibri" w:hAnsiTheme="majorBidi" w:cstheme="majorBidi"/>
          <w:kern w:val="0"/>
          <w:sz w:val="16"/>
          <w:szCs w:val="18"/>
          <w:lang w:val="en-US"/>
          <w14:ligatures w14:val="none"/>
        </w:rPr>
        <w:t>I</w:t>
      </w:r>
      <w:bookmarkStart w:id="0" w:name="_Hlk190007780"/>
      <w:r w:rsidRPr="00DC18F7">
        <w:rPr>
          <w:rFonts w:asciiTheme="majorBidi" w:eastAsia="Calibri" w:hAnsiTheme="majorBidi" w:cstheme="majorBidi"/>
          <w:kern w:val="0"/>
          <w:sz w:val="16"/>
          <w:szCs w:val="18"/>
          <w:lang w:val="en-US"/>
          <w14:ligatures w14:val="none"/>
        </w:rPr>
        <w:t>bn Tofail University, Faculty of Human and Social Sciences, Department of Geography, Laboratory of Territories, Environment, Kénitra. Morocco</w:t>
      </w:r>
      <w:r w:rsidRPr="00DC18F7">
        <w:rPr>
          <w:rFonts w:asciiTheme="majorBidi" w:eastAsia="Calibri" w:hAnsiTheme="majorBidi" w:cstheme="majorBidi"/>
          <w:kern w:val="0"/>
          <w:sz w:val="16"/>
          <w:szCs w:val="18"/>
          <w:lang w:val="en-GB"/>
          <w14:ligatures w14:val="none"/>
        </w:rPr>
        <w:t>;</w:t>
      </w:r>
      <w:r w:rsidRPr="00DC18F7">
        <w:rPr>
          <w:rFonts w:asciiTheme="majorBidi" w:eastAsia="Calibri" w:hAnsiTheme="majorBidi" w:cstheme="majorBidi"/>
          <w:kern w:val="0"/>
          <w:sz w:val="16"/>
          <w:szCs w:val="18"/>
          <w:lang w:val="en-US"/>
          <w14:ligatures w14:val="none"/>
        </w:rPr>
        <w:t xml:space="preserve"> e-mail: </w:t>
      </w:r>
      <w:hyperlink r:id="rId8" w:history="1">
        <w:r w:rsidRPr="00DC18F7">
          <w:rPr>
            <w:rStyle w:val="Lienhypertexte"/>
            <w:rFonts w:asciiTheme="majorBidi" w:eastAsia="Calibri" w:hAnsiTheme="majorBidi" w:cstheme="majorBidi"/>
            <w:kern w:val="0"/>
            <w:sz w:val="16"/>
            <w:szCs w:val="18"/>
            <w:lang w:val="en-US"/>
            <w14:ligatures w14:val="none"/>
          </w:rPr>
          <w:t>ilyass.bouhlal@uit.ac.ma</w:t>
        </w:r>
      </w:hyperlink>
      <w:r w:rsidRPr="00DC18F7">
        <w:rPr>
          <w:rFonts w:asciiTheme="majorBidi" w:eastAsia="Calibri" w:hAnsiTheme="majorBidi" w:cstheme="majorBidi"/>
          <w:kern w:val="0"/>
          <w:sz w:val="16"/>
          <w:szCs w:val="18"/>
          <w:lang w:val="en-US"/>
          <w14:ligatures w14:val="none"/>
        </w:rPr>
        <w:t xml:space="preserve"> </w:t>
      </w:r>
      <w:r w:rsidR="001950F0">
        <w:rPr>
          <w:rFonts w:asciiTheme="majorBidi" w:eastAsia="Calibri" w:hAnsiTheme="majorBidi" w:cstheme="majorBidi"/>
          <w:kern w:val="0"/>
          <w:sz w:val="16"/>
          <w:szCs w:val="18"/>
          <w:lang w:val="en-US"/>
          <w14:ligatures w14:val="none"/>
        </w:rPr>
        <w:t xml:space="preserve">ORCID </w:t>
      </w:r>
      <w:hyperlink r:id="rId9" w:history="1">
        <w:r w:rsidR="001950F0" w:rsidRPr="00421EA9">
          <w:rPr>
            <w:rStyle w:val="Lienhypertexte"/>
            <w:rFonts w:asciiTheme="majorBidi" w:eastAsia="Calibri" w:hAnsiTheme="majorBidi" w:cstheme="majorBidi"/>
            <w:kern w:val="0"/>
            <w:sz w:val="16"/>
            <w:szCs w:val="18"/>
            <w:lang w:val="en-US"/>
            <w14:ligatures w14:val="none"/>
          </w:rPr>
          <w:t>https://orcid.org/0009-0009-9032-8926</w:t>
        </w:r>
      </w:hyperlink>
      <w:r w:rsidR="001950F0">
        <w:rPr>
          <w:rFonts w:asciiTheme="majorBidi" w:eastAsia="Calibri" w:hAnsiTheme="majorBidi" w:cstheme="majorBidi"/>
          <w:kern w:val="0"/>
          <w:sz w:val="16"/>
          <w:szCs w:val="18"/>
          <w:lang w:val="en-US"/>
          <w14:ligatures w14:val="none"/>
        </w:rPr>
        <w:t xml:space="preserve"> </w:t>
      </w:r>
    </w:p>
    <w:bookmarkEnd w:id="0"/>
    <w:p w14:paraId="58BCB71E" w14:textId="6A03BA85" w:rsidR="001950F0" w:rsidRDefault="001950F0" w:rsidP="001950F0">
      <w:pPr>
        <w:spacing w:after="0" w:line="240" w:lineRule="auto"/>
        <w:rPr>
          <w:rFonts w:asciiTheme="majorBidi" w:eastAsia="Calibri" w:hAnsiTheme="majorBidi" w:cstheme="majorBidi"/>
          <w:kern w:val="0"/>
          <w:sz w:val="16"/>
          <w:szCs w:val="18"/>
          <w:lang w:val="en-US"/>
          <w14:ligatures w14:val="none"/>
        </w:rPr>
      </w:pPr>
    </w:p>
    <w:p w14:paraId="2C1764DF" w14:textId="18858FB6" w:rsidR="00CF2724" w:rsidRDefault="00CF2724" w:rsidP="001950F0">
      <w:pPr>
        <w:spacing w:after="0" w:line="240" w:lineRule="auto"/>
        <w:rPr>
          <w:rFonts w:asciiTheme="majorBidi" w:eastAsia="Calibri" w:hAnsiTheme="majorBidi" w:cstheme="majorBidi"/>
          <w:kern w:val="0"/>
          <w:sz w:val="16"/>
          <w:szCs w:val="18"/>
          <w:lang w:val="en-US"/>
          <w14:ligatures w14:val="none"/>
        </w:rPr>
      </w:pPr>
    </w:p>
    <w:p w14:paraId="56E704A5" w14:textId="77AA0B60" w:rsidR="00CF2724" w:rsidRDefault="00CF2724" w:rsidP="001950F0">
      <w:pPr>
        <w:spacing w:after="0" w:line="240" w:lineRule="auto"/>
        <w:rPr>
          <w:rFonts w:asciiTheme="majorBidi" w:eastAsia="Calibri" w:hAnsiTheme="majorBidi" w:cstheme="majorBidi"/>
          <w:kern w:val="0"/>
          <w:sz w:val="16"/>
          <w:szCs w:val="18"/>
          <w:lang w:val="en-US"/>
          <w14:ligatures w14:val="none"/>
        </w:rPr>
      </w:pPr>
    </w:p>
    <w:p w14:paraId="51834F1F" w14:textId="357F2BCF" w:rsidR="00CF2724" w:rsidRDefault="00CF2724" w:rsidP="001950F0">
      <w:pPr>
        <w:spacing w:after="0" w:line="240" w:lineRule="auto"/>
        <w:rPr>
          <w:rFonts w:asciiTheme="majorBidi" w:eastAsia="Calibri" w:hAnsiTheme="majorBidi" w:cstheme="majorBidi"/>
          <w:kern w:val="0"/>
          <w:sz w:val="16"/>
          <w:szCs w:val="18"/>
          <w:lang w:val="en-US"/>
          <w14:ligatures w14:val="none"/>
        </w:rPr>
      </w:pPr>
    </w:p>
    <w:p w14:paraId="6AC06BFA" w14:textId="77777777" w:rsidR="00CF2724" w:rsidRPr="001950F0" w:rsidRDefault="00CF2724" w:rsidP="001950F0">
      <w:pPr>
        <w:spacing w:after="0" w:line="240" w:lineRule="auto"/>
        <w:rPr>
          <w:rFonts w:asciiTheme="majorBidi" w:eastAsia="Calibri" w:hAnsiTheme="majorBidi" w:cstheme="majorBidi"/>
          <w:kern w:val="0"/>
          <w:sz w:val="16"/>
          <w:szCs w:val="18"/>
          <w:rtl/>
          <w14:ligatures w14:val="none"/>
        </w:rPr>
      </w:pPr>
    </w:p>
    <w:p w14:paraId="5A84CA54" w14:textId="717C2CEF" w:rsidR="002C1FAF" w:rsidRPr="00C612A0" w:rsidRDefault="00DC18F7">
      <w:pPr>
        <w:rPr>
          <w:rFonts w:asciiTheme="majorBidi" w:hAnsiTheme="majorBidi" w:cstheme="majorBidi"/>
          <w:b/>
          <w:bCs/>
          <w:sz w:val="24"/>
          <w:szCs w:val="24"/>
          <w:rtl/>
          <w:lang w:val="en-US"/>
        </w:rPr>
      </w:pPr>
      <w:r w:rsidRPr="00C20172">
        <w:rPr>
          <w:rFonts w:asciiTheme="majorBidi" w:hAnsiTheme="majorBidi" w:cstheme="majorBidi"/>
          <w:b/>
          <w:bCs/>
          <w:sz w:val="24"/>
          <w:szCs w:val="24"/>
          <w:lang w:val="en-US"/>
        </w:rPr>
        <w:t>Abstract</w:t>
      </w:r>
      <w:r w:rsidRPr="00C612A0">
        <w:rPr>
          <w:rFonts w:asciiTheme="majorBidi" w:hAnsiTheme="majorBidi" w:cstheme="majorBidi" w:hint="cs"/>
          <w:b/>
          <w:bCs/>
          <w:sz w:val="24"/>
          <w:szCs w:val="24"/>
          <w:rtl/>
          <w:lang w:val="en-US"/>
        </w:rPr>
        <w:t xml:space="preserve"> </w:t>
      </w:r>
      <w:r w:rsidRPr="00C612A0">
        <w:rPr>
          <w:rFonts w:asciiTheme="majorBidi" w:hAnsiTheme="majorBidi" w:cstheme="majorBidi"/>
          <w:b/>
          <w:bCs/>
          <w:sz w:val="24"/>
          <w:szCs w:val="24"/>
          <w:rtl/>
          <w:lang w:val="en-US"/>
        </w:rPr>
        <w:t>:</w:t>
      </w:r>
    </w:p>
    <w:p w14:paraId="67895A50" w14:textId="495DEDE1" w:rsidR="00755A91" w:rsidRDefault="00755A91" w:rsidP="00B54DF8">
      <w:pPr>
        <w:jc w:val="both"/>
        <w:rPr>
          <w:rFonts w:asciiTheme="majorBidi" w:hAnsiTheme="majorBidi" w:cstheme="majorBidi"/>
          <w:sz w:val="24"/>
          <w:szCs w:val="24"/>
          <w:rtl/>
          <w:lang w:val="en-US"/>
        </w:rPr>
      </w:pPr>
      <w:r w:rsidRPr="00755A91">
        <w:rPr>
          <w:rFonts w:asciiTheme="majorBidi" w:hAnsiTheme="majorBidi" w:cstheme="majorBidi"/>
          <w:sz w:val="24"/>
          <w:szCs w:val="24"/>
          <w:lang w:val="en-US"/>
        </w:rPr>
        <w:t>This research presents a systematic examination of urbanization dynamics in Morocco's Al Hoceima Province, analyzing their historical trajectory from colonial establishment to current developmental challenges. The investigation demonstrates that while Spanish colonial administration successfully instituted key urban centers including Al Hoceima and Targuist, post-independence urban growth has exhibited marked spatial disparities and structural deficiencies. Contemporary analysis reveals that emerging urban hubs confront persistent obstacles including inadequate infrastructure development, economic peripheralization, and the constraining influence of rural cannabis-based economies, collectively inhibiting their capacity to function as effective regional development catalysts.</w:t>
      </w:r>
    </w:p>
    <w:p w14:paraId="16C53E5F" w14:textId="195EDE78" w:rsidR="00B54DF8" w:rsidRPr="00C612A0" w:rsidRDefault="00B54DF8"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 xml:space="preserve">Rural centers in mountainous areas currently constitute vital and strategic areas for the growth of emerging urban centers. As a result of the inevitability of demographic growth and the expansion of marginal orbits, these rural centers are witnessing rapid transformations and successive upgrades, with which roles and functions change according to the context of their emergence and the level of their development and integration. </w:t>
      </w:r>
    </w:p>
    <w:p w14:paraId="11A32081" w14:textId="27F683B3" w:rsidR="002C1FAF" w:rsidRPr="00C612A0" w:rsidRDefault="00B54DF8"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In the face of these different interactions, territorial dynamics emerge at all levels (social, economic, urban and environmental). They also make these emerging centers areas of attraction for several attractions due to the multiplicity of stakeholders and actors and the overlap of current and future challenges that control and influence urban management and planning.</w:t>
      </w:r>
    </w:p>
    <w:p w14:paraId="372744EB" w14:textId="2F811080" w:rsidR="00B54DF8" w:rsidRPr="00C612A0" w:rsidRDefault="001D0B3F" w:rsidP="00B54DF8">
      <w:pPr>
        <w:jc w:val="both"/>
        <w:rPr>
          <w:rFonts w:asciiTheme="majorBidi" w:hAnsiTheme="majorBidi" w:cstheme="majorBidi"/>
          <w:sz w:val="24"/>
          <w:szCs w:val="24"/>
          <w:lang w:val="en-US"/>
        </w:rPr>
      </w:pPr>
      <w:r w:rsidRPr="00C612A0">
        <w:rPr>
          <w:rFonts w:asciiTheme="majorBidi" w:hAnsiTheme="majorBidi" w:cstheme="majorBidi"/>
          <w:b/>
          <w:bCs/>
          <w:sz w:val="24"/>
          <w:szCs w:val="24"/>
          <w:lang w:val="en-US"/>
        </w:rPr>
        <w:t>Keywords:</w:t>
      </w:r>
      <w:r w:rsidRPr="00C612A0">
        <w:rPr>
          <w:rFonts w:asciiTheme="majorBidi" w:hAnsiTheme="majorBidi" w:cstheme="majorBidi"/>
          <w:sz w:val="24"/>
          <w:szCs w:val="24"/>
          <w:lang w:val="en-US"/>
        </w:rPr>
        <w:t xml:space="preserve"> Emerging </w:t>
      </w:r>
      <w:r w:rsidR="002C6189" w:rsidRPr="00C612A0">
        <w:rPr>
          <w:rFonts w:asciiTheme="majorBidi" w:hAnsiTheme="majorBidi" w:cstheme="majorBidi"/>
          <w:sz w:val="24"/>
          <w:szCs w:val="24"/>
          <w:lang w:val="en-US"/>
        </w:rPr>
        <w:t>centers</w:t>
      </w:r>
      <w:r w:rsidR="000F12F3"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Ketama</w:t>
      </w:r>
      <w:r w:rsidR="000F12F3"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Rif Mountains</w:t>
      </w:r>
      <w:r w:rsidR="000F12F3"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Al Hoceima</w:t>
      </w:r>
      <w:r w:rsidR="000F12F3"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Territorial development </w:t>
      </w:r>
    </w:p>
    <w:p w14:paraId="38035449" w14:textId="279CEB9B" w:rsidR="001D0B3F" w:rsidRPr="00C612A0" w:rsidRDefault="001D0B3F" w:rsidP="00B54DF8">
      <w:pPr>
        <w:jc w:val="both"/>
        <w:rPr>
          <w:rFonts w:asciiTheme="majorBidi" w:hAnsiTheme="majorBidi" w:cstheme="majorBidi"/>
          <w:b/>
          <w:bCs/>
          <w:sz w:val="24"/>
          <w:szCs w:val="24"/>
          <w:rtl/>
          <w:lang w:val="en-US"/>
        </w:rPr>
      </w:pPr>
      <w:r w:rsidRPr="00C612A0">
        <w:rPr>
          <w:rFonts w:asciiTheme="majorBidi" w:hAnsiTheme="majorBidi" w:cstheme="majorBidi"/>
          <w:b/>
          <w:bCs/>
          <w:sz w:val="24"/>
          <w:szCs w:val="24"/>
          <w:lang w:val="en-US"/>
        </w:rPr>
        <w:t>Introduction</w:t>
      </w:r>
    </w:p>
    <w:p w14:paraId="29406F45" w14:textId="08199904" w:rsidR="001D0B3F" w:rsidRPr="00C612A0" w:rsidRDefault="0033253D"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The studied centers appeared and grew as a result of colonial intervention during the period of the Spanish protectorate, which adopted a spatial organization based on administrative and military centers and weekly markets, and after independence as a result of natural growth and the flow of rural migration streams, and the settlement of some development projects.</w:t>
      </w:r>
    </w:p>
    <w:p w14:paraId="590FD87D" w14:textId="66FA44D3" w:rsidR="0033253D" w:rsidRPr="00C612A0" w:rsidRDefault="00987BC7"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However, this territorial dynamic was controlled by various factors that were not accompanied by development in terms of infrastructure and public services, which made it attractive to nearby urban centers such as the cities of Targuist, Al Hoceima, Taounate and Bab Berd.</w:t>
      </w:r>
    </w:p>
    <w:p w14:paraId="2A2F4272" w14:textId="391F44F3" w:rsidR="004D12EB" w:rsidRPr="00C612A0" w:rsidRDefault="00497642"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 xml:space="preserve">The term "emerging </w:t>
      </w:r>
      <w:r w:rsidR="002C6189" w:rsidRPr="00C612A0">
        <w:rPr>
          <w:rFonts w:asciiTheme="majorBidi" w:hAnsiTheme="majorBidi" w:cstheme="majorBidi"/>
          <w:sz w:val="24"/>
          <w:szCs w:val="24"/>
          <w:lang w:val="en-US"/>
        </w:rPr>
        <w:t>centers</w:t>
      </w:r>
      <w:r w:rsidRPr="00C612A0">
        <w:rPr>
          <w:rFonts w:asciiTheme="majorBidi" w:hAnsiTheme="majorBidi" w:cstheme="majorBidi"/>
          <w:sz w:val="24"/>
          <w:szCs w:val="24"/>
          <w:lang w:val="en-US"/>
        </w:rPr>
        <w:t>" is a new concept that has emerged in recent years. It refers to all agglomerations, outside of municipalities, which are experiencing remarkable dynamism in the development of their population and the transformation of their territories</w:t>
      </w:r>
      <w:r w:rsidR="007C2FAC" w:rsidRPr="00C612A0">
        <w:rPr>
          <w:rFonts w:asciiTheme="majorBidi" w:hAnsiTheme="majorBidi" w:cstheme="majorBidi"/>
          <w:sz w:val="24"/>
          <w:szCs w:val="24"/>
          <w:lang w:val="en-US"/>
        </w:rPr>
        <w:t xml:space="preserve"> (El-Araby </w:t>
      </w:r>
      <w:r w:rsidR="00BE3EDE" w:rsidRPr="00C612A0">
        <w:rPr>
          <w:rFonts w:asciiTheme="majorBidi" w:hAnsiTheme="majorBidi" w:cstheme="majorBidi"/>
          <w:sz w:val="24"/>
          <w:szCs w:val="24"/>
          <w:lang w:val="en-US"/>
        </w:rPr>
        <w:t xml:space="preserve">&amp; </w:t>
      </w:r>
      <w:r w:rsidR="007C2FAC" w:rsidRPr="00C612A0">
        <w:rPr>
          <w:rFonts w:asciiTheme="majorBidi" w:hAnsiTheme="majorBidi" w:cstheme="majorBidi"/>
          <w:sz w:val="24"/>
          <w:szCs w:val="24"/>
          <w:lang w:val="en-US"/>
        </w:rPr>
        <w:t>Faleh</w:t>
      </w:r>
      <w:r w:rsidR="00BE3EDE" w:rsidRPr="00C612A0">
        <w:rPr>
          <w:rFonts w:asciiTheme="majorBidi" w:hAnsiTheme="majorBidi" w:cstheme="majorBidi"/>
          <w:sz w:val="24"/>
          <w:szCs w:val="24"/>
          <w:lang w:val="en-US"/>
        </w:rPr>
        <w:t>,</w:t>
      </w:r>
      <w:r w:rsidR="007C2FAC" w:rsidRPr="00C612A0">
        <w:rPr>
          <w:rFonts w:asciiTheme="majorBidi" w:hAnsiTheme="majorBidi" w:cstheme="majorBidi"/>
          <w:sz w:val="24"/>
          <w:szCs w:val="24"/>
          <w:lang w:val="en-US"/>
        </w:rPr>
        <w:t xml:space="preserve"> 2017)</w:t>
      </w:r>
      <w:r w:rsidRPr="00C612A0">
        <w:rPr>
          <w:rFonts w:asciiTheme="majorBidi" w:hAnsiTheme="majorBidi" w:cstheme="majorBidi"/>
          <w:sz w:val="24"/>
          <w:szCs w:val="24"/>
          <w:lang w:val="en-US"/>
        </w:rPr>
        <w:t>.</w:t>
      </w:r>
    </w:p>
    <w:p w14:paraId="2750B3C5" w14:textId="73A1F02F" w:rsidR="004D12EB" w:rsidRPr="00C612A0" w:rsidRDefault="00497642" w:rsidP="00E464B2">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lastRenderedPageBreak/>
        <w:t xml:space="preserve">It also indicates the stage of transformation of a rural center into an urban center through a significant increase in the number of its population, the multiplicity of basic public facilities </w:t>
      </w:r>
      <w:r w:rsidR="002C6189" w:rsidRPr="00C612A0">
        <w:rPr>
          <w:rFonts w:asciiTheme="majorBidi" w:hAnsiTheme="majorBidi" w:cstheme="majorBidi"/>
          <w:sz w:val="24"/>
          <w:szCs w:val="24"/>
          <w:lang w:val="en-US"/>
        </w:rPr>
        <w:t>presents</w:t>
      </w:r>
      <w:r w:rsidRPr="00C612A0">
        <w:rPr>
          <w:rFonts w:asciiTheme="majorBidi" w:hAnsiTheme="majorBidi" w:cstheme="majorBidi"/>
          <w:sz w:val="24"/>
          <w:szCs w:val="24"/>
          <w:lang w:val="en-US"/>
        </w:rPr>
        <w:t xml:space="preserve"> there and the increase in population density in the center.</w:t>
      </w:r>
    </w:p>
    <w:p w14:paraId="3F77BA42" w14:textId="77777777" w:rsidR="004D12EB" w:rsidRPr="00C612A0" w:rsidRDefault="004D12EB" w:rsidP="004D12EB">
      <w:pPr>
        <w:rPr>
          <w:rFonts w:asciiTheme="majorBidi" w:hAnsiTheme="majorBidi" w:cstheme="majorBidi"/>
          <w:b/>
          <w:bCs/>
          <w:sz w:val="24"/>
          <w:szCs w:val="24"/>
          <w:lang w:val="en-US"/>
        </w:rPr>
      </w:pPr>
      <w:r w:rsidRPr="00C612A0">
        <w:rPr>
          <w:rFonts w:asciiTheme="majorBidi" w:hAnsiTheme="majorBidi" w:cstheme="majorBidi"/>
          <w:b/>
          <w:bCs/>
          <w:sz w:val="24"/>
          <w:szCs w:val="24"/>
          <w:lang w:val="en-US"/>
        </w:rPr>
        <w:t>The objectives of the research</w:t>
      </w:r>
    </w:p>
    <w:p w14:paraId="409A926C" w14:textId="5384C2F0" w:rsidR="004D12EB" w:rsidRPr="00C612A0" w:rsidRDefault="004D12EB" w:rsidP="004D12EB">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Our study aims, first, to examine the process that controls the genesis of urban and emerging centers, its evolutions from a rural space to an emerging urban space, as well as the understanding of the socio-spatial mutations of this space which is in a crossroads situation, under the influence of the agglomeration of Tangier-Tetouan -Alhoceima and the East.</w:t>
      </w:r>
    </w:p>
    <w:p w14:paraId="7E45822C" w14:textId="77777777" w:rsidR="004D12EB" w:rsidRPr="00C612A0" w:rsidRDefault="004D12EB" w:rsidP="004D12EB">
      <w:pPr>
        <w:rPr>
          <w:rFonts w:asciiTheme="majorBidi" w:hAnsiTheme="majorBidi" w:cstheme="majorBidi"/>
          <w:b/>
          <w:bCs/>
          <w:sz w:val="24"/>
          <w:szCs w:val="24"/>
          <w:lang w:val="en-US"/>
        </w:rPr>
      </w:pPr>
      <w:r w:rsidRPr="00C612A0">
        <w:rPr>
          <w:rFonts w:asciiTheme="majorBidi" w:hAnsiTheme="majorBidi" w:cstheme="majorBidi"/>
          <w:b/>
          <w:bCs/>
          <w:sz w:val="24"/>
          <w:szCs w:val="24"/>
          <w:lang w:val="en-US"/>
        </w:rPr>
        <w:t>Material and methods</w:t>
      </w:r>
    </w:p>
    <w:p w14:paraId="4B9FC141" w14:textId="77777777" w:rsidR="004D12EB" w:rsidRPr="00C612A0" w:rsidRDefault="004D12EB" w:rsidP="008B231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The work methodology is based on a bibliographic research to collect the basic information necessary to carry out our research, likewise, we opted for the survey as a data collection method. The approaches concerned:</w:t>
      </w:r>
    </w:p>
    <w:p w14:paraId="4AC5AA69" w14:textId="77777777" w:rsidR="004D12EB" w:rsidRPr="00C612A0" w:rsidRDefault="004D12EB" w:rsidP="008B231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Data collection: This is reliable quantitative and qualitative data relating to the different areas of socio-economic development.</w:t>
      </w:r>
    </w:p>
    <w:p w14:paraId="1C276925" w14:textId="77777777" w:rsidR="004D12EB" w:rsidRPr="00C612A0" w:rsidRDefault="004D12EB" w:rsidP="008B231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Cartography and GIS: Use of geographic information system (GIS) to establish comparative thematic maps of the distribution of different socio-economic and spatial phenomena.</w:t>
      </w:r>
    </w:p>
    <w:p w14:paraId="27376481" w14:textId="2EF9729B" w:rsidR="004D12EB" w:rsidRPr="00C612A0" w:rsidRDefault="004D12EB" w:rsidP="008B231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 Analyze census data related to the population, whether during the colonial period or during the period of independence.</w:t>
      </w:r>
    </w:p>
    <w:p w14:paraId="6C6B2219" w14:textId="517F84BE" w:rsidR="005E1C38" w:rsidRPr="00C612A0" w:rsidRDefault="004D12EB" w:rsidP="003F11C1">
      <w:pPr>
        <w:jc w:val="both"/>
        <w:rPr>
          <w:rFonts w:asciiTheme="majorBidi" w:hAnsiTheme="majorBidi" w:cstheme="majorBidi"/>
          <w:b/>
          <w:bCs/>
          <w:sz w:val="24"/>
          <w:szCs w:val="24"/>
          <w:lang w:val="en-US"/>
        </w:rPr>
      </w:pPr>
      <w:r w:rsidRPr="00C612A0">
        <w:rPr>
          <w:rFonts w:asciiTheme="majorBidi" w:hAnsiTheme="majorBidi" w:cstheme="majorBidi"/>
          <w:b/>
          <w:bCs/>
          <w:sz w:val="24"/>
          <w:szCs w:val="24"/>
          <w:lang w:val="en-US"/>
        </w:rPr>
        <w:t>Location of the study area: a strategic position</w:t>
      </w:r>
    </w:p>
    <w:p w14:paraId="1BE4D79F" w14:textId="73053B71" w:rsidR="00F329C9" w:rsidRPr="00C612A0" w:rsidRDefault="003F11C1" w:rsidP="003F11C1">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The province of Al Hoceima is located in the north of the kingdom of Morocco, which belongs to the region of Tangier-Tetouan-Al Hoceima, and covers an area of 3550 km2, and the population of the province according to the census of 2024 was about 371,527 people</w:t>
      </w:r>
      <w:r w:rsidR="005B0465">
        <w:rPr>
          <w:rFonts w:asciiTheme="majorBidi" w:hAnsiTheme="majorBidi" w:cstheme="majorBidi"/>
          <w:sz w:val="24"/>
          <w:szCs w:val="24"/>
          <w:lang w:val="en-US" w:bidi="ar-MA"/>
        </w:rPr>
        <w:t xml:space="preserve"> </w:t>
      </w:r>
      <w:bookmarkStart w:id="1" w:name="_Hlk198021612"/>
      <w:r w:rsidR="005B0465">
        <w:rPr>
          <w:rFonts w:asciiTheme="majorBidi" w:hAnsiTheme="majorBidi" w:cstheme="majorBidi"/>
          <w:sz w:val="24"/>
          <w:szCs w:val="24"/>
          <w:lang w:val="en-US" w:bidi="ar-MA"/>
        </w:rPr>
        <w:t>(</w:t>
      </w:r>
      <w:r w:rsidR="005B0465" w:rsidRPr="005B0465">
        <w:rPr>
          <w:rFonts w:asciiTheme="majorBidi" w:hAnsiTheme="majorBidi" w:cstheme="majorBidi"/>
          <w:sz w:val="24"/>
          <w:szCs w:val="24"/>
          <w:lang w:val="en-US" w:bidi="ar-MA"/>
        </w:rPr>
        <w:t>Figure1</w:t>
      </w:r>
      <w:r w:rsidR="005B0465">
        <w:rPr>
          <w:rFonts w:asciiTheme="majorBidi" w:hAnsiTheme="majorBidi" w:cstheme="majorBidi"/>
          <w:sz w:val="24"/>
          <w:szCs w:val="24"/>
          <w:lang w:val="en-US" w:bidi="ar-MA"/>
        </w:rPr>
        <w:t>)</w:t>
      </w:r>
      <w:bookmarkEnd w:id="1"/>
      <w:r w:rsidRPr="00C612A0">
        <w:rPr>
          <w:rFonts w:asciiTheme="majorBidi" w:hAnsiTheme="majorBidi" w:cstheme="majorBidi"/>
          <w:sz w:val="24"/>
          <w:szCs w:val="24"/>
          <w:lang w:val="en-US" w:bidi="ar-MA"/>
        </w:rPr>
        <w:t>.</w:t>
      </w:r>
    </w:p>
    <w:p w14:paraId="7F469F4D" w14:textId="176ABA05" w:rsidR="005E1C38" w:rsidRDefault="005E1C38" w:rsidP="005918A2">
      <w:pPr>
        <w:spacing w:after="0"/>
        <w:jc w:val="both"/>
        <w:rPr>
          <w:rtl/>
          <w:lang w:val="en-US"/>
        </w:rPr>
      </w:pPr>
      <w:r>
        <w:rPr>
          <w:noProof/>
          <w:rtl/>
          <w:lang w:val="ar-SA"/>
        </w:rPr>
        <w:lastRenderedPageBreak/>
        <w:drawing>
          <wp:inline distT="0" distB="0" distL="0" distR="0" wp14:anchorId="746F06DD" wp14:editId="1BA9BC93">
            <wp:extent cx="5760720" cy="3905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extLst>
                        <a:ext uri="{28A0092B-C50C-407E-A947-70E740481C1C}">
                          <a14:useLocalDpi xmlns:a14="http://schemas.microsoft.com/office/drawing/2010/main" val="0"/>
                        </a:ext>
                      </a:extLst>
                    </a:blip>
                    <a:srcRect t="2339" b="1761"/>
                    <a:stretch/>
                  </pic:blipFill>
                  <pic:spPr bwMode="auto">
                    <a:xfrm>
                      <a:off x="0" y="0"/>
                      <a:ext cx="5760720" cy="3905250"/>
                    </a:xfrm>
                    <a:prstGeom prst="rect">
                      <a:avLst/>
                    </a:prstGeom>
                    <a:ln>
                      <a:noFill/>
                    </a:ln>
                    <a:extLst>
                      <a:ext uri="{53640926-AAD7-44D8-BBD7-CCE9431645EC}">
                        <a14:shadowObscured xmlns:a14="http://schemas.microsoft.com/office/drawing/2010/main"/>
                      </a:ext>
                    </a:extLst>
                  </pic:spPr>
                </pic:pic>
              </a:graphicData>
            </a:graphic>
          </wp:inline>
        </w:drawing>
      </w:r>
    </w:p>
    <w:p w14:paraId="47B1C74D" w14:textId="538B5D1E" w:rsidR="005E1C38" w:rsidRPr="00C612A0" w:rsidRDefault="005918A2" w:rsidP="005918A2">
      <w:pPr>
        <w:spacing w:after="0"/>
        <w:jc w:val="both"/>
        <w:rPr>
          <w:rFonts w:asciiTheme="majorBidi" w:hAnsiTheme="majorBidi" w:cstheme="majorBidi"/>
          <w:rtl/>
          <w:lang w:val="en-US"/>
        </w:rPr>
      </w:pPr>
      <w:bookmarkStart w:id="2" w:name="_Hlk189398475"/>
      <w:r w:rsidRPr="00C612A0">
        <w:rPr>
          <w:rFonts w:asciiTheme="majorBidi" w:hAnsiTheme="majorBidi" w:cstheme="majorBidi"/>
          <w:lang w:val="en-US"/>
        </w:rPr>
        <w:t>Source</w:t>
      </w:r>
      <w:r w:rsidR="007B1FD5" w:rsidRPr="00C612A0">
        <w:rPr>
          <w:rFonts w:asciiTheme="majorBidi" w:hAnsiTheme="majorBidi" w:cstheme="majorBidi"/>
          <w:lang w:val="en-US"/>
        </w:rPr>
        <w:t>.</w:t>
      </w:r>
      <w:r w:rsidRPr="00C612A0">
        <w:rPr>
          <w:rFonts w:asciiTheme="majorBidi" w:hAnsiTheme="majorBidi" w:cstheme="majorBidi"/>
          <w:lang w:val="en-US"/>
        </w:rPr>
        <w:t xml:space="preserve"> administrative division in 2015</w:t>
      </w:r>
    </w:p>
    <w:p w14:paraId="0CAF8FCB" w14:textId="2E10D0A6" w:rsidR="005918A2" w:rsidRPr="00C612A0" w:rsidRDefault="005918A2" w:rsidP="005918A2">
      <w:pPr>
        <w:spacing w:after="0" w:line="360" w:lineRule="auto"/>
        <w:jc w:val="both"/>
        <w:rPr>
          <w:rFonts w:asciiTheme="majorBidi" w:hAnsiTheme="majorBidi" w:cstheme="majorBidi"/>
          <w:b/>
          <w:bCs/>
          <w:lang w:val="en-US"/>
        </w:rPr>
      </w:pPr>
      <w:bookmarkStart w:id="3" w:name="_Hlk198021432"/>
      <w:r w:rsidRPr="00C612A0">
        <w:rPr>
          <w:rFonts w:asciiTheme="majorBidi" w:hAnsiTheme="majorBidi" w:cstheme="majorBidi"/>
          <w:b/>
          <w:bCs/>
          <w:lang w:val="en-US"/>
        </w:rPr>
        <w:t>Figure 1</w:t>
      </w:r>
      <w:bookmarkEnd w:id="3"/>
      <w:r w:rsidR="007B1FD5" w:rsidRPr="00C612A0">
        <w:rPr>
          <w:rFonts w:asciiTheme="majorBidi" w:hAnsiTheme="majorBidi" w:cstheme="majorBidi"/>
          <w:b/>
          <w:bCs/>
          <w:lang w:val="en-US"/>
        </w:rPr>
        <w:t>.</w:t>
      </w:r>
      <w:r w:rsidRPr="00C612A0">
        <w:rPr>
          <w:rFonts w:asciiTheme="majorBidi" w:hAnsiTheme="majorBidi" w:cstheme="majorBidi"/>
          <w:b/>
          <w:bCs/>
          <w:lang w:val="en-US"/>
        </w:rPr>
        <w:t xml:space="preserve"> Location of the study area</w:t>
      </w:r>
    </w:p>
    <w:bookmarkEnd w:id="2"/>
    <w:p w14:paraId="2562749E" w14:textId="4A7CAD9C" w:rsidR="00F329C9" w:rsidRPr="00C612A0" w:rsidRDefault="00F329C9" w:rsidP="00B54DF8">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The Al Hoceima region has unique resources that can be a major lever for urban development if exploited within the framework of local projects. Among its resources are the diversity of its landscapes, its human capital dominated by the working class, its economic resources, and the richness of its tangible and intangible heritage (Bouhlal et al., 2024).</w:t>
      </w:r>
    </w:p>
    <w:p w14:paraId="15BEA27D" w14:textId="6E9C8106" w:rsidR="00D53AEB" w:rsidRPr="00C612A0" w:rsidRDefault="00D53AEB" w:rsidP="00D53AEB">
      <w:pPr>
        <w:pStyle w:val="Paragraphedeliste"/>
        <w:numPr>
          <w:ilvl w:val="0"/>
          <w:numId w:val="1"/>
        </w:numPr>
        <w:jc w:val="both"/>
        <w:rPr>
          <w:rFonts w:asciiTheme="majorBidi" w:hAnsiTheme="majorBidi" w:cstheme="majorBidi"/>
          <w:b/>
          <w:bCs/>
          <w:sz w:val="24"/>
          <w:szCs w:val="24"/>
          <w:rtl/>
          <w:lang w:val="en-US"/>
        </w:rPr>
      </w:pPr>
      <w:r w:rsidRPr="00C612A0">
        <w:rPr>
          <w:rFonts w:asciiTheme="majorBidi" w:hAnsiTheme="majorBidi" w:cstheme="majorBidi"/>
          <w:b/>
          <w:bCs/>
          <w:sz w:val="24"/>
          <w:szCs w:val="24"/>
          <w:lang w:val="en-US"/>
        </w:rPr>
        <w:t>Urbanization dynamics in the province of Al Hoceima</w:t>
      </w:r>
    </w:p>
    <w:p w14:paraId="298E561B" w14:textId="5AC9D04B" w:rsidR="00F72C3D" w:rsidRPr="00C612A0" w:rsidRDefault="00D53AEB" w:rsidP="001950F0">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The phenomenon of urbanization in the province of Al Hoceima developed through two main stages: the colonial phase and the independence phase. The latter encompasses three different historical periods, each with its own demographic characteristics.</w:t>
      </w:r>
    </w:p>
    <w:p w14:paraId="25BB3F8E" w14:textId="502DB7F6" w:rsidR="00C75E56" w:rsidRPr="00C612A0" w:rsidRDefault="00C75E56" w:rsidP="00B54DF8">
      <w:pPr>
        <w:jc w:val="both"/>
        <w:rPr>
          <w:rFonts w:asciiTheme="majorBidi" w:hAnsiTheme="majorBidi" w:cstheme="majorBidi"/>
          <w:b/>
          <w:bCs/>
          <w:sz w:val="24"/>
          <w:szCs w:val="24"/>
          <w:lang w:val="en-US"/>
        </w:rPr>
      </w:pPr>
      <w:r w:rsidRPr="00C612A0">
        <w:rPr>
          <w:rFonts w:asciiTheme="majorBidi" w:hAnsiTheme="majorBidi" w:cstheme="majorBidi"/>
          <w:b/>
          <w:bCs/>
          <w:sz w:val="24"/>
          <w:szCs w:val="24"/>
          <w:lang w:val="en-US"/>
        </w:rPr>
        <w:t>1.1 Colonial period: the birth of the city of Al Hoceima and the beginning of urban life</w:t>
      </w:r>
    </w:p>
    <w:p w14:paraId="417999AF" w14:textId="36EE9AA6" w:rsidR="002B512C" w:rsidRPr="00C612A0" w:rsidRDefault="002B512C" w:rsidP="00B54DF8">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The colonial period is a very important period in the life of the city of Al Hoceima and its surroundings, whether in the construction of urban centers or the architectural structures that formed a colonial heritage in this period.</w:t>
      </w:r>
    </w:p>
    <w:p w14:paraId="001EBDFD" w14:textId="16D6975D" w:rsidR="00C75E56" w:rsidRPr="00C612A0" w:rsidRDefault="00116F79" w:rsidP="00B54DF8">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Several factors combined to establish the city of Al Hoceima on the Mediterranean coast, and the year 1925 was a decisive step in the birth of the city of Al Hoceima. After the military landing that took place in the region, in 1927 the urban site was established on a Spanish military base and in 1928 it was transformed into an urban site.</w:t>
      </w:r>
    </w:p>
    <w:p w14:paraId="06C30A35" w14:textId="162EA860" w:rsidR="00435E53" w:rsidRPr="00C612A0" w:rsidRDefault="00435E53" w:rsidP="00B54DF8">
      <w:pPr>
        <w:jc w:val="both"/>
        <w:rPr>
          <w:rFonts w:asciiTheme="majorBidi" w:hAnsiTheme="majorBidi" w:cstheme="majorBidi"/>
          <w:sz w:val="24"/>
          <w:szCs w:val="24"/>
          <w:lang w:val="en-US" w:bidi="ar-MA"/>
        </w:rPr>
      </w:pPr>
      <w:r w:rsidRPr="00C612A0">
        <w:rPr>
          <w:rFonts w:asciiTheme="majorBidi" w:hAnsiTheme="majorBidi" w:cstheme="majorBidi"/>
          <w:sz w:val="24"/>
          <w:szCs w:val="24"/>
          <w:lang w:val="en-US" w:bidi="ar-MA"/>
        </w:rPr>
        <w:t>This city had several names during the colonial era. Before the military landing, it was called Taghzouith and, in mid-1926</w:t>
      </w:r>
      <w:r w:rsidR="00BE3EDE" w:rsidRPr="00C612A0">
        <w:rPr>
          <w:rFonts w:asciiTheme="majorBidi" w:hAnsiTheme="majorBidi" w:cstheme="majorBidi"/>
          <w:sz w:val="24"/>
          <w:szCs w:val="24"/>
          <w:lang w:val="en-US" w:bidi="ar-MA"/>
        </w:rPr>
        <w:t>,</w:t>
      </w:r>
      <w:r w:rsidR="00C23916" w:rsidRPr="00C612A0">
        <w:rPr>
          <w:rFonts w:asciiTheme="majorBidi" w:hAnsiTheme="majorBidi" w:cstheme="majorBidi"/>
          <w:sz w:val="24"/>
          <w:szCs w:val="24"/>
          <w:lang w:val="en-US" w:bidi="ar-MA"/>
        </w:rPr>
        <w:t xml:space="preserve"> El Sabri</w:t>
      </w:r>
      <w:r w:rsidR="00BE3EDE" w:rsidRPr="00C612A0">
        <w:rPr>
          <w:rFonts w:asciiTheme="majorBidi" w:hAnsiTheme="majorBidi" w:cstheme="majorBidi"/>
          <w:sz w:val="24"/>
          <w:szCs w:val="24"/>
          <w:lang w:val="en-US" w:bidi="ar-MA"/>
        </w:rPr>
        <w:t xml:space="preserve"> (</w:t>
      </w:r>
      <w:r w:rsidR="00C23916" w:rsidRPr="00C612A0">
        <w:rPr>
          <w:rFonts w:asciiTheme="majorBidi" w:hAnsiTheme="majorBidi" w:cstheme="majorBidi"/>
          <w:sz w:val="24"/>
          <w:szCs w:val="24"/>
          <w:lang w:val="en-US" w:bidi="ar-MA"/>
        </w:rPr>
        <w:t>1999)</w:t>
      </w:r>
      <w:r w:rsidRPr="00C612A0">
        <w:rPr>
          <w:rFonts w:asciiTheme="majorBidi" w:hAnsiTheme="majorBidi" w:cstheme="majorBidi"/>
          <w:sz w:val="24"/>
          <w:szCs w:val="24"/>
          <w:lang w:val="en-US" w:bidi="ar-MA"/>
        </w:rPr>
        <w:t>, it was called quemado</w:t>
      </w:r>
      <w:r w:rsidR="00F14994" w:rsidRPr="00C612A0">
        <w:rPr>
          <w:rFonts w:asciiTheme="majorBidi" w:hAnsiTheme="majorBidi" w:cstheme="majorBidi"/>
          <w:sz w:val="24"/>
          <w:szCs w:val="24"/>
          <w:lang w:val="en-US" w:bidi="ar-MA"/>
        </w:rPr>
        <w:t xml:space="preserve"> (</w:t>
      </w:r>
      <w:r w:rsidR="00C23916" w:rsidRPr="00C612A0">
        <w:rPr>
          <w:rFonts w:asciiTheme="majorBidi" w:hAnsiTheme="majorBidi" w:cstheme="majorBidi"/>
          <w:sz w:val="24"/>
          <w:szCs w:val="24"/>
          <w:lang w:val="en-US" w:bidi="ar-MA"/>
        </w:rPr>
        <w:t>María</w:t>
      </w:r>
      <w:r w:rsidR="00BE3EDE" w:rsidRPr="00C612A0">
        <w:rPr>
          <w:rFonts w:asciiTheme="majorBidi" w:hAnsiTheme="majorBidi" w:cstheme="majorBidi"/>
          <w:sz w:val="24"/>
          <w:szCs w:val="24"/>
          <w:lang w:val="en-US" w:bidi="ar-MA"/>
        </w:rPr>
        <w:t>,</w:t>
      </w:r>
      <w:r w:rsidR="00C23916" w:rsidRPr="00C612A0">
        <w:rPr>
          <w:rFonts w:asciiTheme="majorBidi" w:hAnsiTheme="majorBidi" w:cstheme="majorBidi"/>
          <w:sz w:val="24"/>
          <w:szCs w:val="24"/>
          <w:lang w:val="en-US" w:bidi="ar-MA"/>
        </w:rPr>
        <w:t xml:space="preserve"> 2013</w:t>
      </w:r>
      <w:r w:rsidR="00F14994" w:rsidRPr="00C612A0">
        <w:rPr>
          <w:rFonts w:asciiTheme="majorBidi" w:hAnsiTheme="majorBidi" w:cstheme="majorBidi"/>
          <w:sz w:val="24"/>
          <w:szCs w:val="24"/>
          <w:lang w:val="en-US" w:bidi="ar-MA"/>
        </w:rPr>
        <w:t>)</w:t>
      </w:r>
      <w:r w:rsidRPr="00C612A0">
        <w:rPr>
          <w:rFonts w:asciiTheme="majorBidi" w:hAnsiTheme="majorBidi" w:cstheme="majorBidi"/>
          <w:sz w:val="24"/>
          <w:szCs w:val="24"/>
          <w:lang w:val="en-US" w:bidi="ar-MA"/>
        </w:rPr>
        <w:t>.</w:t>
      </w:r>
      <w:r w:rsidR="00F14994" w:rsidRPr="00C612A0">
        <w:rPr>
          <w:rFonts w:asciiTheme="majorBidi" w:hAnsiTheme="majorBidi" w:cstheme="majorBidi"/>
          <w:b/>
          <w:bCs/>
          <w:sz w:val="24"/>
          <w:szCs w:val="24"/>
          <w:lang w:val="en-US" w:bidi="ar-MA"/>
        </w:rPr>
        <w:t xml:space="preserve"> </w:t>
      </w:r>
      <w:r w:rsidR="00384AB5" w:rsidRPr="00C612A0">
        <w:rPr>
          <w:rFonts w:asciiTheme="majorBidi" w:hAnsiTheme="majorBidi" w:cstheme="majorBidi"/>
          <w:sz w:val="24"/>
          <w:szCs w:val="24"/>
          <w:lang w:val="en-US" w:bidi="ar-MA"/>
        </w:rPr>
        <w:t xml:space="preserve">In 1927 the town was known as </w:t>
      </w:r>
      <w:bookmarkStart w:id="4" w:name="_Hlk189235183"/>
      <w:r w:rsidR="00384AB5" w:rsidRPr="00C612A0">
        <w:rPr>
          <w:rFonts w:asciiTheme="majorBidi" w:hAnsiTheme="majorBidi" w:cstheme="majorBidi"/>
          <w:sz w:val="24"/>
          <w:szCs w:val="24"/>
          <w:lang w:val="en-US" w:bidi="ar-MA"/>
        </w:rPr>
        <w:t>Villa Sanjurjo</w:t>
      </w:r>
      <w:bookmarkEnd w:id="4"/>
      <w:r w:rsidR="00384AB5" w:rsidRPr="00C612A0">
        <w:rPr>
          <w:rFonts w:asciiTheme="majorBidi" w:hAnsiTheme="majorBidi" w:cstheme="majorBidi"/>
          <w:sz w:val="24"/>
          <w:szCs w:val="24"/>
          <w:lang w:val="en-US" w:bidi="ar-MA"/>
        </w:rPr>
        <w:t>, named after its founder, General Sanjurjo (</w:t>
      </w:r>
      <w:r w:rsidR="004A5566" w:rsidRPr="00C612A0">
        <w:rPr>
          <w:rFonts w:asciiTheme="majorBidi" w:hAnsiTheme="majorBidi" w:cstheme="majorBidi"/>
          <w:sz w:val="24"/>
          <w:szCs w:val="24"/>
          <w:lang w:val="en-US" w:bidi="ar-MA"/>
        </w:rPr>
        <w:t>Lemallam, 2011</w:t>
      </w:r>
      <w:r w:rsidR="00384AB5" w:rsidRPr="00C612A0">
        <w:rPr>
          <w:rFonts w:asciiTheme="majorBidi" w:hAnsiTheme="majorBidi" w:cstheme="majorBidi"/>
          <w:sz w:val="24"/>
          <w:szCs w:val="24"/>
          <w:lang w:val="en-US" w:bidi="ar-MA"/>
        </w:rPr>
        <w:t>).</w:t>
      </w:r>
    </w:p>
    <w:p w14:paraId="658BFE55" w14:textId="5D06DF61" w:rsidR="004A5566" w:rsidRPr="00C612A0" w:rsidRDefault="00AD4D8E" w:rsidP="00B54DF8">
      <w:pPr>
        <w:jc w:val="both"/>
        <w:rPr>
          <w:rFonts w:asciiTheme="majorBidi" w:hAnsiTheme="majorBidi" w:cstheme="majorBidi"/>
          <w:sz w:val="24"/>
          <w:szCs w:val="24"/>
          <w:lang w:val="en-US" w:bidi="ar-MA"/>
        </w:rPr>
      </w:pPr>
      <w:r w:rsidRPr="00C612A0">
        <w:rPr>
          <w:rFonts w:asciiTheme="majorBidi" w:hAnsiTheme="majorBidi" w:cstheme="majorBidi"/>
          <w:sz w:val="24"/>
          <w:szCs w:val="24"/>
          <w:lang w:val="en-US" w:bidi="ar-MA"/>
        </w:rPr>
        <w:lastRenderedPageBreak/>
        <w:t>In 1932, the name of Villa Sanjurjo was replaced by the name of Al Hoceima, according to the dahir signed by the head of civil affairs</w:t>
      </w:r>
      <w:r w:rsidR="00EA4986" w:rsidRPr="00C612A0">
        <w:rPr>
          <w:rFonts w:asciiTheme="majorBidi" w:hAnsiTheme="majorBidi" w:cstheme="majorBidi"/>
          <w:sz w:val="24"/>
          <w:szCs w:val="24"/>
          <w:lang w:val="en-US" w:bidi="ar-MA"/>
        </w:rPr>
        <w:t xml:space="preserve"> (dahir cambiando la denominacion del poblado de villa sanjurjo, par la de villa Alhucemas)</w:t>
      </w:r>
      <w:r w:rsidRPr="00C612A0">
        <w:rPr>
          <w:rFonts w:asciiTheme="majorBidi" w:hAnsiTheme="majorBidi" w:cstheme="majorBidi"/>
          <w:sz w:val="24"/>
          <w:szCs w:val="24"/>
          <w:lang w:val="en-US" w:bidi="ar-MA"/>
        </w:rPr>
        <w:t xml:space="preserve">. </w:t>
      </w:r>
    </w:p>
    <w:p w14:paraId="6BB47EBA" w14:textId="10A8D3CC" w:rsidR="007B1FD5" w:rsidRPr="00C612A0" w:rsidRDefault="007B1FD5" w:rsidP="00B54DF8">
      <w:pPr>
        <w:jc w:val="both"/>
        <w:rPr>
          <w:rFonts w:asciiTheme="majorBidi" w:hAnsiTheme="majorBidi" w:cstheme="majorBidi"/>
          <w:b/>
          <w:bCs/>
          <w:sz w:val="24"/>
          <w:szCs w:val="24"/>
          <w:rtl/>
          <w:lang w:val="en-US" w:bidi="ar-MA"/>
        </w:rPr>
      </w:pPr>
      <w:r w:rsidRPr="00C612A0">
        <w:rPr>
          <w:rFonts w:asciiTheme="majorBidi" w:hAnsiTheme="majorBidi" w:cstheme="majorBidi"/>
          <w:b/>
          <w:bCs/>
          <w:sz w:val="24"/>
          <w:szCs w:val="24"/>
          <w:lang w:val="en-US" w:bidi="ar-MA"/>
        </w:rPr>
        <w:t>Table 1.</w:t>
      </w:r>
      <w:r w:rsidRPr="00C612A0">
        <w:rPr>
          <w:rFonts w:asciiTheme="majorBidi" w:hAnsiTheme="majorBidi" w:cstheme="majorBidi"/>
          <w:b/>
          <w:bCs/>
          <w:sz w:val="24"/>
          <w:szCs w:val="24"/>
          <w:lang w:val="en-US"/>
        </w:rPr>
        <w:t xml:space="preserve"> </w:t>
      </w:r>
      <w:r w:rsidRPr="00C612A0">
        <w:rPr>
          <w:rFonts w:asciiTheme="majorBidi" w:hAnsiTheme="majorBidi" w:cstheme="majorBidi"/>
          <w:b/>
          <w:bCs/>
          <w:sz w:val="24"/>
          <w:szCs w:val="24"/>
          <w:lang w:val="en-US" w:bidi="ar-MA"/>
        </w:rPr>
        <w:t>Population growth of the city of Al Hoceima during the colonial period</w:t>
      </w:r>
    </w:p>
    <w:tbl>
      <w:tblPr>
        <w:tblStyle w:val="Grilledutableau"/>
        <w:tblW w:w="9148" w:type="dxa"/>
        <w:tblLook w:val="04A0" w:firstRow="1" w:lastRow="0" w:firstColumn="1" w:lastColumn="0" w:noHBand="0" w:noVBand="1"/>
      </w:tblPr>
      <w:tblGrid>
        <w:gridCol w:w="1524"/>
        <w:gridCol w:w="1524"/>
        <w:gridCol w:w="1524"/>
        <w:gridCol w:w="1524"/>
        <w:gridCol w:w="1526"/>
        <w:gridCol w:w="1526"/>
      </w:tblGrid>
      <w:tr w:rsidR="005C6C0C" w14:paraId="3BC09238" w14:textId="77777777" w:rsidTr="005C6C0C">
        <w:trPr>
          <w:trHeight w:val="481"/>
        </w:trPr>
        <w:tc>
          <w:tcPr>
            <w:tcW w:w="1524" w:type="dxa"/>
            <w:vAlign w:val="center"/>
          </w:tcPr>
          <w:p w14:paraId="4819A521" w14:textId="070662B2" w:rsidR="005C6C0C" w:rsidRPr="005C6C0C" w:rsidRDefault="005C6C0C" w:rsidP="005C6C0C">
            <w:pPr>
              <w:jc w:val="center"/>
              <w:rPr>
                <w:b/>
                <w:bCs/>
                <w:lang w:val="en-US" w:bidi="ar-MA"/>
              </w:rPr>
            </w:pPr>
            <w:r w:rsidRPr="005C6C0C">
              <w:rPr>
                <w:b/>
                <w:bCs/>
                <w:lang w:val="en-US" w:bidi="ar-MA"/>
              </w:rPr>
              <w:t>Years</w:t>
            </w:r>
          </w:p>
        </w:tc>
        <w:tc>
          <w:tcPr>
            <w:tcW w:w="1524" w:type="dxa"/>
            <w:vAlign w:val="center"/>
          </w:tcPr>
          <w:p w14:paraId="1AE0C0E0" w14:textId="621B8868" w:rsidR="005C6C0C" w:rsidRPr="005C6C0C" w:rsidRDefault="005C6C0C" w:rsidP="005C6C0C">
            <w:pPr>
              <w:jc w:val="center"/>
              <w:rPr>
                <w:b/>
                <w:bCs/>
                <w:lang w:val="en-US" w:bidi="ar-MA"/>
              </w:rPr>
            </w:pPr>
            <w:r w:rsidRPr="005C6C0C">
              <w:rPr>
                <w:rFonts w:hint="cs"/>
                <w:b/>
                <w:bCs/>
                <w:rtl/>
                <w:lang w:val="en-US" w:bidi="ar-MA"/>
              </w:rPr>
              <w:t>1925</w:t>
            </w:r>
          </w:p>
        </w:tc>
        <w:tc>
          <w:tcPr>
            <w:tcW w:w="1524" w:type="dxa"/>
            <w:vAlign w:val="center"/>
          </w:tcPr>
          <w:p w14:paraId="3B541BB4" w14:textId="1680330F" w:rsidR="005C6C0C" w:rsidRPr="005C6C0C" w:rsidRDefault="005C6C0C" w:rsidP="005C6C0C">
            <w:pPr>
              <w:jc w:val="center"/>
              <w:rPr>
                <w:b/>
                <w:bCs/>
                <w:lang w:val="en-US" w:bidi="ar-MA"/>
              </w:rPr>
            </w:pPr>
            <w:r>
              <w:rPr>
                <w:rFonts w:hint="cs"/>
                <w:b/>
                <w:bCs/>
                <w:rtl/>
                <w:lang w:val="en-US" w:bidi="ar-MA"/>
              </w:rPr>
              <w:t>1929</w:t>
            </w:r>
          </w:p>
        </w:tc>
        <w:tc>
          <w:tcPr>
            <w:tcW w:w="1524" w:type="dxa"/>
            <w:vAlign w:val="center"/>
          </w:tcPr>
          <w:p w14:paraId="24B7A96D" w14:textId="731215EF" w:rsidR="005C6C0C" w:rsidRPr="005C6C0C" w:rsidRDefault="005C6C0C" w:rsidP="005C6C0C">
            <w:pPr>
              <w:jc w:val="center"/>
              <w:rPr>
                <w:b/>
                <w:bCs/>
                <w:lang w:val="en-US" w:bidi="ar-MA"/>
              </w:rPr>
            </w:pPr>
            <w:r w:rsidRPr="005C6C0C">
              <w:rPr>
                <w:rFonts w:hint="cs"/>
                <w:b/>
                <w:bCs/>
                <w:rtl/>
                <w:lang w:val="en-US" w:bidi="ar-MA"/>
              </w:rPr>
              <w:t>1936</w:t>
            </w:r>
          </w:p>
        </w:tc>
        <w:tc>
          <w:tcPr>
            <w:tcW w:w="1526" w:type="dxa"/>
            <w:vAlign w:val="center"/>
          </w:tcPr>
          <w:p w14:paraId="34EB76B1" w14:textId="6787A895" w:rsidR="005C6C0C" w:rsidRPr="005C6C0C" w:rsidRDefault="005C6C0C" w:rsidP="005C6C0C">
            <w:pPr>
              <w:jc w:val="center"/>
              <w:rPr>
                <w:b/>
                <w:bCs/>
                <w:lang w:val="en-US" w:bidi="ar-MA"/>
              </w:rPr>
            </w:pPr>
            <w:r w:rsidRPr="005C6C0C">
              <w:rPr>
                <w:rFonts w:hint="cs"/>
                <w:b/>
                <w:bCs/>
                <w:rtl/>
                <w:lang w:val="en-US" w:bidi="ar-MA"/>
              </w:rPr>
              <w:t>1945</w:t>
            </w:r>
          </w:p>
        </w:tc>
        <w:tc>
          <w:tcPr>
            <w:tcW w:w="1526" w:type="dxa"/>
            <w:vAlign w:val="center"/>
          </w:tcPr>
          <w:p w14:paraId="483531B4" w14:textId="29E9BB20" w:rsidR="005C6C0C" w:rsidRPr="005C6C0C" w:rsidRDefault="005C6C0C" w:rsidP="005C6C0C">
            <w:pPr>
              <w:jc w:val="center"/>
              <w:rPr>
                <w:b/>
                <w:bCs/>
                <w:lang w:val="en-US" w:bidi="ar-MA"/>
              </w:rPr>
            </w:pPr>
            <w:r w:rsidRPr="005C6C0C">
              <w:rPr>
                <w:rFonts w:hint="cs"/>
                <w:b/>
                <w:bCs/>
                <w:rtl/>
                <w:lang w:val="en-US" w:bidi="ar-MA"/>
              </w:rPr>
              <w:t>1956</w:t>
            </w:r>
          </w:p>
        </w:tc>
      </w:tr>
      <w:tr w:rsidR="005C6C0C" w14:paraId="6E3C369F" w14:textId="77777777" w:rsidTr="005C6C0C">
        <w:trPr>
          <w:trHeight w:val="454"/>
        </w:trPr>
        <w:tc>
          <w:tcPr>
            <w:tcW w:w="1524" w:type="dxa"/>
            <w:vAlign w:val="center"/>
          </w:tcPr>
          <w:p w14:paraId="65B6414A" w14:textId="278199D3" w:rsidR="005C6C0C" w:rsidRPr="005C6C0C" w:rsidRDefault="005C6C0C" w:rsidP="005C6C0C">
            <w:pPr>
              <w:jc w:val="center"/>
              <w:rPr>
                <w:b/>
                <w:bCs/>
                <w:lang w:bidi="ar-MA"/>
              </w:rPr>
            </w:pPr>
            <w:r w:rsidRPr="005C6C0C">
              <w:rPr>
                <w:b/>
                <w:bCs/>
                <w:lang w:bidi="ar-MA"/>
              </w:rPr>
              <w:t>Population</w:t>
            </w:r>
          </w:p>
        </w:tc>
        <w:tc>
          <w:tcPr>
            <w:tcW w:w="1524" w:type="dxa"/>
            <w:vAlign w:val="center"/>
          </w:tcPr>
          <w:p w14:paraId="1BF390A6" w14:textId="53CFFA00" w:rsidR="005C6C0C" w:rsidRDefault="005C6C0C" w:rsidP="005C6C0C">
            <w:pPr>
              <w:jc w:val="center"/>
              <w:rPr>
                <w:rtl/>
                <w:lang w:val="en-US" w:bidi="ar-MA"/>
              </w:rPr>
            </w:pPr>
            <w:r>
              <w:rPr>
                <w:rFonts w:hint="cs"/>
                <w:rtl/>
                <w:lang w:val="en-US" w:bidi="ar-MA"/>
              </w:rPr>
              <w:t>1000</w:t>
            </w:r>
          </w:p>
        </w:tc>
        <w:tc>
          <w:tcPr>
            <w:tcW w:w="1524" w:type="dxa"/>
            <w:vAlign w:val="center"/>
          </w:tcPr>
          <w:p w14:paraId="6A00DED5" w14:textId="67EB9090" w:rsidR="005C6C0C" w:rsidRDefault="005C6C0C" w:rsidP="005C6C0C">
            <w:pPr>
              <w:jc w:val="center"/>
              <w:rPr>
                <w:lang w:val="en-US" w:bidi="ar-MA"/>
              </w:rPr>
            </w:pPr>
            <w:r>
              <w:rPr>
                <w:rFonts w:hint="cs"/>
                <w:rtl/>
                <w:lang w:val="en-US" w:bidi="ar-MA"/>
              </w:rPr>
              <w:t>3600</w:t>
            </w:r>
          </w:p>
        </w:tc>
        <w:tc>
          <w:tcPr>
            <w:tcW w:w="1524" w:type="dxa"/>
            <w:vAlign w:val="center"/>
          </w:tcPr>
          <w:p w14:paraId="3E7189DD" w14:textId="290631BE" w:rsidR="005C6C0C" w:rsidRDefault="005C6C0C" w:rsidP="005C6C0C">
            <w:pPr>
              <w:jc w:val="center"/>
              <w:rPr>
                <w:lang w:val="en-US" w:bidi="ar-MA"/>
              </w:rPr>
            </w:pPr>
            <w:r w:rsidRPr="005C6C0C">
              <w:rPr>
                <w:lang w:val="en-US" w:bidi="ar-MA"/>
              </w:rPr>
              <w:t>4829</w:t>
            </w:r>
          </w:p>
        </w:tc>
        <w:tc>
          <w:tcPr>
            <w:tcW w:w="1526" w:type="dxa"/>
            <w:vAlign w:val="center"/>
          </w:tcPr>
          <w:p w14:paraId="24C2C020" w14:textId="24578C07" w:rsidR="005C6C0C" w:rsidRDefault="005C6C0C" w:rsidP="005C6C0C">
            <w:pPr>
              <w:jc w:val="center"/>
              <w:rPr>
                <w:lang w:val="en-US" w:bidi="ar-MA"/>
              </w:rPr>
            </w:pPr>
            <w:r w:rsidRPr="005C6C0C">
              <w:rPr>
                <w:lang w:val="en-US" w:bidi="ar-MA"/>
              </w:rPr>
              <w:t>10576</w:t>
            </w:r>
          </w:p>
        </w:tc>
        <w:tc>
          <w:tcPr>
            <w:tcW w:w="1526" w:type="dxa"/>
            <w:vAlign w:val="center"/>
          </w:tcPr>
          <w:p w14:paraId="5E51411F" w14:textId="2F692010" w:rsidR="005C6C0C" w:rsidRDefault="005C6C0C" w:rsidP="005C6C0C">
            <w:pPr>
              <w:jc w:val="center"/>
              <w:rPr>
                <w:lang w:val="en-US" w:bidi="ar-MA"/>
              </w:rPr>
            </w:pPr>
            <w:r w:rsidRPr="005C6C0C">
              <w:rPr>
                <w:lang w:val="en-US" w:bidi="ar-MA"/>
              </w:rPr>
              <w:t>12464</w:t>
            </w:r>
          </w:p>
        </w:tc>
      </w:tr>
    </w:tbl>
    <w:p w14:paraId="52CA542D" w14:textId="415ECE61" w:rsidR="005C6C0C" w:rsidRPr="00C612A0" w:rsidRDefault="005C6C0C" w:rsidP="008B2311">
      <w:pPr>
        <w:spacing w:after="0" w:line="360" w:lineRule="auto"/>
        <w:jc w:val="both"/>
        <w:rPr>
          <w:rFonts w:asciiTheme="majorBidi" w:hAnsiTheme="majorBidi" w:cstheme="majorBidi"/>
          <w:b/>
          <w:bCs/>
          <w:sz w:val="20"/>
          <w:szCs w:val="20"/>
          <w:lang w:bidi="ar-MA"/>
        </w:rPr>
      </w:pPr>
      <w:r w:rsidRPr="00C612A0">
        <w:rPr>
          <w:rFonts w:asciiTheme="majorBidi" w:hAnsiTheme="majorBidi" w:cstheme="majorBidi"/>
          <w:b/>
          <w:bCs/>
          <w:sz w:val="20"/>
          <w:szCs w:val="20"/>
          <w:lang w:bidi="ar-MA"/>
        </w:rPr>
        <w:t>Source</w:t>
      </w:r>
      <w:r w:rsidRPr="00C612A0">
        <w:rPr>
          <w:rFonts w:asciiTheme="majorBidi" w:hAnsiTheme="majorBidi" w:cstheme="majorBidi"/>
          <w:b/>
          <w:bCs/>
          <w:sz w:val="20"/>
          <w:szCs w:val="20"/>
          <w:rtl/>
          <w:lang w:bidi="ar-MA"/>
        </w:rPr>
        <w:t>:</w:t>
      </w:r>
      <w:r w:rsidR="00E0450C" w:rsidRPr="00C612A0">
        <w:rPr>
          <w:rFonts w:asciiTheme="majorBidi" w:hAnsiTheme="majorBidi" w:cstheme="majorBidi"/>
          <w:b/>
          <w:bCs/>
          <w:sz w:val="20"/>
          <w:szCs w:val="20"/>
          <w:lang w:bidi="ar-MA"/>
        </w:rPr>
        <w:t xml:space="preserve"> </w:t>
      </w:r>
      <w:bookmarkStart w:id="5" w:name="_Hlk189252833"/>
      <w:r w:rsidR="002E2950" w:rsidRPr="00C612A0">
        <w:rPr>
          <w:rFonts w:asciiTheme="majorBidi" w:hAnsiTheme="majorBidi" w:cstheme="majorBidi"/>
          <w:b/>
          <w:bCs/>
          <w:sz w:val="20"/>
          <w:szCs w:val="20"/>
          <w:lang w:bidi="ar-MA"/>
        </w:rPr>
        <w:t>Alta Comisaría de España 1949</w:t>
      </w:r>
      <w:r w:rsidR="00E0450C" w:rsidRPr="00C612A0">
        <w:rPr>
          <w:rFonts w:asciiTheme="majorBidi" w:hAnsiTheme="majorBidi" w:cstheme="majorBidi"/>
          <w:b/>
          <w:bCs/>
          <w:sz w:val="20"/>
          <w:szCs w:val="20"/>
          <w:lang w:bidi="ar-MA"/>
        </w:rPr>
        <w:t xml:space="preserve">, </w:t>
      </w:r>
      <w:r w:rsidR="002E2950" w:rsidRPr="00C612A0">
        <w:rPr>
          <w:rFonts w:asciiTheme="majorBidi" w:hAnsiTheme="majorBidi" w:cstheme="majorBidi"/>
          <w:b/>
          <w:bCs/>
          <w:sz w:val="20"/>
          <w:szCs w:val="20"/>
          <w:lang w:bidi="ar-MA"/>
        </w:rPr>
        <w:t>Acción de España en Marruecos, la obra material</w:t>
      </w:r>
      <w:r w:rsidR="00E0450C" w:rsidRPr="00C612A0">
        <w:rPr>
          <w:rFonts w:asciiTheme="majorBidi" w:hAnsiTheme="majorBidi" w:cstheme="majorBidi"/>
          <w:b/>
          <w:bCs/>
          <w:sz w:val="20"/>
          <w:szCs w:val="20"/>
          <w:lang w:bidi="ar-MA"/>
        </w:rPr>
        <w:t>, Tetuan</w:t>
      </w:r>
      <w:r w:rsidR="001C7B87" w:rsidRPr="00C612A0">
        <w:rPr>
          <w:rFonts w:asciiTheme="majorBidi" w:hAnsiTheme="majorBidi" w:cstheme="majorBidi"/>
          <w:b/>
          <w:bCs/>
          <w:sz w:val="20"/>
          <w:szCs w:val="20"/>
          <w:lang w:bidi="ar-MA"/>
        </w:rPr>
        <w:t>.</w:t>
      </w:r>
      <w:bookmarkEnd w:id="5"/>
    </w:p>
    <w:p w14:paraId="1D06B735" w14:textId="01380495" w:rsidR="002E2950" w:rsidRPr="00C612A0" w:rsidRDefault="003F32C1" w:rsidP="00B54DF8">
      <w:pPr>
        <w:jc w:val="both"/>
        <w:rPr>
          <w:rFonts w:asciiTheme="majorBidi" w:hAnsiTheme="majorBidi" w:cstheme="majorBidi"/>
          <w:sz w:val="24"/>
          <w:szCs w:val="24"/>
          <w:lang w:val="en-US" w:bidi="ar-MA"/>
        </w:rPr>
      </w:pPr>
      <w:r w:rsidRPr="00C612A0">
        <w:rPr>
          <w:rFonts w:asciiTheme="majorBidi" w:hAnsiTheme="majorBidi" w:cstheme="majorBidi"/>
          <w:sz w:val="24"/>
          <w:szCs w:val="24"/>
          <w:lang w:val="en-US" w:bidi="ar-MA"/>
        </w:rPr>
        <w:t xml:space="preserve">It is noted </w:t>
      </w:r>
      <w:bookmarkStart w:id="6" w:name="_Hlk198022522"/>
      <w:r w:rsidR="009B3317" w:rsidRPr="009B3317">
        <w:rPr>
          <w:rFonts w:asciiTheme="majorBidi" w:hAnsiTheme="majorBidi" w:cstheme="majorBidi"/>
          <w:sz w:val="24"/>
          <w:szCs w:val="24"/>
          <w:lang w:val="en-US" w:bidi="ar-MA"/>
        </w:rPr>
        <w:t xml:space="preserve">(Table 1) </w:t>
      </w:r>
      <w:bookmarkEnd w:id="6"/>
      <w:r w:rsidRPr="00C612A0">
        <w:rPr>
          <w:rFonts w:asciiTheme="majorBidi" w:hAnsiTheme="majorBidi" w:cstheme="majorBidi"/>
          <w:sz w:val="24"/>
          <w:szCs w:val="24"/>
          <w:lang w:val="en-US" w:bidi="ar-MA"/>
        </w:rPr>
        <w:t>above that the city has witnessed significant demographic growth since its establishment, as the population increased from 1,000 in 1925 to more than 12,000 in 1956.</w:t>
      </w:r>
      <w:r w:rsidR="00E464B2" w:rsidRPr="00C612A0">
        <w:rPr>
          <w:rFonts w:asciiTheme="majorBidi" w:hAnsiTheme="majorBidi" w:cstheme="majorBidi"/>
          <w:sz w:val="24"/>
          <w:szCs w:val="24"/>
          <w:lang w:val="en-US" w:bidi="ar-MA"/>
        </w:rPr>
        <w:t xml:space="preserve"> (RAMÓN, 2019).</w:t>
      </w:r>
    </w:p>
    <w:p w14:paraId="50F108B1" w14:textId="28458A8A" w:rsidR="00BE2DC6" w:rsidRPr="00C612A0" w:rsidRDefault="009F77D5" w:rsidP="00B54DF8">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As for the distribution of the population within the city, it was marked from the beginning by discrimination, as it included Spanish population groups that settled in the city center, while Moroccans settled in the marginal neighborhoods.</w:t>
      </w:r>
    </w:p>
    <w:p w14:paraId="3DCD5094" w14:textId="23D5CE41" w:rsidR="00F72F36" w:rsidRPr="00C612A0" w:rsidRDefault="002B512C" w:rsidP="00FF57D1">
      <w:pPr>
        <w:jc w:val="both"/>
        <w:rPr>
          <w:rFonts w:asciiTheme="majorBidi" w:hAnsiTheme="majorBidi" w:cstheme="majorBidi"/>
          <w:sz w:val="24"/>
          <w:szCs w:val="24"/>
          <w:rtl/>
          <w:lang w:val="en-US" w:bidi="ar-MA"/>
        </w:rPr>
      </w:pPr>
      <w:r w:rsidRPr="00C612A0">
        <w:rPr>
          <w:rFonts w:asciiTheme="majorBidi" w:hAnsiTheme="majorBidi" w:cstheme="majorBidi"/>
          <w:sz w:val="24"/>
          <w:szCs w:val="24"/>
          <w:lang w:val="en-US" w:bidi="ar-MA"/>
        </w:rPr>
        <w:t>In addition to the construction of the city of Al Hoceima, the city of Targuist was created in early 1926 as a military administrative center by the Spanish colonial forces to urbanize the region</w:t>
      </w:r>
      <w:r w:rsidR="00F72F36" w:rsidRPr="00C612A0">
        <w:rPr>
          <w:rFonts w:asciiTheme="majorBidi" w:hAnsiTheme="majorBidi" w:cstheme="majorBidi"/>
          <w:sz w:val="24"/>
          <w:szCs w:val="24"/>
          <w:lang w:val="en-US" w:bidi="ar-MA"/>
        </w:rPr>
        <w:t xml:space="preserve"> (</w:t>
      </w:r>
      <w:r w:rsidR="007B1754" w:rsidRPr="00C612A0">
        <w:rPr>
          <w:rFonts w:asciiTheme="majorBidi" w:hAnsiTheme="majorBidi" w:cstheme="majorBidi"/>
          <w:sz w:val="24"/>
          <w:szCs w:val="24"/>
          <w:lang w:val="en-US" w:bidi="ar-MA"/>
        </w:rPr>
        <w:t>Antonio, 2013</w:t>
      </w:r>
      <w:r w:rsidR="00F72F36" w:rsidRPr="00C612A0">
        <w:rPr>
          <w:rFonts w:asciiTheme="majorBidi" w:hAnsiTheme="majorBidi" w:cstheme="majorBidi"/>
          <w:sz w:val="24"/>
          <w:szCs w:val="24"/>
          <w:lang w:val="en-US" w:bidi="ar-MA"/>
        </w:rPr>
        <w:t>)</w:t>
      </w:r>
      <w:r w:rsidRPr="00C612A0">
        <w:rPr>
          <w:rFonts w:asciiTheme="majorBidi" w:hAnsiTheme="majorBidi" w:cstheme="majorBidi"/>
          <w:sz w:val="24"/>
          <w:szCs w:val="24"/>
          <w:lang w:val="en-US" w:bidi="ar-MA"/>
        </w:rPr>
        <w:t>.</w:t>
      </w:r>
      <w:r w:rsidR="00D97D53" w:rsidRPr="00C612A0">
        <w:rPr>
          <w:rFonts w:asciiTheme="majorBidi" w:hAnsiTheme="majorBidi" w:cstheme="majorBidi"/>
          <w:sz w:val="24"/>
          <w:szCs w:val="24"/>
          <w:lang w:val="en-US"/>
        </w:rPr>
        <w:t xml:space="preserve"> </w:t>
      </w:r>
      <w:r w:rsidR="00D97D53" w:rsidRPr="00C612A0">
        <w:rPr>
          <w:rFonts w:asciiTheme="majorBidi" w:hAnsiTheme="majorBidi" w:cstheme="majorBidi"/>
          <w:sz w:val="24"/>
          <w:szCs w:val="24"/>
          <w:lang w:val="en-US" w:bidi="ar-MA"/>
        </w:rPr>
        <w:t>The region also witnessed the construction of two urban centers, Imzouren and Bni Bouayach.</w:t>
      </w:r>
    </w:p>
    <w:p w14:paraId="0FE696FF" w14:textId="18BF8165" w:rsidR="009F77D5" w:rsidRPr="00C612A0" w:rsidRDefault="00173C99" w:rsidP="00B54DF8">
      <w:pPr>
        <w:jc w:val="both"/>
        <w:rPr>
          <w:rFonts w:asciiTheme="majorBidi" w:hAnsiTheme="majorBidi" w:cstheme="majorBidi"/>
          <w:b/>
          <w:bCs/>
          <w:sz w:val="24"/>
          <w:szCs w:val="24"/>
          <w:rtl/>
          <w:lang w:val="en-US" w:bidi="ar-MA"/>
        </w:rPr>
      </w:pPr>
      <w:r w:rsidRPr="00C612A0">
        <w:rPr>
          <w:rFonts w:asciiTheme="majorBidi" w:hAnsiTheme="majorBidi" w:cstheme="majorBidi"/>
          <w:b/>
          <w:bCs/>
          <w:sz w:val="24"/>
          <w:szCs w:val="24"/>
          <w:lang w:val="en-US" w:bidi="ar-MA"/>
        </w:rPr>
        <w:t>1.2 Independence period: characterized by different demographic periods</w:t>
      </w:r>
    </w:p>
    <w:p w14:paraId="67A3545E" w14:textId="7D6CC697" w:rsidR="00C612A0" w:rsidRDefault="00067961" w:rsidP="001950F0">
      <w:pPr>
        <w:jc w:val="both"/>
        <w:rPr>
          <w:rFonts w:asciiTheme="majorBidi" w:hAnsiTheme="majorBidi" w:cstheme="majorBidi"/>
          <w:sz w:val="24"/>
          <w:szCs w:val="24"/>
          <w:lang w:val="en-US" w:bidi="ar-MA"/>
        </w:rPr>
      </w:pPr>
      <w:r w:rsidRPr="00C612A0">
        <w:rPr>
          <w:rFonts w:asciiTheme="majorBidi" w:hAnsiTheme="majorBidi" w:cstheme="majorBidi"/>
          <w:sz w:val="24"/>
          <w:szCs w:val="24"/>
          <w:lang w:val="en-US" w:bidi="ar-MA"/>
        </w:rPr>
        <w:t xml:space="preserve">It is true to say that the emergence of independence did not radically change the general urban system of urbanization. The central </w:t>
      </w:r>
      <w:r w:rsidR="00D915AC" w:rsidRPr="00C612A0">
        <w:rPr>
          <w:rFonts w:asciiTheme="majorBidi" w:hAnsiTheme="majorBidi" w:cstheme="majorBidi"/>
          <w:sz w:val="24"/>
          <w:szCs w:val="24"/>
          <w:lang w:val="en-US" w:bidi="ar-MA"/>
        </w:rPr>
        <w:t>Rif</w:t>
      </w:r>
      <w:r w:rsidRPr="00C612A0">
        <w:rPr>
          <w:rFonts w:asciiTheme="majorBidi" w:hAnsiTheme="majorBidi" w:cstheme="majorBidi"/>
          <w:sz w:val="24"/>
          <w:szCs w:val="24"/>
          <w:lang w:val="en-US" w:bidi="ar-MA"/>
        </w:rPr>
        <w:t xml:space="preserve"> in general remained, like other marginalized areas, on the margins of the urbanization movement that developed in Morocco.</w:t>
      </w:r>
    </w:p>
    <w:p w14:paraId="510B9966" w14:textId="4508B259" w:rsidR="001950F0" w:rsidRDefault="001950F0" w:rsidP="001950F0">
      <w:pPr>
        <w:jc w:val="both"/>
        <w:rPr>
          <w:rFonts w:asciiTheme="majorBidi" w:hAnsiTheme="majorBidi" w:cstheme="majorBidi"/>
          <w:sz w:val="24"/>
          <w:szCs w:val="24"/>
          <w:lang w:val="en-US" w:bidi="ar-MA"/>
        </w:rPr>
      </w:pPr>
    </w:p>
    <w:p w14:paraId="79AEE76E" w14:textId="45F164C4" w:rsidR="001950F0" w:rsidRDefault="001950F0" w:rsidP="001950F0">
      <w:pPr>
        <w:jc w:val="both"/>
        <w:rPr>
          <w:rFonts w:asciiTheme="majorBidi" w:hAnsiTheme="majorBidi" w:cstheme="majorBidi"/>
          <w:sz w:val="24"/>
          <w:szCs w:val="24"/>
          <w:lang w:val="en-US" w:bidi="ar-MA"/>
        </w:rPr>
      </w:pPr>
    </w:p>
    <w:p w14:paraId="58B38C24" w14:textId="7B143237" w:rsidR="001950F0" w:rsidRDefault="001950F0" w:rsidP="001950F0">
      <w:pPr>
        <w:jc w:val="both"/>
        <w:rPr>
          <w:rFonts w:asciiTheme="majorBidi" w:hAnsiTheme="majorBidi" w:cstheme="majorBidi"/>
          <w:sz w:val="24"/>
          <w:szCs w:val="24"/>
          <w:lang w:val="en-US" w:bidi="ar-MA"/>
        </w:rPr>
      </w:pPr>
    </w:p>
    <w:p w14:paraId="50D772D2" w14:textId="745CD274" w:rsidR="001950F0" w:rsidRDefault="001950F0" w:rsidP="001950F0">
      <w:pPr>
        <w:jc w:val="both"/>
        <w:rPr>
          <w:rFonts w:asciiTheme="majorBidi" w:hAnsiTheme="majorBidi" w:cstheme="majorBidi"/>
          <w:sz w:val="24"/>
          <w:szCs w:val="24"/>
          <w:lang w:val="en-US" w:bidi="ar-MA"/>
        </w:rPr>
      </w:pPr>
    </w:p>
    <w:p w14:paraId="2802A91F" w14:textId="091EE335" w:rsidR="001950F0" w:rsidRDefault="001950F0" w:rsidP="001950F0">
      <w:pPr>
        <w:jc w:val="both"/>
        <w:rPr>
          <w:rFonts w:asciiTheme="majorBidi" w:hAnsiTheme="majorBidi" w:cstheme="majorBidi"/>
          <w:sz w:val="24"/>
          <w:szCs w:val="24"/>
          <w:lang w:val="en-US" w:bidi="ar-MA"/>
        </w:rPr>
      </w:pPr>
    </w:p>
    <w:p w14:paraId="00FF0CAC" w14:textId="5395E099" w:rsidR="001950F0" w:rsidRDefault="001950F0" w:rsidP="001950F0">
      <w:pPr>
        <w:jc w:val="both"/>
        <w:rPr>
          <w:rFonts w:asciiTheme="majorBidi" w:hAnsiTheme="majorBidi" w:cstheme="majorBidi"/>
          <w:sz w:val="24"/>
          <w:szCs w:val="24"/>
          <w:lang w:val="en-US" w:bidi="ar-MA"/>
        </w:rPr>
      </w:pPr>
    </w:p>
    <w:p w14:paraId="37D63DAD" w14:textId="3108F0F6" w:rsidR="001950F0" w:rsidRDefault="001950F0" w:rsidP="001950F0">
      <w:pPr>
        <w:jc w:val="both"/>
        <w:rPr>
          <w:rFonts w:asciiTheme="majorBidi" w:hAnsiTheme="majorBidi" w:cstheme="majorBidi"/>
          <w:sz w:val="24"/>
          <w:szCs w:val="24"/>
          <w:lang w:val="en-US" w:bidi="ar-MA"/>
        </w:rPr>
      </w:pPr>
    </w:p>
    <w:p w14:paraId="3F10E269" w14:textId="7FBE1AA8" w:rsidR="001950F0" w:rsidRDefault="001950F0" w:rsidP="001950F0">
      <w:pPr>
        <w:jc w:val="both"/>
        <w:rPr>
          <w:rFonts w:asciiTheme="majorBidi" w:hAnsiTheme="majorBidi" w:cstheme="majorBidi"/>
          <w:sz w:val="24"/>
          <w:szCs w:val="24"/>
          <w:lang w:val="en-US" w:bidi="ar-MA"/>
        </w:rPr>
      </w:pPr>
    </w:p>
    <w:p w14:paraId="3B118C5A" w14:textId="2B423323" w:rsidR="001950F0" w:rsidRDefault="001950F0" w:rsidP="001950F0">
      <w:pPr>
        <w:jc w:val="both"/>
        <w:rPr>
          <w:rFonts w:asciiTheme="majorBidi" w:hAnsiTheme="majorBidi" w:cstheme="majorBidi"/>
          <w:sz w:val="24"/>
          <w:szCs w:val="24"/>
          <w:lang w:val="en-US" w:bidi="ar-MA"/>
        </w:rPr>
      </w:pPr>
    </w:p>
    <w:p w14:paraId="25B08269" w14:textId="7F87AE90" w:rsidR="001950F0" w:rsidRDefault="001950F0" w:rsidP="001950F0">
      <w:pPr>
        <w:jc w:val="both"/>
        <w:rPr>
          <w:rFonts w:asciiTheme="majorBidi" w:hAnsiTheme="majorBidi" w:cstheme="majorBidi"/>
          <w:sz w:val="24"/>
          <w:szCs w:val="24"/>
          <w:lang w:val="en-US" w:bidi="ar-MA"/>
        </w:rPr>
      </w:pPr>
    </w:p>
    <w:p w14:paraId="1340C1E7" w14:textId="365B6A80" w:rsidR="001950F0" w:rsidRDefault="001950F0" w:rsidP="001950F0">
      <w:pPr>
        <w:jc w:val="both"/>
        <w:rPr>
          <w:rFonts w:asciiTheme="majorBidi" w:hAnsiTheme="majorBidi" w:cstheme="majorBidi"/>
          <w:sz w:val="24"/>
          <w:szCs w:val="24"/>
          <w:lang w:val="en-US" w:bidi="ar-MA"/>
        </w:rPr>
      </w:pPr>
    </w:p>
    <w:p w14:paraId="6C117116" w14:textId="77777777" w:rsidR="001950F0" w:rsidRDefault="001950F0" w:rsidP="001950F0">
      <w:pPr>
        <w:jc w:val="both"/>
        <w:rPr>
          <w:rFonts w:asciiTheme="majorBidi" w:hAnsiTheme="majorBidi" w:cstheme="majorBidi"/>
          <w:sz w:val="24"/>
          <w:szCs w:val="24"/>
          <w:lang w:val="en-US" w:bidi="ar-MA"/>
        </w:rPr>
      </w:pPr>
    </w:p>
    <w:p w14:paraId="4CBCBD7C" w14:textId="77777777" w:rsidR="001950F0" w:rsidRPr="00C612A0" w:rsidRDefault="001950F0" w:rsidP="001950F0">
      <w:pPr>
        <w:jc w:val="both"/>
        <w:rPr>
          <w:rFonts w:asciiTheme="majorBidi" w:hAnsiTheme="majorBidi" w:cstheme="majorBidi"/>
          <w:sz w:val="24"/>
          <w:szCs w:val="24"/>
          <w:lang w:val="en-US" w:bidi="ar-MA"/>
        </w:rPr>
      </w:pPr>
    </w:p>
    <w:p w14:paraId="6488EF1B" w14:textId="5251A245" w:rsidR="007B1FD5" w:rsidRPr="00C612A0" w:rsidRDefault="007B1FD5" w:rsidP="00FF57D1">
      <w:pPr>
        <w:jc w:val="both"/>
        <w:rPr>
          <w:rFonts w:asciiTheme="majorBidi" w:hAnsiTheme="majorBidi" w:cstheme="majorBidi"/>
          <w:b/>
          <w:bCs/>
          <w:sz w:val="24"/>
          <w:szCs w:val="24"/>
          <w:rtl/>
          <w:lang w:val="en-US" w:bidi="ar-MA"/>
        </w:rPr>
      </w:pPr>
      <w:r w:rsidRPr="00C612A0">
        <w:rPr>
          <w:rFonts w:asciiTheme="majorBidi" w:hAnsiTheme="majorBidi" w:cstheme="majorBidi"/>
          <w:b/>
          <w:bCs/>
          <w:sz w:val="24"/>
          <w:szCs w:val="24"/>
          <w:lang w:val="en-US" w:bidi="ar-MA"/>
        </w:rPr>
        <w:lastRenderedPageBreak/>
        <w:t>Table 2.</w:t>
      </w:r>
      <w:r w:rsidRPr="00C612A0">
        <w:rPr>
          <w:rFonts w:asciiTheme="majorBidi" w:hAnsiTheme="majorBidi" w:cstheme="majorBidi"/>
          <w:b/>
          <w:bCs/>
          <w:sz w:val="24"/>
          <w:szCs w:val="24"/>
          <w:lang w:val="en-US"/>
        </w:rPr>
        <w:t xml:space="preserve"> </w:t>
      </w:r>
      <w:r w:rsidRPr="00C612A0">
        <w:rPr>
          <w:rFonts w:asciiTheme="majorBidi" w:hAnsiTheme="majorBidi" w:cstheme="majorBidi"/>
          <w:b/>
          <w:bCs/>
          <w:sz w:val="24"/>
          <w:szCs w:val="24"/>
          <w:lang w:val="en-US" w:bidi="ar-MA"/>
        </w:rPr>
        <w:t>Legal population by municipalities and urban centers in the in the province of Al Hoceima</w:t>
      </w:r>
    </w:p>
    <w:tbl>
      <w:tblPr>
        <w:tblW w:w="9062" w:type="dxa"/>
        <w:tblCellMar>
          <w:left w:w="70" w:type="dxa"/>
          <w:right w:w="70" w:type="dxa"/>
        </w:tblCellMar>
        <w:tblLook w:val="04A0" w:firstRow="1" w:lastRow="0" w:firstColumn="1" w:lastColumn="0" w:noHBand="0" w:noVBand="1"/>
      </w:tblPr>
      <w:tblGrid>
        <w:gridCol w:w="1975"/>
        <w:gridCol w:w="2268"/>
        <w:gridCol w:w="850"/>
        <w:gridCol w:w="851"/>
        <w:gridCol w:w="992"/>
        <w:gridCol w:w="992"/>
        <w:gridCol w:w="1134"/>
      </w:tblGrid>
      <w:tr w:rsidR="00BD76B4" w:rsidRPr="00F42420" w14:paraId="0367BFF1" w14:textId="77777777" w:rsidTr="006222B8">
        <w:trPr>
          <w:trHeight w:val="1115"/>
        </w:trPr>
        <w:tc>
          <w:tcPr>
            <w:tcW w:w="4243"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0F0A6A5C" w14:textId="66DCCD57" w:rsidR="00BD76B4" w:rsidRPr="00F42420" w:rsidRDefault="00BD76B4" w:rsidP="00E5269F">
            <w:pPr>
              <w:spacing w:after="0" w:line="240" w:lineRule="auto"/>
              <w:jc w:val="center"/>
              <w:rPr>
                <w:rFonts w:ascii="Sakkal Majalla" w:eastAsia="Times New Roman" w:hAnsi="Sakkal Majalla" w:cs="Sakkal Majalla"/>
                <w:b/>
                <w:bCs/>
                <w:color w:val="000000"/>
                <w:kern w:val="0"/>
                <w:lang w:eastAsia="fr-FR"/>
                <w14:ligatures w14:val="none"/>
              </w:rPr>
            </w:pPr>
            <w:r w:rsidRPr="00E5269F">
              <w:rPr>
                <w:rFonts w:ascii="Sakkal Majalla" w:eastAsia="Times New Roman" w:hAnsi="Sakkal Majalla" w:cs="Sakkal Majalla"/>
                <w:b/>
                <w:bCs/>
                <w:color w:val="000000"/>
                <w:kern w:val="0"/>
                <w:sz w:val="28"/>
                <w:szCs w:val="28"/>
                <w:lang w:eastAsia="fr-FR" w:bidi="ar-MA"/>
                <w14:ligatures w14:val="none"/>
              </w:rPr>
              <w:t xml:space="preserve">Municipality  </w:t>
            </w:r>
            <w:r w:rsidRPr="00E5269F">
              <w:rPr>
                <w:rFonts w:ascii="Sakkal Majalla" w:eastAsia="Times New Roman" w:hAnsi="Sakkal Majalla" w:cs="Sakkal Majalla" w:hint="cs"/>
                <w:b/>
                <w:bCs/>
                <w:color w:val="000000"/>
                <w:kern w:val="0"/>
                <w:sz w:val="28"/>
                <w:szCs w:val="28"/>
                <w:rtl/>
                <w:lang w:eastAsia="fr-FR" w:bidi="ar-MA"/>
                <w14:ligatures w14:val="none"/>
              </w:rPr>
              <w:t>/</w:t>
            </w:r>
            <w:r w:rsidRPr="00E5269F">
              <w:rPr>
                <w:sz w:val="28"/>
                <w:szCs w:val="28"/>
              </w:rPr>
              <w:t xml:space="preserve"> </w:t>
            </w:r>
            <w:r w:rsidRPr="00E5269F">
              <w:rPr>
                <w:rFonts w:ascii="Sakkal Majalla" w:eastAsia="Times New Roman" w:hAnsi="Sakkal Majalla" w:cs="Sakkal Majalla"/>
                <w:b/>
                <w:bCs/>
                <w:color w:val="000000"/>
                <w:kern w:val="0"/>
                <w:sz w:val="28"/>
                <w:szCs w:val="28"/>
                <w:lang w:eastAsia="fr-FR" w:bidi="ar-MA"/>
                <w14:ligatures w14:val="none"/>
              </w:rPr>
              <w:t>Circle</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D9EF8D5"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1994</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6BCB9B3"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2004</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12CFC51"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2014</w:t>
            </w:r>
          </w:p>
        </w:tc>
        <w:tc>
          <w:tcPr>
            <w:tcW w:w="99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5D885AA"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2024</w:t>
            </w:r>
          </w:p>
        </w:tc>
        <w:tc>
          <w:tcPr>
            <w:tcW w:w="1134" w:type="dxa"/>
            <w:tcBorders>
              <w:top w:val="single" w:sz="8" w:space="0" w:color="auto"/>
              <w:left w:val="nil"/>
              <w:bottom w:val="single" w:sz="4" w:space="0" w:color="auto"/>
              <w:right w:val="single" w:sz="4" w:space="0" w:color="auto"/>
            </w:tcBorders>
            <w:shd w:val="clear" w:color="auto" w:fill="auto"/>
            <w:vAlign w:val="center"/>
          </w:tcPr>
          <w:p w14:paraId="0E8CCD96" w14:textId="4D43A161" w:rsidR="00BD76B4" w:rsidRPr="00F42420" w:rsidRDefault="00BD76B4" w:rsidP="00BD76B4">
            <w:pPr>
              <w:spacing w:after="0" w:line="240" w:lineRule="auto"/>
              <w:jc w:val="center"/>
              <w:rPr>
                <w:rFonts w:ascii="Sakkal Majalla" w:eastAsia="Times New Roman" w:hAnsi="Sakkal Majalla" w:cs="Sakkal Majalla"/>
                <w:b/>
                <w:bCs/>
                <w:color w:val="000000"/>
                <w:kern w:val="0"/>
                <w:rtl/>
                <w:lang w:eastAsia="fr-FR"/>
                <w14:ligatures w14:val="none"/>
              </w:rPr>
            </w:pPr>
            <w:r w:rsidRPr="00BD76B4">
              <w:rPr>
                <w:rFonts w:ascii="Sakkal Majalla" w:eastAsia="Times New Roman" w:hAnsi="Sakkal Majalla" w:cs="Sakkal Majalla"/>
                <w:b/>
                <w:bCs/>
                <w:color w:val="000000"/>
                <w:kern w:val="0"/>
                <w:lang w:eastAsia="fr-FR"/>
                <w14:ligatures w14:val="none"/>
              </w:rPr>
              <w:t xml:space="preserve">Annual growth rate % </w:t>
            </w:r>
            <w:r w:rsidR="006222B8">
              <w:rPr>
                <w:rFonts w:ascii="Sakkal Majalla" w:eastAsia="Times New Roman" w:hAnsi="Sakkal Majalla" w:cs="Sakkal Majalla"/>
                <w:b/>
                <w:bCs/>
                <w:color w:val="000000"/>
                <w:kern w:val="0"/>
                <w:lang w:eastAsia="fr-FR"/>
                <w14:ligatures w14:val="none"/>
              </w:rPr>
              <w:t>2014</w:t>
            </w:r>
            <w:r w:rsidRPr="00BD76B4">
              <w:rPr>
                <w:rFonts w:ascii="Sakkal Majalla" w:eastAsia="Times New Roman" w:hAnsi="Sakkal Majalla" w:cs="Sakkal Majalla"/>
                <w:b/>
                <w:bCs/>
                <w:color w:val="000000"/>
                <w:kern w:val="0"/>
                <w:lang w:eastAsia="fr-FR"/>
                <w14:ligatures w14:val="none"/>
              </w:rPr>
              <w:t>-2024</w:t>
            </w:r>
          </w:p>
        </w:tc>
      </w:tr>
      <w:tr w:rsidR="00BD76B4" w:rsidRPr="00F42420" w14:paraId="773FF92D" w14:textId="77777777" w:rsidTr="00DA2DC0">
        <w:trPr>
          <w:trHeight w:val="375"/>
        </w:trPr>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14:paraId="2C58DDEE" w14:textId="6F3BFA2E"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Municipality</w:t>
            </w:r>
          </w:p>
        </w:tc>
        <w:tc>
          <w:tcPr>
            <w:tcW w:w="2268" w:type="dxa"/>
            <w:tcBorders>
              <w:top w:val="nil"/>
              <w:left w:val="nil"/>
              <w:bottom w:val="single" w:sz="8" w:space="0" w:color="auto"/>
              <w:right w:val="nil"/>
            </w:tcBorders>
            <w:shd w:val="clear" w:color="auto" w:fill="auto"/>
            <w:vAlign w:val="center"/>
            <w:hideMark/>
          </w:tcPr>
          <w:p w14:paraId="6846C19C" w14:textId="0DC572BF"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Al Hoceima</w:t>
            </w:r>
            <w:r>
              <w:rPr>
                <w:rFonts w:ascii="Sakkal Majalla" w:eastAsia="Times New Roman" w:hAnsi="Sakkal Majalla" w:cs="Sakkal Majalla"/>
                <w:b/>
                <w:bCs/>
                <w:color w:val="000000"/>
                <w:kern w:val="0"/>
                <w:lang w:eastAsia="fr-FR"/>
                <w14:ligatures w14:val="none"/>
              </w:rPr>
              <w:t xml:space="preserve"> (Mun)</w:t>
            </w:r>
          </w:p>
        </w:tc>
        <w:tc>
          <w:tcPr>
            <w:tcW w:w="850" w:type="dxa"/>
            <w:tcBorders>
              <w:top w:val="nil"/>
              <w:left w:val="single" w:sz="8" w:space="0" w:color="auto"/>
              <w:bottom w:val="single" w:sz="8" w:space="0" w:color="auto"/>
              <w:right w:val="nil"/>
            </w:tcBorders>
            <w:shd w:val="clear" w:color="auto" w:fill="auto"/>
            <w:vAlign w:val="center"/>
            <w:hideMark/>
          </w:tcPr>
          <w:p w14:paraId="7D7E68D1"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55216</w:t>
            </w:r>
          </w:p>
        </w:tc>
        <w:tc>
          <w:tcPr>
            <w:tcW w:w="851" w:type="dxa"/>
            <w:tcBorders>
              <w:top w:val="nil"/>
              <w:left w:val="single" w:sz="8" w:space="0" w:color="auto"/>
              <w:bottom w:val="single" w:sz="8" w:space="0" w:color="auto"/>
              <w:right w:val="nil"/>
            </w:tcBorders>
            <w:shd w:val="clear" w:color="auto" w:fill="auto"/>
            <w:vAlign w:val="center"/>
            <w:hideMark/>
          </w:tcPr>
          <w:p w14:paraId="7588106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55357</w:t>
            </w:r>
          </w:p>
        </w:tc>
        <w:tc>
          <w:tcPr>
            <w:tcW w:w="992" w:type="dxa"/>
            <w:tcBorders>
              <w:top w:val="nil"/>
              <w:left w:val="single" w:sz="8" w:space="0" w:color="auto"/>
              <w:bottom w:val="single" w:sz="8" w:space="0" w:color="auto"/>
              <w:right w:val="nil"/>
            </w:tcBorders>
            <w:shd w:val="clear" w:color="auto" w:fill="auto"/>
            <w:vAlign w:val="center"/>
            <w:hideMark/>
          </w:tcPr>
          <w:p w14:paraId="7FE9868B"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56716</w:t>
            </w:r>
          </w:p>
        </w:tc>
        <w:tc>
          <w:tcPr>
            <w:tcW w:w="992" w:type="dxa"/>
            <w:tcBorders>
              <w:top w:val="nil"/>
              <w:left w:val="single" w:sz="8" w:space="0" w:color="auto"/>
              <w:bottom w:val="single" w:sz="8" w:space="0" w:color="auto"/>
              <w:right w:val="nil"/>
            </w:tcBorders>
            <w:shd w:val="clear" w:color="000000" w:fill="FFFFFF"/>
            <w:vAlign w:val="center"/>
            <w:hideMark/>
          </w:tcPr>
          <w:p w14:paraId="3CDB87F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50225</w:t>
            </w:r>
          </w:p>
        </w:tc>
        <w:tc>
          <w:tcPr>
            <w:tcW w:w="1134" w:type="dxa"/>
            <w:tcBorders>
              <w:top w:val="nil"/>
              <w:left w:val="single" w:sz="8" w:space="0" w:color="auto"/>
              <w:bottom w:val="single" w:sz="8" w:space="0" w:color="auto"/>
              <w:right w:val="single" w:sz="4" w:space="0" w:color="auto"/>
            </w:tcBorders>
            <w:shd w:val="clear" w:color="auto" w:fill="ED7D31" w:themeFill="accent2"/>
            <w:vAlign w:val="center"/>
            <w:hideMark/>
          </w:tcPr>
          <w:p w14:paraId="4CFB15B9" w14:textId="7D70F9CD" w:rsidR="00BD76B4" w:rsidRPr="00F42420" w:rsidRDefault="006222B8"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w:t>
            </w:r>
            <w:r w:rsidR="00DC27CA">
              <w:rPr>
                <w:rFonts w:ascii="Sakkal Majalla" w:eastAsia="Times New Roman" w:hAnsi="Sakkal Majalla" w:cs="Sakkal Majalla"/>
                <w:b/>
                <w:bCs/>
                <w:color w:val="000000"/>
                <w:kern w:val="0"/>
                <w:lang w:eastAsia="fr-FR"/>
                <w14:ligatures w14:val="none"/>
              </w:rPr>
              <w:t>1,21</w:t>
            </w:r>
          </w:p>
        </w:tc>
      </w:tr>
      <w:tr w:rsidR="00BD76B4" w:rsidRPr="00F42420" w14:paraId="39A64E7E" w14:textId="77777777" w:rsidTr="00DA2DC0">
        <w:trPr>
          <w:trHeight w:val="735"/>
        </w:trPr>
        <w:tc>
          <w:tcPr>
            <w:tcW w:w="1975" w:type="dxa"/>
            <w:vMerge/>
            <w:tcBorders>
              <w:top w:val="nil"/>
              <w:left w:val="single" w:sz="8" w:space="0" w:color="auto"/>
              <w:bottom w:val="single" w:sz="8" w:space="0" w:color="000000"/>
              <w:right w:val="single" w:sz="8" w:space="0" w:color="auto"/>
            </w:tcBorders>
            <w:vAlign w:val="center"/>
            <w:hideMark/>
          </w:tcPr>
          <w:p w14:paraId="6C473BDD"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03D08BB1" w14:textId="0636A4D4"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 xml:space="preserve"> </w:t>
            </w:r>
            <w:r w:rsidRPr="00EA66EF">
              <w:rPr>
                <w:rFonts w:ascii="Sakkal Majalla" w:eastAsia="Times New Roman" w:hAnsi="Sakkal Majalla" w:cs="Sakkal Majalla"/>
                <w:b/>
                <w:bCs/>
                <w:color w:val="000000"/>
                <w:kern w:val="0"/>
                <w:lang w:eastAsia="fr-FR"/>
                <w14:ligatures w14:val="none"/>
              </w:rPr>
              <w:t>Bni Bouayach</w:t>
            </w:r>
            <w:r>
              <w:rPr>
                <w:rFonts w:ascii="Sakkal Majalla" w:eastAsia="Times New Roman" w:hAnsi="Sakkal Majalla" w:cs="Sakkal Majalla"/>
                <w:b/>
                <w:bCs/>
                <w:color w:val="000000"/>
                <w:kern w:val="0"/>
                <w:lang w:eastAsia="fr-FR"/>
                <w14:ligatures w14:val="none"/>
              </w:rPr>
              <w:t xml:space="preserve"> </w:t>
            </w:r>
            <w:r w:rsidRPr="00EA66EF">
              <w:rPr>
                <w:rFonts w:ascii="Sakkal Majalla" w:eastAsia="Times New Roman" w:hAnsi="Sakkal Majalla" w:cs="Sakkal Majalla"/>
                <w:b/>
                <w:bCs/>
                <w:color w:val="000000"/>
                <w:kern w:val="0"/>
                <w:lang w:eastAsia="fr-FR"/>
                <w14:ligatures w14:val="none"/>
              </w:rPr>
              <w:t>(Mun)</w:t>
            </w:r>
          </w:p>
        </w:tc>
        <w:tc>
          <w:tcPr>
            <w:tcW w:w="850" w:type="dxa"/>
            <w:tcBorders>
              <w:top w:val="nil"/>
              <w:left w:val="single" w:sz="8" w:space="0" w:color="auto"/>
              <w:bottom w:val="single" w:sz="8" w:space="0" w:color="auto"/>
              <w:right w:val="nil"/>
            </w:tcBorders>
            <w:shd w:val="clear" w:color="auto" w:fill="auto"/>
            <w:vAlign w:val="center"/>
            <w:hideMark/>
          </w:tcPr>
          <w:p w14:paraId="728BC94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13128</w:t>
            </w:r>
          </w:p>
        </w:tc>
        <w:tc>
          <w:tcPr>
            <w:tcW w:w="851" w:type="dxa"/>
            <w:tcBorders>
              <w:top w:val="nil"/>
              <w:left w:val="single" w:sz="8" w:space="0" w:color="auto"/>
              <w:bottom w:val="single" w:sz="8" w:space="0" w:color="auto"/>
              <w:right w:val="nil"/>
            </w:tcBorders>
            <w:shd w:val="clear" w:color="auto" w:fill="auto"/>
            <w:vAlign w:val="center"/>
            <w:hideMark/>
          </w:tcPr>
          <w:p w14:paraId="77B4DF83"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15497</w:t>
            </w:r>
          </w:p>
        </w:tc>
        <w:tc>
          <w:tcPr>
            <w:tcW w:w="992" w:type="dxa"/>
            <w:tcBorders>
              <w:top w:val="nil"/>
              <w:left w:val="single" w:sz="8" w:space="0" w:color="auto"/>
              <w:bottom w:val="single" w:sz="8" w:space="0" w:color="auto"/>
              <w:right w:val="nil"/>
            </w:tcBorders>
            <w:shd w:val="clear" w:color="auto" w:fill="auto"/>
            <w:vAlign w:val="center"/>
            <w:hideMark/>
          </w:tcPr>
          <w:p w14:paraId="70EF8C37"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18271</w:t>
            </w:r>
          </w:p>
        </w:tc>
        <w:tc>
          <w:tcPr>
            <w:tcW w:w="992" w:type="dxa"/>
            <w:tcBorders>
              <w:top w:val="nil"/>
              <w:left w:val="single" w:sz="8" w:space="0" w:color="auto"/>
              <w:bottom w:val="single" w:sz="8" w:space="0" w:color="auto"/>
              <w:right w:val="nil"/>
            </w:tcBorders>
            <w:shd w:val="clear" w:color="000000" w:fill="FFFFFF"/>
            <w:vAlign w:val="center"/>
            <w:hideMark/>
          </w:tcPr>
          <w:p w14:paraId="30E2FBEA"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20013</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0EE70312" w14:textId="60088484" w:rsidR="00BD76B4" w:rsidRPr="00F42420" w:rsidRDefault="00DA2DC0"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0,91</w:t>
            </w:r>
          </w:p>
        </w:tc>
      </w:tr>
      <w:tr w:rsidR="00BD76B4" w:rsidRPr="00F42420" w14:paraId="723AF427"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3C1E0733"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6706F7AE" w14:textId="51E6E440"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bookmarkStart w:id="7" w:name="_Hlk188998420"/>
            <w:r w:rsidRPr="00EA66EF">
              <w:rPr>
                <w:rFonts w:ascii="Sakkal Majalla" w:eastAsia="Times New Roman" w:hAnsi="Sakkal Majalla" w:cs="Sakkal Majalla"/>
                <w:b/>
                <w:bCs/>
                <w:color w:val="000000"/>
                <w:kern w:val="0"/>
                <w:lang w:eastAsia="fr-FR"/>
                <w14:ligatures w14:val="none"/>
              </w:rPr>
              <w:t>Imzouren</w:t>
            </w:r>
            <w:r>
              <w:rPr>
                <w:rFonts w:ascii="Sakkal Majalla" w:eastAsia="Times New Roman" w:hAnsi="Sakkal Majalla" w:cs="Sakkal Majalla"/>
                <w:b/>
                <w:bCs/>
                <w:color w:val="000000"/>
                <w:kern w:val="0"/>
                <w:lang w:eastAsia="fr-FR"/>
                <w14:ligatures w14:val="none"/>
              </w:rPr>
              <w:t xml:space="preserve"> </w:t>
            </w:r>
            <w:bookmarkEnd w:id="7"/>
            <w:r w:rsidRPr="00EA66EF">
              <w:rPr>
                <w:rFonts w:ascii="Sakkal Majalla" w:eastAsia="Times New Roman" w:hAnsi="Sakkal Majalla" w:cs="Sakkal Majalla"/>
                <w:b/>
                <w:bCs/>
                <w:color w:val="000000"/>
                <w:kern w:val="0"/>
                <w:lang w:eastAsia="fr-FR"/>
                <w14:ligatures w14:val="none"/>
              </w:rPr>
              <w:t>(Mun)</w:t>
            </w:r>
          </w:p>
        </w:tc>
        <w:tc>
          <w:tcPr>
            <w:tcW w:w="850" w:type="dxa"/>
            <w:tcBorders>
              <w:top w:val="nil"/>
              <w:left w:val="single" w:sz="8" w:space="0" w:color="auto"/>
              <w:bottom w:val="single" w:sz="8" w:space="0" w:color="auto"/>
              <w:right w:val="nil"/>
            </w:tcBorders>
            <w:shd w:val="clear" w:color="auto" w:fill="auto"/>
            <w:vAlign w:val="center"/>
            <w:hideMark/>
          </w:tcPr>
          <w:p w14:paraId="1158CB58"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25547</w:t>
            </w:r>
          </w:p>
        </w:tc>
        <w:tc>
          <w:tcPr>
            <w:tcW w:w="851" w:type="dxa"/>
            <w:tcBorders>
              <w:top w:val="nil"/>
              <w:left w:val="single" w:sz="8" w:space="0" w:color="auto"/>
              <w:bottom w:val="single" w:sz="8" w:space="0" w:color="auto"/>
              <w:right w:val="nil"/>
            </w:tcBorders>
            <w:shd w:val="clear" w:color="auto" w:fill="auto"/>
            <w:vAlign w:val="center"/>
            <w:hideMark/>
          </w:tcPr>
          <w:p w14:paraId="167DAF7C"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28927</w:t>
            </w:r>
          </w:p>
        </w:tc>
        <w:tc>
          <w:tcPr>
            <w:tcW w:w="992" w:type="dxa"/>
            <w:tcBorders>
              <w:top w:val="nil"/>
              <w:left w:val="single" w:sz="8" w:space="0" w:color="auto"/>
              <w:bottom w:val="single" w:sz="8" w:space="0" w:color="auto"/>
              <w:right w:val="nil"/>
            </w:tcBorders>
            <w:shd w:val="clear" w:color="auto" w:fill="auto"/>
            <w:vAlign w:val="center"/>
            <w:hideMark/>
          </w:tcPr>
          <w:p w14:paraId="6EC1EA95"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33852</w:t>
            </w:r>
          </w:p>
        </w:tc>
        <w:tc>
          <w:tcPr>
            <w:tcW w:w="992" w:type="dxa"/>
            <w:tcBorders>
              <w:top w:val="nil"/>
              <w:left w:val="single" w:sz="8" w:space="0" w:color="auto"/>
              <w:bottom w:val="single" w:sz="8" w:space="0" w:color="auto"/>
              <w:right w:val="nil"/>
            </w:tcBorders>
            <w:shd w:val="clear" w:color="000000" w:fill="FFFFFF"/>
            <w:vAlign w:val="center"/>
            <w:hideMark/>
          </w:tcPr>
          <w:p w14:paraId="20513B5C"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34848</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675EFB2E" w14:textId="26F3810A" w:rsidR="00BD76B4" w:rsidRPr="00F42420" w:rsidRDefault="00DA2DC0"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0,29</w:t>
            </w:r>
          </w:p>
        </w:tc>
      </w:tr>
      <w:tr w:rsidR="00BD76B4" w:rsidRPr="00F42420" w14:paraId="483EF021"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5AB57075"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7DA80EBE" w14:textId="5545D55E"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r w:rsidRPr="00EA66EF">
              <w:rPr>
                <w:rFonts w:ascii="Sakkal Majalla" w:eastAsia="Times New Roman" w:hAnsi="Sakkal Majalla" w:cs="Sakkal Majalla"/>
                <w:b/>
                <w:bCs/>
                <w:color w:val="000000"/>
                <w:kern w:val="0"/>
                <w:lang w:eastAsia="fr-FR"/>
                <w14:ligatures w14:val="none"/>
              </w:rPr>
              <w:t>Targuist (Mun)</w:t>
            </w:r>
          </w:p>
        </w:tc>
        <w:tc>
          <w:tcPr>
            <w:tcW w:w="850" w:type="dxa"/>
            <w:tcBorders>
              <w:top w:val="nil"/>
              <w:left w:val="single" w:sz="8" w:space="0" w:color="auto"/>
              <w:bottom w:val="single" w:sz="8" w:space="0" w:color="auto"/>
              <w:right w:val="nil"/>
            </w:tcBorders>
            <w:shd w:val="clear" w:color="auto" w:fill="auto"/>
            <w:vAlign w:val="center"/>
            <w:hideMark/>
          </w:tcPr>
          <w:p w14:paraId="334A91D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9593</w:t>
            </w:r>
          </w:p>
        </w:tc>
        <w:tc>
          <w:tcPr>
            <w:tcW w:w="851" w:type="dxa"/>
            <w:tcBorders>
              <w:top w:val="nil"/>
              <w:left w:val="single" w:sz="8" w:space="0" w:color="auto"/>
              <w:bottom w:val="single" w:sz="8" w:space="0" w:color="auto"/>
              <w:right w:val="nil"/>
            </w:tcBorders>
            <w:shd w:val="clear" w:color="auto" w:fill="auto"/>
            <w:vAlign w:val="center"/>
            <w:hideMark/>
          </w:tcPr>
          <w:p w14:paraId="4ECA115D"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11560</w:t>
            </w:r>
          </w:p>
        </w:tc>
        <w:tc>
          <w:tcPr>
            <w:tcW w:w="992" w:type="dxa"/>
            <w:tcBorders>
              <w:top w:val="nil"/>
              <w:left w:val="single" w:sz="8" w:space="0" w:color="auto"/>
              <w:bottom w:val="single" w:sz="8" w:space="0" w:color="auto"/>
              <w:right w:val="nil"/>
            </w:tcBorders>
            <w:shd w:val="clear" w:color="auto" w:fill="auto"/>
            <w:vAlign w:val="center"/>
            <w:hideMark/>
          </w:tcPr>
          <w:p w14:paraId="39090D54"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13390</w:t>
            </w:r>
          </w:p>
        </w:tc>
        <w:tc>
          <w:tcPr>
            <w:tcW w:w="992" w:type="dxa"/>
            <w:tcBorders>
              <w:top w:val="nil"/>
              <w:left w:val="single" w:sz="8" w:space="0" w:color="auto"/>
              <w:bottom w:val="single" w:sz="8" w:space="0" w:color="auto"/>
              <w:right w:val="nil"/>
            </w:tcBorders>
            <w:shd w:val="clear" w:color="000000" w:fill="FFFFFF"/>
            <w:vAlign w:val="center"/>
            <w:hideMark/>
          </w:tcPr>
          <w:p w14:paraId="2B51229D"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14638</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62A9A55E" w14:textId="1686CF7B" w:rsidR="00BD76B4" w:rsidRPr="00F42420" w:rsidRDefault="00DA2DC0"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0,90</w:t>
            </w:r>
          </w:p>
        </w:tc>
      </w:tr>
      <w:tr w:rsidR="00BD76B4" w:rsidRPr="00F42420" w14:paraId="52906B9D"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318EF7C8"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54C48CAC" w14:textId="21690732"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r w:rsidRPr="00EA66EF">
              <w:rPr>
                <w:rFonts w:ascii="Sakkal Majalla" w:eastAsia="Times New Roman" w:hAnsi="Sakkal Majalla" w:cs="Sakkal Majalla"/>
                <w:b/>
                <w:bCs/>
                <w:color w:val="000000"/>
                <w:kern w:val="0"/>
                <w:lang w:eastAsia="fr-FR"/>
                <w14:ligatures w14:val="none"/>
              </w:rPr>
              <w:t>Ajdir</w:t>
            </w:r>
            <w:r>
              <w:rPr>
                <w:rFonts w:ascii="Sakkal Majalla" w:eastAsia="Times New Roman" w:hAnsi="Sakkal Majalla" w:cs="Sakkal Majalla"/>
                <w:b/>
                <w:bCs/>
                <w:color w:val="000000"/>
                <w:kern w:val="0"/>
                <w:lang w:eastAsia="fr-FR"/>
                <w14:ligatures w14:val="none"/>
              </w:rPr>
              <w:t xml:space="preserve"> </w:t>
            </w:r>
            <w:r w:rsidRPr="00EA66EF">
              <w:rPr>
                <w:rFonts w:ascii="Sakkal Majalla" w:eastAsia="Times New Roman" w:hAnsi="Sakkal Majalla" w:cs="Sakkal Majalla"/>
                <w:b/>
                <w:bCs/>
                <w:color w:val="000000"/>
                <w:kern w:val="0"/>
                <w:lang w:eastAsia="fr-FR"/>
                <w14:ligatures w14:val="none"/>
              </w:rPr>
              <w:t>(Mun)</w:t>
            </w:r>
          </w:p>
        </w:tc>
        <w:tc>
          <w:tcPr>
            <w:tcW w:w="850" w:type="dxa"/>
            <w:tcBorders>
              <w:top w:val="nil"/>
              <w:left w:val="single" w:sz="8" w:space="0" w:color="auto"/>
              <w:bottom w:val="single" w:sz="8" w:space="0" w:color="auto"/>
              <w:right w:val="nil"/>
            </w:tcBorders>
            <w:shd w:val="clear" w:color="auto" w:fill="auto"/>
            <w:vAlign w:val="center"/>
            <w:hideMark/>
          </w:tcPr>
          <w:p w14:paraId="1355743C"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3669</w:t>
            </w:r>
          </w:p>
        </w:tc>
        <w:tc>
          <w:tcPr>
            <w:tcW w:w="851" w:type="dxa"/>
            <w:tcBorders>
              <w:top w:val="nil"/>
              <w:left w:val="single" w:sz="8" w:space="0" w:color="auto"/>
              <w:bottom w:val="single" w:sz="8" w:space="0" w:color="auto"/>
              <w:right w:val="nil"/>
            </w:tcBorders>
            <w:shd w:val="clear" w:color="auto" w:fill="auto"/>
            <w:vAlign w:val="center"/>
            <w:hideMark/>
          </w:tcPr>
          <w:p w14:paraId="5058DBCA"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4711</w:t>
            </w:r>
          </w:p>
        </w:tc>
        <w:tc>
          <w:tcPr>
            <w:tcW w:w="992" w:type="dxa"/>
            <w:tcBorders>
              <w:top w:val="nil"/>
              <w:left w:val="single" w:sz="8" w:space="0" w:color="auto"/>
              <w:bottom w:val="single" w:sz="8" w:space="0" w:color="auto"/>
              <w:right w:val="nil"/>
            </w:tcBorders>
            <w:shd w:val="clear" w:color="auto" w:fill="auto"/>
            <w:vAlign w:val="center"/>
            <w:hideMark/>
          </w:tcPr>
          <w:p w14:paraId="7BF4C4D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5314</w:t>
            </w:r>
          </w:p>
        </w:tc>
        <w:tc>
          <w:tcPr>
            <w:tcW w:w="992" w:type="dxa"/>
            <w:tcBorders>
              <w:top w:val="nil"/>
              <w:left w:val="single" w:sz="8" w:space="0" w:color="auto"/>
              <w:bottom w:val="single" w:sz="8" w:space="0" w:color="auto"/>
              <w:right w:val="nil"/>
            </w:tcBorders>
            <w:shd w:val="clear" w:color="000000" w:fill="FFFFFF"/>
            <w:vAlign w:val="center"/>
            <w:hideMark/>
          </w:tcPr>
          <w:p w14:paraId="7830AB5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5630</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tcPr>
          <w:p w14:paraId="7E29579B" w14:textId="06321740" w:rsidR="00BD76B4" w:rsidRPr="00F42420" w:rsidRDefault="00DA2DC0"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0,58</w:t>
            </w:r>
          </w:p>
        </w:tc>
      </w:tr>
      <w:tr w:rsidR="00BD76B4" w:rsidRPr="00F42420" w14:paraId="0E916DF1" w14:textId="77777777" w:rsidTr="00DA2DC0">
        <w:trPr>
          <w:trHeight w:val="624"/>
        </w:trPr>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14:paraId="097D5349" w14:textId="3D62AE38" w:rsidR="00BD76B4" w:rsidRPr="00F42420" w:rsidRDefault="00BD76B4" w:rsidP="00C56C5D">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Circle of Bni Ouriaghel Acharkia</w:t>
            </w:r>
          </w:p>
        </w:tc>
        <w:tc>
          <w:tcPr>
            <w:tcW w:w="2268" w:type="dxa"/>
            <w:tcBorders>
              <w:top w:val="nil"/>
              <w:left w:val="nil"/>
              <w:bottom w:val="single" w:sz="8" w:space="0" w:color="auto"/>
              <w:right w:val="nil"/>
            </w:tcBorders>
            <w:shd w:val="clear" w:color="auto" w:fill="auto"/>
            <w:vAlign w:val="center"/>
            <w:hideMark/>
          </w:tcPr>
          <w:p w14:paraId="27F0C48E" w14:textId="4F4DACB6" w:rsidR="00BD76B4" w:rsidRPr="00F42420" w:rsidRDefault="00BD76B4" w:rsidP="00C56C5D">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Sidi Bouafif urban center</w:t>
            </w:r>
          </w:p>
        </w:tc>
        <w:tc>
          <w:tcPr>
            <w:tcW w:w="850" w:type="dxa"/>
            <w:tcBorders>
              <w:top w:val="nil"/>
              <w:left w:val="single" w:sz="8" w:space="0" w:color="auto"/>
              <w:bottom w:val="single" w:sz="8" w:space="0" w:color="auto"/>
              <w:right w:val="nil"/>
            </w:tcBorders>
            <w:shd w:val="clear" w:color="auto" w:fill="auto"/>
            <w:vAlign w:val="center"/>
            <w:hideMark/>
          </w:tcPr>
          <w:p w14:paraId="5AB1356E"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851" w:type="dxa"/>
            <w:tcBorders>
              <w:top w:val="nil"/>
              <w:left w:val="single" w:sz="8" w:space="0" w:color="auto"/>
              <w:bottom w:val="single" w:sz="8" w:space="0" w:color="auto"/>
              <w:right w:val="nil"/>
            </w:tcBorders>
            <w:shd w:val="clear" w:color="auto" w:fill="auto"/>
            <w:vAlign w:val="center"/>
            <w:hideMark/>
          </w:tcPr>
          <w:p w14:paraId="5B5B9F7E"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992" w:type="dxa"/>
            <w:tcBorders>
              <w:top w:val="nil"/>
              <w:left w:val="single" w:sz="8" w:space="0" w:color="auto"/>
              <w:bottom w:val="single" w:sz="8" w:space="0" w:color="auto"/>
              <w:right w:val="nil"/>
            </w:tcBorders>
            <w:shd w:val="clear" w:color="auto" w:fill="auto"/>
            <w:vAlign w:val="center"/>
            <w:hideMark/>
          </w:tcPr>
          <w:p w14:paraId="65027924"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3350</w:t>
            </w:r>
          </w:p>
        </w:tc>
        <w:tc>
          <w:tcPr>
            <w:tcW w:w="992" w:type="dxa"/>
            <w:tcBorders>
              <w:top w:val="nil"/>
              <w:left w:val="single" w:sz="8" w:space="0" w:color="auto"/>
              <w:bottom w:val="single" w:sz="8" w:space="0" w:color="auto"/>
              <w:right w:val="nil"/>
            </w:tcBorders>
            <w:shd w:val="clear" w:color="000000" w:fill="FFFFFF"/>
            <w:vAlign w:val="center"/>
            <w:hideMark/>
          </w:tcPr>
          <w:p w14:paraId="2AEE4826"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3884</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1252AD21" w14:textId="4429B198"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 </w:t>
            </w:r>
            <w:r w:rsidR="00DA2DC0">
              <w:rPr>
                <w:rFonts w:ascii="Sakkal Majalla" w:eastAsia="Times New Roman" w:hAnsi="Sakkal Majalla" w:cs="Sakkal Majalla"/>
                <w:b/>
                <w:bCs/>
                <w:color w:val="000000"/>
                <w:kern w:val="0"/>
                <w:lang w:eastAsia="fr-FR"/>
                <w14:ligatures w14:val="none"/>
              </w:rPr>
              <w:t>1,49</w:t>
            </w:r>
          </w:p>
        </w:tc>
      </w:tr>
      <w:tr w:rsidR="00BD76B4" w:rsidRPr="00F42420" w14:paraId="42390556"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7C33642E"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5A972A4D" w14:textId="5D9CD51A" w:rsidR="00BD76B4" w:rsidRPr="00F42420" w:rsidRDefault="00BD76B4" w:rsidP="00C56C5D">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Tamassint Urban Center</w:t>
            </w:r>
          </w:p>
        </w:tc>
        <w:tc>
          <w:tcPr>
            <w:tcW w:w="850" w:type="dxa"/>
            <w:tcBorders>
              <w:top w:val="nil"/>
              <w:left w:val="single" w:sz="8" w:space="0" w:color="auto"/>
              <w:bottom w:val="single" w:sz="8" w:space="0" w:color="auto"/>
              <w:right w:val="nil"/>
            </w:tcBorders>
            <w:shd w:val="clear" w:color="auto" w:fill="auto"/>
            <w:vAlign w:val="center"/>
            <w:hideMark/>
          </w:tcPr>
          <w:p w14:paraId="743EB3E5"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1903</w:t>
            </w:r>
          </w:p>
        </w:tc>
        <w:tc>
          <w:tcPr>
            <w:tcW w:w="851" w:type="dxa"/>
            <w:tcBorders>
              <w:top w:val="nil"/>
              <w:left w:val="single" w:sz="8" w:space="0" w:color="auto"/>
              <w:bottom w:val="single" w:sz="8" w:space="0" w:color="auto"/>
              <w:right w:val="nil"/>
            </w:tcBorders>
            <w:shd w:val="clear" w:color="auto" w:fill="auto"/>
            <w:vAlign w:val="center"/>
            <w:hideMark/>
          </w:tcPr>
          <w:p w14:paraId="248855EC"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1788</w:t>
            </w:r>
          </w:p>
        </w:tc>
        <w:tc>
          <w:tcPr>
            <w:tcW w:w="992" w:type="dxa"/>
            <w:tcBorders>
              <w:top w:val="nil"/>
              <w:left w:val="single" w:sz="8" w:space="0" w:color="auto"/>
              <w:bottom w:val="single" w:sz="8" w:space="0" w:color="auto"/>
              <w:right w:val="nil"/>
            </w:tcBorders>
            <w:shd w:val="clear" w:color="auto" w:fill="auto"/>
            <w:vAlign w:val="center"/>
            <w:hideMark/>
          </w:tcPr>
          <w:p w14:paraId="1D5510C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1831</w:t>
            </w:r>
          </w:p>
        </w:tc>
        <w:tc>
          <w:tcPr>
            <w:tcW w:w="992" w:type="dxa"/>
            <w:tcBorders>
              <w:top w:val="nil"/>
              <w:left w:val="single" w:sz="8" w:space="0" w:color="auto"/>
              <w:bottom w:val="single" w:sz="8" w:space="0" w:color="auto"/>
              <w:right w:val="nil"/>
            </w:tcBorders>
            <w:shd w:val="clear" w:color="000000" w:fill="FFFFFF"/>
            <w:vAlign w:val="center"/>
            <w:hideMark/>
          </w:tcPr>
          <w:p w14:paraId="63719E86"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1796</w:t>
            </w:r>
          </w:p>
        </w:tc>
        <w:tc>
          <w:tcPr>
            <w:tcW w:w="1134" w:type="dxa"/>
            <w:tcBorders>
              <w:top w:val="nil"/>
              <w:left w:val="single" w:sz="8" w:space="0" w:color="auto"/>
              <w:bottom w:val="single" w:sz="8" w:space="0" w:color="auto"/>
              <w:right w:val="single" w:sz="4" w:space="0" w:color="auto"/>
            </w:tcBorders>
            <w:shd w:val="clear" w:color="auto" w:fill="ED7D31" w:themeFill="accent2"/>
            <w:vAlign w:val="center"/>
            <w:hideMark/>
          </w:tcPr>
          <w:p w14:paraId="18DB5AAA" w14:textId="051ED8AE" w:rsidR="00BD76B4" w:rsidRPr="00F42420" w:rsidRDefault="006222B8" w:rsidP="00DA2DC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w:t>
            </w:r>
            <w:r w:rsidR="00DA2DC0">
              <w:rPr>
                <w:rFonts w:ascii="Sakkal Majalla" w:eastAsia="Times New Roman" w:hAnsi="Sakkal Majalla" w:cs="Sakkal Majalla"/>
                <w:b/>
                <w:bCs/>
                <w:color w:val="000000"/>
                <w:kern w:val="0"/>
                <w:lang w:eastAsia="fr-FR"/>
                <w14:ligatures w14:val="none"/>
              </w:rPr>
              <w:t>0,19</w:t>
            </w:r>
          </w:p>
        </w:tc>
      </w:tr>
      <w:tr w:rsidR="00BD76B4" w:rsidRPr="00F42420" w14:paraId="2A9E2597" w14:textId="77777777" w:rsidTr="00DA2DC0">
        <w:trPr>
          <w:trHeight w:val="375"/>
        </w:trPr>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14:paraId="208E7AD4" w14:textId="52D6CED8" w:rsidR="00BD76B4" w:rsidRPr="00F42420" w:rsidRDefault="00BD76B4" w:rsidP="00EF3DA2">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 xml:space="preserve">Circle of </w:t>
            </w:r>
            <w:r w:rsidRPr="00EF3DA2">
              <w:rPr>
                <w:rFonts w:ascii="Sakkal Majalla" w:eastAsia="Times New Roman" w:hAnsi="Sakkal Majalla" w:cs="Sakkal Majalla"/>
                <w:b/>
                <w:bCs/>
                <w:color w:val="000000"/>
                <w:kern w:val="0"/>
                <w:lang w:eastAsia="fr-FR"/>
                <w14:ligatures w14:val="none"/>
              </w:rPr>
              <w:t>Bni Ouriaghel Algharbia</w:t>
            </w:r>
          </w:p>
        </w:tc>
        <w:tc>
          <w:tcPr>
            <w:tcW w:w="2268" w:type="dxa"/>
            <w:tcBorders>
              <w:top w:val="nil"/>
              <w:left w:val="nil"/>
              <w:bottom w:val="single" w:sz="8" w:space="0" w:color="auto"/>
              <w:right w:val="nil"/>
            </w:tcBorders>
            <w:shd w:val="clear" w:color="auto" w:fill="auto"/>
            <w:vAlign w:val="center"/>
            <w:hideMark/>
          </w:tcPr>
          <w:p w14:paraId="150ACE8A" w14:textId="6C6C6146" w:rsidR="00BD76B4" w:rsidRPr="00F42420" w:rsidRDefault="00BD76B4" w:rsidP="00EF3DA2">
            <w:pPr>
              <w:spacing w:after="0" w:line="240" w:lineRule="auto"/>
              <w:jc w:val="center"/>
              <w:rPr>
                <w:rFonts w:ascii="Sakkal Majalla" w:eastAsia="Times New Roman" w:hAnsi="Sakkal Majalla" w:cs="Sakkal Majalla"/>
                <w:b/>
                <w:bCs/>
                <w:color w:val="000000"/>
                <w:kern w:val="0"/>
                <w:rtl/>
                <w:lang w:val="en-US" w:eastAsia="fr-FR"/>
                <w14:ligatures w14:val="none"/>
              </w:rPr>
            </w:pPr>
            <w:r w:rsidRPr="00E5269F">
              <w:rPr>
                <w:rFonts w:ascii="Sakkal Majalla" w:eastAsia="Times New Roman" w:hAnsi="Sakkal Majalla" w:cs="Sakkal Majalla"/>
                <w:b/>
                <w:bCs/>
                <w:color w:val="000000"/>
                <w:kern w:val="0"/>
                <w:lang w:val="en-US" w:eastAsia="fr-FR"/>
                <w14:ligatures w14:val="none"/>
              </w:rPr>
              <w:t>Bni Hadifa</w:t>
            </w:r>
            <w:r w:rsidR="00FF707C" w:rsidRPr="00FF707C">
              <w:rPr>
                <w:lang w:val="en-US"/>
              </w:rPr>
              <w:t xml:space="preserve"> </w:t>
            </w:r>
            <w:r w:rsidR="00FF707C" w:rsidRPr="00FF707C">
              <w:rPr>
                <w:rFonts w:ascii="Sakkal Majalla" w:eastAsia="Times New Roman" w:hAnsi="Sakkal Majalla" w:cs="Sakkal Majalla"/>
                <w:b/>
                <w:bCs/>
                <w:color w:val="000000"/>
                <w:kern w:val="0"/>
                <w:lang w:val="en-US" w:eastAsia="fr-FR"/>
                <w14:ligatures w14:val="none"/>
              </w:rPr>
              <w:t>urban center</w:t>
            </w:r>
          </w:p>
        </w:tc>
        <w:tc>
          <w:tcPr>
            <w:tcW w:w="850" w:type="dxa"/>
            <w:tcBorders>
              <w:top w:val="nil"/>
              <w:left w:val="single" w:sz="8" w:space="0" w:color="auto"/>
              <w:bottom w:val="single" w:sz="8" w:space="0" w:color="auto"/>
              <w:right w:val="nil"/>
            </w:tcBorders>
            <w:shd w:val="clear" w:color="auto" w:fill="auto"/>
            <w:vAlign w:val="center"/>
            <w:hideMark/>
          </w:tcPr>
          <w:p w14:paraId="5AA24E76"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1939</w:t>
            </w:r>
          </w:p>
        </w:tc>
        <w:tc>
          <w:tcPr>
            <w:tcW w:w="851" w:type="dxa"/>
            <w:tcBorders>
              <w:top w:val="nil"/>
              <w:left w:val="single" w:sz="8" w:space="0" w:color="auto"/>
              <w:bottom w:val="single" w:sz="8" w:space="0" w:color="auto"/>
              <w:right w:val="nil"/>
            </w:tcBorders>
            <w:shd w:val="clear" w:color="auto" w:fill="auto"/>
            <w:vAlign w:val="center"/>
            <w:hideMark/>
          </w:tcPr>
          <w:p w14:paraId="1FA8E5E7"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2061</w:t>
            </w:r>
          </w:p>
        </w:tc>
        <w:tc>
          <w:tcPr>
            <w:tcW w:w="992" w:type="dxa"/>
            <w:tcBorders>
              <w:top w:val="nil"/>
              <w:left w:val="single" w:sz="8" w:space="0" w:color="auto"/>
              <w:bottom w:val="single" w:sz="8" w:space="0" w:color="auto"/>
              <w:right w:val="nil"/>
            </w:tcBorders>
            <w:shd w:val="clear" w:color="auto" w:fill="auto"/>
            <w:vAlign w:val="center"/>
            <w:hideMark/>
          </w:tcPr>
          <w:p w14:paraId="2D888B03"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2171</w:t>
            </w:r>
          </w:p>
        </w:tc>
        <w:tc>
          <w:tcPr>
            <w:tcW w:w="992" w:type="dxa"/>
            <w:tcBorders>
              <w:top w:val="nil"/>
              <w:left w:val="single" w:sz="8" w:space="0" w:color="auto"/>
              <w:bottom w:val="single" w:sz="8" w:space="0" w:color="auto"/>
              <w:right w:val="nil"/>
            </w:tcBorders>
            <w:shd w:val="clear" w:color="000000" w:fill="FFFFFF"/>
            <w:vAlign w:val="center"/>
            <w:hideMark/>
          </w:tcPr>
          <w:p w14:paraId="6A49BF7D"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2115</w:t>
            </w:r>
          </w:p>
        </w:tc>
        <w:tc>
          <w:tcPr>
            <w:tcW w:w="1134" w:type="dxa"/>
            <w:tcBorders>
              <w:top w:val="nil"/>
              <w:left w:val="single" w:sz="8" w:space="0" w:color="auto"/>
              <w:bottom w:val="single" w:sz="8" w:space="0" w:color="auto"/>
              <w:right w:val="single" w:sz="4" w:space="0" w:color="auto"/>
            </w:tcBorders>
            <w:shd w:val="clear" w:color="auto" w:fill="ED7D31" w:themeFill="accent2"/>
            <w:vAlign w:val="center"/>
            <w:hideMark/>
          </w:tcPr>
          <w:p w14:paraId="2A44109A" w14:textId="5D3A2BA1"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 </w:t>
            </w:r>
            <w:r w:rsidR="006222B8">
              <w:rPr>
                <w:rFonts w:ascii="Sakkal Majalla" w:eastAsia="Times New Roman" w:hAnsi="Sakkal Majalla" w:cs="Sakkal Majalla"/>
                <w:b/>
                <w:bCs/>
                <w:color w:val="000000"/>
                <w:kern w:val="0"/>
                <w:lang w:eastAsia="fr-FR"/>
                <w14:ligatures w14:val="none"/>
              </w:rPr>
              <w:t>-0,26</w:t>
            </w:r>
          </w:p>
        </w:tc>
      </w:tr>
      <w:tr w:rsidR="00BD76B4" w:rsidRPr="00F42420" w14:paraId="68FFF0B6" w14:textId="77777777" w:rsidTr="00DA2DC0">
        <w:trPr>
          <w:trHeight w:val="375"/>
        </w:trPr>
        <w:tc>
          <w:tcPr>
            <w:tcW w:w="1975" w:type="dxa"/>
            <w:vMerge/>
            <w:tcBorders>
              <w:top w:val="nil"/>
              <w:left w:val="single" w:sz="8" w:space="0" w:color="auto"/>
              <w:bottom w:val="single" w:sz="8" w:space="0" w:color="000000"/>
              <w:right w:val="single" w:sz="8" w:space="0" w:color="auto"/>
            </w:tcBorders>
            <w:vAlign w:val="center"/>
            <w:hideMark/>
          </w:tcPr>
          <w:p w14:paraId="1014E6C1" w14:textId="77777777" w:rsidR="00BD76B4" w:rsidRPr="00F42420" w:rsidRDefault="00BD76B4" w:rsidP="00F42420">
            <w:pPr>
              <w:spacing w:after="0" w:line="240" w:lineRule="auto"/>
              <w:rPr>
                <w:rFonts w:ascii="Sakkal Majalla" w:eastAsia="Times New Roman" w:hAnsi="Sakkal Majalla" w:cs="Sakkal Majalla"/>
                <w:b/>
                <w:bCs/>
                <w:color w:val="000000"/>
                <w:kern w:val="0"/>
                <w:lang w:eastAsia="fr-FR"/>
                <w14:ligatures w14:val="none"/>
              </w:rPr>
            </w:pPr>
          </w:p>
        </w:tc>
        <w:tc>
          <w:tcPr>
            <w:tcW w:w="2268" w:type="dxa"/>
            <w:tcBorders>
              <w:top w:val="nil"/>
              <w:left w:val="nil"/>
              <w:bottom w:val="single" w:sz="8" w:space="0" w:color="auto"/>
              <w:right w:val="nil"/>
            </w:tcBorders>
            <w:shd w:val="clear" w:color="auto" w:fill="auto"/>
            <w:vAlign w:val="center"/>
            <w:hideMark/>
          </w:tcPr>
          <w:p w14:paraId="0CE525E0" w14:textId="47AF11BA" w:rsidR="00BD76B4" w:rsidRPr="00F42420" w:rsidRDefault="00BD76B4" w:rsidP="00EF3DA2">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 xml:space="preserve">Ait </w:t>
            </w:r>
            <w:bookmarkStart w:id="8" w:name="_Hlk189001420"/>
            <w:r w:rsidRPr="00E5269F">
              <w:rPr>
                <w:rFonts w:ascii="Sakkal Majalla" w:eastAsia="Times New Roman" w:hAnsi="Sakkal Majalla" w:cs="Sakkal Majalla"/>
                <w:b/>
                <w:bCs/>
                <w:color w:val="000000"/>
                <w:kern w:val="0"/>
                <w:lang w:eastAsia="fr-FR"/>
                <w14:ligatures w14:val="none"/>
              </w:rPr>
              <w:t xml:space="preserve">Kamra </w:t>
            </w:r>
            <w:bookmarkEnd w:id="8"/>
            <w:r w:rsidRPr="00E5269F">
              <w:rPr>
                <w:rFonts w:ascii="Sakkal Majalla" w:eastAsia="Times New Roman" w:hAnsi="Sakkal Majalla" w:cs="Sakkal Majalla"/>
                <w:b/>
                <w:bCs/>
                <w:color w:val="000000"/>
                <w:kern w:val="0"/>
                <w:lang w:eastAsia="fr-FR"/>
                <w14:ligatures w14:val="none"/>
              </w:rPr>
              <w:t>urban center</w:t>
            </w:r>
          </w:p>
        </w:tc>
        <w:tc>
          <w:tcPr>
            <w:tcW w:w="850" w:type="dxa"/>
            <w:tcBorders>
              <w:top w:val="nil"/>
              <w:left w:val="single" w:sz="8" w:space="0" w:color="auto"/>
              <w:bottom w:val="single" w:sz="8" w:space="0" w:color="auto"/>
              <w:right w:val="nil"/>
            </w:tcBorders>
            <w:shd w:val="clear" w:color="auto" w:fill="auto"/>
            <w:vAlign w:val="center"/>
            <w:hideMark/>
          </w:tcPr>
          <w:p w14:paraId="4DEAB8D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851" w:type="dxa"/>
            <w:tcBorders>
              <w:top w:val="nil"/>
              <w:left w:val="single" w:sz="8" w:space="0" w:color="auto"/>
              <w:bottom w:val="single" w:sz="8" w:space="0" w:color="auto"/>
              <w:right w:val="nil"/>
            </w:tcBorders>
            <w:shd w:val="clear" w:color="auto" w:fill="auto"/>
            <w:vAlign w:val="center"/>
            <w:hideMark/>
          </w:tcPr>
          <w:p w14:paraId="40C238B2"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992" w:type="dxa"/>
            <w:tcBorders>
              <w:top w:val="nil"/>
              <w:left w:val="single" w:sz="8" w:space="0" w:color="auto"/>
              <w:bottom w:val="single" w:sz="8" w:space="0" w:color="auto"/>
              <w:right w:val="nil"/>
            </w:tcBorders>
            <w:shd w:val="clear" w:color="auto" w:fill="auto"/>
            <w:vAlign w:val="center"/>
            <w:hideMark/>
          </w:tcPr>
          <w:p w14:paraId="7605D2A9"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hint="cs"/>
                <w:b/>
                <w:bCs/>
                <w:color w:val="000000"/>
                <w:kern w:val="0"/>
                <w:rtl/>
                <w:lang w:eastAsia="fr-FR"/>
                <w14:ligatures w14:val="none"/>
              </w:rPr>
              <w:t>-</w:t>
            </w:r>
          </w:p>
        </w:tc>
        <w:tc>
          <w:tcPr>
            <w:tcW w:w="992" w:type="dxa"/>
            <w:tcBorders>
              <w:top w:val="nil"/>
              <w:left w:val="single" w:sz="8" w:space="0" w:color="auto"/>
              <w:bottom w:val="single" w:sz="8" w:space="0" w:color="auto"/>
              <w:right w:val="nil"/>
            </w:tcBorders>
            <w:shd w:val="clear" w:color="000000" w:fill="FFFFFF"/>
            <w:vAlign w:val="center"/>
            <w:hideMark/>
          </w:tcPr>
          <w:p w14:paraId="586FA0F8"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3140</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4D7F226F" w14:textId="65DE319E" w:rsidR="00BD76B4" w:rsidRPr="00F42420" w:rsidRDefault="006222B8"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Pr>
                <w:rFonts w:ascii="Sakkal Majalla" w:eastAsia="Times New Roman" w:hAnsi="Sakkal Majalla" w:cs="Sakkal Majalla"/>
                <w:b/>
                <w:bCs/>
                <w:color w:val="000000"/>
                <w:kern w:val="0"/>
                <w:lang w:eastAsia="fr-FR"/>
                <w14:ligatures w14:val="none"/>
              </w:rPr>
              <w:t>-</w:t>
            </w:r>
            <w:r w:rsidR="00BD76B4" w:rsidRPr="00F42420">
              <w:rPr>
                <w:rFonts w:ascii="Sakkal Majalla" w:eastAsia="Times New Roman" w:hAnsi="Sakkal Majalla" w:cs="Sakkal Majalla" w:hint="cs"/>
                <w:b/>
                <w:bCs/>
                <w:color w:val="000000"/>
                <w:kern w:val="0"/>
                <w:rtl/>
                <w:lang w:eastAsia="fr-FR"/>
                <w14:ligatures w14:val="none"/>
              </w:rPr>
              <w:t> </w:t>
            </w:r>
          </w:p>
        </w:tc>
      </w:tr>
      <w:tr w:rsidR="00BD76B4" w:rsidRPr="00F42420" w14:paraId="2BC92ECA" w14:textId="77777777" w:rsidTr="00DA2DC0">
        <w:trPr>
          <w:trHeight w:val="37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DC26337" w14:textId="1F9FA3E7" w:rsidR="00BD76B4" w:rsidRPr="00F42420" w:rsidRDefault="00BD76B4" w:rsidP="00EA66EF">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Circle of</w:t>
            </w:r>
            <w:r w:rsidRPr="00EA66EF">
              <w:rPr>
                <w:rFonts w:ascii="Sakkal Majalla" w:eastAsia="Times New Roman" w:hAnsi="Sakkal Majalla" w:cs="Sakkal Majalla"/>
                <w:b/>
                <w:bCs/>
                <w:color w:val="000000"/>
                <w:kern w:val="0"/>
                <w:lang w:eastAsia="fr-FR"/>
                <w14:ligatures w14:val="none"/>
              </w:rPr>
              <w:t xml:space="preserve"> Ketama</w:t>
            </w:r>
          </w:p>
        </w:tc>
        <w:tc>
          <w:tcPr>
            <w:tcW w:w="2268" w:type="dxa"/>
            <w:tcBorders>
              <w:top w:val="nil"/>
              <w:left w:val="nil"/>
              <w:bottom w:val="single" w:sz="8" w:space="0" w:color="auto"/>
              <w:right w:val="nil"/>
            </w:tcBorders>
            <w:shd w:val="clear" w:color="auto" w:fill="auto"/>
            <w:vAlign w:val="center"/>
            <w:hideMark/>
          </w:tcPr>
          <w:p w14:paraId="6564FA70" w14:textId="3F324FFC" w:rsidR="00BD76B4" w:rsidRPr="00F42420" w:rsidRDefault="00BD76B4" w:rsidP="00EF3DA2">
            <w:pPr>
              <w:spacing w:after="0" w:line="240" w:lineRule="auto"/>
              <w:jc w:val="center"/>
              <w:rPr>
                <w:rFonts w:ascii="Sakkal Majalla" w:eastAsia="Times New Roman" w:hAnsi="Sakkal Majalla" w:cs="Sakkal Majalla"/>
                <w:b/>
                <w:bCs/>
                <w:color w:val="000000"/>
                <w:kern w:val="0"/>
                <w:rtl/>
                <w:lang w:eastAsia="fr-FR"/>
                <w14:ligatures w14:val="none"/>
              </w:rPr>
            </w:pPr>
            <w:r w:rsidRPr="00E5269F">
              <w:rPr>
                <w:rFonts w:ascii="Sakkal Majalla" w:eastAsia="Times New Roman" w:hAnsi="Sakkal Majalla" w:cs="Sakkal Majalla"/>
                <w:b/>
                <w:bCs/>
                <w:color w:val="000000"/>
                <w:kern w:val="0"/>
                <w:lang w:eastAsia="fr-FR"/>
                <w14:ligatures w14:val="none"/>
              </w:rPr>
              <w:t>Issaguen urban center</w:t>
            </w:r>
          </w:p>
        </w:tc>
        <w:tc>
          <w:tcPr>
            <w:tcW w:w="850" w:type="dxa"/>
            <w:tcBorders>
              <w:top w:val="nil"/>
              <w:left w:val="single" w:sz="8" w:space="0" w:color="auto"/>
              <w:bottom w:val="single" w:sz="8" w:space="0" w:color="auto"/>
              <w:right w:val="nil"/>
            </w:tcBorders>
            <w:shd w:val="clear" w:color="auto" w:fill="auto"/>
            <w:vAlign w:val="center"/>
            <w:hideMark/>
          </w:tcPr>
          <w:p w14:paraId="6DE88323"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1593</w:t>
            </w:r>
          </w:p>
        </w:tc>
        <w:tc>
          <w:tcPr>
            <w:tcW w:w="851" w:type="dxa"/>
            <w:tcBorders>
              <w:top w:val="nil"/>
              <w:left w:val="single" w:sz="8" w:space="0" w:color="auto"/>
              <w:bottom w:val="single" w:sz="8" w:space="0" w:color="auto"/>
              <w:right w:val="nil"/>
            </w:tcBorders>
            <w:shd w:val="clear" w:color="auto" w:fill="auto"/>
            <w:vAlign w:val="center"/>
            <w:hideMark/>
          </w:tcPr>
          <w:p w14:paraId="0BFBB780"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1638</w:t>
            </w:r>
          </w:p>
        </w:tc>
        <w:tc>
          <w:tcPr>
            <w:tcW w:w="992" w:type="dxa"/>
            <w:tcBorders>
              <w:top w:val="nil"/>
              <w:left w:val="single" w:sz="8" w:space="0" w:color="auto"/>
              <w:bottom w:val="single" w:sz="8" w:space="0" w:color="auto"/>
              <w:right w:val="nil"/>
            </w:tcBorders>
            <w:shd w:val="clear" w:color="auto" w:fill="auto"/>
            <w:vAlign w:val="center"/>
            <w:hideMark/>
          </w:tcPr>
          <w:p w14:paraId="52BB5EA0"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2474</w:t>
            </w:r>
          </w:p>
        </w:tc>
        <w:tc>
          <w:tcPr>
            <w:tcW w:w="992" w:type="dxa"/>
            <w:tcBorders>
              <w:top w:val="nil"/>
              <w:left w:val="single" w:sz="8" w:space="0" w:color="auto"/>
              <w:bottom w:val="single" w:sz="8" w:space="0" w:color="auto"/>
              <w:right w:val="nil"/>
            </w:tcBorders>
            <w:shd w:val="clear" w:color="000000" w:fill="FFFFFF"/>
            <w:vAlign w:val="center"/>
            <w:hideMark/>
          </w:tcPr>
          <w:p w14:paraId="7929F1A5" w14:textId="77777777" w:rsidR="00BD76B4" w:rsidRPr="00F42420" w:rsidRDefault="00BD76B4" w:rsidP="00F42420">
            <w:pPr>
              <w:bidi/>
              <w:spacing w:after="0" w:line="240" w:lineRule="auto"/>
              <w:jc w:val="center"/>
              <w:rPr>
                <w:rFonts w:ascii="Sakkal Majalla" w:eastAsia="Times New Roman" w:hAnsi="Sakkal Majalla" w:cs="Sakkal Majalla"/>
                <w:b/>
                <w:bCs/>
                <w:color w:val="000000"/>
                <w:kern w:val="0"/>
                <w:rtl/>
                <w:lang w:eastAsia="fr-FR"/>
                <w14:ligatures w14:val="none"/>
              </w:rPr>
            </w:pPr>
            <w:r w:rsidRPr="00F42420">
              <w:rPr>
                <w:rFonts w:ascii="Sakkal Majalla" w:eastAsia="Times New Roman" w:hAnsi="Sakkal Majalla" w:cs="Sakkal Majalla"/>
                <w:b/>
                <w:bCs/>
                <w:color w:val="000000"/>
                <w:kern w:val="0"/>
                <w:lang w:eastAsia="fr-FR"/>
                <w14:ligatures w14:val="none"/>
              </w:rPr>
              <w:t>2688</w:t>
            </w:r>
          </w:p>
        </w:tc>
        <w:tc>
          <w:tcPr>
            <w:tcW w:w="1134" w:type="dxa"/>
            <w:tcBorders>
              <w:top w:val="nil"/>
              <w:left w:val="single" w:sz="8" w:space="0" w:color="auto"/>
              <w:bottom w:val="single" w:sz="8" w:space="0" w:color="auto"/>
              <w:right w:val="single" w:sz="4" w:space="0" w:color="auto"/>
            </w:tcBorders>
            <w:shd w:val="clear" w:color="auto" w:fill="C5E0B3" w:themeFill="accent6" w:themeFillTint="66"/>
            <w:vAlign w:val="center"/>
            <w:hideMark/>
          </w:tcPr>
          <w:p w14:paraId="592838C2" w14:textId="005F5F78" w:rsidR="00BD76B4" w:rsidRPr="006222B8" w:rsidRDefault="006222B8" w:rsidP="00F42420">
            <w:pPr>
              <w:bidi/>
              <w:spacing w:after="0" w:line="240" w:lineRule="auto"/>
              <w:jc w:val="center"/>
              <w:rPr>
                <w:rFonts w:ascii="Sakkal Majalla" w:eastAsia="Times New Roman" w:hAnsi="Sakkal Majalla" w:cs="Sakkal Majalla"/>
                <w:b/>
                <w:bCs/>
                <w:color w:val="000000"/>
                <w:kern w:val="0"/>
                <w:lang w:eastAsia="fr-FR"/>
                <w14:ligatures w14:val="none"/>
              </w:rPr>
            </w:pPr>
            <w:r>
              <w:rPr>
                <w:rFonts w:ascii="Sakkal Majalla" w:eastAsia="Times New Roman" w:hAnsi="Sakkal Majalla" w:cs="Sakkal Majalla"/>
                <w:b/>
                <w:bCs/>
                <w:color w:val="000000"/>
                <w:kern w:val="0"/>
                <w:lang w:eastAsia="fr-FR"/>
                <w14:ligatures w14:val="none"/>
              </w:rPr>
              <w:t>0,83</w:t>
            </w:r>
          </w:p>
        </w:tc>
      </w:tr>
    </w:tbl>
    <w:p w14:paraId="54BA1A78" w14:textId="1BE333E5" w:rsidR="00F42420" w:rsidRPr="00C612A0" w:rsidRDefault="007B1FD5" w:rsidP="00B54DF8">
      <w:pPr>
        <w:jc w:val="both"/>
        <w:rPr>
          <w:rFonts w:asciiTheme="majorBidi" w:hAnsiTheme="majorBidi" w:cstheme="majorBidi"/>
          <w:b/>
          <w:bCs/>
          <w:rtl/>
          <w:lang w:val="en-US" w:bidi="ar-MA"/>
        </w:rPr>
      </w:pPr>
      <w:r w:rsidRPr="00C612A0">
        <w:rPr>
          <w:rFonts w:asciiTheme="majorBidi" w:hAnsiTheme="majorBidi" w:cstheme="majorBidi"/>
          <w:b/>
          <w:bCs/>
          <w:lang w:val="en-US"/>
        </w:rPr>
        <w:t xml:space="preserve">Source: </w:t>
      </w:r>
      <w:r w:rsidR="001E6E15" w:rsidRPr="00C612A0">
        <w:rPr>
          <w:rFonts w:asciiTheme="majorBidi" w:hAnsiTheme="majorBidi" w:cstheme="majorBidi"/>
          <w:b/>
          <w:bCs/>
          <w:lang w:val="en-US"/>
        </w:rPr>
        <w:t>statistics for 1994, 2004, 2014 and 2024</w:t>
      </w:r>
    </w:p>
    <w:p w14:paraId="4E3CC06B" w14:textId="3900F4C0" w:rsidR="003B5E20" w:rsidRPr="00C612A0" w:rsidRDefault="00300150" w:rsidP="00B54DF8">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At the urban level</w:t>
      </w:r>
      <w:r w:rsidR="009B3317">
        <w:rPr>
          <w:rFonts w:asciiTheme="majorBidi" w:hAnsiTheme="majorBidi" w:cstheme="majorBidi"/>
          <w:sz w:val="24"/>
          <w:szCs w:val="24"/>
          <w:lang w:val="en-US"/>
        </w:rPr>
        <w:t xml:space="preserve"> </w:t>
      </w:r>
      <w:r w:rsidR="009B3317" w:rsidRPr="009B3317">
        <w:rPr>
          <w:rFonts w:asciiTheme="majorBidi" w:hAnsiTheme="majorBidi" w:cstheme="majorBidi"/>
          <w:sz w:val="24"/>
          <w:szCs w:val="24"/>
          <w:lang w:val="en-US"/>
        </w:rPr>
        <w:t xml:space="preserve">(Table </w:t>
      </w:r>
      <w:r w:rsidR="009B3317">
        <w:rPr>
          <w:rFonts w:asciiTheme="majorBidi" w:hAnsiTheme="majorBidi" w:cstheme="majorBidi"/>
          <w:sz w:val="24"/>
          <w:szCs w:val="24"/>
          <w:lang w:val="en-US"/>
        </w:rPr>
        <w:t>2</w:t>
      </w:r>
      <w:r w:rsidR="009B3317" w:rsidRPr="009B3317">
        <w:rPr>
          <w:rFonts w:asciiTheme="majorBidi" w:hAnsiTheme="majorBidi" w:cstheme="majorBidi"/>
          <w:sz w:val="24"/>
          <w:szCs w:val="24"/>
          <w:lang w:val="en-US"/>
        </w:rPr>
        <w:t>)</w:t>
      </w:r>
      <w:r w:rsidRPr="00C612A0">
        <w:rPr>
          <w:rFonts w:asciiTheme="majorBidi" w:hAnsiTheme="majorBidi" w:cstheme="majorBidi"/>
          <w:sz w:val="24"/>
          <w:szCs w:val="24"/>
          <w:lang w:val="en-US"/>
        </w:rPr>
        <w:t>, the population of the municipality of Al Hoceima decreased from 56716 people in 2014 to 50225 people in 2024, recording an annual growth rate of -1,21%. As for the other urban communities, an increase in the population was recorded, since the annual growth rate in the municipalities of Bni Bouayach, Targuist, Ajdir and Imzouren reached respectively: 0,91%, 0,90%, 0,58% and 0,29%.</w:t>
      </w:r>
    </w:p>
    <w:p w14:paraId="32E0115A" w14:textId="326EE768" w:rsidR="00300150" w:rsidRPr="00C612A0" w:rsidRDefault="002B512C" w:rsidP="00FF57D1">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At the rural level, out of 31 rural communes in the province, only four communes recorded a positive annual population growth, namely the commune of Izemmouren with a growth rate of 2,13%, the commune of Ait Youssef Ou Ali with a rate of 0,88% and the commune of Ait Kamra with a rate of 0,74%. Then, the commune of Issaguen had a rate of 0,42%, while the rest of the communes experienced a decline in the annual population growth rate, which exceeded -3%, particularly in the community of Chakrane and the community of Arbaa Taourirt.</w:t>
      </w:r>
    </w:p>
    <w:p w14:paraId="63B05E84" w14:textId="2CAF8397" w:rsidR="007E2C47" w:rsidRPr="00C612A0" w:rsidRDefault="007E2C47" w:rsidP="00FF57D1">
      <w:pPr>
        <w:jc w:val="both"/>
        <w:rPr>
          <w:rFonts w:asciiTheme="majorBidi" w:hAnsiTheme="majorBidi" w:cstheme="majorBidi"/>
          <w:sz w:val="24"/>
          <w:szCs w:val="24"/>
          <w:rtl/>
          <w:lang w:val="en-US"/>
        </w:rPr>
      </w:pPr>
      <w:r w:rsidRPr="00C612A0">
        <w:rPr>
          <w:rFonts w:asciiTheme="majorBidi" w:hAnsiTheme="majorBidi" w:cstheme="majorBidi"/>
          <w:sz w:val="24"/>
          <w:szCs w:val="24"/>
          <w:lang w:val="en-US"/>
        </w:rPr>
        <w:t>The disparate sustainability levels between urban areas appear to be related to the rapid economic growth, typical of an emerging economy (Bounoua et al</w:t>
      </w:r>
      <w:r w:rsidR="001C2B56" w:rsidRPr="00C612A0">
        <w:rPr>
          <w:rFonts w:asciiTheme="majorBidi" w:hAnsiTheme="majorBidi" w:cstheme="majorBidi"/>
          <w:sz w:val="24"/>
          <w:szCs w:val="24"/>
          <w:lang w:val="en-US"/>
        </w:rPr>
        <w:t>.,</w:t>
      </w:r>
      <w:r w:rsidRPr="00C612A0">
        <w:rPr>
          <w:rFonts w:asciiTheme="majorBidi" w:hAnsiTheme="majorBidi" w:cstheme="majorBidi"/>
          <w:sz w:val="24"/>
          <w:szCs w:val="24"/>
          <w:lang w:val="en-US"/>
        </w:rPr>
        <w:t xml:space="preserve"> 2020).</w:t>
      </w:r>
    </w:p>
    <w:p w14:paraId="344F0EB1" w14:textId="1D5B7B80" w:rsidR="00836AD5" w:rsidRDefault="00836AD5" w:rsidP="005918A2">
      <w:pPr>
        <w:spacing w:after="0"/>
        <w:jc w:val="both"/>
        <w:rPr>
          <w:rtl/>
          <w:lang w:val="en-US"/>
        </w:rPr>
      </w:pPr>
      <w:r>
        <w:rPr>
          <w:noProof/>
          <w:rtl/>
          <w:lang w:val="ar-SA"/>
        </w:rPr>
        <w:lastRenderedPageBreak/>
        <w:drawing>
          <wp:inline distT="0" distB="0" distL="0" distR="0" wp14:anchorId="599D9818" wp14:editId="03C02765">
            <wp:extent cx="5581650" cy="40563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cstate="print">
                      <a:extLst>
                        <a:ext uri="{28A0092B-C50C-407E-A947-70E740481C1C}">
                          <a14:useLocalDpi xmlns:a14="http://schemas.microsoft.com/office/drawing/2010/main" val="0"/>
                        </a:ext>
                      </a:extLst>
                    </a:blip>
                    <a:srcRect l="826" r="2282"/>
                    <a:stretch/>
                  </pic:blipFill>
                  <pic:spPr bwMode="auto">
                    <a:xfrm>
                      <a:off x="0" y="0"/>
                      <a:ext cx="5581650" cy="4056380"/>
                    </a:xfrm>
                    <a:prstGeom prst="rect">
                      <a:avLst/>
                    </a:prstGeom>
                    <a:ln>
                      <a:noFill/>
                    </a:ln>
                    <a:extLst>
                      <a:ext uri="{53640926-AAD7-44D8-BBD7-CCE9431645EC}">
                        <a14:shadowObscured xmlns:a14="http://schemas.microsoft.com/office/drawing/2010/main"/>
                      </a:ext>
                    </a:extLst>
                  </pic:spPr>
                </pic:pic>
              </a:graphicData>
            </a:graphic>
          </wp:inline>
        </w:drawing>
      </w:r>
    </w:p>
    <w:p w14:paraId="32BB620A" w14:textId="77777777" w:rsidR="005918A2" w:rsidRPr="00C612A0" w:rsidRDefault="005918A2" w:rsidP="005918A2">
      <w:pPr>
        <w:spacing w:after="0"/>
        <w:jc w:val="both"/>
        <w:rPr>
          <w:rFonts w:asciiTheme="majorBidi" w:hAnsiTheme="majorBidi" w:cstheme="majorBidi"/>
          <w:sz w:val="20"/>
          <w:szCs w:val="20"/>
          <w:rtl/>
          <w:lang w:val="en-US"/>
        </w:rPr>
      </w:pPr>
      <w:bookmarkStart w:id="9" w:name="_Hlk189398730"/>
      <w:r w:rsidRPr="00C612A0">
        <w:rPr>
          <w:rFonts w:asciiTheme="majorBidi" w:hAnsiTheme="majorBidi" w:cstheme="majorBidi"/>
          <w:sz w:val="24"/>
          <w:szCs w:val="24"/>
          <w:lang w:val="en-US"/>
        </w:rPr>
        <w:t xml:space="preserve">Source: </w:t>
      </w:r>
      <w:bookmarkEnd w:id="9"/>
      <w:r w:rsidRPr="00C612A0">
        <w:rPr>
          <w:rFonts w:asciiTheme="majorBidi" w:hAnsiTheme="majorBidi" w:cstheme="majorBidi"/>
          <w:sz w:val="24"/>
          <w:szCs w:val="24"/>
          <w:lang w:val="en-US"/>
        </w:rPr>
        <w:t>administrative division in 2015</w:t>
      </w:r>
    </w:p>
    <w:p w14:paraId="327DEF73" w14:textId="24801E4B" w:rsidR="00836AD5" w:rsidRPr="00C612A0" w:rsidRDefault="005918A2" w:rsidP="007B1FD5">
      <w:pPr>
        <w:spacing w:after="0" w:line="360" w:lineRule="auto"/>
        <w:jc w:val="both"/>
        <w:rPr>
          <w:rFonts w:asciiTheme="majorBidi" w:hAnsiTheme="majorBidi" w:cstheme="majorBidi"/>
          <w:b/>
          <w:bCs/>
          <w:lang w:val="en-US" w:bidi="ar-MA"/>
        </w:rPr>
      </w:pPr>
      <w:r w:rsidRPr="00C612A0">
        <w:rPr>
          <w:rFonts w:asciiTheme="majorBidi" w:hAnsiTheme="majorBidi" w:cstheme="majorBidi"/>
          <w:b/>
          <w:bCs/>
          <w:lang w:val="en-US"/>
        </w:rPr>
        <w:t xml:space="preserve">Figure </w:t>
      </w:r>
      <w:r w:rsidR="007B1FD5" w:rsidRPr="00C612A0">
        <w:rPr>
          <w:rFonts w:asciiTheme="majorBidi" w:hAnsiTheme="majorBidi" w:cstheme="majorBidi"/>
          <w:b/>
          <w:bCs/>
          <w:lang w:val="en-US"/>
        </w:rPr>
        <w:t>2.</w:t>
      </w:r>
      <w:r w:rsidRPr="00C612A0">
        <w:rPr>
          <w:rFonts w:asciiTheme="majorBidi" w:hAnsiTheme="majorBidi" w:cstheme="majorBidi"/>
          <w:b/>
          <w:bCs/>
          <w:lang w:val="en-US"/>
        </w:rPr>
        <w:t xml:space="preserve"> Distribution of urban centers </w:t>
      </w:r>
      <w:bookmarkStart w:id="10" w:name="_Hlk189398702"/>
      <w:r w:rsidRPr="00C612A0">
        <w:rPr>
          <w:rFonts w:asciiTheme="majorBidi" w:hAnsiTheme="majorBidi" w:cstheme="majorBidi"/>
          <w:b/>
          <w:bCs/>
          <w:lang w:val="en-US"/>
        </w:rPr>
        <w:t>in the province of Al Hoceima</w:t>
      </w:r>
      <w:bookmarkEnd w:id="10"/>
    </w:p>
    <w:p w14:paraId="591F829E" w14:textId="13301FC4" w:rsidR="00836AD5" w:rsidRPr="00C612A0" w:rsidRDefault="0077210C" w:rsidP="00B54DF8">
      <w:pPr>
        <w:jc w:val="both"/>
        <w:rPr>
          <w:rFonts w:asciiTheme="majorBidi" w:hAnsiTheme="majorBidi" w:cstheme="majorBidi"/>
          <w:sz w:val="24"/>
          <w:szCs w:val="24"/>
          <w:lang w:val="en-US"/>
        </w:rPr>
      </w:pPr>
      <w:r w:rsidRPr="00C612A0">
        <w:rPr>
          <w:rFonts w:asciiTheme="majorBidi" w:hAnsiTheme="majorBidi" w:cstheme="majorBidi"/>
          <w:sz w:val="24"/>
          <w:szCs w:val="24"/>
          <w:lang w:val="en-US"/>
        </w:rPr>
        <w:t>Over the last three decades, a few small centers have emerged in the province of Al Hoceima</w:t>
      </w:r>
      <w:r w:rsidR="005B0465">
        <w:rPr>
          <w:rFonts w:asciiTheme="majorBidi" w:hAnsiTheme="majorBidi" w:cstheme="majorBidi"/>
          <w:sz w:val="24"/>
          <w:szCs w:val="24"/>
          <w:lang w:val="en-US"/>
        </w:rPr>
        <w:t xml:space="preserve"> </w:t>
      </w:r>
      <w:r w:rsidR="005B0465" w:rsidRPr="005B0465">
        <w:rPr>
          <w:rFonts w:asciiTheme="majorBidi" w:hAnsiTheme="majorBidi" w:cstheme="majorBidi"/>
          <w:sz w:val="24"/>
          <w:szCs w:val="24"/>
          <w:lang w:val="en-US"/>
        </w:rPr>
        <w:t>(Figure</w:t>
      </w:r>
      <w:r w:rsidR="009B3317">
        <w:rPr>
          <w:rFonts w:asciiTheme="majorBidi" w:hAnsiTheme="majorBidi" w:cstheme="majorBidi"/>
          <w:sz w:val="24"/>
          <w:szCs w:val="24"/>
          <w:lang w:val="en-US"/>
        </w:rPr>
        <w:t xml:space="preserve"> </w:t>
      </w:r>
      <w:r w:rsidR="005B0465">
        <w:rPr>
          <w:rFonts w:asciiTheme="majorBidi" w:hAnsiTheme="majorBidi" w:cstheme="majorBidi"/>
          <w:sz w:val="24"/>
          <w:szCs w:val="24"/>
          <w:lang w:val="en-US"/>
        </w:rPr>
        <w:t>2</w:t>
      </w:r>
      <w:r w:rsidR="005B0465" w:rsidRPr="005B0465">
        <w:rPr>
          <w:rFonts w:asciiTheme="majorBidi" w:hAnsiTheme="majorBidi" w:cstheme="majorBidi"/>
          <w:sz w:val="24"/>
          <w:szCs w:val="24"/>
          <w:lang w:val="en-US"/>
        </w:rPr>
        <w:t>)</w:t>
      </w:r>
      <w:r w:rsidRPr="00C612A0">
        <w:rPr>
          <w:rFonts w:asciiTheme="majorBidi" w:hAnsiTheme="majorBidi" w:cstheme="majorBidi"/>
          <w:sz w:val="24"/>
          <w:szCs w:val="24"/>
          <w:lang w:val="en-US"/>
        </w:rPr>
        <w:t>, the most important of which is the center of Ajdir, elevated to the rank of municipality, alongside the centers of Issaguen, Bni Hadifa and Tamassint. Then, in 2004, the Sidi Bouafif Center in the north, and finally the Ait Kamra Center in 2024.</w:t>
      </w:r>
    </w:p>
    <w:p w14:paraId="45011929" w14:textId="2C8CB243" w:rsidR="003B5E20" w:rsidRDefault="003B5E20" w:rsidP="007B1FD5">
      <w:pPr>
        <w:spacing w:after="0"/>
        <w:jc w:val="both"/>
        <w:rPr>
          <w:lang w:val="en-US"/>
        </w:rPr>
      </w:pPr>
      <w:r>
        <w:rPr>
          <w:noProof/>
        </w:rPr>
        <w:drawing>
          <wp:inline distT="0" distB="0" distL="0" distR="0" wp14:anchorId="2C9F7887" wp14:editId="5CA76330">
            <wp:extent cx="4876800" cy="2743200"/>
            <wp:effectExtent l="0" t="0" r="0" b="0"/>
            <wp:docPr id="2" name="Graphique 2">
              <a:extLst xmlns:a="http://schemas.openxmlformats.org/drawingml/2006/main">
                <a:ext uri="{FF2B5EF4-FFF2-40B4-BE49-F238E27FC236}">
                  <a16:creationId xmlns:a16="http://schemas.microsoft.com/office/drawing/2014/main" id="{0AEC2B9B-16C4-4DB2-8C10-98A8932B5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B8BD98" w14:textId="07AB5465" w:rsidR="003B5E20" w:rsidRPr="00994ED1" w:rsidRDefault="007B1FD5" w:rsidP="007B1FD5">
      <w:pPr>
        <w:spacing w:after="0"/>
        <w:jc w:val="both"/>
        <w:rPr>
          <w:rFonts w:asciiTheme="majorBidi" w:hAnsiTheme="majorBidi" w:cstheme="majorBidi"/>
          <w:sz w:val="20"/>
          <w:szCs w:val="20"/>
          <w:lang w:val="en-US"/>
        </w:rPr>
      </w:pPr>
      <w:bookmarkStart w:id="11" w:name="_Hlk189399019"/>
      <w:r w:rsidRPr="00994ED1">
        <w:rPr>
          <w:rFonts w:asciiTheme="majorBidi" w:hAnsiTheme="majorBidi" w:cstheme="majorBidi"/>
          <w:sz w:val="20"/>
          <w:szCs w:val="20"/>
          <w:lang w:val="en-US"/>
        </w:rPr>
        <w:t>Source.</w:t>
      </w:r>
      <w:r w:rsidR="00721623" w:rsidRPr="00994ED1">
        <w:rPr>
          <w:rFonts w:asciiTheme="majorBidi" w:hAnsiTheme="majorBidi" w:cstheme="majorBidi"/>
          <w:sz w:val="20"/>
          <w:szCs w:val="20"/>
          <w:lang w:val="en-US"/>
        </w:rPr>
        <w:t xml:space="preserve"> statistics for 1994, 2004, 2014 and 2024</w:t>
      </w:r>
    </w:p>
    <w:p w14:paraId="5D41C87E" w14:textId="1DBD7023" w:rsidR="007B1FD5" w:rsidRPr="00994ED1" w:rsidRDefault="007B1FD5" w:rsidP="007B1FD5">
      <w:pPr>
        <w:spacing w:after="0" w:line="360" w:lineRule="auto"/>
        <w:jc w:val="both"/>
        <w:rPr>
          <w:rFonts w:asciiTheme="majorBidi" w:hAnsiTheme="majorBidi" w:cstheme="majorBidi"/>
          <w:b/>
          <w:bCs/>
          <w:sz w:val="20"/>
          <w:szCs w:val="20"/>
          <w:lang w:val="en-US"/>
        </w:rPr>
      </w:pPr>
      <w:r w:rsidRPr="00994ED1">
        <w:rPr>
          <w:rFonts w:asciiTheme="majorBidi" w:hAnsiTheme="majorBidi" w:cstheme="majorBidi"/>
          <w:b/>
          <w:bCs/>
          <w:sz w:val="20"/>
          <w:szCs w:val="20"/>
          <w:lang w:val="en-US"/>
        </w:rPr>
        <w:t>Figure 3.</w:t>
      </w:r>
      <w:r w:rsidRPr="00994ED1">
        <w:rPr>
          <w:rFonts w:asciiTheme="majorBidi" w:hAnsiTheme="majorBidi" w:cstheme="majorBidi"/>
          <w:lang w:val="en-US"/>
        </w:rPr>
        <w:t xml:space="preserve"> </w:t>
      </w:r>
      <w:r w:rsidRPr="00994ED1">
        <w:rPr>
          <w:rFonts w:asciiTheme="majorBidi" w:hAnsiTheme="majorBidi" w:cstheme="majorBidi"/>
          <w:b/>
          <w:bCs/>
          <w:sz w:val="20"/>
          <w:szCs w:val="20"/>
          <w:lang w:val="en-US"/>
        </w:rPr>
        <w:t>Legal population by municipality in the province of Al Hoceima</w:t>
      </w:r>
    </w:p>
    <w:bookmarkEnd w:id="11"/>
    <w:p w14:paraId="2E065438" w14:textId="36BDDC0C" w:rsidR="005E524A" w:rsidRPr="00994ED1" w:rsidRDefault="005E524A" w:rsidP="00B54DF8">
      <w:pPr>
        <w:jc w:val="both"/>
        <w:rPr>
          <w:rFonts w:asciiTheme="majorBidi" w:hAnsiTheme="majorBidi" w:cstheme="majorBidi"/>
          <w:color w:val="000000" w:themeColor="text1"/>
          <w:sz w:val="24"/>
          <w:szCs w:val="24"/>
          <w:lang w:val="en-US"/>
        </w:rPr>
      </w:pPr>
      <w:r w:rsidRPr="00994ED1">
        <w:rPr>
          <w:rFonts w:asciiTheme="majorBidi" w:hAnsiTheme="majorBidi" w:cstheme="majorBidi"/>
          <w:color w:val="000000" w:themeColor="text1"/>
          <w:sz w:val="24"/>
          <w:szCs w:val="24"/>
          <w:lang w:val="en-US"/>
        </w:rPr>
        <w:lastRenderedPageBreak/>
        <w:t>Urban realities are at the heart of changes transforming the Morocco. Over only a few decades urbanization has been massive and rapid, profoundly disrupting lifestyles and social structures (</w:t>
      </w:r>
      <w:r w:rsidR="00A032B8" w:rsidRPr="00994ED1">
        <w:rPr>
          <w:rFonts w:asciiTheme="majorBidi" w:hAnsiTheme="majorBidi" w:cstheme="majorBidi"/>
          <w:color w:val="000000" w:themeColor="text1"/>
          <w:sz w:val="24"/>
          <w:szCs w:val="24"/>
          <w:lang w:val="en-US"/>
        </w:rPr>
        <w:t>Belguidoum et al</w:t>
      </w:r>
      <w:r w:rsidR="001C2B56" w:rsidRPr="00994ED1">
        <w:rPr>
          <w:rFonts w:asciiTheme="majorBidi" w:hAnsiTheme="majorBidi" w:cstheme="majorBidi"/>
          <w:color w:val="000000" w:themeColor="text1"/>
          <w:sz w:val="24"/>
          <w:szCs w:val="24"/>
          <w:lang w:val="en-US"/>
        </w:rPr>
        <w:t>.,</w:t>
      </w:r>
      <w:r w:rsidR="00A032B8" w:rsidRPr="00994ED1">
        <w:rPr>
          <w:rFonts w:asciiTheme="majorBidi" w:hAnsiTheme="majorBidi" w:cstheme="majorBidi"/>
          <w:color w:val="000000" w:themeColor="text1"/>
          <w:sz w:val="24"/>
          <w:szCs w:val="24"/>
          <w:lang w:val="en-US"/>
        </w:rPr>
        <w:t xml:space="preserve"> 2015</w:t>
      </w:r>
      <w:r w:rsidRPr="00994ED1">
        <w:rPr>
          <w:rFonts w:asciiTheme="majorBidi" w:hAnsiTheme="majorBidi" w:cstheme="majorBidi"/>
          <w:color w:val="000000" w:themeColor="text1"/>
          <w:sz w:val="24"/>
          <w:szCs w:val="24"/>
          <w:lang w:val="en-US"/>
        </w:rPr>
        <w:t>).</w:t>
      </w:r>
    </w:p>
    <w:p w14:paraId="41C4732B" w14:textId="295D81FA" w:rsidR="005E524A" w:rsidRPr="00994ED1" w:rsidRDefault="00B02CEE" w:rsidP="00B54DF8">
      <w:pPr>
        <w:jc w:val="both"/>
        <w:rPr>
          <w:rFonts w:asciiTheme="majorBidi" w:hAnsiTheme="majorBidi" w:cstheme="majorBidi"/>
          <w:color w:val="000000" w:themeColor="text1"/>
          <w:sz w:val="24"/>
          <w:szCs w:val="24"/>
          <w:rtl/>
          <w:lang w:val="en-US" w:bidi="ar-MA"/>
        </w:rPr>
      </w:pPr>
      <w:r w:rsidRPr="00994ED1">
        <w:rPr>
          <w:rFonts w:asciiTheme="majorBidi" w:hAnsiTheme="majorBidi" w:cstheme="majorBidi"/>
          <w:color w:val="000000" w:themeColor="text1"/>
          <w:sz w:val="24"/>
          <w:szCs w:val="24"/>
          <w:lang w:val="en-US" w:bidi="ar-MA"/>
        </w:rPr>
        <w:t>Since the dawn of independence, the Al Hoceima region has witnessed a set of interventions concerning urban development. However, those who follow the dynamics of the urban network notice the slow development of the urbanization process in the Al Hoceima.</w:t>
      </w:r>
    </w:p>
    <w:p w14:paraId="1C7559D5" w14:textId="1E08553D" w:rsidR="003B5E20" w:rsidRPr="00994ED1" w:rsidRDefault="004D603D" w:rsidP="00B54DF8">
      <w:pPr>
        <w:jc w:val="both"/>
        <w:rPr>
          <w:rFonts w:asciiTheme="majorBidi" w:hAnsiTheme="majorBidi" w:cstheme="majorBidi"/>
          <w:sz w:val="24"/>
          <w:szCs w:val="24"/>
          <w:rtl/>
          <w:lang w:val="en-US"/>
        </w:rPr>
      </w:pPr>
      <w:r w:rsidRPr="00994ED1">
        <w:rPr>
          <w:rFonts w:asciiTheme="majorBidi" w:hAnsiTheme="majorBidi" w:cstheme="majorBidi"/>
          <w:color w:val="000000" w:themeColor="text1"/>
          <w:sz w:val="24"/>
          <w:szCs w:val="24"/>
          <w:lang w:val="en-US"/>
        </w:rPr>
        <w:t xml:space="preserve">Consequently, these development projects did not allow for the establishment of a national development strategy that equates marginalized areas with the urban area, but also created conflicts between local communities and the state </w:t>
      </w:r>
      <w:r w:rsidRPr="00994ED1">
        <w:rPr>
          <w:rFonts w:asciiTheme="majorBidi" w:hAnsiTheme="majorBidi" w:cstheme="majorBidi"/>
          <w:sz w:val="24"/>
          <w:szCs w:val="24"/>
          <w:lang w:val="en-US"/>
        </w:rPr>
        <w:t>(El Kahlaoui</w:t>
      </w:r>
      <w:r w:rsidR="001C2B56" w:rsidRPr="00994ED1">
        <w:rPr>
          <w:rFonts w:asciiTheme="majorBidi" w:hAnsiTheme="majorBidi" w:cstheme="majorBidi"/>
          <w:sz w:val="24"/>
          <w:szCs w:val="24"/>
          <w:lang w:val="en-US"/>
        </w:rPr>
        <w:t>,</w:t>
      </w:r>
      <w:r w:rsidRPr="00994ED1">
        <w:rPr>
          <w:rFonts w:asciiTheme="majorBidi" w:hAnsiTheme="majorBidi" w:cstheme="majorBidi"/>
          <w:sz w:val="24"/>
          <w:szCs w:val="24"/>
          <w:lang w:val="en-US"/>
        </w:rPr>
        <w:t xml:space="preserve"> 2024).</w:t>
      </w:r>
    </w:p>
    <w:p w14:paraId="77EDA4E5" w14:textId="67E339DF" w:rsidR="004D603D" w:rsidRPr="008B2311" w:rsidRDefault="002B4F37" w:rsidP="00B54DF8">
      <w:pPr>
        <w:jc w:val="both"/>
        <w:rPr>
          <w:rFonts w:asciiTheme="minorBidi" w:hAnsiTheme="minorBidi"/>
          <w:sz w:val="24"/>
          <w:szCs w:val="24"/>
          <w:lang w:val="en-US"/>
        </w:rPr>
      </w:pPr>
      <w:r w:rsidRPr="00994ED1">
        <w:rPr>
          <w:rFonts w:asciiTheme="majorBidi" w:hAnsiTheme="majorBidi" w:cstheme="majorBidi"/>
          <w:sz w:val="24"/>
          <w:szCs w:val="24"/>
          <w:lang w:val="en-US"/>
        </w:rPr>
        <w:t>By comparing the results of the general population and housing census between 2014 and 2024, it is noted that the population of the city of Al Hoceima decreased by 6491 people</w:t>
      </w:r>
      <w:r w:rsidR="005B0465">
        <w:rPr>
          <w:rFonts w:asciiTheme="majorBidi" w:hAnsiTheme="majorBidi" w:cstheme="majorBidi"/>
          <w:sz w:val="24"/>
          <w:szCs w:val="24"/>
          <w:lang w:val="en-US"/>
        </w:rPr>
        <w:t xml:space="preserve"> </w:t>
      </w:r>
      <w:r w:rsidR="005B0465" w:rsidRPr="005B0465">
        <w:rPr>
          <w:rFonts w:asciiTheme="majorBidi" w:hAnsiTheme="majorBidi" w:cstheme="majorBidi"/>
          <w:sz w:val="24"/>
          <w:szCs w:val="24"/>
          <w:lang w:val="en-US"/>
        </w:rPr>
        <w:t>(Figure</w:t>
      </w:r>
      <w:r w:rsidR="009B3317">
        <w:rPr>
          <w:rFonts w:asciiTheme="majorBidi" w:hAnsiTheme="majorBidi" w:cstheme="majorBidi"/>
          <w:sz w:val="24"/>
          <w:szCs w:val="24"/>
          <w:lang w:val="en-US"/>
        </w:rPr>
        <w:t xml:space="preserve"> </w:t>
      </w:r>
      <w:r w:rsidR="005B0465">
        <w:rPr>
          <w:rFonts w:asciiTheme="majorBidi" w:hAnsiTheme="majorBidi" w:cstheme="majorBidi"/>
          <w:sz w:val="24"/>
          <w:szCs w:val="24"/>
          <w:lang w:val="en-US"/>
        </w:rPr>
        <w:t>3</w:t>
      </w:r>
      <w:r w:rsidR="005B0465" w:rsidRPr="005B0465">
        <w:rPr>
          <w:rFonts w:asciiTheme="majorBidi" w:hAnsiTheme="majorBidi" w:cstheme="majorBidi"/>
          <w:sz w:val="24"/>
          <w:szCs w:val="24"/>
          <w:lang w:val="en-US"/>
        </w:rPr>
        <w:t>)</w:t>
      </w:r>
      <w:r w:rsidRPr="00994ED1">
        <w:rPr>
          <w:rFonts w:asciiTheme="majorBidi" w:hAnsiTheme="majorBidi" w:cstheme="majorBidi"/>
          <w:sz w:val="24"/>
          <w:szCs w:val="24"/>
          <w:lang w:val="en-US"/>
        </w:rPr>
        <w:t>. This decrease can be explained by a group of factors, the most important of which are: the Rif events in 2017 and the negative effects that resulted from them, then the economic crisis that the city is experiencing in general, and the rest of the urban centers in particular, in addition to other factors, including immigration, weak investments, etc</w:t>
      </w:r>
      <w:r w:rsidRPr="008B2311">
        <w:rPr>
          <w:rFonts w:asciiTheme="minorBidi" w:hAnsiTheme="minorBidi"/>
          <w:sz w:val="24"/>
          <w:szCs w:val="24"/>
          <w:lang w:val="en-US"/>
        </w:rPr>
        <w:t>.</w:t>
      </w:r>
    </w:p>
    <w:p w14:paraId="7DFC2FB7" w14:textId="59EE12FF" w:rsidR="003B5E20" w:rsidRDefault="003B5E20" w:rsidP="007B1FD5">
      <w:pPr>
        <w:spacing w:after="0"/>
        <w:jc w:val="both"/>
        <w:rPr>
          <w:rtl/>
          <w:lang w:val="en-US"/>
        </w:rPr>
      </w:pPr>
      <w:r>
        <w:rPr>
          <w:noProof/>
        </w:rPr>
        <w:drawing>
          <wp:inline distT="0" distB="0" distL="0" distR="0" wp14:anchorId="1ABAE6A9" wp14:editId="3E2625F6">
            <wp:extent cx="5286375" cy="2743200"/>
            <wp:effectExtent l="0" t="0" r="9525" b="0"/>
            <wp:docPr id="1" name="Graphique 1">
              <a:extLst xmlns:a="http://schemas.openxmlformats.org/drawingml/2006/main">
                <a:ext uri="{FF2B5EF4-FFF2-40B4-BE49-F238E27FC236}">
                  <a16:creationId xmlns:a16="http://schemas.microsoft.com/office/drawing/2014/main" id="{2886CAE0-E63E-4937-A5F2-B16FBE337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1B2997" w14:textId="77777777" w:rsidR="007B1FD5" w:rsidRPr="00994ED1" w:rsidRDefault="007B1FD5" w:rsidP="007B1FD5">
      <w:pPr>
        <w:spacing w:after="0"/>
        <w:jc w:val="both"/>
        <w:rPr>
          <w:rFonts w:asciiTheme="majorBidi" w:hAnsiTheme="majorBidi" w:cstheme="majorBidi"/>
          <w:sz w:val="20"/>
          <w:szCs w:val="20"/>
          <w:lang w:val="en-US"/>
        </w:rPr>
      </w:pPr>
      <w:bookmarkStart w:id="12" w:name="_Hlk189399172"/>
      <w:r w:rsidRPr="00994ED1">
        <w:rPr>
          <w:rFonts w:asciiTheme="majorBidi" w:hAnsiTheme="majorBidi" w:cstheme="majorBidi"/>
          <w:sz w:val="20"/>
          <w:szCs w:val="20"/>
          <w:lang w:val="en-US"/>
        </w:rPr>
        <w:t>Source. statistics for 1994, 2004, 2014 and 2024</w:t>
      </w:r>
    </w:p>
    <w:p w14:paraId="23B38C4D" w14:textId="220223C9" w:rsidR="007B1FD5" w:rsidRPr="00994ED1" w:rsidRDefault="007B1FD5" w:rsidP="007B1FD5">
      <w:pPr>
        <w:spacing w:after="0" w:line="360" w:lineRule="auto"/>
        <w:jc w:val="both"/>
        <w:rPr>
          <w:rFonts w:asciiTheme="majorBidi" w:hAnsiTheme="majorBidi" w:cstheme="majorBidi"/>
          <w:b/>
          <w:bCs/>
          <w:sz w:val="20"/>
          <w:szCs w:val="20"/>
          <w:rtl/>
          <w:lang w:val="en-US"/>
        </w:rPr>
      </w:pPr>
      <w:r w:rsidRPr="00994ED1">
        <w:rPr>
          <w:rFonts w:asciiTheme="majorBidi" w:hAnsiTheme="majorBidi" w:cstheme="majorBidi"/>
          <w:b/>
          <w:bCs/>
          <w:sz w:val="20"/>
          <w:szCs w:val="20"/>
          <w:lang w:val="en-US"/>
        </w:rPr>
        <w:t>Figure 4.</w:t>
      </w:r>
      <w:r w:rsidRPr="00994ED1">
        <w:rPr>
          <w:rFonts w:asciiTheme="majorBidi" w:hAnsiTheme="majorBidi" w:cstheme="majorBidi"/>
          <w:lang w:val="en-US"/>
        </w:rPr>
        <w:t xml:space="preserve"> </w:t>
      </w:r>
      <w:r w:rsidRPr="00994ED1">
        <w:rPr>
          <w:rFonts w:asciiTheme="majorBidi" w:hAnsiTheme="majorBidi" w:cstheme="majorBidi"/>
          <w:b/>
          <w:bCs/>
          <w:sz w:val="20"/>
          <w:szCs w:val="20"/>
          <w:lang w:val="en-US"/>
        </w:rPr>
        <w:t>Legal population by urban centers in the province of Al Hoceima</w:t>
      </w:r>
    </w:p>
    <w:bookmarkEnd w:id="12"/>
    <w:p w14:paraId="168158C3" w14:textId="12DA9DC5" w:rsidR="00721623" w:rsidRPr="00994ED1" w:rsidRDefault="00431EB2" w:rsidP="00B54DF8">
      <w:p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If most urban cities in Morocco witnessed a significant development in their population during the last census of 2024, the matter is different in the Al Hoceima province, as the city of Al Hoceima and some urban centers witnessed a decrease in their population</w:t>
      </w:r>
      <w:r w:rsidR="005B0465">
        <w:rPr>
          <w:rFonts w:asciiTheme="majorBidi" w:hAnsiTheme="majorBidi" w:cstheme="majorBidi"/>
          <w:sz w:val="24"/>
          <w:szCs w:val="24"/>
          <w:lang w:val="en-US" w:bidi="ar-MA"/>
        </w:rPr>
        <w:t xml:space="preserve"> </w:t>
      </w:r>
      <w:bookmarkStart w:id="13" w:name="_Hlk198022034"/>
      <w:r w:rsidR="005B0465" w:rsidRPr="005B0465">
        <w:rPr>
          <w:rFonts w:asciiTheme="majorBidi" w:hAnsiTheme="majorBidi" w:cstheme="majorBidi"/>
          <w:sz w:val="24"/>
          <w:szCs w:val="24"/>
          <w:lang w:val="en-US" w:bidi="ar-MA"/>
        </w:rPr>
        <w:t>(Figure</w:t>
      </w:r>
      <w:r w:rsidR="009B3317">
        <w:rPr>
          <w:rFonts w:asciiTheme="majorBidi" w:hAnsiTheme="majorBidi" w:cstheme="majorBidi"/>
          <w:sz w:val="24"/>
          <w:szCs w:val="24"/>
          <w:lang w:val="en-US" w:bidi="ar-MA"/>
        </w:rPr>
        <w:t xml:space="preserve"> </w:t>
      </w:r>
      <w:r w:rsidR="005B0465">
        <w:rPr>
          <w:rFonts w:asciiTheme="majorBidi" w:hAnsiTheme="majorBidi" w:cstheme="majorBidi"/>
          <w:sz w:val="24"/>
          <w:szCs w:val="24"/>
          <w:lang w:val="en-US" w:bidi="ar-MA"/>
        </w:rPr>
        <w:t>4</w:t>
      </w:r>
      <w:r w:rsidR="005B0465" w:rsidRPr="005B0465">
        <w:rPr>
          <w:rFonts w:asciiTheme="majorBidi" w:hAnsiTheme="majorBidi" w:cstheme="majorBidi"/>
          <w:sz w:val="24"/>
          <w:szCs w:val="24"/>
          <w:lang w:val="en-US" w:bidi="ar-MA"/>
        </w:rPr>
        <w:t>)</w:t>
      </w:r>
      <w:bookmarkEnd w:id="13"/>
      <w:r w:rsidRPr="00994ED1">
        <w:rPr>
          <w:rFonts w:asciiTheme="majorBidi" w:hAnsiTheme="majorBidi" w:cstheme="majorBidi"/>
          <w:sz w:val="24"/>
          <w:szCs w:val="24"/>
          <w:lang w:val="en-US" w:bidi="ar-MA"/>
        </w:rPr>
        <w:t>, as the Tamassint Center recorded a decrease in population growth by -0.19%, the Bni Hadifa Center by -0.26%, and the city of Al Hoceima by -1.21%.</w:t>
      </w:r>
    </w:p>
    <w:p w14:paraId="7E753697" w14:textId="28030C72" w:rsidR="00836AD5" w:rsidRPr="00994ED1" w:rsidRDefault="00FD7DF4" w:rsidP="00B54DF8">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In this context, the rural commune of Ait Kamra was promoted in 2024 to the rank of urban commune and is therefore experiencing the emergence of new challenges to overcome, in particular the main constraints to its spatial cohesion, its operation and its management of urban services.</w:t>
      </w:r>
    </w:p>
    <w:p w14:paraId="180126EA" w14:textId="4CBE985F" w:rsidR="00C612A0" w:rsidRDefault="00C612A0" w:rsidP="00B54DF8">
      <w:pPr>
        <w:jc w:val="both"/>
        <w:rPr>
          <w:rFonts w:asciiTheme="minorBidi" w:hAnsiTheme="minorBidi"/>
          <w:sz w:val="24"/>
          <w:szCs w:val="24"/>
          <w:rtl/>
          <w:lang w:val="en-US"/>
        </w:rPr>
      </w:pPr>
    </w:p>
    <w:p w14:paraId="46E8558B" w14:textId="77777777" w:rsidR="00994ED1" w:rsidRPr="008B2311" w:rsidRDefault="00994ED1" w:rsidP="00B54DF8">
      <w:pPr>
        <w:jc w:val="both"/>
        <w:rPr>
          <w:rFonts w:asciiTheme="minorBidi" w:hAnsiTheme="minorBidi"/>
          <w:sz w:val="24"/>
          <w:szCs w:val="24"/>
          <w:rtl/>
          <w:lang w:val="en-US"/>
        </w:rPr>
      </w:pPr>
    </w:p>
    <w:p w14:paraId="409410B1" w14:textId="77777777" w:rsidR="002902A5" w:rsidRPr="00994ED1" w:rsidRDefault="002902A5" w:rsidP="002902A5">
      <w:pPr>
        <w:jc w:val="both"/>
        <w:rPr>
          <w:rFonts w:asciiTheme="majorBidi" w:hAnsiTheme="majorBidi" w:cstheme="majorBidi"/>
          <w:b/>
          <w:bCs/>
          <w:sz w:val="24"/>
          <w:szCs w:val="24"/>
          <w:rtl/>
          <w:lang w:val="en-US" w:bidi="ar-MA"/>
        </w:rPr>
      </w:pPr>
      <w:r w:rsidRPr="00994ED1">
        <w:rPr>
          <w:rFonts w:asciiTheme="majorBidi" w:hAnsiTheme="majorBidi" w:cstheme="majorBidi"/>
          <w:b/>
          <w:bCs/>
          <w:sz w:val="24"/>
          <w:szCs w:val="24"/>
          <w:lang w:val="en-US"/>
        </w:rPr>
        <w:lastRenderedPageBreak/>
        <w:t>1.3 Evolution of the urbanization rate in the province of Al Hoceima</w:t>
      </w:r>
    </w:p>
    <w:p w14:paraId="5D6A3897" w14:textId="5FDE9D61" w:rsidR="00836AD5" w:rsidRPr="00994ED1" w:rsidRDefault="00BA0BDD" w:rsidP="00B54DF8">
      <w:pPr>
        <w:jc w:val="both"/>
        <w:rPr>
          <w:rFonts w:asciiTheme="majorBidi" w:hAnsiTheme="majorBidi" w:cstheme="majorBidi"/>
          <w:sz w:val="24"/>
          <w:szCs w:val="24"/>
          <w:rtl/>
          <w:lang w:val="en-US" w:bidi="ar-MA"/>
        </w:rPr>
      </w:pPr>
      <w:r w:rsidRPr="00994ED1">
        <w:rPr>
          <w:rFonts w:asciiTheme="majorBidi" w:hAnsiTheme="majorBidi" w:cstheme="majorBidi"/>
          <w:sz w:val="24"/>
          <w:szCs w:val="24"/>
          <w:lang w:val="en-US" w:bidi="ar-MA"/>
        </w:rPr>
        <w:t>The urbanization rate in Morocco has experienced rapid development in recent decades, leading to a rapid increase in the percentage of the urban population, reaching 60,8% after 55,1% in 2004.</w:t>
      </w:r>
    </w:p>
    <w:p w14:paraId="666250A4" w14:textId="34B9D40F" w:rsidR="00BA0BDD" w:rsidRPr="00994ED1" w:rsidRDefault="00357732" w:rsidP="00B54DF8">
      <w:p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In contrast, the evolution of the urbanization rate in the province of Al Hoceima has been modest, with newly developed urban centers not contributing to the development of urbanization compared to other Moroccan regions.</w:t>
      </w:r>
    </w:p>
    <w:tbl>
      <w:tblPr>
        <w:tblStyle w:val="Grilledutableau"/>
        <w:tblW w:w="0" w:type="auto"/>
        <w:tblCellMar>
          <w:left w:w="70" w:type="dxa"/>
          <w:right w:w="70" w:type="dxa"/>
        </w:tblCellMar>
        <w:tblLook w:val="04A0" w:firstRow="1" w:lastRow="0" w:firstColumn="1" w:lastColumn="0" w:noHBand="0" w:noVBand="1"/>
      </w:tblPr>
      <w:tblGrid>
        <w:gridCol w:w="9062"/>
      </w:tblGrid>
      <w:tr w:rsidR="00074602" w14:paraId="321A2E61" w14:textId="77777777" w:rsidTr="00074602">
        <w:tc>
          <w:tcPr>
            <w:tcW w:w="9062" w:type="dxa"/>
          </w:tcPr>
          <w:p w14:paraId="30EA931B" w14:textId="3AFEE7E0" w:rsidR="00074602" w:rsidRDefault="00074602" w:rsidP="00B54DF8">
            <w:pPr>
              <w:jc w:val="both"/>
              <w:rPr>
                <w:lang w:val="en-US" w:bidi="ar-MA"/>
              </w:rPr>
            </w:pPr>
            <w:r>
              <w:rPr>
                <w:noProof/>
              </w:rPr>
              <w:drawing>
                <wp:inline distT="0" distB="0" distL="0" distR="0" wp14:anchorId="5B3DB5A4" wp14:editId="53711021">
                  <wp:extent cx="2762250" cy="1838325"/>
                  <wp:effectExtent l="0" t="0" r="0" b="9525"/>
                  <wp:docPr id="6" name="Graphique 6">
                    <a:extLst xmlns:a="http://schemas.openxmlformats.org/drawingml/2006/main">
                      <a:ext uri="{FF2B5EF4-FFF2-40B4-BE49-F238E27FC236}">
                        <a16:creationId xmlns:a16="http://schemas.microsoft.com/office/drawing/2014/main" id="{786A92AE-D5F8-4D69-B532-B523606FA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601261C0" wp14:editId="46104CE1">
                  <wp:extent cx="2876550" cy="1819275"/>
                  <wp:effectExtent l="0" t="0" r="0" b="9525"/>
                  <wp:docPr id="5" name="Graphique 5">
                    <a:extLst xmlns:a="http://schemas.openxmlformats.org/drawingml/2006/main">
                      <a:ext uri="{FF2B5EF4-FFF2-40B4-BE49-F238E27FC236}">
                        <a16:creationId xmlns:a16="http://schemas.microsoft.com/office/drawing/2014/main" id="{762712E5-146A-4BAE-9414-54DB4744F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6D9455F0" w14:textId="77777777" w:rsidR="002902A5" w:rsidRPr="00994ED1" w:rsidRDefault="007B1FD5" w:rsidP="002902A5">
      <w:pPr>
        <w:spacing w:after="0"/>
        <w:jc w:val="both"/>
        <w:rPr>
          <w:rFonts w:asciiTheme="majorBidi" w:hAnsiTheme="majorBidi" w:cstheme="majorBidi"/>
          <w:sz w:val="20"/>
          <w:szCs w:val="20"/>
          <w:lang w:val="en-US"/>
        </w:rPr>
      </w:pPr>
      <w:r w:rsidRPr="00994ED1">
        <w:rPr>
          <w:rFonts w:asciiTheme="majorBidi" w:hAnsiTheme="majorBidi" w:cstheme="majorBidi"/>
          <w:sz w:val="20"/>
          <w:szCs w:val="20"/>
          <w:lang w:val="en-US"/>
        </w:rPr>
        <w:t xml:space="preserve">Source. </w:t>
      </w:r>
      <w:r w:rsidR="002902A5" w:rsidRPr="00994ED1">
        <w:rPr>
          <w:rFonts w:asciiTheme="majorBidi" w:hAnsiTheme="majorBidi" w:cstheme="majorBidi"/>
          <w:sz w:val="20"/>
          <w:szCs w:val="20"/>
          <w:lang w:val="en-US"/>
        </w:rPr>
        <w:t>statistics for 2004, 2014 and 2024</w:t>
      </w:r>
    </w:p>
    <w:p w14:paraId="0D958DD0" w14:textId="564F6BE8" w:rsidR="007B1FD5" w:rsidRPr="00994ED1" w:rsidRDefault="007B1FD5" w:rsidP="00F44ABA">
      <w:pPr>
        <w:spacing w:after="0" w:line="360" w:lineRule="auto"/>
        <w:jc w:val="both"/>
        <w:rPr>
          <w:rFonts w:asciiTheme="majorBidi" w:hAnsiTheme="majorBidi" w:cstheme="majorBidi"/>
          <w:b/>
          <w:bCs/>
          <w:sz w:val="20"/>
          <w:szCs w:val="20"/>
          <w:rtl/>
          <w:lang w:val="en-US"/>
        </w:rPr>
      </w:pPr>
      <w:bookmarkStart w:id="14" w:name="_Hlk189399458"/>
      <w:r w:rsidRPr="00994ED1">
        <w:rPr>
          <w:rFonts w:asciiTheme="majorBidi" w:hAnsiTheme="majorBidi" w:cstheme="majorBidi"/>
          <w:b/>
          <w:bCs/>
          <w:sz w:val="20"/>
          <w:szCs w:val="20"/>
          <w:lang w:val="en-US"/>
        </w:rPr>
        <w:t xml:space="preserve">Figure </w:t>
      </w:r>
      <w:r w:rsidR="002902A5" w:rsidRPr="00994ED1">
        <w:rPr>
          <w:rFonts w:asciiTheme="majorBidi" w:hAnsiTheme="majorBidi" w:cstheme="majorBidi"/>
          <w:b/>
          <w:bCs/>
          <w:sz w:val="20"/>
          <w:szCs w:val="20"/>
          <w:lang w:val="en-US"/>
        </w:rPr>
        <w:t>5</w:t>
      </w:r>
      <w:r w:rsidRPr="00994ED1">
        <w:rPr>
          <w:rFonts w:asciiTheme="majorBidi" w:hAnsiTheme="majorBidi" w:cstheme="majorBidi"/>
          <w:b/>
          <w:bCs/>
          <w:sz w:val="20"/>
          <w:szCs w:val="20"/>
          <w:lang w:val="en-US"/>
        </w:rPr>
        <w:t>.</w:t>
      </w:r>
      <w:r w:rsidRPr="00994ED1">
        <w:rPr>
          <w:rFonts w:asciiTheme="majorBidi" w:hAnsiTheme="majorBidi" w:cstheme="majorBidi"/>
          <w:lang w:val="en-US"/>
        </w:rPr>
        <w:t xml:space="preserve"> </w:t>
      </w:r>
      <w:bookmarkEnd w:id="14"/>
      <w:r w:rsidR="002902A5" w:rsidRPr="00994ED1">
        <w:rPr>
          <w:rFonts w:asciiTheme="majorBidi" w:hAnsiTheme="majorBidi" w:cstheme="majorBidi"/>
          <w:b/>
          <w:bCs/>
          <w:sz w:val="20"/>
          <w:szCs w:val="20"/>
          <w:lang w:val="en-US"/>
        </w:rPr>
        <w:t>The percentage of urbanization in the province of Al Hoceima compared to Morocco</w:t>
      </w:r>
    </w:p>
    <w:p w14:paraId="47140764" w14:textId="75CD1BF6" w:rsidR="008E4F8A" w:rsidRPr="00994ED1" w:rsidRDefault="008E4F8A" w:rsidP="00B54DF8">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At the level of the territorial municipalities in which the urban centers are located, the percentage of urbanization is very different, since the urban center of Bni Hadifa recorded a percentage of 44,8%, exceeding the general average recorded at the provincial level, followed by the center of Ait kamra with a percentage of 38%, while the rest of the centers recorded low percentages, the Issaguen Center ranked last with a percentage of 15,1%</w:t>
      </w:r>
      <w:r w:rsidR="009B3317">
        <w:rPr>
          <w:rFonts w:asciiTheme="majorBidi" w:hAnsiTheme="majorBidi" w:cstheme="majorBidi"/>
          <w:sz w:val="24"/>
          <w:szCs w:val="24"/>
          <w:lang w:val="en-US"/>
        </w:rPr>
        <w:t xml:space="preserve"> </w:t>
      </w:r>
      <w:bookmarkStart w:id="15" w:name="_Hlk198022143"/>
      <w:r w:rsidR="009B3317" w:rsidRPr="009B3317">
        <w:rPr>
          <w:rFonts w:asciiTheme="majorBidi" w:hAnsiTheme="majorBidi" w:cstheme="majorBidi"/>
          <w:sz w:val="24"/>
          <w:szCs w:val="24"/>
          <w:lang w:val="en-US"/>
        </w:rPr>
        <w:t>(Figure</w:t>
      </w:r>
      <w:r w:rsidR="009B3317">
        <w:rPr>
          <w:rFonts w:asciiTheme="majorBidi" w:hAnsiTheme="majorBidi" w:cstheme="majorBidi"/>
          <w:sz w:val="24"/>
          <w:szCs w:val="24"/>
          <w:lang w:val="en-US"/>
        </w:rPr>
        <w:t xml:space="preserve"> 5</w:t>
      </w:r>
      <w:r w:rsidR="009B3317" w:rsidRPr="009B3317">
        <w:rPr>
          <w:rFonts w:asciiTheme="majorBidi" w:hAnsiTheme="majorBidi" w:cstheme="majorBidi"/>
          <w:sz w:val="24"/>
          <w:szCs w:val="24"/>
          <w:lang w:val="en-US"/>
        </w:rPr>
        <w:t>)</w:t>
      </w:r>
      <w:r w:rsidRPr="00994ED1">
        <w:rPr>
          <w:rFonts w:asciiTheme="majorBidi" w:hAnsiTheme="majorBidi" w:cstheme="majorBidi"/>
          <w:sz w:val="24"/>
          <w:szCs w:val="24"/>
          <w:lang w:val="en-US"/>
        </w:rPr>
        <w:t>.</w:t>
      </w:r>
      <w:bookmarkEnd w:id="15"/>
    </w:p>
    <w:p w14:paraId="18257A7E" w14:textId="255BE2B9" w:rsidR="00FD0040" w:rsidRPr="00994ED1" w:rsidRDefault="00FD0040" w:rsidP="005C4511">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Generally, the urban phenomenon has become the main structuring factor of space and society in Morocco (ERRAOUGUI et al.</w:t>
      </w:r>
      <w:r w:rsidR="00C277B1" w:rsidRPr="00994ED1">
        <w:rPr>
          <w:rFonts w:asciiTheme="majorBidi" w:hAnsiTheme="majorBidi" w:cstheme="majorBidi"/>
          <w:sz w:val="24"/>
          <w:szCs w:val="24"/>
          <w:lang w:val="en-US"/>
        </w:rPr>
        <w:t>,</w:t>
      </w:r>
      <w:r w:rsidRPr="00994ED1">
        <w:rPr>
          <w:rFonts w:asciiTheme="majorBidi" w:hAnsiTheme="majorBidi" w:cstheme="majorBidi"/>
          <w:sz w:val="24"/>
          <w:szCs w:val="24"/>
          <w:lang w:val="en-US"/>
        </w:rPr>
        <w:t xml:space="preserve"> 2022). As a result, the challenge of urban </w:t>
      </w:r>
      <w:r w:rsidR="00816247" w:rsidRPr="00994ED1">
        <w:rPr>
          <w:rFonts w:asciiTheme="majorBidi" w:hAnsiTheme="majorBidi" w:cstheme="majorBidi"/>
          <w:sz w:val="24"/>
          <w:szCs w:val="24"/>
          <w:lang w:val="en-US"/>
        </w:rPr>
        <w:t>centers</w:t>
      </w:r>
      <w:r w:rsidRPr="00994ED1">
        <w:rPr>
          <w:rFonts w:asciiTheme="majorBidi" w:hAnsiTheme="majorBidi" w:cstheme="majorBidi"/>
          <w:sz w:val="24"/>
          <w:szCs w:val="24"/>
          <w:lang w:val="en-US"/>
        </w:rPr>
        <w:t>, from a land use planning and social and cultural point of view, is significantly the transition from rural to urban, learning new forms of social life, and acquiring a form of citizenship that changes relationships with others, with space, etc.</w:t>
      </w:r>
    </w:p>
    <w:p w14:paraId="706814C3" w14:textId="50553F94" w:rsidR="001835F1" w:rsidRPr="00994ED1" w:rsidRDefault="001835F1" w:rsidP="005C451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 xml:space="preserve">This development of urban development is conducive to an inflation of the rural population, with adverse impacts on territorial resource areas, </w:t>
      </w:r>
      <w:r w:rsidR="00816247" w:rsidRPr="00994ED1">
        <w:rPr>
          <w:rFonts w:asciiTheme="majorBidi" w:hAnsiTheme="majorBidi" w:cstheme="majorBidi"/>
          <w:sz w:val="24"/>
          <w:szCs w:val="24"/>
          <w:lang w:val="en-US"/>
        </w:rPr>
        <w:t>considered</w:t>
      </w:r>
      <w:r w:rsidRPr="00994ED1">
        <w:rPr>
          <w:rFonts w:asciiTheme="majorBidi" w:hAnsiTheme="majorBidi" w:cstheme="majorBidi"/>
          <w:sz w:val="24"/>
          <w:szCs w:val="24"/>
          <w:lang w:val="en-US"/>
        </w:rPr>
        <w:t xml:space="preserve"> such as fragile parts and insufficiency preparations to respond to the normal size of the rural population, as a result of the equipment development. social et economic activities.</w:t>
      </w:r>
    </w:p>
    <w:p w14:paraId="170FDDEF" w14:textId="33422A0D" w:rsidR="005C2EEF" w:rsidRPr="00994ED1" w:rsidRDefault="00A52886" w:rsidP="00A52886">
      <w:pPr>
        <w:pStyle w:val="Paragraphedeliste"/>
        <w:numPr>
          <w:ilvl w:val="0"/>
          <w:numId w:val="1"/>
        </w:num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t>Contributions of emerging centers to the restructuring of space</w:t>
      </w:r>
    </w:p>
    <w:p w14:paraId="0C541575" w14:textId="392905B7" w:rsidR="00D07561" w:rsidRPr="00994ED1" w:rsidRDefault="00D07561" w:rsidP="00D0756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 xml:space="preserve">Cities are considered a key lever for achieving economic, social and regional development. On the other hand, there is the emergence of a set of </w:t>
      </w:r>
      <w:r w:rsidR="00816247" w:rsidRPr="00994ED1">
        <w:rPr>
          <w:rFonts w:asciiTheme="majorBidi" w:hAnsiTheme="majorBidi" w:cstheme="majorBidi"/>
          <w:sz w:val="24"/>
          <w:szCs w:val="24"/>
          <w:lang w:val="en-US"/>
        </w:rPr>
        <w:t>centers</w:t>
      </w:r>
      <w:r w:rsidRPr="00994ED1">
        <w:rPr>
          <w:rFonts w:asciiTheme="majorBidi" w:hAnsiTheme="majorBidi" w:cstheme="majorBidi"/>
          <w:sz w:val="24"/>
          <w:szCs w:val="24"/>
          <w:lang w:val="en-US"/>
        </w:rPr>
        <w:t xml:space="preserve"> that can play at the local level the roles that cities play at the regional and national levels. These </w:t>
      </w:r>
      <w:r w:rsidR="00816247" w:rsidRPr="00994ED1">
        <w:rPr>
          <w:rFonts w:asciiTheme="majorBidi" w:hAnsiTheme="majorBidi" w:cstheme="majorBidi"/>
          <w:sz w:val="24"/>
          <w:szCs w:val="24"/>
          <w:lang w:val="en-US"/>
        </w:rPr>
        <w:t>centers</w:t>
      </w:r>
      <w:r w:rsidRPr="00994ED1">
        <w:rPr>
          <w:rFonts w:asciiTheme="majorBidi" w:hAnsiTheme="majorBidi" w:cstheme="majorBidi"/>
          <w:sz w:val="24"/>
          <w:szCs w:val="24"/>
          <w:lang w:val="en-US"/>
        </w:rPr>
        <w:t xml:space="preserve"> are called "emerging </w:t>
      </w:r>
      <w:r w:rsidR="00816247" w:rsidRPr="00994ED1">
        <w:rPr>
          <w:rFonts w:asciiTheme="majorBidi" w:hAnsiTheme="majorBidi" w:cstheme="majorBidi"/>
          <w:sz w:val="24"/>
          <w:szCs w:val="24"/>
          <w:lang w:val="en-US"/>
        </w:rPr>
        <w:t>centers</w:t>
      </w:r>
      <w:r w:rsidRPr="00994ED1">
        <w:rPr>
          <w:rFonts w:asciiTheme="majorBidi" w:hAnsiTheme="majorBidi" w:cstheme="majorBidi"/>
          <w:sz w:val="24"/>
          <w:szCs w:val="24"/>
          <w:lang w:val="en-US"/>
        </w:rPr>
        <w:t>"</w:t>
      </w:r>
      <w:r w:rsidR="009B3317" w:rsidRPr="009B3317">
        <w:rPr>
          <w:rFonts w:asciiTheme="majorBidi" w:hAnsiTheme="majorBidi" w:cstheme="majorBidi"/>
          <w:sz w:val="24"/>
          <w:szCs w:val="24"/>
          <w:lang w:val="en-US"/>
        </w:rPr>
        <w:t>(Figure</w:t>
      </w:r>
      <w:r w:rsidR="009B3317">
        <w:rPr>
          <w:rFonts w:asciiTheme="majorBidi" w:hAnsiTheme="majorBidi" w:cstheme="majorBidi"/>
          <w:sz w:val="24"/>
          <w:szCs w:val="24"/>
          <w:lang w:val="en-US"/>
        </w:rPr>
        <w:t xml:space="preserve"> 6</w:t>
      </w:r>
      <w:r w:rsidR="009B3317" w:rsidRPr="009B3317">
        <w:rPr>
          <w:rFonts w:asciiTheme="majorBidi" w:hAnsiTheme="majorBidi" w:cstheme="majorBidi"/>
          <w:sz w:val="24"/>
          <w:szCs w:val="24"/>
          <w:lang w:val="en-US"/>
        </w:rPr>
        <w:t>)</w:t>
      </w:r>
      <w:r w:rsidRPr="00994ED1">
        <w:rPr>
          <w:rFonts w:asciiTheme="majorBidi" w:hAnsiTheme="majorBidi" w:cstheme="majorBidi"/>
          <w:sz w:val="24"/>
          <w:szCs w:val="24"/>
          <w:lang w:val="en-US"/>
        </w:rPr>
        <w:t>.</w:t>
      </w:r>
    </w:p>
    <w:p w14:paraId="1615C56C" w14:textId="3FDCF15A" w:rsidR="0073531E" w:rsidRDefault="00A52886" w:rsidP="002902A5">
      <w:pPr>
        <w:spacing w:after="0"/>
        <w:jc w:val="both"/>
        <w:rPr>
          <w:b/>
          <w:bCs/>
          <w:sz w:val="20"/>
          <w:szCs w:val="20"/>
          <w:rtl/>
          <w:lang w:val="en-US"/>
        </w:rPr>
      </w:pPr>
      <w:r>
        <w:rPr>
          <w:b/>
          <w:bCs/>
          <w:noProof/>
          <w:sz w:val="20"/>
          <w:szCs w:val="20"/>
          <w:rtl/>
          <w:lang w:val="ar-SA"/>
        </w:rPr>
        <w:lastRenderedPageBreak/>
        <w:drawing>
          <wp:inline distT="0" distB="0" distL="0" distR="0" wp14:anchorId="1A23E20A" wp14:editId="5211015E">
            <wp:extent cx="5572125" cy="40290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6" cstate="print">
                      <a:extLst>
                        <a:ext uri="{28A0092B-C50C-407E-A947-70E740481C1C}">
                          <a14:useLocalDpi xmlns:a14="http://schemas.microsoft.com/office/drawing/2010/main" val="0"/>
                        </a:ext>
                      </a:extLst>
                    </a:blip>
                    <a:srcRect l="827" r="2446" b="673"/>
                    <a:stretch/>
                  </pic:blipFill>
                  <pic:spPr bwMode="auto">
                    <a:xfrm>
                      <a:off x="0" y="0"/>
                      <a:ext cx="5572125" cy="4029075"/>
                    </a:xfrm>
                    <a:prstGeom prst="rect">
                      <a:avLst/>
                    </a:prstGeom>
                    <a:ln>
                      <a:noFill/>
                    </a:ln>
                    <a:extLst>
                      <a:ext uri="{53640926-AAD7-44D8-BBD7-CCE9431645EC}">
                        <a14:shadowObscured xmlns:a14="http://schemas.microsoft.com/office/drawing/2010/main"/>
                      </a:ext>
                    </a:extLst>
                  </pic:spPr>
                </pic:pic>
              </a:graphicData>
            </a:graphic>
          </wp:inline>
        </w:drawing>
      </w:r>
    </w:p>
    <w:p w14:paraId="0BE2FA5D" w14:textId="079C7B47" w:rsidR="0073531E" w:rsidRPr="00994ED1" w:rsidRDefault="00040A94" w:rsidP="002902A5">
      <w:pPr>
        <w:spacing w:after="0"/>
        <w:jc w:val="both"/>
        <w:rPr>
          <w:rFonts w:asciiTheme="majorBidi" w:hAnsiTheme="majorBidi" w:cstheme="majorBidi"/>
          <w:sz w:val="18"/>
          <w:szCs w:val="18"/>
          <w:rtl/>
        </w:rPr>
      </w:pPr>
      <w:r w:rsidRPr="00994ED1">
        <w:rPr>
          <w:rFonts w:asciiTheme="majorBidi" w:hAnsiTheme="majorBidi" w:cstheme="majorBidi"/>
          <w:sz w:val="16"/>
          <w:szCs w:val="16"/>
        </w:rPr>
        <w:t>Source</w:t>
      </w:r>
      <w:bookmarkStart w:id="16" w:name="_Hlk189304784"/>
      <w:r w:rsidR="002902A5" w:rsidRPr="00994ED1">
        <w:rPr>
          <w:rFonts w:asciiTheme="majorBidi" w:hAnsiTheme="majorBidi" w:cstheme="majorBidi"/>
          <w:sz w:val="16"/>
          <w:szCs w:val="16"/>
          <w:lang w:bidi="ar-MA"/>
        </w:rPr>
        <w:t xml:space="preserve">. </w:t>
      </w:r>
      <w:r w:rsidRPr="00994ED1">
        <w:rPr>
          <w:rFonts w:asciiTheme="majorBidi" w:hAnsiTheme="majorBidi" w:cstheme="majorBidi"/>
          <w:sz w:val="18"/>
          <w:szCs w:val="18"/>
        </w:rPr>
        <w:t>Débat national pour l’élaboration des orientations de la politique publique d’aménagement du territoire, 2019</w:t>
      </w:r>
    </w:p>
    <w:p w14:paraId="43ADF264" w14:textId="6E2C4A5F" w:rsidR="002902A5" w:rsidRPr="00994ED1" w:rsidRDefault="002902A5" w:rsidP="002902A5">
      <w:pPr>
        <w:spacing w:after="0" w:line="360" w:lineRule="auto"/>
        <w:jc w:val="both"/>
        <w:rPr>
          <w:rFonts w:asciiTheme="majorBidi" w:hAnsiTheme="majorBidi" w:cstheme="majorBidi"/>
          <w:b/>
          <w:bCs/>
          <w:sz w:val="18"/>
          <w:szCs w:val="18"/>
          <w:rtl/>
          <w:lang w:val="en-US" w:bidi="ar-MA"/>
        </w:rPr>
      </w:pPr>
      <w:r w:rsidRPr="00994ED1">
        <w:rPr>
          <w:rFonts w:asciiTheme="majorBidi" w:hAnsiTheme="majorBidi" w:cstheme="majorBidi"/>
          <w:b/>
          <w:bCs/>
          <w:sz w:val="18"/>
          <w:szCs w:val="18"/>
          <w:lang w:val="en-US" w:bidi="ar-MA"/>
        </w:rPr>
        <w:t xml:space="preserve">Figure </w:t>
      </w:r>
      <w:r w:rsidR="00F72C3D">
        <w:rPr>
          <w:rFonts w:asciiTheme="majorBidi" w:hAnsiTheme="majorBidi" w:cstheme="majorBidi"/>
          <w:b/>
          <w:bCs/>
          <w:sz w:val="18"/>
          <w:szCs w:val="18"/>
          <w:lang w:val="en-US" w:bidi="ar-MA"/>
        </w:rPr>
        <w:t>6</w:t>
      </w:r>
      <w:r w:rsidRPr="00994ED1">
        <w:rPr>
          <w:rFonts w:asciiTheme="majorBidi" w:hAnsiTheme="majorBidi" w:cstheme="majorBidi"/>
          <w:b/>
          <w:bCs/>
          <w:sz w:val="18"/>
          <w:szCs w:val="18"/>
          <w:lang w:val="en-US" w:bidi="ar-MA"/>
        </w:rPr>
        <w:t>. Preliminary identification of incubation spaces for emerging centers</w:t>
      </w:r>
    </w:p>
    <w:bookmarkEnd w:id="16"/>
    <w:p w14:paraId="53D7435F" w14:textId="2A5B8FB7" w:rsidR="00351F5C" w:rsidRPr="00994ED1" w:rsidRDefault="00D07561" w:rsidP="001835F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The development of the growth rate of emerging centers is a result of their ability to manage the interactions between the urban and rural areas. The stronger the manifestations of influence, the more this accelerates their expansion. Consequently, they absorb a significant amount of the various currents coming from the countryside towards the cities.</w:t>
      </w:r>
      <w:r w:rsidR="001835F1" w:rsidRPr="00994ED1">
        <w:rPr>
          <w:rFonts w:asciiTheme="majorBidi" w:hAnsiTheme="majorBidi" w:cstheme="majorBidi"/>
          <w:sz w:val="24"/>
          <w:szCs w:val="24"/>
          <w:lang w:val="en-US"/>
        </w:rPr>
        <w:t xml:space="preserve"> </w:t>
      </w:r>
      <w:r w:rsidR="00351F5C" w:rsidRPr="00994ED1">
        <w:rPr>
          <w:rFonts w:asciiTheme="majorBidi" w:hAnsiTheme="majorBidi" w:cstheme="majorBidi"/>
          <w:sz w:val="24"/>
          <w:szCs w:val="24"/>
          <w:lang w:val="en-US"/>
        </w:rPr>
        <w:t>Among the roles that these centers can play are the following:</w:t>
      </w:r>
    </w:p>
    <w:p w14:paraId="146A3811" w14:textId="4EB955E8" w:rsidR="00D07561" w:rsidRPr="00994ED1" w:rsidRDefault="001835F1" w:rsidP="00D0756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 xml:space="preserve">- </w:t>
      </w:r>
      <w:r w:rsidR="00D07561" w:rsidRPr="00994ED1">
        <w:rPr>
          <w:rFonts w:asciiTheme="majorBidi" w:hAnsiTheme="majorBidi" w:cstheme="majorBidi"/>
          <w:sz w:val="24"/>
          <w:szCs w:val="24"/>
          <w:lang w:val="en-US"/>
        </w:rPr>
        <w:t>Bringing the urban model closer to the population and reducing the rural exodus to the cities.</w:t>
      </w:r>
    </w:p>
    <w:p w14:paraId="37218EC8" w14:textId="687AE15B" w:rsidR="001835F1" w:rsidRPr="00994ED1" w:rsidRDefault="00816247" w:rsidP="00D07561">
      <w:pPr>
        <w:jc w:val="both"/>
        <w:rPr>
          <w:rFonts w:asciiTheme="majorBidi" w:hAnsiTheme="majorBidi" w:cstheme="majorBidi"/>
          <w:sz w:val="24"/>
          <w:szCs w:val="24"/>
          <w:rtl/>
          <w:lang w:val="en-US"/>
        </w:rPr>
      </w:pPr>
      <w:r w:rsidRPr="00994ED1">
        <w:rPr>
          <w:rFonts w:asciiTheme="majorBidi" w:hAnsiTheme="majorBidi" w:cstheme="majorBidi"/>
          <w:sz w:val="24"/>
          <w:szCs w:val="24"/>
          <w:lang w:val="en-US"/>
        </w:rPr>
        <w:t>- It constitutes a meeting point for the interventions of actors at the local level and creates the conditions for the development and emergence of individual and collective initiatives.</w:t>
      </w:r>
    </w:p>
    <w:p w14:paraId="4D2448F5" w14:textId="5D3E5B95" w:rsidR="00C42CB4" w:rsidRPr="00994ED1" w:rsidRDefault="00C42CB4" w:rsidP="00D07561">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 These small urban centers are easy to control in their development, unlike cities which suffer from several problems that are difficult to solve.</w:t>
      </w:r>
    </w:p>
    <w:p w14:paraId="01BBE8C8" w14:textId="6420A06C" w:rsidR="00040A94" w:rsidRPr="00994ED1" w:rsidRDefault="001835F1" w:rsidP="00690412">
      <w:p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rPr>
        <w:t xml:space="preserve">- </w:t>
      </w:r>
      <w:r w:rsidR="0097449B" w:rsidRPr="00994ED1">
        <w:rPr>
          <w:rFonts w:asciiTheme="majorBidi" w:hAnsiTheme="majorBidi" w:cstheme="majorBidi"/>
          <w:sz w:val="24"/>
          <w:szCs w:val="24"/>
          <w:lang w:val="en-US"/>
        </w:rPr>
        <w:t xml:space="preserve">Emerging </w:t>
      </w:r>
      <w:r w:rsidR="00816247" w:rsidRPr="00994ED1">
        <w:rPr>
          <w:rFonts w:asciiTheme="majorBidi" w:hAnsiTheme="majorBidi" w:cstheme="majorBidi"/>
          <w:sz w:val="24"/>
          <w:szCs w:val="24"/>
          <w:lang w:val="en-US"/>
        </w:rPr>
        <w:t>centers</w:t>
      </w:r>
      <w:r w:rsidR="0097449B" w:rsidRPr="00994ED1">
        <w:rPr>
          <w:rFonts w:asciiTheme="majorBidi" w:hAnsiTheme="majorBidi" w:cstheme="majorBidi"/>
          <w:sz w:val="24"/>
          <w:szCs w:val="24"/>
          <w:lang w:val="en-US"/>
        </w:rPr>
        <w:t xml:space="preserve"> also play, over time and for a duration that varies from one </w:t>
      </w:r>
      <w:r w:rsidR="00816247" w:rsidRPr="00994ED1">
        <w:rPr>
          <w:rFonts w:asciiTheme="majorBidi" w:hAnsiTheme="majorBidi" w:cstheme="majorBidi"/>
          <w:sz w:val="24"/>
          <w:szCs w:val="24"/>
          <w:lang w:val="en-US"/>
        </w:rPr>
        <w:t>center</w:t>
      </w:r>
      <w:r w:rsidR="0097449B" w:rsidRPr="00994ED1">
        <w:rPr>
          <w:rFonts w:asciiTheme="majorBidi" w:hAnsiTheme="majorBidi" w:cstheme="majorBidi"/>
          <w:sz w:val="24"/>
          <w:szCs w:val="24"/>
          <w:lang w:val="en-US"/>
        </w:rPr>
        <w:t xml:space="preserve"> to another, a role of reception, distribution, rest and departure, for population movements in search of alternatives in the cities.</w:t>
      </w:r>
    </w:p>
    <w:p w14:paraId="6C4472BD" w14:textId="5B893D55" w:rsidR="00BB08FF" w:rsidRPr="00994ED1" w:rsidRDefault="00816247" w:rsidP="00C00BB3">
      <w:pPr>
        <w:pStyle w:val="Paragraphedeliste"/>
        <w:numPr>
          <w:ilvl w:val="0"/>
          <w:numId w:val="1"/>
        </w:num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t>Constraints of urban development and prospects for sustainability of emerging centers</w:t>
      </w:r>
    </w:p>
    <w:p w14:paraId="3B52145B" w14:textId="76DAEA62" w:rsidR="009365A0" w:rsidRPr="00994ED1" w:rsidRDefault="009365A0" w:rsidP="00435E53">
      <w:pPr>
        <w:jc w:val="both"/>
        <w:rPr>
          <w:rFonts w:asciiTheme="majorBidi" w:hAnsiTheme="majorBidi" w:cstheme="majorBidi"/>
          <w:b/>
          <w:bCs/>
          <w:sz w:val="24"/>
          <w:szCs w:val="24"/>
          <w:rtl/>
          <w:lang w:val="en-US" w:bidi="ar-MA"/>
        </w:rPr>
      </w:pPr>
      <w:r w:rsidRPr="00994ED1">
        <w:rPr>
          <w:rFonts w:asciiTheme="majorBidi" w:hAnsiTheme="majorBidi" w:cstheme="majorBidi"/>
          <w:b/>
          <w:bCs/>
          <w:sz w:val="24"/>
          <w:szCs w:val="24"/>
          <w:lang w:val="en-US" w:bidi="ar-MA"/>
        </w:rPr>
        <w:t>3.1 Constraints of urban development in the province of Al Hoceima</w:t>
      </w:r>
    </w:p>
    <w:p w14:paraId="325B6695" w14:textId="6B446E8D" w:rsidR="00BB08FF" w:rsidRPr="00994ED1" w:rsidRDefault="00D81688" w:rsidP="00435E53">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The urban world of the province of Al Hoceima suffers from various forms of under-equipment which, by their combined effects, have a negative impact on both economic activity and the daily life of the population. It is possible to highlight particularly restrictive elements:</w:t>
      </w:r>
    </w:p>
    <w:p w14:paraId="4909364E" w14:textId="41F37391" w:rsidR="00D81688" w:rsidRPr="00994ED1" w:rsidRDefault="00D81688" w:rsidP="00435E53">
      <w:pPr>
        <w:jc w:val="both"/>
        <w:rPr>
          <w:rFonts w:asciiTheme="majorBidi" w:hAnsiTheme="majorBidi" w:cstheme="majorBidi"/>
          <w:sz w:val="24"/>
          <w:szCs w:val="24"/>
          <w:lang w:val="en-US"/>
        </w:rPr>
      </w:pPr>
      <w:r w:rsidRPr="00994ED1">
        <w:rPr>
          <w:rFonts w:asciiTheme="majorBidi" w:hAnsiTheme="majorBidi" w:cstheme="majorBidi"/>
          <w:sz w:val="24"/>
          <w:szCs w:val="24"/>
          <w:lang w:val="en-US"/>
        </w:rPr>
        <w:lastRenderedPageBreak/>
        <w:t>- A loose and very unbalanced urban framework, the counterpart of the hyper-concentration of urbanization on the coastal strip of the province is the pronounced urban deficiency of the interior spaces. The urban agglomerations that punctuate these spaces are of small size, born and populated mainly by rural immigrants of modest means. Their summary economic and socio-cultural base offers the populations and activities of the surrounding rural world only primary level services, on the one hand, and participates only weakly, through the rare existing economic establishments, most of which are modest.</w:t>
      </w:r>
    </w:p>
    <w:p w14:paraId="19A2254E" w14:textId="6E96151F" w:rsidR="00C00BB3" w:rsidRPr="00994ED1" w:rsidRDefault="00C00BB3" w:rsidP="00C00BB3">
      <w:pPr>
        <w:rPr>
          <w:rFonts w:asciiTheme="majorBidi" w:hAnsiTheme="majorBidi" w:cstheme="majorBidi"/>
          <w:sz w:val="24"/>
          <w:szCs w:val="24"/>
          <w:lang w:val="en-US"/>
        </w:rPr>
      </w:pPr>
      <w:r w:rsidRPr="00994ED1">
        <w:rPr>
          <w:rFonts w:asciiTheme="majorBidi" w:hAnsiTheme="majorBidi" w:cstheme="majorBidi"/>
          <w:sz w:val="24"/>
          <w:szCs w:val="24"/>
          <w:lang w:val="en-US"/>
        </w:rPr>
        <w:t>- The road infrastructure is insufficient and is limited to a Mediterranean route;</w:t>
      </w:r>
    </w:p>
    <w:p w14:paraId="7C7DE418" w14:textId="77777777" w:rsidR="00C00BB3" w:rsidRPr="00994ED1" w:rsidRDefault="00C00BB3" w:rsidP="00C00BB3">
      <w:pPr>
        <w:rPr>
          <w:rFonts w:asciiTheme="majorBidi" w:hAnsiTheme="majorBidi" w:cstheme="majorBidi"/>
          <w:sz w:val="24"/>
          <w:szCs w:val="24"/>
          <w:lang w:val="en-US"/>
        </w:rPr>
      </w:pPr>
      <w:r w:rsidRPr="00994ED1">
        <w:rPr>
          <w:rFonts w:asciiTheme="majorBidi" w:hAnsiTheme="majorBidi" w:cstheme="majorBidi"/>
          <w:sz w:val="24"/>
          <w:szCs w:val="24"/>
          <w:lang w:val="en-US"/>
        </w:rPr>
        <w:t>- The road network is poorly developed and the centers are not well served, which leads to anarchic and poorly controlled urbanization;</w:t>
      </w:r>
    </w:p>
    <w:p w14:paraId="6E13C4A1" w14:textId="0E3AACC7" w:rsidR="00C00BB3" w:rsidRPr="00994ED1" w:rsidRDefault="00C00BB3" w:rsidP="00C00BB3">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 xml:space="preserve">- The area is subject to risks (Rfifi </w:t>
      </w:r>
      <w:r w:rsidR="00C277B1" w:rsidRPr="00994ED1">
        <w:rPr>
          <w:rFonts w:asciiTheme="majorBidi" w:hAnsiTheme="majorBidi" w:cstheme="majorBidi"/>
          <w:sz w:val="24"/>
          <w:szCs w:val="24"/>
          <w:lang w:val="en-US"/>
        </w:rPr>
        <w:t xml:space="preserve">&amp; </w:t>
      </w:r>
      <w:r w:rsidRPr="00994ED1">
        <w:rPr>
          <w:rFonts w:asciiTheme="majorBidi" w:hAnsiTheme="majorBidi" w:cstheme="majorBidi"/>
          <w:sz w:val="24"/>
          <w:szCs w:val="24"/>
          <w:lang w:val="en-US"/>
        </w:rPr>
        <w:t>Ait Brahim</w:t>
      </w:r>
      <w:r w:rsidR="00C277B1" w:rsidRPr="00994ED1">
        <w:rPr>
          <w:rFonts w:asciiTheme="majorBidi" w:hAnsiTheme="majorBidi" w:cstheme="majorBidi"/>
          <w:sz w:val="24"/>
          <w:szCs w:val="24"/>
          <w:lang w:val="en-US"/>
        </w:rPr>
        <w:t>.</w:t>
      </w:r>
      <w:r w:rsidRPr="00994ED1">
        <w:rPr>
          <w:rFonts w:asciiTheme="majorBidi" w:hAnsiTheme="majorBidi" w:cstheme="majorBidi"/>
          <w:sz w:val="24"/>
          <w:szCs w:val="24"/>
          <w:lang w:val="en-US"/>
        </w:rPr>
        <w:t xml:space="preserve"> 2018).</w:t>
      </w:r>
    </w:p>
    <w:p w14:paraId="4E060746" w14:textId="4880FBB1" w:rsidR="00BB08FF" w:rsidRPr="00994ED1" w:rsidRDefault="009A1428" w:rsidP="00435E53">
      <w:pPr>
        <w:jc w:val="both"/>
        <w:rPr>
          <w:rFonts w:asciiTheme="majorBidi" w:hAnsiTheme="majorBidi" w:cstheme="majorBidi"/>
          <w:sz w:val="24"/>
          <w:szCs w:val="24"/>
          <w:lang w:val="en-US"/>
        </w:rPr>
      </w:pPr>
      <w:r w:rsidRPr="00994ED1">
        <w:rPr>
          <w:rFonts w:asciiTheme="majorBidi" w:hAnsiTheme="majorBidi" w:cstheme="majorBidi"/>
          <w:sz w:val="24"/>
          <w:szCs w:val="24"/>
          <w:rtl/>
          <w:lang w:val="en-US"/>
        </w:rPr>
        <w:t xml:space="preserve"> -</w:t>
      </w:r>
      <w:r w:rsidRPr="00994ED1">
        <w:rPr>
          <w:rFonts w:asciiTheme="majorBidi" w:hAnsiTheme="majorBidi" w:cstheme="majorBidi"/>
          <w:sz w:val="24"/>
          <w:szCs w:val="24"/>
          <w:lang w:val="en-US"/>
        </w:rPr>
        <w:t>The impact of cannabis cultivation on the development of urban centers, as it is noted that most rural residents do not pay any attention to settling in urban areas, and prefer to settle in their original homeland, and the evidence for this is the increasing number of modern housing in various rural areas (</w:t>
      </w:r>
      <w:bookmarkStart w:id="17" w:name="_Hlk189311838"/>
      <w:r w:rsidRPr="00994ED1">
        <w:rPr>
          <w:rFonts w:asciiTheme="majorBidi" w:hAnsiTheme="majorBidi" w:cstheme="majorBidi"/>
          <w:sz w:val="24"/>
          <w:szCs w:val="24"/>
          <w:lang w:val="en-US"/>
        </w:rPr>
        <w:t>Bouhlal et al., 2024</w:t>
      </w:r>
      <w:bookmarkEnd w:id="17"/>
      <w:r w:rsidRPr="00994ED1">
        <w:rPr>
          <w:rFonts w:asciiTheme="majorBidi" w:hAnsiTheme="majorBidi" w:cstheme="majorBidi"/>
          <w:sz w:val="24"/>
          <w:szCs w:val="24"/>
          <w:lang w:val="en-US"/>
        </w:rPr>
        <w:t>).</w:t>
      </w:r>
    </w:p>
    <w:p w14:paraId="174493A3" w14:textId="305EC12D" w:rsidR="009365A0" w:rsidRPr="00994ED1" w:rsidRDefault="009365A0" w:rsidP="00435E53">
      <w:p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t>3.</w:t>
      </w:r>
      <w:r w:rsidR="001C2023" w:rsidRPr="00994ED1">
        <w:rPr>
          <w:rFonts w:asciiTheme="majorBidi" w:hAnsiTheme="majorBidi" w:cstheme="majorBidi"/>
          <w:b/>
          <w:bCs/>
          <w:sz w:val="24"/>
          <w:szCs w:val="24"/>
          <w:lang w:val="en-US"/>
        </w:rPr>
        <w:t>2</w:t>
      </w:r>
      <w:r w:rsidRPr="00994ED1">
        <w:rPr>
          <w:rFonts w:asciiTheme="majorBidi" w:hAnsiTheme="majorBidi" w:cstheme="majorBidi"/>
          <w:b/>
          <w:bCs/>
          <w:sz w:val="24"/>
          <w:szCs w:val="24"/>
          <w:lang w:val="en-US"/>
        </w:rPr>
        <w:t xml:space="preserve"> Specific planning approaches for contrasting urban situations</w:t>
      </w:r>
    </w:p>
    <w:p w14:paraId="710CF82B" w14:textId="1BD7A3B0" w:rsidR="00BB52AE" w:rsidRPr="00994ED1" w:rsidRDefault="00BB52AE" w:rsidP="00BB52AE">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The major differences that exist at all levels between the various categories of urban spaces identified above, each constituting a particular situation, require the adoption of equally specific strategic planning approaches</w:t>
      </w:r>
      <w:r w:rsidR="00583144" w:rsidRPr="00994ED1">
        <w:rPr>
          <w:rFonts w:asciiTheme="majorBidi" w:hAnsiTheme="majorBidi" w:cstheme="majorBidi"/>
          <w:sz w:val="24"/>
          <w:szCs w:val="24"/>
          <w:lang w:val="en-US"/>
        </w:rPr>
        <w:t xml:space="preserve"> (Hooman et al.</w:t>
      </w:r>
      <w:r w:rsidR="00C277B1" w:rsidRPr="00994ED1">
        <w:rPr>
          <w:rFonts w:asciiTheme="majorBidi" w:hAnsiTheme="majorBidi" w:cstheme="majorBidi"/>
          <w:sz w:val="24"/>
          <w:szCs w:val="24"/>
          <w:lang w:val="en-US"/>
        </w:rPr>
        <w:t>,</w:t>
      </w:r>
      <w:r w:rsidR="00583144" w:rsidRPr="00994ED1">
        <w:rPr>
          <w:rFonts w:asciiTheme="majorBidi" w:hAnsiTheme="majorBidi" w:cstheme="majorBidi"/>
          <w:sz w:val="24"/>
          <w:szCs w:val="24"/>
          <w:lang w:val="en-US"/>
        </w:rPr>
        <w:t xml:space="preserve"> 2021)</w:t>
      </w:r>
      <w:r w:rsidRPr="00994ED1">
        <w:rPr>
          <w:rFonts w:asciiTheme="majorBidi" w:hAnsiTheme="majorBidi" w:cstheme="majorBidi"/>
          <w:sz w:val="24"/>
          <w:szCs w:val="24"/>
          <w:lang w:val="en-US"/>
        </w:rPr>
        <w:t>.</w:t>
      </w:r>
    </w:p>
    <w:p w14:paraId="5FE95164" w14:textId="2877E0ED" w:rsidR="009365A0" w:rsidRPr="00994ED1" w:rsidRDefault="00BB52AE" w:rsidP="00BB52AE">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The objective of the actions to be undertaken is twofold: on the one hand, to control and correct the growth of all urban agglomerations, medium and small, in order to qualify them as best as possible to fully fulfill their role as a space for residence, work, provision of services, circulation, culture, leisure and emancipation; on the other hand, the construction of an urban framework that is as dense, solid and balanced as possible, capable of framing the entire provincial space, in a constructive and sustainable manner.</w:t>
      </w:r>
    </w:p>
    <w:p w14:paraId="19FCA2D1" w14:textId="6A2F7ABA" w:rsidR="00BB52AE" w:rsidRPr="00994ED1" w:rsidRDefault="00432228" w:rsidP="00BB52AE">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Schematically, four major categories of development actions seem necessary to undertake resolutely, in order to further improve the level of economic and socio-cultural "performance" of cities.</w:t>
      </w:r>
    </w:p>
    <w:p w14:paraId="3A8417D9" w14:textId="5D376F69" w:rsidR="003C7D7C" w:rsidRPr="00994ED1" w:rsidRDefault="003C7D7C" w:rsidP="003C7D7C">
      <w:pPr>
        <w:pStyle w:val="Paragraphedeliste"/>
        <w:numPr>
          <w:ilvl w:val="0"/>
          <w:numId w:val="3"/>
        </w:numPr>
        <w:jc w:val="both"/>
        <w:rPr>
          <w:rFonts w:asciiTheme="majorBidi" w:hAnsiTheme="majorBidi" w:cstheme="majorBidi"/>
          <w:sz w:val="24"/>
          <w:szCs w:val="24"/>
          <w:lang w:val="en-US"/>
        </w:rPr>
      </w:pPr>
      <w:r w:rsidRPr="00994ED1">
        <w:rPr>
          <w:rFonts w:asciiTheme="majorBidi" w:hAnsiTheme="majorBidi" w:cstheme="majorBidi"/>
          <w:sz w:val="24"/>
          <w:szCs w:val="24"/>
          <w:lang w:val="en-US"/>
        </w:rPr>
        <w:t>Combat land waste and expand construction areas, and insist on producing urban areas with integrated functions, harmonious landscape and environmental friendliness.</w:t>
      </w:r>
    </w:p>
    <w:p w14:paraId="4C479D3D" w14:textId="0773E363" w:rsidR="00432228" w:rsidRPr="00994ED1" w:rsidRDefault="00432228" w:rsidP="003C7D7C">
      <w:pPr>
        <w:pStyle w:val="Paragraphedeliste"/>
        <w:numPr>
          <w:ilvl w:val="0"/>
          <w:numId w:val="3"/>
        </w:num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Control and reorganize the space of coastal urban agglomerations.</w:t>
      </w:r>
    </w:p>
    <w:p w14:paraId="1F08AF53" w14:textId="4E1A56F7" w:rsidR="00432228" w:rsidRPr="00994ED1" w:rsidRDefault="00432228" w:rsidP="003C7D7C">
      <w:pPr>
        <w:pStyle w:val="Paragraphedeliste"/>
        <w:numPr>
          <w:ilvl w:val="0"/>
          <w:numId w:val="3"/>
        </w:num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Urban upgrading of small inland towns and consolidation of their economic base.</w:t>
      </w:r>
    </w:p>
    <w:p w14:paraId="63872D67" w14:textId="687ED9B0" w:rsidR="00432228" w:rsidRPr="00994ED1" w:rsidRDefault="00432228" w:rsidP="003C7D7C">
      <w:pPr>
        <w:pStyle w:val="Paragraphedeliste"/>
        <w:numPr>
          <w:ilvl w:val="0"/>
          <w:numId w:val="3"/>
        </w:num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Equipment and promotion of semi-urban and rural centers.</w:t>
      </w:r>
    </w:p>
    <w:p w14:paraId="7EB1D636" w14:textId="342E16FF" w:rsidR="00432228" w:rsidRDefault="006B2DF5" w:rsidP="006B2DF5">
      <w:pPr>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The same will apply to existing small centres and those that should gradually emerge, particularly those that benefit from remarkable road situations and experience a certain demographic dynamism, encouraging the establishment of different economic activities. These activities and facilities would provide small centres with new economic and social functions, which would enable them to strengthen sub-regional urban networks.</w:t>
      </w:r>
    </w:p>
    <w:p w14:paraId="67351179" w14:textId="79EC2AD1" w:rsidR="00F72C3D" w:rsidRDefault="00F72C3D" w:rsidP="006B2DF5">
      <w:pPr>
        <w:jc w:val="both"/>
        <w:rPr>
          <w:rFonts w:asciiTheme="majorBidi" w:hAnsiTheme="majorBidi" w:cstheme="majorBidi"/>
          <w:sz w:val="24"/>
          <w:szCs w:val="24"/>
          <w:lang w:val="en-US" w:bidi="ar-MA"/>
        </w:rPr>
      </w:pPr>
    </w:p>
    <w:p w14:paraId="74338849" w14:textId="77777777" w:rsidR="00F72C3D" w:rsidRPr="00994ED1" w:rsidRDefault="00F72C3D" w:rsidP="006B2DF5">
      <w:pPr>
        <w:jc w:val="both"/>
        <w:rPr>
          <w:rFonts w:asciiTheme="majorBidi" w:hAnsiTheme="majorBidi" w:cstheme="majorBidi"/>
          <w:sz w:val="24"/>
          <w:szCs w:val="24"/>
          <w:rtl/>
          <w:lang w:val="en-US" w:bidi="ar-MA"/>
        </w:rPr>
      </w:pPr>
    </w:p>
    <w:p w14:paraId="431C5D57" w14:textId="516F8D35" w:rsidR="00514F74" w:rsidRPr="00994ED1" w:rsidRDefault="006A0791" w:rsidP="00435E53">
      <w:pPr>
        <w:jc w:val="both"/>
        <w:rPr>
          <w:rFonts w:asciiTheme="majorBidi" w:hAnsiTheme="majorBidi" w:cstheme="majorBidi"/>
          <w:sz w:val="24"/>
          <w:szCs w:val="24"/>
          <w:lang w:val="en-US"/>
        </w:rPr>
      </w:pPr>
      <w:r w:rsidRPr="00994ED1">
        <w:rPr>
          <w:rFonts w:asciiTheme="majorBidi" w:hAnsiTheme="majorBidi" w:cstheme="majorBidi"/>
          <w:sz w:val="24"/>
          <w:szCs w:val="24"/>
          <w:lang w:val="en-US"/>
        </w:rPr>
        <w:lastRenderedPageBreak/>
        <w:t>The phenomenon of urbanization is rare and very modest in the mountainous areas of the province of Al Hoceima. These are small centers far from each other, surrounded by long agricultural or forest areas. With the exception of a few that have managed to develop somewhat, these centers are characterized by a clear demographic stagnation and a deep economic crisis. The deterioration of its economic and social conditions requires taking decisive and urgent measures to revive it by encouraging productive activities and improving equipment and services.</w:t>
      </w:r>
    </w:p>
    <w:p w14:paraId="3F891CE5" w14:textId="79EF495F" w:rsidR="005F5BA0" w:rsidRPr="00994ED1" w:rsidRDefault="005F5BA0" w:rsidP="00435E53">
      <w:pPr>
        <w:jc w:val="both"/>
        <w:rPr>
          <w:rFonts w:asciiTheme="majorBidi" w:hAnsiTheme="majorBidi" w:cstheme="majorBidi"/>
          <w:sz w:val="24"/>
          <w:szCs w:val="24"/>
          <w:rtl/>
          <w:lang w:val="en-US" w:bidi="ar-MA"/>
        </w:rPr>
      </w:pPr>
      <w:r w:rsidRPr="00994ED1">
        <w:rPr>
          <w:rFonts w:asciiTheme="majorBidi" w:hAnsiTheme="majorBidi" w:cstheme="majorBidi"/>
          <w:sz w:val="24"/>
          <w:szCs w:val="24"/>
          <w:lang w:val="en-US"/>
        </w:rPr>
        <w:t>If the prospective vision presented by the Regional Land Use Plan underlines the need for a distribution of fundamental tasks, functions and roles between the different urban centers, from the point of view of integration and mutual support between them</w:t>
      </w:r>
      <w:r w:rsidR="00320CA2" w:rsidRPr="00994ED1">
        <w:rPr>
          <w:rFonts w:asciiTheme="majorBidi" w:hAnsiTheme="majorBidi" w:cstheme="majorBidi"/>
          <w:sz w:val="24"/>
          <w:szCs w:val="24"/>
          <w:lang w:val="en-US"/>
        </w:rPr>
        <w:t xml:space="preserve"> (S R A T. Tanger-Tétouan-Al Hoceima 2021-2046)</w:t>
      </w:r>
      <w:r w:rsidRPr="00994ED1">
        <w:rPr>
          <w:rFonts w:asciiTheme="majorBidi" w:hAnsiTheme="majorBidi" w:cstheme="majorBidi"/>
          <w:sz w:val="24"/>
          <w:szCs w:val="24"/>
          <w:lang w:val="en-US"/>
        </w:rPr>
        <w:t>, the situation of the current urban apparatus in the province of Al Hpceima suffers from disintegration, imbalance and weak functional strength.</w:t>
      </w:r>
    </w:p>
    <w:p w14:paraId="424DE90D" w14:textId="030871C3" w:rsidR="008113D6" w:rsidRPr="00994ED1" w:rsidRDefault="008113D6" w:rsidP="00C11A78">
      <w:pPr>
        <w:jc w:val="both"/>
        <w:rPr>
          <w:rFonts w:asciiTheme="majorBidi" w:hAnsiTheme="majorBidi" w:cstheme="majorBidi"/>
          <w:sz w:val="24"/>
          <w:szCs w:val="24"/>
          <w:lang w:val="en-US"/>
        </w:rPr>
      </w:pPr>
      <w:r w:rsidRPr="00994ED1">
        <w:rPr>
          <w:rFonts w:asciiTheme="majorBidi" w:hAnsiTheme="majorBidi" w:cstheme="majorBidi"/>
          <w:sz w:val="24"/>
          <w:szCs w:val="24"/>
          <w:lang w:val="en-US"/>
        </w:rPr>
        <w:t>Under these conditions, these centers are still not properly exploited as a lever for local development in the study area, because the problems they suffer from do not allow them to play the role assigned to them as they should. (Its fragility leads to low attractiveness).</w:t>
      </w:r>
    </w:p>
    <w:p w14:paraId="46BF3419" w14:textId="55D2CF7B" w:rsidR="00120114" w:rsidRPr="00994ED1" w:rsidRDefault="00510917" w:rsidP="00601817">
      <w:pPr>
        <w:jc w:val="both"/>
        <w:rPr>
          <w:rFonts w:asciiTheme="majorBidi" w:hAnsiTheme="majorBidi" w:cstheme="majorBidi"/>
          <w:sz w:val="24"/>
          <w:szCs w:val="24"/>
          <w:rtl/>
          <w:lang w:val="en-US" w:bidi="ar-MA"/>
        </w:rPr>
      </w:pPr>
      <w:r w:rsidRPr="00994ED1">
        <w:rPr>
          <w:rFonts w:asciiTheme="majorBidi" w:hAnsiTheme="majorBidi" w:cstheme="majorBidi"/>
          <w:sz w:val="24"/>
          <w:szCs w:val="24"/>
          <w:lang w:val="en-US"/>
        </w:rPr>
        <w:t>With a view to promoting harmonious development of rural areas, it will be necessary to reshape the urbanization of rural areas in an integrated manner with small and medium-sized towns in order to connect rural living areas to these emerging centers and thus foster the creation of attractive economic opportunities</w:t>
      </w:r>
      <w:r w:rsidR="0086624B" w:rsidRPr="00994ED1">
        <w:rPr>
          <w:rFonts w:asciiTheme="majorBidi" w:hAnsiTheme="majorBidi" w:cstheme="majorBidi"/>
          <w:sz w:val="24"/>
          <w:szCs w:val="24"/>
          <w:lang w:val="en-US"/>
        </w:rPr>
        <w:t xml:space="preserve"> (The Special Commission on the Development Model 2021)</w:t>
      </w:r>
      <w:r w:rsidRPr="00994ED1">
        <w:rPr>
          <w:rFonts w:asciiTheme="majorBidi" w:hAnsiTheme="majorBidi" w:cstheme="majorBidi"/>
          <w:sz w:val="24"/>
          <w:szCs w:val="24"/>
          <w:lang w:val="en-US"/>
        </w:rPr>
        <w:t>.</w:t>
      </w:r>
    </w:p>
    <w:p w14:paraId="74C1299F" w14:textId="73CB503D" w:rsidR="00BB08FF" w:rsidRPr="00994ED1" w:rsidRDefault="00BB08FF" w:rsidP="00435E53">
      <w:pPr>
        <w:jc w:val="both"/>
        <w:rPr>
          <w:rFonts w:asciiTheme="majorBidi" w:hAnsiTheme="majorBidi" w:cstheme="majorBidi"/>
          <w:b/>
          <w:bCs/>
          <w:sz w:val="24"/>
          <w:szCs w:val="24"/>
          <w:lang w:val="en-US"/>
        </w:rPr>
      </w:pPr>
      <w:r w:rsidRPr="00994ED1">
        <w:rPr>
          <w:rFonts w:asciiTheme="majorBidi" w:hAnsiTheme="majorBidi" w:cstheme="majorBidi"/>
          <w:b/>
          <w:bCs/>
          <w:sz w:val="24"/>
          <w:szCs w:val="24"/>
          <w:lang w:val="en-US"/>
        </w:rPr>
        <w:t>CONCLUSION</w:t>
      </w:r>
    </w:p>
    <w:p w14:paraId="0512B726" w14:textId="77777777" w:rsidR="00755A91" w:rsidRDefault="00755A91" w:rsidP="00435E53">
      <w:pPr>
        <w:jc w:val="both"/>
        <w:rPr>
          <w:rFonts w:asciiTheme="majorBidi" w:hAnsiTheme="majorBidi" w:cstheme="majorBidi"/>
          <w:sz w:val="24"/>
          <w:szCs w:val="24"/>
          <w:rtl/>
          <w:lang w:val="en-US"/>
        </w:rPr>
      </w:pPr>
      <w:r w:rsidRPr="00755A91">
        <w:rPr>
          <w:rFonts w:asciiTheme="majorBidi" w:hAnsiTheme="majorBidi" w:cstheme="majorBidi"/>
          <w:sz w:val="24"/>
          <w:szCs w:val="24"/>
          <w:lang w:val="en-US"/>
        </w:rPr>
        <w:t xml:space="preserve">This study provides a comprehensive analysis of the urbanization processes in Al Hoceima Province, demonstrating how historical colonial foundations and contemporary development challenges have shaped its current urban landscape. The research reveals that while Spanish colonial administration established key urban centers such as Al Hoceima and Targuist, post-independence urban development has been characterized by significant spatial disparities and structural weaknesses. </w:t>
      </w:r>
    </w:p>
    <w:p w14:paraId="024EB34C" w14:textId="77777777" w:rsidR="00755A91" w:rsidRDefault="00755A91" w:rsidP="00435E53">
      <w:pPr>
        <w:jc w:val="both"/>
        <w:rPr>
          <w:rFonts w:asciiTheme="majorBidi" w:hAnsiTheme="majorBidi" w:cstheme="majorBidi"/>
          <w:sz w:val="24"/>
          <w:szCs w:val="24"/>
          <w:rtl/>
          <w:lang w:val="en-US"/>
        </w:rPr>
      </w:pPr>
      <w:r w:rsidRPr="00755A91">
        <w:rPr>
          <w:rFonts w:asciiTheme="majorBidi" w:hAnsiTheme="majorBidi" w:cstheme="majorBidi"/>
          <w:sz w:val="24"/>
          <w:szCs w:val="24"/>
          <w:lang w:val="en-US"/>
        </w:rPr>
        <w:t xml:space="preserve">Emerging urban centers face persistent challenges including inadequate infrastructure, economic marginalization, and the constraining effects of rural cannabis-based economies, all of which hinder their potential as drivers of regional development. The study identifies a critical paradox: despite their strategic importance as potential decentralized growth nodes, these centers exhibit troubling demographic trends (notably Al Hoceima's -1.21% annual population growth) and lag significantly behind national urbanization averages (37.5% versus Morocco's 60.8%). </w:t>
      </w:r>
    </w:p>
    <w:p w14:paraId="15CA2D03" w14:textId="3A08E53A" w:rsidR="002D38AB" w:rsidRDefault="00755A91" w:rsidP="00435E53">
      <w:pPr>
        <w:jc w:val="both"/>
        <w:rPr>
          <w:sz w:val="20"/>
          <w:szCs w:val="20"/>
          <w:lang w:val="en-US"/>
        </w:rPr>
      </w:pPr>
      <w:r w:rsidRPr="00755A91">
        <w:rPr>
          <w:rFonts w:asciiTheme="majorBidi" w:hAnsiTheme="majorBidi" w:cstheme="majorBidi"/>
          <w:sz w:val="24"/>
          <w:szCs w:val="24"/>
          <w:lang w:val="en-US"/>
        </w:rPr>
        <w:t>These findings underscore the urgent need for holistic urban planning approaches that simultaneously address infrastructure modernization, economic diversification, and institutional reform. The 2017 social protests and ongoing migration patterns further highlight the region's systemic vulnerabilities and the pressing need for policy interventions that bridge historical spatial inequalities while responding to contemporary socio-economic realities. To realize the transformative potential of these urban centers, policymakers must implement tailored strategies that combine targeted investment with participatory governance frameworks. Future research directions should prioritize investigations into climate adaptation strategies and innovative governance models to foster sustainable urban development in this geographically and politically significant region.</w:t>
      </w:r>
    </w:p>
    <w:p w14:paraId="48AC5C07" w14:textId="77777777" w:rsidR="00C20172" w:rsidRPr="008B2F1E" w:rsidRDefault="00C20172" w:rsidP="00C20172">
      <w:pPr>
        <w:jc w:val="both"/>
        <w:rPr>
          <w:b/>
          <w:bCs/>
          <w:rtl/>
          <w:lang w:val="en-US"/>
        </w:rPr>
      </w:pPr>
      <w:r w:rsidRPr="008B2F1E">
        <w:rPr>
          <w:b/>
          <w:bCs/>
          <w:lang w:val="en-US"/>
        </w:rPr>
        <w:lastRenderedPageBreak/>
        <w:t>Conflict of Interest in the Manuscript</w:t>
      </w:r>
    </w:p>
    <w:p w14:paraId="40DCBD01" w14:textId="541EEEF2" w:rsidR="00F72C3D" w:rsidRPr="00C20172" w:rsidRDefault="00C20172" w:rsidP="00C20172">
      <w:pPr>
        <w:jc w:val="both"/>
        <w:rPr>
          <w:rFonts w:asciiTheme="majorBidi" w:hAnsiTheme="majorBidi" w:cstheme="majorBidi"/>
          <w:sz w:val="24"/>
          <w:szCs w:val="24"/>
          <w:lang w:val="en-US"/>
        </w:rPr>
      </w:pPr>
      <w:r w:rsidRPr="008B2F1E">
        <w:rPr>
          <w:rFonts w:asciiTheme="majorBidi" w:hAnsiTheme="majorBidi" w:cstheme="majorBidi"/>
          <w:sz w:val="24"/>
          <w:szCs w:val="24"/>
          <w:lang w:val="en-US"/>
        </w:rPr>
        <w:t>The manuscript has no conflict of interest.</w:t>
      </w:r>
    </w:p>
    <w:p w14:paraId="45FA324D" w14:textId="77777777" w:rsidR="00F72C3D" w:rsidRPr="0097449B" w:rsidRDefault="00F72C3D" w:rsidP="00435E53">
      <w:pPr>
        <w:jc w:val="both"/>
        <w:rPr>
          <w:sz w:val="20"/>
          <w:szCs w:val="20"/>
          <w:lang w:val="en-US"/>
        </w:rPr>
      </w:pPr>
    </w:p>
    <w:p w14:paraId="7CEDD3BF" w14:textId="77777777" w:rsidR="00D20922" w:rsidRPr="00994ED1" w:rsidRDefault="00D20922" w:rsidP="008B2311">
      <w:pPr>
        <w:ind w:left="709" w:hanging="709"/>
        <w:jc w:val="both"/>
        <w:rPr>
          <w:rFonts w:asciiTheme="majorBidi" w:hAnsiTheme="majorBidi" w:cstheme="majorBidi"/>
          <w:b/>
          <w:bCs/>
          <w:sz w:val="28"/>
          <w:szCs w:val="28"/>
          <w:lang w:bidi="ar-MA"/>
        </w:rPr>
      </w:pPr>
      <w:r w:rsidRPr="00994ED1">
        <w:rPr>
          <w:rFonts w:asciiTheme="majorBidi" w:hAnsiTheme="majorBidi" w:cstheme="majorBidi"/>
          <w:b/>
          <w:bCs/>
          <w:sz w:val="28"/>
          <w:szCs w:val="28"/>
          <w:lang w:bidi="ar-MA"/>
        </w:rPr>
        <w:t>Bibliographic references</w:t>
      </w:r>
    </w:p>
    <w:p w14:paraId="0C5C4401" w14:textId="6C290691" w:rsidR="00605081" w:rsidRPr="00994ED1" w:rsidRDefault="00605081" w:rsidP="008B2311">
      <w:pPr>
        <w:ind w:left="709" w:hanging="709"/>
        <w:jc w:val="both"/>
        <w:rPr>
          <w:rFonts w:asciiTheme="majorBidi" w:hAnsiTheme="majorBidi" w:cstheme="majorBidi"/>
          <w:sz w:val="24"/>
          <w:szCs w:val="24"/>
          <w:lang w:bidi="ar-MA"/>
        </w:rPr>
      </w:pPr>
      <w:r w:rsidRPr="00994ED1">
        <w:rPr>
          <w:rFonts w:asciiTheme="majorBidi" w:hAnsiTheme="majorBidi" w:cstheme="majorBidi"/>
          <w:sz w:val="24"/>
          <w:szCs w:val="24"/>
          <w:lang w:bidi="ar-MA"/>
        </w:rPr>
        <w:t xml:space="preserve">A.G.A, sección civil marruecos, asunto, </w:t>
      </w:r>
      <w:bookmarkStart w:id="18" w:name="_Hlk189235557"/>
      <w:r w:rsidRPr="00994ED1">
        <w:rPr>
          <w:rFonts w:asciiTheme="majorBidi" w:hAnsiTheme="majorBidi" w:cstheme="majorBidi"/>
          <w:sz w:val="24"/>
          <w:szCs w:val="24"/>
          <w:lang w:bidi="ar-MA"/>
        </w:rPr>
        <w:t>dahir cambiando la denominacion del poblado de villa sanjurjo, par la de villa Alhucemas</w:t>
      </w:r>
      <w:bookmarkEnd w:id="18"/>
      <w:r w:rsidRPr="00994ED1">
        <w:rPr>
          <w:rFonts w:asciiTheme="majorBidi" w:hAnsiTheme="majorBidi" w:cstheme="majorBidi"/>
          <w:sz w:val="24"/>
          <w:szCs w:val="24"/>
          <w:lang w:bidi="ar-MA"/>
        </w:rPr>
        <w:t>. 81/9999 caja M.21, N, A-1, Ano 1932.</w:t>
      </w:r>
    </w:p>
    <w:p w14:paraId="4AA98DFD" w14:textId="71B60288" w:rsidR="00605081" w:rsidRPr="00994ED1" w:rsidRDefault="00605081" w:rsidP="008B2311">
      <w:pPr>
        <w:ind w:left="709" w:hanging="709"/>
        <w:jc w:val="both"/>
        <w:rPr>
          <w:rFonts w:asciiTheme="majorBidi" w:hAnsiTheme="majorBidi" w:cstheme="majorBidi"/>
          <w:sz w:val="24"/>
          <w:szCs w:val="24"/>
          <w:rtl/>
          <w:lang w:bidi="ar-MA"/>
        </w:rPr>
      </w:pPr>
      <w:r w:rsidRPr="00994ED1">
        <w:rPr>
          <w:rFonts w:asciiTheme="majorBidi" w:hAnsiTheme="majorBidi" w:cstheme="majorBidi"/>
          <w:sz w:val="24"/>
          <w:szCs w:val="24"/>
        </w:rPr>
        <w:t>Alejandro Muchada Suarez Notas para una teoría de la vivienda y la ciudad rifeña, De la ciudad – territorio a la megápolis mediterránea</w:t>
      </w:r>
      <w:r w:rsidR="00517E67" w:rsidRPr="00994ED1">
        <w:rPr>
          <w:rFonts w:asciiTheme="majorBidi" w:hAnsiTheme="majorBidi" w:cstheme="majorBidi"/>
          <w:sz w:val="24"/>
          <w:szCs w:val="24"/>
        </w:rPr>
        <w:t xml:space="preserve">. </w:t>
      </w:r>
      <w:hyperlink r:id="rId17" w:history="1">
        <w:r w:rsidR="00517E67" w:rsidRPr="00994ED1">
          <w:rPr>
            <w:rStyle w:val="Lienhypertexte"/>
            <w:rFonts w:asciiTheme="majorBidi" w:hAnsiTheme="majorBidi" w:cstheme="majorBidi"/>
            <w:sz w:val="24"/>
            <w:szCs w:val="24"/>
          </w:rPr>
          <w:t>https://www.academia.edu/14152543/Notes_for_a_theory_of_housing_and_city_of_the_Rif_Morocco</w:t>
        </w:r>
      </w:hyperlink>
      <w:r w:rsidR="00517E67" w:rsidRPr="00994ED1">
        <w:rPr>
          <w:rFonts w:asciiTheme="majorBidi" w:hAnsiTheme="majorBidi" w:cstheme="majorBidi"/>
          <w:sz w:val="24"/>
          <w:szCs w:val="24"/>
        </w:rPr>
        <w:t xml:space="preserve"> </w:t>
      </w:r>
      <w:r w:rsidRPr="00994ED1">
        <w:rPr>
          <w:rFonts w:asciiTheme="majorBidi" w:hAnsiTheme="majorBidi" w:cstheme="majorBidi"/>
          <w:sz w:val="24"/>
          <w:szCs w:val="24"/>
        </w:rPr>
        <w:t xml:space="preserve"> </w:t>
      </w:r>
    </w:p>
    <w:p w14:paraId="2A45E310" w14:textId="0693FCCF" w:rsidR="00517E67" w:rsidRPr="00994ED1" w:rsidRDefault="00605081" w:rsidP="00517E67">
      <w:pPr>
        <w:ind w:left="709" w:hanging="709"/>
        <w:jc w:val="both"/>
        <w:rPr>
          <w:rFonts w:asciiTheme="majorBidi" w:hAnsiTheme="majorBidi" w:cstheme="majorBidi"/>
          <w:sz w:val="24"/>
          <w:szCs w:val="24"/>
          <w:lang w:bidi="ar-MA"/>
        </w:rPr>
      </w:pPr>
      <w:r w:rsidRPr="00994ED1">
        <w:rPr>
          <w:rFonts w:asciiTheme="majorBidi" w:hAnsiTheme="majorBidi" w:cstheme="majorBidi"/>
          <w:sz w:val="24"/>
          <w:szCs w:val="24"/>
          <w:lang w:bidi="ar-MA"/>
        </w:rPr>
        <w:t>Alta Comisaría de España (1949). Acción de España en Marruecos, la obra material, Tetuan.</w:t>
      </w:r>
      <w:r w:rsidR="00517E67" w:rsidRPr="00994ED1">
        <w:rPr>
          <w:rFonts w:asciiTheme="majorBidi" w:hAnsiTheme="majorBidi" w:cstheme="majorBidi"/>
          <w:sz w:val="24"/>
          <w:szCs w:val="24"/>
          <w:lang w:bidi="ar-MA"/>
        </w:rPr>
        <w:t xml:space="preserve"> https://books.google.co.ma/books/about/Acci%C3%B3n_de_Espa%C3%B1a</w:t>
      </w:r>
    </w:p>
    <w:p w14:paraId="05A27978" w14:textId="698F1E98" w:rsidR="00605081" w:rsidRPr="00994ED1" w:rsidRDefault="00605081" w:rsidP="00517E67">
      <w:pPr>
        <w:jc w:val="both"/>
        <w:rPr>
          <w:rFonts w:asciiTheme="majorBidi" w:hAnsiTheme="majorBidi" w:cstheme="majorBidi"/>
          <w:sz w:val="24"/>
          <w:szCs w:val="24"/>
          <w:lang w:val="en-US" w:bidi="ar-MA"/>
        </w:rPr>
      </w:pPr>
      <w:r w:rsidRPr="00994ED1">
        <w:rPr>
          <w:rFonts w:asciiTheme="majorBidi" w:hAnsiTheme="majorBidi" w:cstheme="majorBidi"/>
          <w:sz w:val="24"/>
          <w:szCs w:val="24"/>
          <w:lang w:bidi="ar-MA"/>
        </w:rPr>
        <w:t xml:space="preserve">Antonio, B. N. (2013). Arquitectura y estructura urbana en el Rif Central durante la primera mitad del siglo XX. le patrimoine dans les montagnes rifaines; état et perspectives, institut royal de la culture amazighe, el maarif al jadida Rabat. </w:t>
      </w:r>
      <w:r w:rsidRPr="00994ED1">
        <w:rPr>
          <w:rFonts w:asciiTheme="majorBidi" w:hAnsiTheme="majorBidi" w:cstheme="majorBidi"/>
          <w:sz w:val="24"/>
          <w:szCs w:val="24"/>
          <w:lang w:val="en-US" w:bidi="ar-MA"/>
        </w:rPr>
        <w:t>PP, 19 – 76.</w:t>
      </w:r>
      <w:r w:rsidR="00517E67" w:rsidRPr="00994ED1">
        <w:rPr>
          <w:rFonts w:asciiTheme="majorBidi" w:hAnsiTheme="majorBidi" w:cstheme="majorBidi"/>
          <w:sz w:val="24"/>
          <w:szCs w:val="24"/>
          <w:lang w:val="en-US" w:bidi="ar-MA"/>
        </w:rPr>
        <w:t xml:space="preserve"> </w:t>
      </w:r>
      <w:hyperlink r:id="rId18" w:history="1">
        <w:r w:rsidR="00517E67" w:rsidRPr="00994ED1">
          <w:rPr>
            <w:rStyle w:val="Lienhypertexte"/>
            <w:rFonts w:asciiTheme="majorBidi" w:hAnsiTheme="majorBidi" w:cstheme="majorBidi"/>
            <w:sz w:val="24"/>
            <w:szCs w:val="24"/>
            <w:lang w:val="en-US" w:bidi="ar-MA"/>
          </w:rPr>
          <w:t>file:///C:/Users/USER/Downloads/ArquitecturaRif%20(1).pdf</w:t>
        </w:r>
      </w:hyperlink>
      <w:r w:rsidR="00517E67" w:rsidRPr="00994ED1">
        <w:rPr>
          <w:rFonts w:asciiTheme="majorBidi" w:hAnsiTheme="majorBidi" w:cstheme="majorBidi"/>
          <w:sz w:val="24"/>
          <w:szCs w:val="24"/>
          <w:lang w:val="en-US" w:bidi="ar-MA"/>
        </w:rPr>
        <w:t xml:space="preserve"> </w:t>
      </w:r>
    </w:p>
    <w:p w14:paraId="451A9934" w14:textId="323A5E0F" w:rsidR="00605081" w:rsidRPr="00994ED1" w:rsidRDefault="00605081" w:rsidP="008B2311">
      <w:pPr>
        <w:ind w:left="709" w:hanging="709"/>
        <w:jc w:val="both"/>
        <w:rPr>
          <w:rFonts w:asciiTheme="majorBidi" w:hAnsiTheme="majorBidi" w:cstheme="majorBidi"/>
          <w:sz w:val="24"/>
          <w:szCs w:val="24"/>
          <w:lang w:val="en-US" w:bidi="ar-MA"/>
        </w:rPr>
      </w:pPr>
      <w:bookmarkStart w:id="19" w:name="_Hlk189257390"/>
      <w:r w:rsidRPr="00994ED1">
        <w:rPr>
          <w:rFonts w:asciiTheme="majorBidi" w:hAnsiTheme="majorBidi" w:cstheme="majorBidi"/>
          <w:sz w:val="24"/>
          <w:szCs w:val="24"/>
          <w:lang w:val="en-US" w:bidi="ar-MA"/>
        </w:rPr>
        <w:t>Belguidoum,</w:t>
      </w:r>
      <w:r w:rsidRPr="00994ED1">
        <w:rPr>
          <w:rFonts w:asciiTheme="majorBidi" w:hAnsiTheme="majorBidi" w:cstheme="majorBidi"/>
          <w:sz w:val="28"/>
          <w:szCs w:val="28"/>
          <w:lang w:val="en-US"/>
        </w:rPr>
        <w:t xml:space="preserve"> </w:t>
      </w:r>
      <w:r w:rsidRPr="00994ED1">
        <w:rPr>
          <w:rFonts w:asciiTheme="majorBidi" w:hAnsiTheme="majorBidi" w:cstheme="majorBidi"/>
          <w:sz w:val="24"/>
          <w:szCs w:val="24"/>
          <w:lang w:val="en-US" w:bidi="ar-MA"/>
        </w:rPr>
        <w:t>S., Raffaele, C., &amp; Iraki,</w:t>
      </w:r>
      <w:r w:rsidRPr="00994ED1">
        <w:rPr>
          <w:rFonts w:asciiTheme="majorBidi" w:hAnsiTheme="majorBidi" w:cstheme="majorBidi"/>
          <w:sz w:val="28"/>
          <w:szCs w:val="28"/>
          <w:lang w:val="en-US"/>
        </w:rPr>
        <w:t xml:space="preserve"> </w:t>
      </w:r>
      <w:r w:rsidRPr="00994ED1">
        <w:rPr>
          <w:rFonts w:asciiTheme="majorBidi" w:hAnsiTheme="majorBidi" w:cstheme="majorBidi"/>
          <w:sz w:val="24"/>
          <w:szCs w:val="24"/>
          <w:lang w:val="en-US" w:bidi="ar-MA"/>
        </w:rPr>
        <w:t>A. (2015</w:t>
      </w:r>
      <w:bookmarkEnd w:id="19"/>
      <w:r w:rsidRPr="00994ED1">
        <w:rPr>
          <w:rFonts w:asciiTheme="majorBidi" w:hAnsiTheme="majorBidi" w:cstheme="majorBidi"/>
          <w:sz w:val="24"/>
          <w:szCs w:val="24"/>
          <w:lang w:val="en-US" w:bidi="ar-MA"/>
        </w:rPr>
        <w:t xml:space="preserve">). Cities and Urbanity in the Maghreb. </w:t>
      </w:r>
      <w:r w:rsidRPr="00994ED1">
        <w:rPr>
          <w:rFonts w:asciiTheme="majorBidi" w:hAnsiTheme="majorBidi" w:cstheme="majorBidi"/>
          <w:sz w:val="24"/>
          <w:szCs w:val="24"/>
          <w:lang w:bidi="ar-MA"/>
        </w:rPr>
        <w:t>Dossier : Villes et urbanités au Maghreb, Année du Maghreb. N 12.</w:t>
      </w:r>
      <w:r w:rsidR="00CD4406" w:rsidRPr="00994ED1">
        <w:rPr>
          <w:rFonts w:asciiTheme="majorBidi" w:hAnsiTheme="majorBidi" w:cstheme="majorBidi"/>
          <w:sz w:val="24"/>
          <w:szCs w:val="24"/>
          <w:lang w:bidi="ar-MA"/>
        </w:rPr>
        <w:t xml:space="preserve"> </w:t>
      </w:r>
      <w:hyperlink r:id="rId19" w:history="1">
        <w:r w:rsidR="00CD4406" w:rsidRPr="00994ED1">
          <w:rPr>
            <w:rStyle w:val="Lienhypertexte"/>
            <w:rFonts w:asciiTheme="majorBidi" w:hAnsiTheme="majorBidi" w:cstheme="majorBidi"/>
            <w:sz w:val="24"/>
            <w:szCs w:val="24"/>
            <w:lang w:val="en-US" w:bidi="ar-MA"/>
          </w:rPr>
          <w:t>https://doi.org/10.4000/anneemaghreb.2510</w:t>
        </w:r>
      </w:hyperlink>
      <w:r w:rsidR="00CD4406" w:rsidRPr="00994ED1">
        <w:rPr>
          <w:rFonts w:asciiTheme="majorBidi" w:hAnsiTheme="majorBidi" w:cstheme="majorBidi"/>
          <w:sz w:val="24"/>
          <w:szCs w:val="24"/>
          <w:lang w:val="en-US" w:bidi="ar-MA"/>
        </w:rPr>
        <w:t xml:space="preserve"> </w:t>
      </w:r>
    </w:p>
    <w:p w14:paraId="28744AF7" w14:textId="11FD3972" w:rsidR="00605081" w:rsidRPr="00994ED1" w:rsidRDefault="00605081" w:rsidP="008B2311">
      <w:pPr>
        <w:ind w:left="709" w:hanging="709"/>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 xml:space="preserve">Bouhlal, I., Ayoub, B., Hamid, B., &amp; Abdennour, S. (2024). Transforming Cannabis Cultivation in Northern Morocco: A Geographical Analysis from Prohibition to Legitimization. </w:t>
      </w:r>
      <w:bookmarkStart w:id="20" w:name="_Hlk189311112"/>
      <w:r w:rsidRPr="00994ED1">
        <w:rPr>
          <w:rFonts w:asciiTheme="majorBidi" w:hAnsiTheme="majorBidi" w:cstheme="majorBidi"/>
          <w:sz w:val="24"/>
          <w:szCs w:val="24"/>
          <w:lang w:val="en-US" w:bidi="ar-MA"/>
        </w:rPr>
        <w:t>J. Glob. Innov. Agric. Sci. 12 (2): 537-544.</w:t>
      </w:r>
      <w:bookmarkEnd w:id="20"/>
      <w:r w:rsidR="00CD4406" w:rsidRPr="00994ED1">
        <w:rPr>
          <w:rFonts w:asciiTheme="majorBidi" w:hAnsiTheme="majorBidi" w:cstheme="majorBidi"/>
          <w:sz w:val="24"/>
          <w:szCs w:val="24"/>
          <w:lang w:val="en-US" w:bidi="ar-MA"/>
        </w:rPr>
        <w:t xml:space="preserve"> </w:t>
      </w:r>
      <w:hyperlink r:id="rId20" w:history="1">
        <w:r w:rsidR="00CD4406" w:rsidRPr="00994ED1">
          <w:rPr>
            <w:rStyle w:val="Lienhypertexte"/>
            <w:rFonts w:asciiTheme="majorBidi" w:hAnsiTheme="majorBidi" w:cstheme="majorBidi"/>
            <w:sz w:val="24"/>
            <w:szCs w:val="24"/>
            <w:lang w:val="en-US" w:bidi="ar-MA"/>
          </w:rPr>
          <w:t>https://doi.org/10.22194/JGIAS/24.1273</w:t>
        </w:r>
      </w:hyperlink>
      <w:r w:rsidR="00CD4406" w:rsidRPr="00994ED1">
        <w:rPr>
          <w:rFonts w:asciiTheme="majorBidi" w:hAnsiTheme="majorBidi" w:cstheme="majorBidi"/>
          <w:sz w:val="24"/>
          <w:szCs w:val="24"/>
          <w:lang w:val="en-US" w:bidi="ar-MA"/>
        </w:rPr>
        <w:t xml:space="preserve"> </w:t>
      </w:r>
    </w:p>
    <w:p w14:paraId="106CAEDD" w14:textId="66037F1C" w:rsidR="00605081" w:rsidRPr="00994ED1" w:rsidRDefault="00605081" w:rsidP="008B2311">
      <w:pPr>
        <w:ind w:left="709" w:hanging="709"/>
        <w:jc w:val="both"/>
        <w:rPr>
          <w:rFonts w:asciiTheme="majorBidi" w:hAnsiTheme="majorBidi" w:cstheme="majorBidi"/>
          <w:sz w:val="24"/>
          <w:szCs w:val="24"/>
          <w:lang w:bidi="ar-MA"/>
        </w:rPr>
      </w:pPr>
      <w:r w:rsidRPr="00994ED1">
        <w:rPr>
          <w:rFonts w:asciiTheme="majorBidi" w:hAnsiTheme="majorBidi" w:cstheme="majorBidi"/>
          <w:sz w:val="24"/>
          <w:szCs w:val="24"/>
          <w:lang w:val="en-US" w:bidi="ar-MA"/>
        </w:rPr>
        <w:t xml:space="preserve">Bouhlal, I., Chaichai, B., Benssi, H., Sadik, A., Batchi, M., &amp; El Mansouri, S. (2024). Territorial Resources in the Province of Al Hoceima Between Undervaluation and Territorial Development Issues Case: of the Commune Abdelghaya Souahel. </w:t>
      </w:r>
      <w:r w:rsidRPr="00994ED1">
        <w:rPr>
          <w:rFonts w:asciiTheme="majorBidi" w:hAnsiTheme="majorBidi" w:cstheme="majorBidi"/>
          <w:sz w:val="24"/>
          <w:szCs w:val="24"/>
          <w:lang w:bidi="ar-MA"/>
        </w:rPr>
        <w:t xml:space="preserve">J. Glob. Innov. Agric. Sci. 12 (4): 1291-1300. </w:t>
      </w:r>
      <w:hyperlink r:id="rId21" w:history="1">
        <w:r w:rsidR="00CD4406" w:rsidRPr="00994ED1">
          <w:rPr>
            <w:rStyle w:val="Lienhypertexte"/>
            <w:rFonts w:asciiTheme="majorBidi" w:hAnsiTheme="majorBidi" w:cstheme="majorBidi"/>
            <w:sz w:val="24"/>
            <w:szCs w:val="24"/>
            <w:lang w:bidi="ar-MA"/>
          </w:rPr>
          <w:t>https://doi.org/10.22194/JGIAS/24.1578</w:t>
        </w:r>
      </w:hyperlink>
      <w:r w:rsidR="00CD4406" w:rsidRPr="00994ED1">
        <w:rPr>
          <w:rFonts w:asciiTheme="majorBidi" w:hAnsiTheme="majorBidi" w:cstheme="majorBidi"/>
          <w:sz w:val="24"/>
          <w:szCs w:val="24"/>
          <w:lang w:bidi="ar-MA"/>
        </w:rPr>
        <w:t xml:space="preserve"> </w:t>
      </w:r>
    </w:p>
    <w:p w14:paraId="347D128D" w14:textId="243F3524" w:rsidR="00605081" w:rsidRPr="00994ED1" w:rsidRDefault="00605081" w:rsidP="008B2311">
      <w:pPr>
        <w:ind w:left="709" w:hanging="709"/>
        <w:jc w:val="both"/>
        <w:rPr>
          <w:rFonts w:asciiTheme="majorBidi" w:hAnsiTheme="majorBidi" w:cstheme="majorBidi"/>
          <w:sz w:val="24"/>
          <w:szCs w:val="24"/>
          <w:lang w:val="en-US" w:bidi="ar-MA"/>
        </w:rPr>
      </w:pPr>
      <w:bookmarkStart w:id="21" w:name="_Hlk189568170"/>
      <w:r w:rsidRPr="00994ED1">
        <w:rPr>
          <w:rFonts w:asciiTheme="majorBidi" w:hAnsiTheme="majorBidi" w:cstheme="majorBidi"/>
          <w:sz w:val="24"/>
          <w:szCs w:val="24"/>
          <w:lang w:bidi="ar-MA"/>
        </w:rPr>
        <w:t>Bounoua, L., Fathi, N., El Berkaoui, M., El Ghazouani, L., &amp; Messouli, M. (2020</w:t>
      </w:r>
      <w:bookmarkEnd w:id="21"/>
      <w:r w:rsidRPr="00994ED1">
        <w:rPr>
          <w:rFonts w:asciiTheme="majorBidi" w:hAnsiTheme="majorBidi" w:cstheme="majorBidi"/>
          <w:sz w:val="24"/>
          <w:szCs w:val="24"/>
          <w:lang w:bidi="ar-MA"/>
        </w:rPr>
        <w:t xml:space="preserve">). </w:t>
      </w:r>
      <w:r w:rsidRPr="00994ED1">
        <w:rPr>
          <w:rFonts w:asciiTheme="majorBidi" w:hAnsiTheme="majorBidi" w:cstheme="majorBidi"/>
          <w:sz w:val="24"/>
          <w:szCs w:val="24"/>
          <w:lang w:val="en-US" w:bidi="ar-MA"/>
        </w:rPr>
        <w:t>Assessment of Sustainability Development in Urban Areas of Morocco. Journal Urban Science. 2020, 4, 18.</w:t>
      </w:r>
      <w:r w:rsidR="00F66B8C" w:rsidRPr="00994ED1">
        <w:rPr>
          <w:rFonts w:asciiTheme="majorBidi" w:hAnsiTheme="majorBidi" w:cstheme="majorBidi"/>
          <w:sz w:val="24"/>
          <w:szCs w:val="24"/>
          <w:lang w:val="en-US" w:bidi="ar-MA"/>
        </w:rPr>
        <w:t xml:space="preserve"> </w:t>
      </w:r>
      <w:hyperlink r:id="rId22" w:history="1">
        <w:bookmarkStart w:id="22" w:name="_Hlk189603142"/>
        <w:r w:rsidR="00F66B8C" w:rsidRPr="00994ED1">
          <w:rPr>
            <w:rStyle w:val="Lienhypertexte"/>
            <w:rFonts w:asciiTheme="majorBidi" w:hAnsiTheme="majorBidi" w:cstheme="majorBidi"/>
            <w:sz w:val="24"/>
            <w:szCs w:val="24"/>
            <w:lang w:val="en-US" w:bidi="ar-MA"/>
          </w:rPr>
          <w:t>https://doi.org/</w:t>
        </w:r>
        <w:bookmarkEnd w:id="22"/>
        <w:r w:rsidR="00F66B8C" w:rsidRPr="00994ED1">
          <w:rPr>
            <w:rStyle w:val="Lienhypertexte"/>
            <w:rFonts w:asciiTheme="majorBidi" w:hAnsiTheme="majorBidi" w:cstheme="majorBidi"/>
            <w:sz w:val="24"/>
            <w:szCs w:val="24"/>
            <w:lang w:val="en-US" w:bidi="ar-MA"/>
          </w:rPr>
          <w:t>10.3390/urbansci4020018</w:t>
        </w:r>
      </w:hyperlink>
      <w:r w:rsidR="00F66B8C" w:rsidRPr="00994ED1">
        <w:rPr>
          <w:rFonts w:asciiTheme="majorBidi" w:hAnsiTheme="majorBidi" w:cstheme="majorBidi"/>
          <w:sz w:val="24"/>
          <w:szCs w:val="24"/>
          <w:lang w:val="en-US" w:bidi="ar-MA"/>
        </w:rPr>
        <w:t xml:space="preserve"> </w:t>
      </w:r>
    </w:p>
    <w:p w14:paraId="3D3D82E4" w14:textId="708421AC" w:rsidR="00605081" w:rsidRPr="00994ED1" w:rsidRDefault="00605081" w:rsidP="008B2311">
      <w:pPr>
        <w:ind w:left="709" w:hanging="709"/>
        <w:jc w:val="both"/>
        <w:rPr>
          <w:rFonts w:asciiTheme="majorBidi" w:hAnsiTheme="majorBidi" w:cstheme="majorBidi"/>
          <w:sz w:val="24"/>
          <w:szCs w:val="24"/>
          <w:lang w:val="en-US" w:bidi="ar-MA"/>
        </w:rPr>
      </w:pPr>
      <w:r w:rsidRPr="00994ED1">
        <w:rPr>
          <w:rFonts w:asciiTheme="majorBidi" w:hAnsiTheme="majorBidi" w:cstheme="majorBidi"/>
          <w:sz w:val="24"/>
          <w:szCs w:val="24"/>
          <w:lang w:val="en-US" w:bidi="ar-MA"/>
        </w:rPr>
        <w:t>El Kahlaoui, S. (2024). Claiming Democracy and Environmental Justice at the Margins: Land Rights and Urban Informality as Sites of Mobilization in Morocco. MIDDLE EAST CRITIQUE, rading as Taylor &amp; Francis Group.</w:t>
      </w:r>
      <w:r w:rsidR="00CD54F8" w:rsidRPr="00994ED1">
        <w:rPr>
          <w:rFonts w:asciiTheme="majorBidi" w:hAnsiTheme="majorBidi" w:cstheme="majorBidi"/>
          <w:sz w:val="24"/>
          <w:szCs w:val="24"/>
          <w:lang w:val="en-US" w:bidi="ar-MA"/>
        </w:rPr>
        <w:t xml:space="preserve"> </w:t>
      </w:r>
      <w:hyperlink r:id="rId23" w:history="1">
        <w:bookmarkStart w:id="23" w:name="_Hlk189602972"/>
        <w:r w:rsidR="00CD54F8" w:rsidRPr="00994ED1">
          <w:rPr>
            <w:rStyle w:val="Lienhypertexte"/>
            <w:rFonts w:asciiTheme="majorBidi" w:hAnsiTheme="majorBidi" w:cstheme="majorBidi"/>
            <w:sz w:val="24"/>
            <w:szCs w:val="24"/>
            <w:lang w:val="en-US" w:bidi="ar-MA"/>
          </w:rPr>
          <w:t>https://doi.org/</w:t>
        </w:r>
        <w:bookmarkEnd w:id="23"/>
        <w:r w:rsidR="00CD54F8" w:rsidRPr="00994ED1">
          <w:rPr>
            <w:rStyle w:val="Lienhypertexte"/>
            <w:rFonts w:asciiTheme="majorBidi" w:hAnsiTheme="majorBidi" w:cstheme="majorBidi"/>
            <w:sz w:val="24"/>
            <w:szCs w:val="24"/>
            <w:lang w:val="en-US" w:bidi="ar-MA"/>
          </w:rPr>
          <w:t>10.1080/19436149.2024.2398298</w:t>
        </w:r>
      </w:hyperlink>
      <w:r w:rsidR="00CD54F8" w:rsidRPr="00994ED1">
        <w:rPr>
          <w:rFonts w:asciiTheme="majorBidi" w:hAnsiTheme="majorBidi" w:cstheme="majorBidi"/>
          <w:sz w:val="24"/>
          <w:szCs w:val="24"/>
          <w:lang w:val="en-US" w:bidi="ar-MA"/>
        </w:rPr>
        <w:t xml:space="preserve"> </w:t>
      </w:r>
    </w:p>
    <w:p w14:paraId="7BD32C3B" w14:textId="77777777" w:rsidR="00605081" w:rsidRPr="00994ED1" w:rsidRDefault="00605081" w:rsidP="008B2311">
      <w:pPr>
        <w:ind w:left="709" w:hanging="709"/>
        <w:jc w:val="both"/>
        <w:rPr>
          <w:rFonts w:asciiTheme="majorBidi" w:hAnsiTheme="majorBidi" w:cstheme="majorBidi"/>
          <w:sz w:val="24"/>
          <w:szCs w:val="24"/>
          <w:lang w:bidi="ar-MA"/>
        </w:rPr>
      </w:pPr>
      <w:bookmarkStart w:id="24" w:name="_Hlk189232226"/>
      <w:r w:rsidRPr="00994ED1">
        <w:rPr>
          <w:rFonts w:asciiTheme="majorBidi" w:hAnsiTheme="majorBidi" w:cstheme="majorBidi"/>
          <w:sz w:val="24"/>
          <w:szCs w:val="24"/>
          <w:lang w:bidi="ar-MA"/>
        </w:rPr>
        <w:t>El Sabri, S. (</w:t>
      </w:r>
      <w:r w:rsidRPr="00994ED1">
        <w:rPr>
          <w:rFonts w:asciiTheme="majorBidi" w:hAnsiTheme="majorBidi" w:cstheme="majorBidi"/>
          <w:sz w:val="24"/>
          <w:szCs w:val="24"/>
          <w:rtl/>
          <w:lang w:bidi="ar-MA"/>
        </w:rPr>
        <w:t>1999</w:t>
      </w:r>
      <w:bookmarkEnd w:id="24"/>
      <w:r w:rsidRPr="00994ED1">
        <w:rPr>
          <w:rFonts w:asciiTheme="majorBidi" w:hAnsiTheme="majorBidi" w:cstheme="majorBidi"/>
          <w:sz w:val="24"/>
          <w:szCs w:val="24"/>
          <w:lang w:bidi="ar-MA"/>
        </w:rPr>
        <w:t>). Le fait urbain dans la province d'Al Hoceima (Rif central) : Passé, présent et devenir, in Maroc-Europe : Histoire économies sociétés n°2, p. 21-53.</w:t>
      </w:r>
    </w:p>
    <w:p w14:paraId="6F54D79B" w14:textId="6505F338" w:rsidR="00605081" w:rsidRPr="00994ED1" w:rsidRDefault="00605081" w:rsidP="00E7177D">
      <w:pPr>
        <w:ind w:left="709" w:hanging="709"/>
        <w:jc w:val="both"/>
        <w:rPr>
          <w:rFonts w:asciiTheme="majorBidi" w:hAnsiTheme="majorBidi" w:cstheme="majorBidi"/>
          <w:sz w:val="24"/>
          <w:szCs w:val="24"/>
          <w:lang w:bidi="ar-MA"/>
        </w:rPr>
      </w:pPr>
      <w:r w:rsidRPr="00994ED1">
        <w:rPr>
          <w:rFonts w:asciiTheme="majorBidi" w:hAnsiTheme="majorBidi" w:cstheme="majorBidi"/>
          <w:sz w:val="24"/>
          <w:szCs w:val="24"/>
          <w:lang w:val="en-US" w:bidi="ar-MA"/>
        </w:rPr>
        <w:t>El-Araby,</w:t>
      </w:r>
      <w:r w:rsidRPr="00994ED1">
        <w:rPr>
          <w:rFonts w:asciiTheme="majorBidi" w:hAnsiTheme="majorBidi" w:cstheme="majorBidi"/>
          <w:sz w:val="28"/>
          <w:szCs w:val="28"/>
          <w:lang w:val="en-US"/>
        </w:rPr>
        <w:t xml:space="preserve"> </w:t>
      </w:r>
      <w:r w:rsidRPr="00994ED1">
        <w:rPr>
          <w:rFonts w:asciiTheme="majorBidi" w:hAnsiTheme="majorBidi" w:cstheme="majorBidi"/>
          <w:sz w:val="24"/>
          <w:szCs w:val="24"/>
          <w:lang w:val="en-US" w:bidi="ar-MA"/>
        </w:rPr>
        <w:t xml:space="preserve">A., &amp; Faleh, A. (2017). Emerging Rural Centers, Territorial Projects, Regional Development Players and Prospects. The Case of the Province of Zagora (Morocco). Annals of Valahia University of Targoviste Geographical Series. </w:t>
      </w:r>
      <w:r w:rsidRPr="00994ED1">
        <w:rPr>
          <w:rFonts w:asciiTheme="majorBidi" w:hAnsiTheme="majorBidi" w:cstheme="majorBidi"/>
          <w:sz w:val="24"/>
          <w:szCs w:val="24"/>
          <w:lang w:bidi="ar-MA"/>
        </w:rPr>
        <w:t xml:space="preserve">17(2): 170-183. </w:t>
      </w:r>
      <w:r w:rsidR="00CD54F8" w:rsidRPr="00994ED1">
        <w:rPr>
          <w:rFonts w:asciiTheme="majorBidi" w:hAnsiTheme="majorBidi" w:cstheme="majorBidi"/>
          <w:sz w:val="24"/>
          <w:szCs w:val="24"/>
          <w:lang w:bidi="ar-MA"/>
        </w:rPr>
        <w:t xml:space="preserve">  </w:t>
      </w:r>
      <w:hyperlink r:id="rId24" w:history="1">
        <w:r w:rsidR="00CD54F8" w:rsidRPr="00994ED1">
          <w:rPr>
            <w:rStyle w:val="Lienhypertexte"/>
            <w:rFonts w:asciiTheme="majorBidi" w:hAnsiTheme="majorBidi" w:cstheme="majorBidi"/>
            <w:sz w:val="24"/>
            <w:szCs w:val="24"/>
            <w:lang w:bidi="ar-MA"/>
          </w:rPr>
          <w:t>https://doi.org/10.1515/avutgs-2017-0016</w:t>
        </w:r>
      </w:hyperlink>
      <w:r w:rsidR="00CD54F8" w:rsidRPr="00994ED1">
        <w:rPr>
          <w:rFonts w:asciiTheme="majorBidi" w:hAnsiTheme="majorBidi" w:cstheme="majorBidi"/>
          <w:sz w:val="24"/>
          <w:szCs w:val="24"/>
          <w:lang w:bidi="ar-MA"/>
        </w:rPr>
        <w:t xml:space="preserve"> </w:t>
      </w:r>
    </w:p>
    <w:p w14:paraId="24E03F09" w14:textId="06DFC826" w:rsidR="00605081" w:rsidRPr="00994ED1" w:rsidRDefault="00605081" w:rsidP="008B2311">
      <w:pPr>
        <w:ind w:left="709" w:hanging="709"/>
        <w:jc w:val="both"/>
        <w:rPr>
          <w:rFonts w:asciiTheme="majorBidi" w:hAnsiTheme="majorBidi" w:cstheme="majorBidi"/>
          <w:sz w:val="24"/>
          <w:szCs w:val="24"/>
          <w:lang w:bidi="ar-MA"/>
        </w:rPr>
      </w:pPr>
      <w:bookmarkStart w:id="25" w:name="_Hlk189308511"/>
      <w:r w:rsidRPr="00994ED1">
        <w:rPr>
          <w:rFonts w:asciiTheme="majorBidi" w:hAnsiTheme="majorBidi" w:cstheme="majorBidi"/>
          <w:sz w:val="24"/>
          <w:szCs w:val="24"/>
          <w:lang w:bidi="ar-MA"/>
        </w:rPr>
        <w:lastRenderedPageBreak/>
        <w:t>Erraougui, K., Kasbaoui, A., Daiboun, T. (2022</w:t>
      </w:r>
      <w:bookmarkEnd w:id="25"/>
      <w:r w:rsidRPr="00994ED1">
        <w:rPr>
          <w:rFonts w:asciiTheme="majorBidi" w:hAnsiTheme="majorBidi" w:cstheme="majorBidi"/>
          <w:sz w:val="24"/>
          <w:szCs w:val="24"/>
          <w:lang w:bidi="ar-MA"/>
        </w:rPr>
        <w:t>). Les mutations socio-spatiales des centres émergents au Maroc. Le cas de Sidi Allal Bahraoui, province de Khémisset. Revue espace géographique et société marocaine, N</w:t>
      </w:r>
      <w:r w:rsidR="008F61A3" w:rsidRPr="00994ED1">
        <w:rPr>
          <w:rFonts w:asciiTheme="majorBidi" w:hAnsiTheme="majorBidi" w:cstheme="majorBidi"/>
          <w:sz w:val="24"/>
          <w:szCs w:val="24"/>
          <w:lang w:bidi="ar-MA"/>
        </w:rPr>
        <w:t>O</w:t>
      </w:r>
      <w:r w:rsidRPr="00994ED1">
        <w:rPr>
          <w:rFonts w:asciiTheme="majorBidi" w:hAnsiTheme="majorBidi" w:cstheme="majorBidi"/>
          <w:sz w:val="24"/>
          <w:szCs w:val="24"/>
          <w:lang w:bidi="ar-MA"/>
        </w:rPr>
        <w:t xml:space="preserve"> 57.</w:t>
      </w:r>
      <w:r w:rsidR="008F61A3" w:rsidRPr="00994ED1">
        <w:rPr>
          <w:rFonts w:asciiTheme="majorBidi" w:hAnsiTheme="majorBidi" w:cstheme="majorBidi"/>
          <w:sz w:val="24"/>
          <w:szCs w:val="24"/>
          <w:lang w:bidi="ar-MA"/>
        </w:rPr>
        <w:t xml:space="preserve"> </w:t>
      </w:r>
      <w:hyperlink r:id="rId25" w:history="1">
        <w:r w:rsidR="008F61A3" w:rsidRPr="00994ED1">
          <w:rPr>
            <w:rStyle w:val="Lienhypertexte"/>
            <w:rFonts w:asciiTheme="majorBidi" w:hAnsiTheme="majorBidi" w:cstheme="majorBidi"/>
            <w:sz w:val="24"/>
            <w:szCs w:val="24"/>
            <w:lang w:bidi="ar-MA"/>
          </w:rPr>
          <w:t>https://doi.org/10.34874/IMIST.PRSM/EGSM/30559</w:t>
        </w:r>
      </w:hyperlink>
      <w:r w:rsidR="008F61A3" w:rsidRPr="00994ED1">
        <w:rPr>
          <w:rFonts w:asciiTheme="majorBidi" w:hAnsiTheme="majorBidi" w:cstheme="majorBidi"/>
          <w:sz w:val="24"/>
          <w:szCs w:val="24"/>
          <w:lang w:bidi="ar-MA"/>
        </w:rPr>
        <w:t xml:space="preserve"> </w:t>
      </w:r>
    </w:p>
    <w:p w14:paraId="49DEFB22" w14:textId="77777777" w:rsidR="00605081" w:rsidRPr="00994ED1" w:rsidRDefault="00605081" w:rsidP="008B2311">
      <w:pPr>
        <w:ind w:left="709" w:hanging="709"/>
        <w:jc w:val="both"/>
        <w:rPr>
          <w:rFonts w:asciiTheme="majorBidi" w:hAnsiTheme="majorBidi" w:cstheme="majorBidi"/>
          <w:sz w:val="24"/>
          <w:szCs w:val="24"/>
          <w:rtl/>
          <w:lang w:bidi="ar-MA"/>
        </w:rPr>
      </w:pPr>
      <w:r w:rsidRPr="00994ED1">
        <w:rPr>
          <w:rFonts w:asciiTheme="majorBidi" w:hAnsiTheme="majorBidi" w:cstheme="majorBidi"/>
          <w:sz w:val="24"/>
          <w:szCs w:val="24"/>
          <w:lang w:bidi="ar-MA"/>
        </w:rPr>
        <w:t>HCP Recensement Général de la Population et de l'Habitat (RGPH), 1994, 2004, 2014, 2024.</w:t>
      </w:r>
    </w:p>
    <w:p w14:paraId="0A553068" w14:textId="192A8BF6" w:rsidR="00605081" w:rsidRPr="006619B8" w:rsidRDefault="00605081" w:rsidP="008B2311">
      <w:pPr>
        <w:ind w:left="709" w:hanging="709"/>
        <w:jc w:val="both"/>
        <w:rPr>
          <w:rFonts w:asciiTheme="majorBidi" w:hAnsiTheme="majorBidi" w:cstheme="majorBidi"/>
          <w:sz w:val="24"/>
          <w:szCs w:val="24"/>
          <w:lang w:bidi="ar-MA"/>
        </w:rPr>
      </w:pPr>
      <w:bookmarkStart w:id="26" w:name="_Hlk189526802"/>
      <w:r w:rsidRPr="00994ED1">
        <w:rPr>
          <w:rFonts w:asciiTheme="majorBidi" w:hAnsiTheme="majorBidi" w:cstheme="majorBidi"/>
          <w:sz w:val="24"/>
          <w:szCs w:val="24"/>
          <w:lang w:val="en-US" w:bidi="ar-MA"/>
        </w:rPr>
        <w:t>Hooman, G., Sepideh, A. B., Linda, M., &amp; Mahshid, J. (2021</w:t>
      </w:r>
      <w:bookmarkEnd w:id="26"/>
      <w:r w:rsidRPr="00994ED1">
        <w:rPr>
          <w:rFonts w:asciiTheme="majorBidi" w:hAnsiTheme="majorBidi" w:cstheme="majorBidi"/>
          <w:sz w:val="24"/>
          <w:szCs w:val="24"/>
          <w:lang w:val="en-US" w:bidi="ar-MA"/>
        </w:rPr>
        <w:t>). Transformation of Urban Spaces within Cities in the Context of Globalization and Urban Competitiveness.</w:t>
      </w:r>
      <w:r w:rsidRPr="00994ED1">
        <w:rPr>
          <w:rFonts w:asciiTheme="majorBidi" w:hAnsiTheme="majorBidi" w:cstheme="majorBidi"/>
          <w:sz w:val="28"/>
          <w:szCs w:val="28"/>
          <w:lang w:val="en-US"/>
        </w:rPr>
        <w:t xml:space="preserve"> </w:t>
      </w:r>
      <w:r w:rsidRPr="00994ED1">
        <w:rPr>
          <w:rFonts w:asciiTheme="majorBidi" w:hAnsiTheme="majorBidi" w:cstheme="majorBidi"/>
          <w:sz w:val="24"/>
          <w:szCs w:val="24"/>
          <w:lang w:val="en-US" w:bidi="ar-MA"/>
        </w:rPr>
        <w:t xml:space="preserve">Journal of Urban Planning and Development, Case Study, Volume 147, Issue 3. </w:t>
      </w:r>
      <w:hyperlink r:id="rId26" w:history="1">
        <w:r w:rsidR="00F959F6" w:rsidRPr="006619B8">
          <w:rPr>
            <w:rStyle w:val="Lienhypertexte"/>
            <w:rFonts w:asciiTheme="majorBidi" w:hAnsiTheme="majorBidi" w:cstheme="majorBidi"/>
            <w:sz w:val="24"/>
            <w:szCs w:val="24"/>
            <w:lang w:bidi="ar-MA"/>
          </w:rPr>
          <w:t>https://doi.org/10.1061/(ASCE)UP.1943-5444.000070</w:t>
        </w:r>
      </w:hyperlink>
      <w:r w:rsidR="00F959F6" w:rsidRPr="006619B8">
        <w:rPr>
          <w:rFonts w:asciiTheme="majorBidi" w:hAnsiTheme="majorBidi" w:cstheme="majorBidi"/>
          <w:sz w:val="24"/>
          <w:szCs w:val="24"/>
          <w:lang w:bidi="ar-MA"/>
        </w:rPr>
        <w:t xml:space="preserve"> </w:t>
      </w:r>
    </w:p>
    <w:p w14:paraId="012EAC39" w14:textId="59C483F5" w:rsidR="00605081" w:rsidRPr="00994ED1" w:rsidRDefault="00605081" w:rsidP="008B2311">
      <w:pPr>
        <w:ind w:left="709" w:hanging="709"/>
        <w:jc w:val="both"/>
        <w:rPr>
          <w:rFonts w:asciiTheme="majorBidi" w:hAnsiTheme="majorBidi" w:cstheme="majorBidi"/>
          <w:sz w:val="24"/>
          <w:szCs w:val="24"/>
          <w:lang w:val="en-US" w:bidi="ar-MA"/>
        </w:rPr>
      </w:pPr>
      <w:bookmarkStart w:id="27" w:name="_Hlk189234884"/>
      <w:r w:rsidRPr="00994ED1">
        <w:rPr>
          <w:rFonts w:asciiTheme="majorBidi" w:hAnsiTheme="majorBidi" w:cstheme="majorBidi"/>
          <w:sz w:val="24"/>
          <w:szCs w:val="24"/>
          <w:lang w:bidi="ar-MA"/>
        </w:rPr>
        <w:t>Lemallam, O. (2011</w:t>
      </w:r>
      <w:bookmarkEnd w:id="27"/>
      <w:r w:rsidRPr="00994ED1">
        <w:rPr>
          <w:rFonts w:asciiTheme="majorBidi" w:hAnsiTheme="majorBidi" w:cstheme="majorBidi"/>
          <w:sz w:val="24"/>
          <w:szCs w:val="24"/>
          <w:lang w:bidi="ar-MA"/>
        </w:rPr>
        <w:t>). Alhucemas, datos sobre la historia de la ciudad y su reconstrucción, en AA. VV: Una aproximación e los edifcios históricos y patrimoniales de Málaga, Tetuán, Nador, Tánger y Alhucemas, Málaga: Servicio de Programas del Ayuntamiento de Málaga, Observatorio de Medio Ambiente Urbano omau, pp. 325-343.</w:t>
      </w:r>
      <w:r w:rsidR="00F959F6" w:rsidRPr="00994ED1">
        <w:rPr>
          <w:rFonts w:asciiTheme="majorBidi" w:hAnsiTheme="majorBidi" w:cstheme="majorBidi"/>
          <w:sz w:val="24"/>
          <w:szCs w:val="24"/>
          <w:lang w:bidi="ar-MA"/>
        </w:rPr>
        <w:t xml:space="preserve"> </w:t>
      </w:r>
      <w:hyperlink r:id="rId27" w:history="1">
        <w:r w:rsidR="00F959F6" w:rsidRPr="00994ED1">
          <w:rPr>
            <w:rStyle w:val="Lienhypertexte"/>
            <w:rFonts w:asciiTheme="majorBidi" w:hAnsiTheme="majorBidi" w:cstheme="majorBidi"/>
            <w:sz w:val="24"/>
            <w:szCs w:val="24"/>
            <w:lang w:val="en-US" w:bidi="ar-MA"/>
          </w:rPr>
          <w:t>file:///C:/Users/USER/Downloads/APROXIMACION_A_LOS_EDIFICIOS_HISTORICOS.pdf</w:t>
        </w:r>
      </w:hyperlink>
      <w:r w:rsidR="00F959F6" w:rsidRPr="00994ED1">
        <w:rPr>
          <w:rFonts w:asciiTheme="majorBidi" w:hAnsiTheme="majorBidi" w:cstheme="majorBidi"/>
          <w:sz w:val="24"/>
          <w:szCs w:val="24"/>
          <w:lang w:val="en-US" w:bidi="ar-MA"/>
        </w:rPr>
        <w:t xml:space="preserve"> </w:t>
      </w:r>
    </w:p>
    <w:p w14:paraId="7691C126" w14:textId="6285546B" w:rsidR="00605081" w:rsidRPr="00994ED1" w:rsidRDefault="00605081" w:rsidP="008B2311">
      <w:pPr>
        <w:ind w:left="709" w:hanging="709"/>
        <w:jc w:val="both"/>
        <w:rPr>
          <w:rFonts w:asciiTheme="majorBidi" w:hAnsiTheme="majorBidi" w:cstheme="majorBidi"/>
          <w:sz w:val="24"/>
          <w:szCs w:val="24"/>
          <w:lang w:bidi="ar-MA"/>
        </w:rPr>
      </w:pPr>
      <w:bookmarkStart w:id="28" w:name="_Hlk189234252"/>
      <w:r w:rsidRPr="00994ED1">
        <w:rPr>
          <w:rFonts w:asciiTheme="majorBidi" w:hAnsiTheme="majorBidi" w:cstheme="majorBidi"/>
          <w:sz w:val="24"/>
          <w:szCs w:val="24"/>
          <w:lang w:bidi="ar-MA"/>
        </w:rPr>
        <w:t>María, R. M. (2013</w:t>
      </w:r>
      <w:bookmarkEnd w:id="28"/>
      <w:r w:rsidRPr="00994ED1">
        <w:rPr>
          <w:rFonts w:asciiTheme="majorBidi" w:hAnsiTheme="majorBidi" w:cstheme="majorBidi"/>
          <w:sz w:val="24"/>
          <w:szCs w:val="24"/>
          <w:lang w:bidi="ar-MA"/>
        </w:rPr>
        <w:t xml:space="preserve">). De Villa Sanjurjo a Alhucemas: evolución de una ciudad colonial y su entorno en el contexto del Rif central, </w:t>
      </w:r>
      <w:bookmarkStart w:id="29" w:name="_Hlk189395014"/>
      <w:r w:rsidRPr="00994ED1">
        <w:rPr>
          <w:rFonts w:asciiTheme="majorBidi" w:hAnsiTheme="majorBidi" w:cstheme="majorBidi"/>
          <w:sz w:val="24"/>
          <w:szCs w:val="24"/>
          <w:lang w:bidi="ar-MA"/>
        </w:rPr>
        <w:t>le patrimoine dans les montagnes rifaines; état et perspectives, institut royal de la culture amazighe, el maarif al jadida Rabat.</w:t>
      </w:r>
      <w:bookmarkEnd w:id="29"/>
      <w:r w:rsidRPr="00994ED1">
        <w:rPr>
          <w:rFonts w:asciiTheme="majorBidi" w:hAnsiTheme="majorBidi" w:cstheme="majorBidi"/>
          <w:sz w:val="24"/>
          <w:szCs w:val="24"/>
          <w:lang w:bidi="ar-MA"/>
        </w:rPr>
        <w:t xml:space="preserve"> PP. 77 – 92.</w:t>
      </w:r>
      <w:r w:rsidR="00F959F6" w:rsidRPr="00994ED1">
        <w:rPr>
          <w:rFonts w:asciiTheme="majorBidi" w:hAnsiTheme="majorBidi" w:cstheme="majorBidi"/>
          <w:sz w:val="24"/>
          <w:szCs w:val="24"/>
          <w:lang w:bidi="ar-MA"/>
        </w:rPr>
        <w:t xml:space="preserve"> </w:t>
      </w:r>
      <w:hyperlink r:id="rId28" w:history="1">
        <w:r w:rsidR="00F959F6" w:rsidRPr="00994ED1">
          <w:rPr>
            <w:rStyle w:val="Lienhypertexte"/>
            <w:rFonts w:asciiTheme="majorBidi" w:hAnsiTheme="majorBidi" w:cstheme="majorBidi"/>
            <w:sz w:val="24"/>
            <w:szCs w:val="24"/>
            <w:lang w:bidi="ar-MA"/>
          </w:rPr>
          <w:t>https://books.google.co.ma/books/about/De_Villa_Sanjurjo</w:t>
        </w:r>
      </w:hyperlink>
      <w:r w:rsidR="00F959F6" w:rsidRPr="00994ED1">
        <w:rPr>
          <w:rFonts w:asciiTheme="majorBidi" w:hAnsiTheme="majorBidi" w:cstheme="majorBidi"/>
          <w:sz w:val="24"/>
          <w:szCs w:val="24"/>
          <w:lang w:bidi="ar-MA"/>
        </w:rPr>
        <w:t xml:space="preserve"> </w:t>
      </w:r>
    </w:p>
    <w:p w14:paraId="50ABC2B8" w14:textId="7BFAA5F5" w:rsidR="00605081" w:rsidRPr="00994ED1" w:rsidRDefault="00605081" w:rsidP="008B2311">
      <w:pPr>
        <w:ind w:left="709" w:hanging="709"/>
        <w:jc w:val="both"/>
        <w:rPr>
          <w:rFonts w:asciiTheme="majorBidi" w:hAnsiTheme="majorBidi" w:cstheme="majorBidi"/>
          <w:sz w:val="24"/>
          <w:szCs w:val="24"/>
          <w:rtl/>
          <w:lang w:bidi="ar-MA"/>
        </w:rPr>
      </w:pPr>
      <w:r w:rsidRPr="00994ED1">
        <w:rPr>
          <w:rFonts w:asciiTheme="majorBidi" w:hAnsiTheme="majorBidi" w:cstheme="majorBidi"/>
          <w:sz w:val="24"/>
          <w:szCs w:val="24"/>
          <w:lang w:bidi="ar-MA"/>
        </w:rPr>
        <w:t xml:space="preserve">Ministère de l’intérieur Conseil de la région Tanger - Tétouan - Al Hoceima. (2021). Schéma régional d’aménagement du territoire de la région Tanger-Tétouan-Al Hoceima 2021-2046. </w:t>
      </w:r>
      <w:hyperlink r:id="rId29" w:history="1">
        <w:r w:rsidR="00F959F6" w:rsidRPr="00994ED1">
          <w:rPr>
            <w:rStyle w:val="Lienhypertexte"/>
            <w:rFonts w:asciiTheme="majorBidi" w:hAnsiTheme="majorBidi" w:cstheme="majorBidi"/>
            <w:sz w:val="24"/>
            <w:szCs w:val="24"/>
            <w:lang w:bidi="ar-MA"/>
          </w:rPr>
          <w:t>https://data.gov.ma/data/fr/dataset</w:t>
        </w:r>
      </w:hyperlink>
      <w:r w:rsidR="00F959F6" w:rsidRPr="00994ED1">
        <w:rPr>
          <w:rFonts w:asciiTheme="majorBidi" w:hAnsiTheme="majorBidi" w:cstheme="majorBidi"/>
          <w:sz w:val="24"/>
          <w:szCs w:val="24"/>
          <w:lang w:bidi="ar-MA"/>
        </w:rPr>
        <w:t xml:space="preserve"> </w:t>
      </w:r>
    </w:p>
    <w:p w14:paraId="6859F238" w14:textId="4D6ACDDC" w:rsidR="00605081" w:rsidRPr="00994ED1" w:rsidRDefault="00605081" w:rsidP="008B2311">
      <w:pPr>
        <w:ind w:left="709" w:hanging="709"/>
        <w:jc w:val="both"/>
        <w:rPr>
          <w:rFonts w:asciiTheme="majorBidi" w:hAnsiTheme="majorBidi" w:cstheme="majorBidi"/>
          <w:sz w:val="24"/>
          <w:szCs w:val="24"/>
          <w:rtl/>
          <w:lang w:bidi="ar-MA"/>
        </w:rPr>
      </w:pPr>
      <w:r w:rsidRPr="00994ED1">
        <w:rPr>
          <w:rFonts w:asciiTheme="majorBidi" w:hAnsiTheme="majorBidi" w:cstheme="majorBidi"/>
          <w:sz w:val="24"/>
          <w:szCs w:val="24"/>
          <w:lang w:bidi="ar-MA"/>
        </w:rPr>
        <w:t>Ministère de l'Aménagement du Territoire National, de l'Urbanisme, de l'Habitat et de la Politique de la Ville. (2019). Débat national pour l’élaboration des orientations de la politique publique d’aménagement du territoire.</w:t>
      </w:r>
      <w:r w:rsidR="00126665" w:rsidRPr="00994ED1">
        <w:rPr>
          <w:rFonts w:asciiTheme="majorBidi" w:hAnsiTheme="majorBidi" w:cstheme="majorBidi"/>
          <w:sz w:val="24"/>
          <w:szCs w:val="24"/>
          <w:lang w:bidi="ar-MA"/>
        </w:rPr>
        <w:t xml:space="preserve"> </w:t>
      </w:r>
      <w:hyperlink r:id="rId30" w:history="1">
        <w:r w:rsidR="00126665" w:rsidRPr="00994ED1">
          <w:rPr>
            <w:rStyle w:val="Lienhypertexte"/>
            <w:rFonts w:asciiTheme="majorBidi" w:hAnsiTheme="majorBidi" w:cstheme="majorBidi"/>
            <w:sz w:val="24"/>
            <w:szCs w:val="24"/>
            <w:lang w:bidi="ar-MA"/>
          </w:rPr>
          <w:t>https://lematin.ma/journal/2019</w:t>
        </w:r>
      </w:hyperlink>
      <w:r w:rsidR="00126665" w:rsidRPr="00994ED1">
        <w:rPr>
          <w:rFonts w:asciiTheme="majorBidi" w:hAnsiTheme="majorBidi" w:cstheme="majorBidi"/>
          <w:sz w:val="24"/>
          <w:szCs w:val="24"/>
          <w:lang w:bidi="ar-MA"/>
        </w:rPr>
        <w:t xml:space="preserve"> </w:t>
      </w:r>
    </w:p>
    <w:p w14:paraId="5DAE4554" w14:textId="631538E6" w:rsidR="00605081" w:rsidRPr="00994ED1" w:rsidRDefault="00605081" w:rsidP="008B2311">
      <w:pPr>
        <w:ind w:left="709" w:hanging="709"/>
        <w:jc w:val="both"/>
        <w:rPr>
          <w:rFonts w:asciiTheme="majorBidi" w:hAnsiTheme="majorBidi" w:cstheme="majorBidi"/>
          <w:sz w:val="24"/>
          <w:szCs w:val="24"/>
          <w:lang w:bidi="ar-MA"/>
        </w:rPr>
      </w:pPr>
      <w:bookmarkStart w:id="30" w:name="_Hlk189599788"/>
      <w:r w:rsidRPr="00994ED1">
        <w:rPr>
          <w:rFonts w:asciiTheme="majorBidi" w:hAnsiTheme="majorBidi" w:cstheme="majorBidi"/>
          <w:sz w:val="24"/>
          <w:szCs w:val="24"/>
          <w:lang w:bidi="ar-MA"/>
        </w:rPr>
        <w:t>RAMÓN, D. R. (2019)</w:t>
      </w:r>
      <w:bookmarkEnd w:id="30"/>
      <w:r w:rsidRPr="00994ED1">
        <w:rPr>
          <w:rFonts w:asciiTheme="majorBidi" w:hAnsiTheme="majorBidi" w:cstheme="majorBidi"/>
          <w:sz w:val="24"/>
          <w:szCs w:val="24"/>
          <w:lang w:bidi="ar-MA"/>
        </w:rPr>
        <w:t>. El desembarco de Alhucemas. la operación definitiva del Colonialismo Español en Marruecos (1911-1925). TESIS DOCTORAL UNIVERSIDAD AUTÓNOMA DE MADRID (UAM).</w:t>
      </w:r>
      <w:r w:rsidR="00126665" w:rsidRPr="00994ED1">
        <w:rPr>
          <w:rFonts w:asciiTheme="majorBidi" w:hAnsiTheme="majorBidi" w:cstheme="majorBidi"/>
          <w:sz w:val="24"/>
          <w:szCs w:val="24"/>
        </w:rPr>
        <w:t xml:space="preserve"> </w:t>
      </w:r>
      <w:hyperlink r:id="rId31" w:history="1">
        <w:r w:rsidR="00126665" w:rsidRPr="00994ED1">
          <w:rPr>
            <w:rStyle w:val="Lienhypertexte"/>
            <w:rFonts w:asciiTheme="majorBidi" w:hAnsiTheme="majorBidi" w:cstheme="majorBidi"/>
            <w:sz w:val="24"/>
            <w:szCs w:val="24"/>
            <w:lang w:bidi="ar-MA"/>
          </w:rPr>
          <w:t>file:///C:/Users/USER/Downloads/diez_rioja_ramon.pdf</w:t>
        </w:r>
      </w:hyperlink>
      <w:r w:rsidR="00126665" w:rsidRPr="00994ED1">
        <w:rPr>
          <w:rFonts w:asciiTheme="majorBidi" w:hAnsiTheme="majorBidi" w:cstheme="majorBidi"/>
          <w:sz w:val="24"/>
          <w:szCs w:val="24"/>
          <w:lang w:bidi="ar-MA"/>
        </w:rPr>
        <w:t xml:space="preserve"> </w:t>
      </w:r>
    </w:p>
    <w:p w14:paraId="01A69271" w14:textId="4A664FF7" w:rsidR="00605081" w:rsidRPr="00994ED1" w:rsidRDefault="00605081" w:rsidP="008B2311">
      <w:pPr>
        <w:ind w:left="709" w:hanging="709"/>
        <w:jc w:val="both"/>
        <w:rPr>
          <w:rFonts w:asciiTheme="majorBidi" w:hAnsiTheme="majorBidi" w:cstheme="majorBidi"/>
          <w:sz w:val="24"/>
          <w:szCs w:val="24"/>
          <w:rtl/>
          <w:lang w:val="en-US" w:bidi="ar-MA"/>
        </w:rPr>
      </w:pPr>
      <w:bookmarkStart w:id="31" w:name="_Hlk189307213"/>
      <w:r w:rsidRPr="00994ED1">
        <w:rPr>
          <w:rFonts w:asciiTheme="majorBidi" w:hAnsiTheme="majorBidi" w:cstheme="majorBidi"/>
          <w:sz w:val="24"/>
          <w:szCs w:val="24"/>
          <w:lang w:bidi="ar-MA"/>
        </w:rPr>
        <w:t>Rfifi, M., &amp; Ait Brahim,</w:t>
      </w:r>
      <w:r w:rsidRPr="00994ED1">
        <w:rPr>
          <w:rFonts w:asciiTheme="majorBidi" w:hAnsiTheme="majorBidi" w:cstheme="majorBidi"/>
          <w:sz w:val="28"/>
          <w:szCs w:val="28"/>
        </w:rPr>
        <w:t xml:space="preserve"> </w:t>
      </w:r>
      <w:r w:rsidRPr="00994ED1">
        <w:rPr>
          <w:rFonts w:asciiTheme="majorBidi" w:hAnsiTheme="majorBidi" w:cstheme="majorBidi"/>
          <w:sz w:val="24"/>
          <w:szCs w:val="24"/>
          <w:lang w:bidi="ar-MA"/>
        </w:rPr>
        <w:t>L. (2018</w:t>
      </w:r>
      <w:bookmarkEnd w:id="31"/>
      <w:r w:rsidRPr="00994ED1">
        <w:rPr>
          <w:rFonts w:asciiTheme="majorBidi" w:hAnsiTheme="majorBidi" w:cstheme="majorBidi"/>
          <w:sz w:val="24"/>
          <w:szCs w:val="24"/>
          <w:lang w:bidi="ar-MA"/>
        </w:rPr>
        <w:t>). Dynamique d’artificialisation et gestion des zones côtières : cas d’étude applique au littoral d’Al-Hoceima (rif oriental du Maroc).</w:t>
      </w:r>
      <w:r w:rsidRPr="00994ED1">
        <w:rPr>
          <w:rFonts w:asciiTheme="majorBidi" w:hAnsiTheme="majorBidi" w:cstheme="majorBidi"/>
          <w:sz w:val="28"/>
          <w:szCs w:val="28"/>
        </w:rPr>
        <w:t xml:space="preserve"> </w:t>
      </w:r>
      <w:r w:rsidRPr="00994ED1">
        <w:rPr>
          <w:rFonts w:asciiTheme="majorBidi" w:hAnsiTheme="majorBidi" w:cstheme="majorBidi"/>
          <w:sz w:val="24"/>
          <w:szCs w:val="24"/>
          <w:lang w:val="en-US" w:bidi="ar-MA"/>
        </w:rPr>
        <w:t>American Journal of Innovative Research and Applied Sciences</w:t>
      </w:r>
      <w:r w:rsidR="00627E65" w:rsidRPr="00994ED1">
        <w:rPr>
          <w:rFonts w:asciiTheme="majorBidi" w:hAnsiTheme="majorBidi" w:cstheme="majorBidi"/>
          <w:sz w:val="24"/>
          <w:szCs w:val="24"/>
          <w:lang w:val="en-US" w:bidi="ar-MA"/>
        </w:rPr>
        <w:t>.</w:t>
      </w:r>
      <w:r w:rsidR="001D30C0" w:rsidRPr="00994ED1">
        <w:rPr>
          <w:rFonts w:asciiTheme="majorBidi" w:hAnsiTheme="majorBidi" w:cstheme="majorBidi"/>
          <w:sz w:val="24"/>
          <w:szCs w:val="24"/>
          <w:lang w:val="en-US" w:bidi="ar-MA"/>
        </w:rPr>
        <w:t xml:space="preserve"> </w:t>
      </w:r>
      <w:hyperlink r:id="rId32" w:history="1">
        <w:r w:rsidR="001D30C0" w:rsidRPr="00994ED1">
          <w:rPr>
            <w:rStyle w:val="Lienhypertexte"/>
            <w:rFonts w:asciiTheme="majorBidi" w:hAnsiTheme="majorBidi" w:cstheme="majorBidi"/>
            <w:sz w:val="24"/>
            <w:szCs w:val="24"/>
            <w:lang w:val="en-US" w:bidi="ar-MA"/>
          </w:rPr>
          <w:t>file:///C:/Users/USER/Downloads/Rfifi-Manuscript_2018.pdf</w:t>
        </w:r>
      </w:hyperlink>
      <w:r w:rsidR="001D30C0" w:rsidRPr="00994ED1">
        <w:rPr>
          <w:rFonts w:asciiTheme="majorBidi" w:hAnsiTheme="majorBidi" w:cstheme="majorBidi"/>
          <w:sz w:val="24"/>
          <w:szCs w:val="24"/>
          <w:lang w:val="en-US" w:bidi="ar-MA"/>
        </w:rPr>
        <w:t xml:space="preserve"> </w:t>
      </w:r>
    </w:p>
    <w:p w14:paraId="6E4CB43E" w14:textId="07E5CA05" w:rsidR="00605081" w:rsidRPr="00994ED1" w:rsidRDefault="00605081" w:rsidP="008B2311">
      <w:pPr>
        <w:ind w:left="709" w:hanging="709"/>
        <w:jc w:val="both"/>
        <w:rPr>
          <w:rFonts w:asciiTheme="majorBidi" w:hAnsiTheme="majorBidi" w:cstheme="majorBidi"/>
          <w:sz w:val="24"/>
          <w:szCs w:val="24"/>
          <w:lang w:val="en-US" w:bidi="ar-MA"/>
        </w:rPr>
      </w:pPr>
      <w:bookmarkStart w:id="32" w:name="_Hlk189351633"/>
      <w:r w:rsidRPr="00994ED1">
        <w:rPr>
          <w:rFonts w:asciiTheme="majorBidi" w:hAnsiTheme="majorBidi" w:cstheme="majorBidi"/>
          <w:sz w:val="24"/>
          <w:szCs w:val="24"/>
          <w:lang w:val="en-US" w:bidi="ar-MA"/>
        </w:rPr>
        <w:t>The Special Commission on the Development Model (2021</w:t>
      </w:r>
      <w:bookmarkEnd w:id="32"/>
      <w:r w:rsidRPr="00994ED1">
        <w:rPr>
          <w:rFonts w:asciiTheme="majorBidi" w:hAnsiTheme="majorBidi" w:cstheme="majorBidi"/>
          <w:sz w:val="24"/>
          <w:szCs w:val="24"/>
          <w:lang w:val="en-US" w:bidi="ar-MA"/>
        </w:rPr>
        <w:t>). The new development mode, Releasing energies and regaining trust to accelerate the march of progress and prosperity for all, general report.</w:t>
      </w:r>
      <w:r w:rsidR="00627E65" w:rsidRPr="00994ED1">
        <w:rPr>
          <w:rFonts w:asciiTheme="majorBidi" w:hAnsiTheme="majorBidi" w:cstheme="majorBidi"/>
          <w:sz w:val="24"/>
          <w:szCs w:val="24"/>
          <w:lang w:val="en-US" w:bidi="ar-MA"/>
        </w:rPr>
        <w:t xml:space="preserve"> </w:t>
      </w:r>
      <w:hyperlink r:id="rId33" w:history="1">
        <w:r w:rsidR="00627E65" w:rsidRPr="00994ED1">
          <w:rPr>
            <w:rStyle w:val="Lienhypertexte"/>
            <w:rFonts w:asciiTheme="majorBidi" w:hAnsiTheme="majorBidi" w:cstheme="majorBidi"/>
            <w:sz w:val="24"/>
            <w:szCs w:val="24"/>
            <w:lang w:val="en-US" w:bidi="ar-MA"/>
          </w:rPr>
          <w:t>https://www.csmd.ma/documents/CSMD_Report_EN.pdf</w:t>
        </w:r>
      </w:hyperlink>
      <w:r w:rsidR="00627E65" w:rsidRPr="00994ED1">
        <w:rPr>
          <w:rFonts w:asciiTheme="majorBidi" w:hAnsiTheme="majorBidi" w:cstheme="majorBidi"/>
          <w:sz w:val="24"/>
          <w:szCs w:val="24"/>
          <w:lang w:val="en-US" w:bidi="ar-MA"/>
        </w:rPr>
        <w:t xml:space="preserve"> </w:t>
      </w:r>
    </w:p>
    <w:sectPr w:rsidR="00605081" w:rsidRPr="00994ED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D2CB1" w14:textId="77777777" w:rsidR="000D087C" w:rsidRDefault="000D087C" w:rsidP="00DC18F7">
      <w:pPr>
        <w:spacing w:after="0" w:line="240" w:lineRule="auto"/>
      </w:pPr>
      <w:r>
        <w:separator/>
      </w:r>
    </w:p>
  </w:endnote>
  <w:endnote w:type="continuationSeparator" w:id="0">
    <w:p w14:paraId="46A64CB5" w14:textId="77777777" w:rsidR="000D087C" w:rsidRDefault="000D087C" w:rsidP="00DC1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5659319"/>
      <w:docPartObj>
        <w:docPartGallery w:val="Page Numbers (Bottom of Page)"/>
        <w:docPartUnique/>
      </w:docPartObj>
    </w:sdtPr>
    <w:sdtContent>
      <w:p w14:paraId="3C1731F6" w14:textId="36667CD2" w:rsidR="00327C21" w:rsidRDefault="00327C21">
        <w:pPr>
          <w:pStyle w:val="Pieddepage"/>
          <w:jc w:val="center"/>
        </w:pPr>
        <w:r>
          <w:fldChar w:fldCharType="begin"/>
        </w:r>
        <w:r>
          <w:instrText>PAGE   \* MERGEFORMAT</w:instrText>
        </w:r>
        <w:r>
          <w:fldChar w:fldCharType="separate"/>
        </w:r>
        <w:r>
          <w:t>2</w:t>
        </w:r>
        <w:r>
          <w:fldChar w:fldCharType="end"/>
        </w:r>
      </w:p>
    </w:sdtContent>
  </w:sdt>
  <w:p w14:paraId="05F846FD" w14:textId="77777777" w:rsidR="00327C21" w:rsidRDefault="00327C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08EBF" w14:textId="77777777" w:rsidR="000D087C" w:rsidRDefault="000D087C" w:rsidP="00DC18F7">
      <w:pPr>
        <w:spacing w:after="0" w:line="240" w:lineRule="auto"/>
      </w:pPr>
      <w:r>
        <w:separator/>
      </w:r>
    </w:p>
  </w:footnote>
  <w:footnote w:type="continuationSeparator" w:id="0">
    <w:p w14:paraId="0AB74FD0" w14:textId="77777777" w:rsidR="000D087C" w:rsidRDefault="000D087C" w:rsidP="00DC18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2563"/>
    <w:multiLevelType w:val="hybridMultilevel"/>
    <w:tmpl w:val="E10898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0151FA2"/>
    <w:multiLevelType w:val="hybridMultilevel"/>
    <w:tmpl w:val="A4B67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660327"/>
    <w:multiLevelType w:val="hybridMultilevel"/>
    <w:tmpl w:val="332C6A08"/>
    <w:lvl w:ilvl="0" w:tplc="6E7AA5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03240523">
    <w:abstractNumId w:val="0"/>
  </w:num>
  <w:num w:numId="2" w16cid:durableId="1787850859">
    <w:abstractNumId w:val="1"/>
  </w:num>
  <w:num w:numId="3" w16cid:durableId="1015768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95C"/>
    <w:rsid w:val="00016B8B"/>
    <w:rsid w:val="000327B7"/>
    <w:rsid w:val="00040A94"/>
    <w:rsid w:val="00067961"/>
    <w:rsid w:val="000724AC"/>
    <w:rsid w:val="00074602"/>
    <w:rsid w:val="00082346"/>
    <w:rsid w:val="000D087C"/>
    <w:rsid w:val="000F12F3"/>
    <w:rsid w:val="00115D3E"/>
    <w:rsid w:val="00116F79"/>
    <w:rsid w:val="00120114"/>
    <w:rsid w:val="00126665"/>
    <w:rsid w:val="00150E1B"/>
    <w:rsid w:val="00157B6F"/>
    <w:rsid w:val="001705C6"/>
    <w:rsid w:val="00173C99"/>
    <w:rsid w:val="001835F1"/>
    <w:rsid w:val="001950F0"/>
    <w:rsid w:val="00195271"/>
    <w:rsid w:val="001C2023"/>
    <w:rsid w:val="001C2B56"/>
    <w:rsid w:val="001C7B87"/>
    <w:rsid w:val="001D0B3F"/>
    <w:rsid w:val="001D2FD7"/>
    <w:rsid w:val="001D30C0"/>
    <w:rsid w:val="001D55DB"/>
    <w:rsid w:val="001E5F31"/>
    <w:rsid w:val="001E6E15"/>
    <w:rsid w:val="002902A5"/>
    <w:rsid w:val="002B4F37"/>
    <w:rsid w:val="002B512C"/>
    <w:rsid w:val="002C08F8"/>
    <w:rsid w:val="002C1FAF"/>
    <w:rsid w:val="002C6189"/>
    <w:rsid w:val="002D38AB"/>
    <w:rsid w:val="002D6E80"/>
    <w:rsid w:val="002E0EEF"/>
    <w:rsid w:val="002E2950"/>
    <w:rsid w:val="002F652F"/>
    <w:rsid w:val="00300150"/>
    <w:rsid w:val="003016F1"/>
    <w:rsid w:val="00320CA2"/>
    <w:rsid w:val="00327C21"/>
    <w:rsid w:val="0033214D"/>
    <w:rsid w:val="0033253D"/>
    <w:rsid w:val="0034355B"/>
    <w:rsid w:val="00351F5C"/>
    <w:rsid w:val="00354257"/>
    <w:rsid w:val="00357732"/>
    <w:rsid w:val="003720AB"/>
    <w:rsid w:val="00384AB5"/>
    <w:rsid w:val="003A1513"/>
    <w:rsid w:val="003A6FF7"/>
    <w:rsid w:val="003B5E20"/>
    <w:rsid w:val="003C7D7C"/>
    <w:rsid w:val="003E6143"/>
    <w:rsid w:val="003F11C1"/>
    <w:rsid w:val="003F32C1"/>
    <w:rsid w:val="003F7923"/>
    <w:rsid w:val="00414A7F"/>
    <w:rsid w:val="00431EB2"/>
    <w:rsid w:val="00432228"/>
    <w:rsid w:val="00435E53"/>
    <w:rsid w:val="00483DDB"/>
    <w:rsid w:val="00497642"/>
    <w:rsid w:val="004A5566"/>
    <w:rsid w:val="004D12EB"/>
    <w:rsid w:val="004D603D"/>
    <w:rsid w:val="00510917"/>
    <w:rsid w:val="00514F74"/>
    <w:rsid w:val="00515F7D"/>
    <w:rsid w:val="00517E67"/>
    <w:rsid w:val="0053095C"/>
    <w:rsid w:val="00546DD5"/>
    <w:rsid w:val="005527E5"/>
    <w:rsid w:val="00583144"/>
    <w:rsid w:val="005918A2"/>
    <w:rsid w:val="005B0465"/>
    <w:rsid w:val="005C2EEF"/>
    <w:rsid w:val="005C4511"/>
    <w:rsid w:val="005C6C0C"/>
    <w:rsid w:val="005C6C75"/>
    <w:rsid w:val="005E1C38"/>
    <w:rsid w:val="005E524A"/>
    <w:rsid w:val="005F0F9C"/>
    <w:rsid w:val="005F5BA0"/>
    <w:rsid w:val="00601817"/>
    <w:rsid w:val="006036C4"/>
    <w:rsid w:val="00605081"/>
    <w:rsid w:val="00610296"/>
    <w:rsid w:val="00620E1A"/>
    <w:rsid w:val="006222B8"/>
    <w:rsid w:val="00623A3F"/>
    <w:rsid w:val="00627E65"/>
    <w:rsid w:val="006619B8"/>
    <w:rsid w:val="00661A93"/>
    <w:rsid w:val="00690412"/>
    <w:rsid w:val="006A0791"/>
    <w:rsid w:val="006B2DF5"/>
    <w:rsid w:val="00710C28"/>
    <w:rsid w:val="00721623"/>
    <w:rsid w:val="00724325"/>
    <w:rsid w:val="0073531E"/>
    <w:rsid w:val="00736784"/>
    <w:rsid w:val="00750EB9"/>
    <w:rsid w:val="00755A91"/>
    <w:rsid w:val="007635A0"/>
    <w:rsid w:val="00765607"/>
    <w:rsid w:val="0077210C"/>
    <w:rsid w:val="00780616"/>
    <w:rsid w:val="0079686E"/>
    <w:rsid w:val="007B1754"/>
    <w:rsid w:val="007B1FD5"/>
    <w:rsid w:val="007B4BED"/>
    <w:rsid w:val="007C2FAC"/>
    <w:rsid w:val="007E2C47"/>
    <w:rsid w:val="007E3BF8"/>
    <w:rsid w:val="008113D6"/>
    <w:rsid w:val="00816247"/>
    <w:rsid w:val="00836AD5"/>
    <w:rsid w:val="00855E0E"/>
    <w:rsid w:val="0086624B"/>
    <w:rsid w:val="0088097B"/>
    <w:rsid w:val="00881FF3"/>
    <w:rsid w:val="008978AE"/>
    <w:rsid w:val="008B2311"/>
    <w:rsid w:val="008B7D0B"/>
    <w:rsid w:val="008E4F8A"/>
    <w:rsid w:val="008F61A3"/>
    <w:rsid w:val="009365A0"/>
    <w:rsid w:val="0097449B"/>
    <w:rsid w:val="00987BC7"/>
    <w:rsid w:val="00994ED1"/>
    <w:rsid w:val="009965F8"/>
    <w:rsid w:val="009A1428"/>
    <w:rsid w:val="009B3317"/>
    <w:rsid w:val="009E5EDC"/>
    <w:rsid w:val="009F77D5"/>
    <w:rsid w:val="00A032B8"/>
    <w:rsid w:val="00A07290"/>
    <w:rsid w:val="00A220A7"/>
    <w:rsid w:val="00A366F9"/>
    <w:rsid w:val="00A371C4"/>
    <w:rsid w:val="00A4389A"/>
    <w:rsid w:val="00A52886"/>
    <w:rsid w:val="00A56237"/>
    <w:rsid w:val="00A66385"/>
    <w:rsid w:val="00A70A47"/>
    <w:rsid w:val="00A92F91"/>
    <w:rsid w:val="00AB2FBD"/>
    <w:rsid w:val="00AD4D8E"/>
    <w:rsid w:val="00AF2CFC"/>
    <w:rsid w:val="00B02CEE"/>
    <w:rsid w:val="00B16943"/>
    <w:rsid w:val="00B54DF8"/>
    <w:rsid w:val="00B6196B"/>
    <w:rsid w:val="00B749F1"/>
    <w:rsid w:val="00B82E40"/>
    <w:rsid w:val="00B96D4F"/>
    <w:rsid w:val="00BA0BDD"/>
    <w:rsid w:val="00BB08FF"/>
    <w:rsid w:val="00BB311C"/>
    <w:rsid w:val="00BB44A1"/>
    <w:rsid w:val="00BB52AE"/>
    <w:rsid w:val="00BD76B4"/>
    <w:rsid w:val="00BE2DC6"/>
    <w:rsid w:val="00BE3748"/>
    <w:rsid w:val="00BE3EDE"/>
    <w:rsid w:val="00C00BB3"/>
    <w:rsid w:val="00C11A78"/>
    <w:rsid w:val="00C20172"/>
    <w:rsid w:val="00C23916"/>
    <w:rsid w:val="00C277B1"/>
    <w:rsid w:val="00C34FFD"/>
    <w:rsid w:val="00C42CB4"/>
    <w:rsid w:val="00C56C5D"/>
    <w:rsid w:val="00C612A0"/>
    <w:rsid w:val="00C7234B"/>
    <w:rsid w:val="00C75E56"/>
    <w:rsid w:val="00C93E6B"/>
    <w:rsid w:val="00CD4406"/>
    <w:rsid w:val="00CD54F8"/>
    <w:rsid w:val="00CE7D89"/>
    <w:rsid w:val="00CF0905"/>
    <w:rsid w:val="00CF2724"/>
    <w:rsid w:val="00D07561"/>
    <w:rsid w:val="00D20922"/>
    <w:rsid w:val="00D24DA5"/>
    <w:rsid w:val="00D53AEB"/>
    <w:rsid w:val="00D60943"/>
    <w:rsid w:val="00D81688"/>
    <w:rsid w:val="00D915AC"/>
    <w:rsid w:val="00D97D53"/>
    <w:rsid w:val="00DA2DC0"/>
    <w:rsid w:val="00DC18F7"/>
    <w:rsid w:val="00DC27CA"/>
    <w:rsid w:val="00E0450C"/>
    <w:rsid w:val="00E464B2"/>
    <w:rsid w:val="00E5269F"/>
    <w:rsid w:val="00E7177D"/>
    <w:rsid w:val="00E83C99"/>
    <w:rsid w:val="00EA0892"/>
    <w:rsid w:val="00EA4986"/>
    <w:rsid w:val="00EA66EF"/>
    <w:rsid w:val="00EA6C3C"/>
    <w:rsid w:val="00EE59C6"/>
    <w:rsid w:val="00EF3DA2"/>
    <w:rsid w:val="00F14994"/>
    <w:rsid w:val="00F329C9"/>
    <w:rsid w:val="00F37FCA"/>
    <w:rsid w:val="00F42420"/>
    <w:rsid w:val="00F44ABA"/>
    <w:rsid w:val="00F66B8C"/>
    <w:rsid w:val="00F72C3D"/>
    <w:rsid w:val="00F72F36"/>
    <w:rsid w:val="00F959F6"/>
    <w:rsid w:val="00FB45D8"/>
    <w:rsid w:val="00FD0040"/>
    <w:rsid w:val="00FD7DF4"/>
    <w:rsid w:val="00FE352D"/>
    <w:rsid w:val="00FF57D1"/>
    <w:rsid w:val="00FF70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581D1"/>
  <w15:chartTrackingRefBased/>
  <w15:docId w15:val="{8A683316-F8A8-4EB1-A1C7-327A1D30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53AEB"/>
    <w:pPr>
      <w:ind w:left="720"/>
      <w:contextualSpacing/>
    </w:pPr>
  </w:style>
  <w:style w:type="table" w:styleId="Grilledutableau">
    <w:name w:val="Table Grid"/>
    <w:basedOn w:val="TableauNormal"/>
    <w:uiPriority w:val="39"/>
    <w:rsid w:val="00BE2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27E65"/>
    <w:rPr>
      <w:color w:val="0563C1" w:themeColor="hyperlink"/>
      <w:u w:val="single"/>
    </w:rPr>
  </w:style>
  <w:style w:type="character" w:styleId="Mentionnonrsolue">
    <w:name w:val="Unresolved Mention"/>
    <w:basedOn w:val="Policepardfaut"/>
    <w:uiPriority w:val="99"/>
    <w:semiHidden/>
    <w:unhideWhenUsed/>
    <w:rsid w:val="00627E65"/>
    <w:rPr>
      <w:color w:val="605E5C"/>
      <w:shd w:val="clear" w:color="auto" w:fill="E1DFDD"/>
    </w:rPr>
  </w:style>
  <w:style w:type="paragraph" w:customStyle="1" w:styleId="03CorrespondingauthorJGIJC">
    <w:name w:val="03_Corresponding author_JGIJC"/>
    <w:basedOn w:val="Normal"/>
    <w:next w:val="Normal"/>
    <w:link w:val="03CorrespondingauthorJGIJCChar"/>
    <w:qFormat/>
    <w:rsid w:val="00DC18F7"/>
    <w:pPr>
      <w:spacing w:before="180" w:after="0" w:line="240" w:lineRule="auto"/>
    </w:pPr>
    <w:rPr>
      <w:rFonts w:ascii="Segoe UI Semilight" w:hAnsi="Segoe UI Semilight" w:cs="Segoe UI Semilight"/>
      <w:kern w:val="0"/>
      <w:sz w:val="16"/>
      <w:szCs w:val="18"/>
      <w:lang w:val="en-US"/>
      <w14:ligatures w14:val="none"/>
    </w:rPr>
  </w:style>
  <w:style w:type="character" w:customStyle="1" w:styleId="03CorrespondingauthorJGIJCChar">
    <w:name w:val="03_Corresponding author_JGIJC Char"/>
    <w:basedOn w:val="Policepardfaut"/>
    <w:link w:val="03CorrespondingauthorJGIJC"/>
    <w:rsid w:val="00DC18F7"/>
    <w:rPr>
      <w:rFonts w:ascii="Segoe UI Semilight" w:hAnsi="Segoe UI Semilight" w:cs="Segoe UI Semilight"/>
      <w:kern w:val="0"/>
      <w:sz w:val="16"/>
      <w:szCs w:val="18"/>
      <w:lang w:val="en-US"/>
      <w14:ligatures w14:val="none"/>
    </w:rPr>
  </w:style>
  <w:style w:type="character" w:styleId="Appelnotedebasdep">
    <w:name w:val="footnote reference"/>
    <w:semiHidden/>
    <w:unhideWhenUsed/>
    <w:rsid w:val="00DC18F7"/>
    <w:rPr>
      <w:vertAlign w:val="superscript"/>
    </w:rPr>
  </w:style>
  <w:style w:type="paragraph" w:styleId="En-tte">
    <w:name w:val="header"/>
    <w:basedOn w:val="Normal"/>
    <w:link w:val="En-tteCar"/>
    <w:uiPriority w:val="99"/>
    <w:unhideWhenUsed/>
    <w:rsid w:val="00327C21"/>
    <w:pPr>
      <w:tabs>
        <w:tab w:val="center" w:pos="4536"/>
        <w:tab w:val="right" w:pos="9072"/>
      </w:tabs>
      <w:spacing w:after="0" w:line="240" w:lineRule="auto"/>
    </w:pPr>
  </w:style>
  <w:style w:type="character" w:customStyle="1" w:styleId="En-tteCar">
    <w:name w:val="En-tête Car"/>
    <w:basedOn w:val="Policepardfaut"/>
    <w:link w:val="En-tte"/>
    <w:uiPriority w:val="99"/>
    <w:rsid w:val="00327C21"/>
  </w:style>
  <w:style w:type="paragraph" w:styleId="Pieddepage">
    <w:name w:val="footer"/>
    <w:basedOn w:val="Normal"/>
    <w:link w:val="PieddepageCar"/>
    <w:uiPriority w:val="99"/>
    <w:unhideWhenUsed/>
    <w:rsid w:val="00327C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7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97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yass.bouhlal@uit.ac.ma" TargetMode="External"/><Relationship Id="rId13" Type="http://schemas.openxmlformats.org/officeDocument/2006/relationships/chart" Target="charts/chart2.xml"/><Relationship Id="rId18" Type="http://schemas.openxmlformats.org/officeDocument/2006/relationships/hyperlink" Target="file:///C:/Users/USER/Downloads/ArquitecturaRif%20(1).pdf" TargetMode="External"/><Relationship Id="rId26" Type="http://schemas.openxmlformats.org/officeDocument/2006/relationships/hyperlink" Target="https://doi.org/10.1061/(ASCE)UP.1943-5444.000070" TargetMode="External"/><Relationship Id="rId3" Type="http://schemas.openxmlformats.org/officeDocument/2006/relationships/styles" Target="styles.xml"/><Relationship Id="rId21" Type="http://schemas.openxmlformats.org/officeDocument/2006/relationships/hyperlink" Target="https://doi.org/10.22194/JGIAS/24.1578"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academia.edu/14152543/Notes_for_a_theory_of_housing_and_city_of_the_Rif_Morocco" TargetMode="External"/><Relationship Id="rId25" Type="http://schemas.openxmlformats.org/officeDocument/2006/relationships/hyperlink" Target="https://doi.org/10.34874/IMIST.PRSM/EGSM/30559" TargetMode="External"/><Relationship Id="rId33" Type="http://schemas.openxmlformats.org/officeDocument/2006/relationships/hyperlink" Target="https://www.csmd.ma/documents/CSMD_Report_EN.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22194/JGIAS/24.1273" TargetMode="External"/><Relationship Id="rId29" Type="http://schemas.openxmlformats.org/officeDocument/2006/relationships/hyperlink" Target="https://data.gov.ma/data/fr/data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515/avutgs-2017-0016" TargetMode="External"/><Relationship Id="rId32" Type="http://schemas.openxmlformats.org/officeDocument/2006/relationships/hyperlink" Target="file:///C:/Users/USER/Downloads/Rfifi-Manuscript_2018.pdf"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doi.org/10.1080/19436149.2024.2398298" TargetMode="External"/><Relationship Id="rId28" Type="http://schemas.openxmlformats.org/officeDocument/2006/relationships/hyperlink" Target="https://books.google.co.ma/books/about/De_Villa_Sanjurjo"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doi.org/10.4000/anneemaghreb.2510" TargetMode="External"/><Relationship Id="rId31" Type="http://schemas.openxmlformats.org/officeDocument/2006/relationships/hyperlink" Target="file:///C:/Users/USER/Downloads/diez_rioja_ramon.pdf" TargetMode="External"/><Relationship Id="rId4" Type="http://schemas.openxmlformats.org/officeDocument/2006/relationships/settings" Target="settings.xml"/><Relationship Id="rId9" Type="http://schemas.openxmlformats.org/officeDocument/2006/relationships/hyperlink" Target="https://orcid.org/0009-0009-9032-8926" TargetMode="External"/><Relationship Id="rId14" Type="http://schemas.openxmlformats.org/officeDocument/2006/relationships/chart" Target="charts/chart3.xml"/><Relationship Id="rId22" Type="http://schemas.openxmlformats.org/officeDocument/2006/relationships/hyperlink" Target="https://doi.org/10.3390/urbansci4020018" TargetMode="External"/><Relationship Id="rId27" Type="http://schemas.openxmlformats.org/officeDocument/2006/relationships/hyperlink" Target="file:///C:/Users/USER/Downloads/APROXIMACION_A_LOS_EDIFICIOS_HISTORICOS.pdf" TargetMode="External"/><Relationship Id="rId30" Type="http://schemas.openxmlformats.org/officeDocument/2006/relationships/hyperlink" Target="https://lematin.ma/journal/2019"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Feuil4!$C$3:$C$4</c:f>
              <c:strCache>
                <c:ptCount val="2"/>
                <c:pt idx="0">
                  <c:v>1994</c:v>
                </c:pt>
              </c:strCache>
            </c:strRef>
          </c:tx>
          <c:spPr>
            <a:solidFill>
              <a:schemeClr val="accent1"/>
            </a:solidFill>
            <a:ln>
              <a:noFill/>
            </a:ln>
            <a:effectLst/>
          </c:spPr>
          <c:invertIfNegative val="0"/>
          <c:cat>
            <c:strRef>
              <c:f>Feuil4!$B$5:$B$9</c:f>
              <c:strCache>
                <c:ptCount val="5"/>
                <c:pt idx="0">
                  <c:v>Al Hoceima (Mun)</c:v>
                </c:pt>
                <c:pt idx="1">
                  <c:v> Bni Bouayach (Mun)</c:v>
                </c:pt>
                <c:pt idx="2">
                  <c:v>Imzouren (Mun)</c:v>
                </c:pt>
                <c:pt idx="3">
                  <c:v>Targuist (Mun)</c:v>
                </c:pt>
                <c:pt idx="4">
                  <c:v>Ajdir (Mun)</c:v>
                </c:pt>
              </c:strCache>
            </c:strRef>
          </c:cat>
          <c:val>
            <c:numRef>
              <c:f>Feuil4!$C$5:$C$9</c:f>
              <c:numCache>
                <c:formatCode>General</c:formatCode>
                <c:ptCount val="5"/>
                <c:pt idx="0">
                  <c:v>55216</c:v>
                </c:pt>
                <c:pt idx="1">
                  <c:v>13128</c:v>
                </c:pt>
                <c:pt idx="2">
                  <c:v>25547</c:v>
                </c:pt>
                <c:pt idx="3">
                  <c:v>9593</c:v>
                </c:pt>
                <c:pt idx="4">
                  <c:v>3669</c:v>
                </c:pt>
              </c:numCache>
            </c:numRef>
          </c:val>
          <c:extLst>
            <c:ext xmlns:c16="http://schemas.microsoft.com/office/drawing/2014/chart" uri="{C3380CC4-5D6E-409C-BE32-E72D297353CC}">
              <c16:uniqueId val="{00000000-23B1-4A5E-A658-8D0D874911BF}"/>
            </c:ext>
          </c:extLst>
        </c:ser>
        <c:ser>
          <c:idx val="1"/>
          <c:order val="1"/>
          <c:tx>
            <c:strRef>
              <c:f>Feuil4!$D$3:$D$4</c:f>
              <c:strCache>
                <c:ptCount val="2"/>
                <c:pt idx="0">
                  <c:v>2004</c:v>
                </c:pt>
              </c:strCache>
            </c:strRef>
          </c:tx>
          <c:spPr>
            <a:solidFill>
              <a:schemeClr val="accent2"/>
            </a:solidFill>
            <a:ln>
              <a:noFill/>
            </a:ln>
            <a:effectLst/>
          </c:spPr>
          <c:invertIfNegative val="0"/>
          <c:cat>
            <c:strRef>
              <c:f>Feuil4!$B$5:$B$9</c:f>
              <c:strCache>
                <c:ptCount val="5"/>
                <c:pt idx="0">
                  <c:v>Al Hoceima (Mun)</c:v>
                </c:pt>
                <c:pt idx="1">
                  <c:v> Bni Bouayach (Mun)</c:v>
                </c:pt>
                <c:pt idx="2">
                  <c:v>Imzouren (Mun)</c:v>
                </c:pt>
                <c:pt idx="3">
                  <c:v>Targuist (Mun)</c:v>
                </c:pt>
                <c:pt idx="4">
                  <c:v>Ajdir (Mun)</c:v>
                </c:pt>
              </c:strCache>
            </c:strRef>
          </c:cat>
          <c:val>
            <c:numRef>
              <c:f>Feuil4!$D$5:$D$9</c:f>
              <c:numCache>
                <c:formatCode>General</c:formatCode>
                <c:ptCount val="5"/>
                <c:pt idx="0">
                  <c:v>55357</c:v>
                </c:pt>
                <c:pt idx="1">
                  <c:v>15497</c:v>
                </c:pt>
                <c:pt idx="2">
                  <c:v>28927</c:v>
                </c:pt>
                <c:pt idx="3">
                  <c:v>11560</c:v>
                </c:pt>
                <c:pt idx="4">
                  <c:v>4711</c:v>
                </c:pt>
              </c:numCache>
            </c:numRef>
          </c:val>
          <c:extLst>
            <c:ext xmlns:c16="http://schemas.microsoft.com/office/drawing/2014/chart" uri="{C3380CC4-5D6E-409C-BE32-E72D297353CC}">
              <c16:uniqueId val="{00000001-23B1-4A5E-A658-8D0D874911BF}"/>
            </c:ext>
          </c:extLst>
        </c:ser>
        <c:ser>
          <c:idx val="2"/>
          <c:order val="2"/>
          <c:tx>
            <c:strRef>
              <c:f>Feuil4!$E$3:$E$4</c:f>
              <c:strCache>
                <c:ptCount val="2"/>
                <c:pt idx="0">
                  <c:v>2014</c:v>
                </c:pt>
              </c:strCache>
            </c:strRef>
          </c:tx>
          <c:spPr>
            <a:solidFill>
              <a:schemeClr val="accent3"/>
            </a:solidFill>
            <a:ln>
              <a:noFill/>
            </a:ln>
            <a:effectLst/>
          </c:spPr>
          <c:invertIfNegative val="0"/>
          <c:cat>
            <c:strRef>
              <c:f>Feuil4!$B$5:$B$9</c:f>
              <c:strCache>
                <c:ptCount val="5"/>
                <c:pt idx="0">
                  <c:v>Al Hoceima (Mun)</c:v>
                </c:pt>
                <c:pt idx="1">
                  <c:v> Bni Bouayach (Mun)</c:v>
                </c:pt>
                <c:pt idx="2">
                  <c:v>Imzouren (Mun)</c:v>
                </c:pt>
                <c:pt idx="3">
                  <c:v>Targuist (Mun)</c:v>
                </c:pt>
                <c:pt idx="4">
                  <c:v>Ajdir (Mun)</c:v>
                </c:pt>
              </c:strCache>
            </c:strRef>
          </c:cat>
          <c:val>
            <c:numRef>
              <c:f>Feuil4!$E$5:$E$9</c:f>
              <c:numCache>
                <c:formatCode>General</c:formatCode>
                <c:ptCount val="5"/>
                <c:pt idx="0">
                  <c:v>56716</c:v>
                </c:pt>
                <c:pt idx="1">
                  <c:v>18271</c:v>
                </c:pt>
                <c:pt idx="2">
                  <c:v>33852</c:v>
                </c:pt>
                <c:pt idx="3">
                  <c:v>13390</c:v>
                </c:pt>
                <c:pt idx="4">
                  <c:v>5314</c:v>
                </c:pt>
              </c:numCache>
            </c:numRef>
          </c:val>
          <c:extLst>
            <c:ext xmlns:c16="http://schemas.microsoft.com/office/drawing/2014/chart" uri="{C3380CC4-5D6E-409C-BE32-E72D297353CC}">
              <c16:uniqueId val="{00000002-23B1-4A5E-A658-8D0D874911BF}"/>
            </c:ext>
          </c:extLst>
        </c:ser>
        <c:ser>
          <c:idx val="3"/>
          <c:order val="3"/>
          <c:tx>
            <c:strRef>
              <c:f>Feuil4!$F$3:$F$4</c:f>
              <c:strCache>
                <c:ptCount val="2"/>
                <c:pt idx="0">
                  <c:v>2024</c:v>
                </c:pt>
              </c:strCache>
            </c:strRef>
          </c:tx>
          <c:spPr>
            <a:solidFill>
              <a:schemeClr val="accent4"/>
            </a:solidFill>
            <a:ln>
              <a:noFill/>
            </a:ln>
            <a:effectLst/>
          </c:spPr>
          <c:invertIfNegative val="0"/>
          <c:cat>
            <c:strRef>
              <c:f>Feuil4!$B$5:$B$9</c:f>
              <c:strCache>
                <c:ptCount val="5"/>
                <c:pt idx="0">
                  <c:v>Al Hoceima (Mun)</c:v>
                </c:pt>
                <c:pt idx="1">
                  <c:v> Bni Bouayach (Mun)</c:v>
                </c:pt>
                <c:pt idx="2">
                  <c:v>Imzouren (Mun)</c:v>
                </c:pt>
                <c:pt idx="3">
                  <c:v>Targuist (Mun)</c:v>
                </c:pt>
                <c:pt idx="4">
                  <c:v>Ajdir (Mun)</c:v>
                </c:pt>
              </c:strCache>
            </c:strRef>
          </c:cat>
          <c:val>
            <c:numRef>
              <c:f>Feuil4!$F$5:$F$9</c:f>
              <c:numCache>
                <c:formatCode>General</c:formatCode>
                <c:ptCount val="5"/>
                <c:pt idx="0">
                  <c:v>50225</c:v>
                </c:pt>
                <c:pt idx="1">
                  <c:v>20013</c:v>
                </c:pt>
                <c:pt idx="2">
                  <c:v>34848</c:v>
                </c:pt>
                <c:pt idx="3">
                  <c:v>14638</c:v>
                </c:pt>
                <c:pt idx="4">
                  <c:v>5630</c:v>
                </c:pt>
              </c:numCache>
            </c:numRef>
          </c:val>
          <c:extLst>
            <c:ext xmlns:c16="http://schemas.microsoft.com/office/drawing/2014/chart" uri="{C3380CC4-5D6E-409C-BE32-E72D297353CC}">
              <c16:uniqueId val="{00000003-23B1-4A5E-A658-8D0D874911BF}"/>
            </c:ext>
          </c:extLst>
        </c:ser>
        <c:dLbls>
          <c:showLegendKey val="0"/>
          <c:showVal val="0"/>
          <c:showCatName val="0"/>
          <c:showSerName val="0"/>
          <c:showPercent val="0"/>
          <c:showBubbleSize val="0"/>
        </c:dLbls>
        <c:gapWidth val="219"/>
        <c:overlap val="-27"/>
        <c:axId val="386064336"/>
        <c:axId val="386065320"/>
      </c:barChart>
      <c:catAx>
        <c:axId val="38606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6065320"/>
        <c:crosses val="autoZero"/>
        <c:auto val="1"/>
        <c:lblAlgn val="ctr"/>
        <c:lblOffset val="100"/>
        <c:noMultiLvlLbl val="0"/>
      </c:catAx>
      <c:valAx>
        <c:axId val="386065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606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Feuil5!$D$4:$D$5</c:f>
              <c:strCache>
                <c:ptCount val="2"/>
                <c:pt idx="0">
                  <c:v>1994</c:v>
                </c:pt>
              </c:strCache>
            </c:strRef>
          </c:tx>
          <c:spPr>
            <a:solidFill>
              <a:schemeClr val="accent1"/>
            </a:solidFill>
            <a:ln>
              <a:noFill/>
            </a:ln>
            <a:effectLst/>
          </c:spPr>
          <c:invertIfNegative val="0"/>
          <c:cat>
            <c:strRef>
              <c:f>Feuil5!$C$6:$C$10</c:f>
              <c:strCache>
                <c:ptCount val="5"/>
                <c:pt idx="0">
                  <c:v>Sidi Bouafif urban center</c:v>
                </c:pt>
                <c:pt idx="1">
                  <c:v>Tamassint Urban Center</c:v>
                </c:pt>
                <c:pt idx="2">
                  <c:v>Urban center of Bni Hadifa</c:v>
                </c:pt>
                <c:pt idx="3">
                  <c:v>Ait Kamra urban center</c:v>
                </c:pt>
                <c:pt idx="4">
                  <c:v>Issaguen urban center</c:v>
                </c:pt>
              </c:strCache>
            </c:strRef>
          </c:cat>
          <c:val>
            <c:numRef>
              <c:f>Feuil5!$D$6:$D$10</c:f>
              <c:numCache>
                <c:formatCode>General</c:formatCode>
                <c:ptCount val="5"/>
                <c:pt idx="0">
                  <c:v>0</c:v>
                </c:pt>
                <c:pt idx="1">
                  <c:v>1903</c:v>
                </c:pt>
                <c:pt idx="2">
                  <c:v>1939</c:v>
                </c:pt>
                <c:pt idx="3">
                  <c:v>0</c:v>
                </c:pt>
                <c:pt idx="4">
                  <c:v>1593</c:v>
                </c:pt>
              </c:numCache>
            </c:numRef>
          </c:val>
          <c:extLst>
            <c:ext xmlns:c16="http://schemas.microsoft.com/office/drawing/2014/chart" uri="{C3380CC4-5D6E-409C-BE32-E72D297353CC}">
              <c16:uniqueId val="{00000000-141D-4A10-98CD-F025DF368D5A}"/>
            </c:ext>
          </c:extLst>
        </c:ser>
        <c:ser>
          <c:idx val="1"/>
          <c:order val="1"/>
          <c:tx>
            <c:strRef>
              <c:f>Feuil5!$E$4:$E$5</c:f>
              <c:strCache>
                <c:ptCount val="2"/>
                <c:pt idx="0">
                  <c:v>2004</c:v>
                </c:pt>
              </c:strCache>
            </c:strRef>
          </c:tx>
          <c:spPr>
            <a:solidFill>
              <a:schemeClr val="accent2"/>
            </a:solidFill>
            <a:ln>
              <a:noFill/>
            </a:ln>
            <a:effectLst/>
          </c:spPr>
          <c:invertIfNegative val="0"/>
          <c:cat>
            <c:strRef>
              <c:f>Feuil5!$C$6:$C$10</c:f>
              <c:strCache>
                <c:ptCount val="5"/>
                <c:pt idx="0">
                  <c:v>Sidi Bouafif urban center</c:v>
                </c:pt>
                <c:pt idx="1">
                  <c:v>Tamassint Urban Center</c:v>
                </c:pt>
                <c:pt idx="2">
                  <c:v>Urban center of Bni Hadifa</c:v>
                </c:pt>
                <c:pt idx="3">
                  <c:v>Ait Kamra urban center</c:v>
                </c:pt>
                <c:pt idx="4">
                  <c:v>Issaguen urban center</c:v>
                </c:pt>
              </c:strCache>
            </c:strRef>
          </c:cat>
          <c:val>
            <c:numRef>
              <c:f>Feuil5!$E$6:$E$10</c:f>
              <c:numCache>
                <c:formatCode>General</c:formatCode>
                <c:ptCount val="5"/>
                <c:pt idx="0">
                  <c:v>0</c:v>
                </c:pt>
                <c:pt idx="1">
                  <c:v>1788</c:v>
                </c:pt>
                <c:pt idx="2">
                  <c:v>2061</c:v>
                </c:pt>
                <c:pt idx="3">
                  <c:v>0</c:v>
                </c:pt>
                <c:pt idx="4">
                  <c:v>1638</c:v>
                </c:pt>
              </c:numCache>
            </c:numRef>
          </c:val>
          <c:extLst>
            <c:ext xmlns:c16="http://schemas.microsoft.com/office/drawing/2014/chart" uri="{C3380CC4-5D6E-409C-BE32-E72D297353CC}">
              <c16:uniqueId val="{00000001-141D-4A10-98CD-F025DF368D5A}"/>
            </c:ext>
          </c:extLst>
        </c:ser>
        <c:ser>
          <c:idx val="2"/>
          <c:order val="2"/>
          <c:tx>
            <c:strRef>
              <c:f>Feuil5!$F$4:$F$5</c:f>
              <c:strCache>
                <c:ptCount val="2"/>
                <c:pt idx="0">
                  <c:v>2014</c:v>
                </c:pt>
              </c:strCache>
            </c:strRef>
          </c:tx>
          <c:spPr>
            <a:solidFill>
              <a:schemeClr val="accent3"/>
            </a:solidFill>
            <a:ln>
              <a:noFill/>
            </a:ln>
            <a:effectLst/>
          </c:spPr>
          <c:invertIfNegative val="0"/>
          <c:cat>
            <c:strRef>
              <c:f>Feuil5!$C$6:$C$10</c:f>
              <c:strCache>
                <c:ptCount val="5"/>
                <c:pt idx="0">
                  <c:v>Sidi Bouafif urban center</c:v>
                </c:pt>
                <c:pt idx="1">
                  <c:v>Tamassint Urban Center</c:v>
                </c:pt>
                <c:pt idx="2">
                  <c:v>Urban center of Bni Hadifa</c:v>
                </c:pt>
                <c:pt idx="3">
                  <c:v>Ait Kamra urban center</c:v>
                </c:pt>
                <c:pt idx="4">
                  <c:v>Issaguen urban center</c:v>
                </c:pt>
              </c:strCache>
            </c:strRef>
          </c:cat>
          <c:val>
            <c:numRef>
              <c:f>Feuil5!$F$6:$F$10</c:f>
              <c:numCache>
                <c:formatCode>General</c:formatCode>
                <c:ptCount val="5"/>
                <c:pt idx="0">
                  <c:v>3350</c:v>
                </c:pt>
                <c:pt idx="1">
                  <c:v>1831</c:v>
                </c:pt>
                <c:pt idx="2">
                  <c:v>2171</c:v>
                </c:pt>
                <c:pt idx="3">
                  <c:v>0</c:v>
                </c:pt>
                <c:pt idx="4">
                  <c:v>2474</c:v>
                </c:pt>
              </c:numCache>
            </c:numRef>
          </c:val>
          <c:extLst>
            <c:ext xmlns:c16="http://schemas.microsoft.com/office/drawing/2014/chart" uri="{C3380CC4-5D6E-409C-BE32-E72D297353CC}">
              <c16:uniqueId val="{00000002-141D-4A10-98CD-F025DF368D5A}"/>
            </c:ext>
          </c:extLst>
        </c:ser>
        <c:ser>
          <c:idx val="3"/>
          <c:order val="3"/>
          <c:tx>
            <c:strRef>
              <c:f>Feuil5!$G$4:$G$5</c:f>
              <c:strCache>
                <c:ptCount val="2"/>
                <c:pt idx="0">
                  <c:v>2024</c:v>
                </c:pt>
              </c:strCache>
            </c:strRef>
          </c:tx>
          <c:spPr>
            <a:solidFill>
              <a:schemeClr val="accent4"/>
            </a:solidFill>
            <a:ln>
              <a:noFill/>
            </a:ln>
            <a:effectLst/>
          </c:spPr>
          <c:invertIfNegative val="0"/>
          <c:cat>
            <c:strRef>
              <c:f>Feuil5!$C$6:$C$10</c:f>
              <c:strCache>
                <c:ptCount val="5"/>
                <c:pt idx="0">
                  <c:v>Sidi Bouafif urban center</c:v>
                </c:pt>
                <c:pt idx="1">
                  <c:v>Tamassint Urban Center</c:v>
                </c:pt>
                <c:pt idx="2">
                  <c:v>Urban center of Bni Hadifa</c:v>
                </c:pt>
                <c:pt idx="3">
                  <c:v>Ait Kamra urban center</c:v>
                </c:pt>
                <c:pt idx="4">
                  <c:v>Issaguen urban center</c:v>
                </c:pt>
              </c:strCache>
            </c:strRef>
          </c:cat>
          <c:val>
            <c:numRef>
              <c:f>Feuil5!$G$6:$G$10</c:f>
              <c:numCache>
                <c:formatCode>General</c:formatCode>
                <c:ptCount val="5"/>
                <c:pt idx="0">
                  <c:v>3884</c:v>
                </c:pt>
                <c:pt idx="1">
                  <c:v>1796</c:v>
                </c:pt>
                <c:pt idx="2">
                  <c:v>2115</c:v>
                </c:pt>
                <c:pt idx="3">
                  <c:v>3140</c:v>
                </c:pt>
                <c:pt idx="4">
                  <c:v>2688</c:v>
                </c:pt>
              </c:numCache>
            </c:numRef>
          </c:val>
          <c:extLst>
            <c:ext xmlns:c16="http://schemas.microsoft.com/office/drawing/2014/chart" uri="{C3380CC4-5D6E-409C-BE32-E72D297353CC}">
              <c16:uniqueId val="{00000003-141D-4A10-98CD-F025DF368D5A}"/>
            </c:ext>
          </c:extLst>
        </c:ser>
        <c:dLbls>
          <c:showLegendKey val="0"/>
          <c:showVal val="0"/>
          <c:showCatName val="0"/>
          <c:showSerName val="0"/>
          <c:showPercent val="0"/>
          <c:showBubbleSize val="0"/>
        </c:dLbls>
        <c:gapWidth val="219"/>
        <c:overlap val="-27"/>
        <c:axId val="485790232"/>
        <c:axId val="485789576"/>
      </c:barChart>
      <c:catAx>
        <c:axId val="48579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5789576"/>
        <c:crosses val="autoZero"/>
        <c:auto val="1"/>
        <c:lblAlgn val="ctr"/>
        <c:lblOffset val="100"/>
        <c:noMultiLvlLbl val="0"/>
      </c:catAx>
      <c:valAx>
        <c:axId val="485789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579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Feuil6!$C$6</c:f>
              <c:strCache>
                <c:ptCount val="1"/>
                <c:pt idx="0">
                  <c:v>Al Hoceima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Feuil6!$D$5:$F$5</c:f>
              <c:numCache>
                <c:formatCode>General</c:formatCode>
                <c:ptCount val="3"/>
                <c:pt idx="0">
                  <c:v>2004</c:v>
                </c:pt>
                <c:pt idx="1">
                  <c:v>2014</c:v>
                </c:pt>
                <c:pt idx="2">
                  <c:v>2024</c:v>
                </c:pt>
              </c:numCache>
            </c:numRef>
          </c:cat>
          <c:val>
            <c:numRef>
              <c:f>Feuil6!$D$6:$F$6</c:f>
              <c:numCache>
                <c:formatCode>General</c:formatCode>
                <c:ptCount val="3"/>
                <c:pt idx="0">
                  <c:v>30</c:v>
                </c:pt>
                <c:pt idx="1">
                  <c:v>34.4</c:v>
                </c:pt>
                <c:pt idx="2">
                  <c:v>37.4</c:v>
                </c:pt>
              </c:numCache>
            </c:numRef>
          </c:val>
          <c:extLst>
            <c:ext xmlns:c16="http://schemas.microsoft.com/office/drawing/2014/chart" uri="{C3380CC4-5D6E-409C-BE32-E72D297353CC}">
              <c16:uniqueId val="{00000000-0453-445C-8C12-E43F1260C8B5}"/>
            </c:ext>
          </c:extLst>
        </c:ser>
        <c:ser>
          <c:idx val="1"/>
          <c:order val="1"/>
          <c:tx>
            <c:strRef>
              <c:f>Feuil6!$C$7</c:f>
              <c:strCache>
                <c:ptCount val="1"/>
                <c:pt idx="0">
                  <c:v>Morocco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Feuil6!$D$5:$F$5</c:f>
              <c:numCache>
                <c:formatCode>General</c:formatCode>
                <c:ptCount val="3"/>
                <c:pt idx="0">
                  <c:v>2004</c:v>
                </c:pt>
                <c:pt idx="1">
                  <c:v>2014</c:v>
                </c:pt>
                <c:pt idx="2">
                  <c:v>2024</c:v>
                </c:pt>
              </c:numCache>
            </c:numRef>
          </c:cat>
          <c:val>
            <c:numRef>
              <c:f>Feuil6!$D$7:$F$7</c:f>
              <c:numCache>
                <c:formatCode>General</c:formatCode>
                <c:ptCount val="3"/>
                <c:pt idx="0">
                  <c:v>55.1</c:v>
                </c:pt>
                <c:pt idx="1">
                  <c:v>60.4</c:v>
                </c:pt>
                <c:pt idx="2">
                  <c:v>62.8</c:v>
                </c:pt>
              </c:numCache>
            </c:numRef>
          </c:val>
          <c:extLst>
            <c:ext xmlns:c16="http://schemas.microsoft.com/office/drawing/2014/chart" uri="{C3380CC4-5D6E-409C-BE32-E72D297353CC}">
              <c16:uniqueId val="{00000001-0453-445C-8C12-E43F1260C8B5}"/>
            </c:ext>
          </c:extLst>
        </c:ser>
        <c:dLbls>
          <c:showLegendKey val="0"/>
          <c:showVal val="0"/>
          <c:showCatName val="0"/>
          <c:showSerName val="0"/>
          <c:showPercent val="0"/>
          <c:showBubbleSize val="0"/>
        </c:dLbls>
        <c:gapWidth val="219"/>
        <c:overlap val="-27"/>
        <c:axId val="418925624"/>
        <c:axId val="418928248"/>
      </c:barChart>
      <c:catAx>
        <c:axId val="41892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418928248"/>
        <c:crosses val="autoZero"/>
        <c:auto val="1"/>
        <c:lblAlgn val="ctr"/>
        <c:lblOffset val="100"/>
        <c:noMultiLvlLbl val="0"/>
      </c:catAx>
      <c:valAx>
        <c:axId val="418928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fr-FR" sz="1050" b="1"/>
                  <a:t>Urbanization %</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418925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13233872081779"/>
          <c:y val="9.1228070175438603E-2"/>
          <c:w val="0.75362204724409454"/>
          <c:h val="0.4537411244647049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Feuil1!$H$8:$H$12</c:f>
              <c:strCache>
                <c:ptCount val="5"/>
                <c:pt idx="0">
                  <c:v>Sidi Bouafif urban center</c:v>
                </c:pt>
                <c:pt idx="1">
                  <c:v>Tamassint Urban Center</c:v>
                </c:pt>
                <c:pt idx="2">
                  <c:v>Bni Hadifa urban center</c:v>
                </c:pt>
                <c:pt idx="3">
                  <c:v>Ait Kamra urban center</c:v>
                </c:pt>
                <c:pt idx="4">
                  <c:v>Issaguen urban center</c:v>
                </c:pt>
              </c:strCache>
            </c:strRef>
          </c:cat>
          <c:val>
            <c:numRef>
              <c:f>Feuil1!$I$8:$I$12</c:f>
              <c:numCache>
                <c:formatCode>General</c:formatCode>
                <c:ptCount val="5"/>
                <c:pt idx="0">
                  <c:v>28.1</c:v>
                </c:pt>
                <c:pt idx="1">
                  <c:v>25.7</c:v>
                </c:pt>
                <c:pt idx="2">
                  <c:v>44.8</c:v>
                </c:pt>
                <c:pt idx="3">
                  <c:v>38</c:v>
                </c:pt>
                <c:pt idx="4">
                  <c:v>15.1</c:v>
                </c:pt>
              </c:numCache>
            </c:numRef>
          </c:val>
          <c:extLst>
            <c:ext xmlns:c16="http://schemas.microsoft.com/office/drawing/2014/chart" uri="{C3380CC4-5D6E-409C-BE32-E72D297353CC}">
              <c16:uniqueId val="{00000000-8D1A-4FDC-AA80-4C6F3F8D6206}"/>
            </c:ext>
          </c:extLst>
        </c:ser>
        <c:dLbls>
          <c:dLblPos val="outEnd"/>
          <c:showLegendKey val="0"/>
          <c:showVal val="1"/>
          <c:showCatName val="0"/>
          <c:showSerName val="0"/>
          <c:showPercent val="0"/>
          <c:showBubbleSize val="0"/>
        </c:dLbls>
        <c:gapWidth val="219"/>
        <c:overlap val="-27"/>
        <c:axId val="379583776"/>
        <c:axId val="379585744"/>
      </c:barChart>
      <c:catAx>
        <c:axId val="379583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Urban centers</a:t>
                </a:r>
              </a:p>
            </c:rich>
          </c:tx>
          <c:layout>
            <c:manualLayout>
              <c:xMode val="edge"/>
              <c:yMode val="edge"/>
              <c:x val="0.43318897637795267"/>
              <c:y val="0.8511927061748860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fr-FR"/>
          </a:p>
        </c:txPr>
        <c:crossAx val="379585744"/>
        <c:crosses val="autoZero"/>
        <c:auto val="1"/>
        <c:lblAlgn val="ctr"/>
        <c:lblOffset val="100"/>
        <c:noMultiLvlLbl val="0"/>
      </c:catAx>
      <c:valAx>
        <c:axId val="37958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Urbanization %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379583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ysClr val="windowText" lastClr="000000"/>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71694-9D90-49EF-BC5E-82468C19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8874</TotalTime>
  <Pages>13</Pages>
  <Words>4381</Words>
  <Characters>25151</Characters>
  <Application>Microsoft Office Word</Application>
  <DocSecurity>0</DocSecurity>
  <Lines>503</Lines>
  <Paragraphs>252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iliassbouhlalO715@outlook.fr</cp:lastModifiedBy>
  <cp:revision>167</cp:revision>
  <dcterms:created xsi:type="dcterms:W3CDTF">2025-01-25T23:26:00Z</dcterms:created>
  <dcterms:modified xsi:type="dcterms:W3CDTF">2025-07-10T20:16:00Z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b84eb425e83f3cc3a759b5481d3517fa660c1ea636fb7e730b202caca2bb1b2e</vt:lpwstr>
  </property>
</Properties>
</file>